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jc w:val="center"/>
        <w:rPr>
          <w:rFonts w:hint="eastAsia" w:ascii="方正小标宋简体" w:hAnsi="方正小标宋简体" w:eastAsia="方正小标宋简体" w:cs="方正小标宋简体"/>
          <w:sz w:val="44"/>
          <w:szCs w:val="44"/>
        </w:rPr>
      </w:pPr>
    </w:p>
    <w:p>
      <w:pPr>
        <w:spacing w:line="600" w:lineRule="exact"/>
        <w:jc w:val="center"/>
        <w:rPr>
          <w:rFonts w:hint="eastAsia" w:ascii="方正小标宋简体" w:hAnsi="方正小标宋简体" w:eastAsia="方正小标宋简体" w:cs="方正小标宋简体"/>
          <w:sz w:val="44"/>
          <w:szCs w:val="44"/>
        </w:rPr>
      </w:pPr>
    </w:p>
    <w:p>
      <w:pPr>
        <w:spacing w:line="60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抚宁区发展改革局</w:t>
      </w:r>
    </w:p>
    <w:p>
      <w:pPr>
        <w:spacing w:line="60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关于骊洋水务公司自来水销售价格的</w:t>
      </w:r>
    </w:p>
    <w:p>
      <w:pPr>
        <w:spacing w:line="600" w:lineRule="exact"/>
        <w:jc w:val="center"/>
        <w:rPr>
          <w:sz w:val="32"/>
          <w:szCs w:val="32"/>
        </w:rPr>
      </w:pPr>
      <w:r>
        <w:rPr>
          <w:rFonts w:hint="eastAsia" w:ascii="方正小标宋简体" w:hAnsi="方正小标宋简体" w:eastAsia="方正小标宋简体" w:cs="方正小标宋简体"/>
          <w:sz w:val="44"/>
          <w:szCs w:val="44"/>
        </w:rPr>
        <w:t>定价方案</w:t>
      </w:r>
    </w:p>
    <w:p>
      <w:pPr>
        <w:rPr>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rPr>
        <w:t>为保障城市正常供水和供水企业良性运转，运用价格杠杆促进节约用水，按照国家和省有关政策规定，在充分考虑居民及其他用水企业和单位利益的基础上，以有利于保增长、保民生、保稳定为原则，针对我区自来水公司亏损严重的实际情况，提出制定骊洋水务公司自来水销售价格方案如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黑体" w:hAnsi="黑体" w:eastAsia="黑体" w:cs="仿宋"/>
          <w:sz w:val="32"/>
          <w:szCs w:val="32"/>
        </w:rPr>
      </w:pPr>
      <w:r>
        <w:rPr>
          <w:rFonts w:hint="eastAsia" w:ascii="黑体" w:hAnsi="黑体" w:eastAsia="黑体" w:cs="仿宋"/>
          <w:sz w:val="32"/>
          <w:szCs w:val="32"/>
        </w:rPr>
        <w:t xml:space="preserve">一、供水企业现状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cs="仿宋"/>
          <w:color w:val="3A3843"/>
          <w:sz w:val="32"/>
          <w:szCs w:val="32"/>
          <w:shd w:val="clear" w:color="auto" w:fill="FFFFFF"/>
        </w:rPr>
      </w:pPr>
      <w:r>
        <w:rPr>
          <w:rFonts w:hint="eastAsia" w:ascii="仿宋" w:hAnsi="仿宋" w:eastAsia="仿宋" w:cs="仿宋"/>
          <w:color w:val="3A3843"/>
          <w:sz w:val="32"/>
          <w:szCs w:val="32"/>
          <w:shd w:val="clear" w:color="auto" w:fill="FFFFFF"/>
        </w:rPr>
        <w:t>秦皇岛市骊洋水务有限公司是隶属于秦皇岛市抚宁区城市管理综合行政执法局的国有独资企业，</w:t>
      </w:r>
      <w:r>
        <w:rPr>
          <w:rFonts w:hint="eastAsia" w:ascii="仿宋" w:hAnsi="仿宋" w:eastAsia="仿宋" w:cs="仿宋"/>
          <w:sz w:val="32"/>
          <w:szCs w:val="32"/>
        </w:rPr>
        <w:t>成立于2020年2月，</w:t>
      </w:r>
      <w:r>
        <w:rPr>
          <w:rFonts w:hint="eastAsia" w:ascii="仿宋" w:hAnsi="仿宋" w:eastAsia="仿宋" w:cs="仿宋"/>
          <w:color w:val="3A3843"/>
          <w:sz w:val="32"/>
          <w:szCs w:val="32"/>
          <w:shd w:val="clear" w:color="auto" w:fill="FFFFFF"/>
        </w:rPr>
        <w:t>现有职工28人。承担抚宁中心城区、抚宁经济技术开发区的所有居民、商业、办公和工业厂矿用户供水，现有水厂2座，分别为骊洋地表水厂，日供水能力5万吨，水源取自桃林口水库；西街自来水厂（备用）,日供水能力2万吨水源取自细河水源地。</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cs="仿宋"/>
          <w:sz w:val="32"/>
          <w:szCs w:val="32"/>
        </w:rPr>
      </w:pPr>
      <w:r>
        <w:rPr>
          <w:rFonts w:hint="eastAsia" w:ascii="黑体" w:hAnsi="黑体" w:eastAsia="黑体" w:cs="仿宋"/>
          <w:sz w:val="32"/>
          <w:szCs w:val="32"/>
        </w:rPr>
        <w:t xml:space="preserve">二、成本调查结论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rPr>
        <w:t>此次成本调查是以骊洋水务公司2022年8月份</w:t>
      </w:r>
      <w:r>
        <w:rPr>
          <w:rFonts w:hint="eastAsia" w:ascii="仿宋" w:hAnsi="仿宋" w:eastAsia="仿宋" w:cs="仿宋"/>
          <w:sz w:val="32"/>
          <w:szCs w:val="32"/>
          <w:lang w:eastAsia="zh-CN"/>
        </w:rPr>
        <w:t>财务</w:t>
      </w:r>
      <w:r>
        <w:rPr>
          <w:rFonts w:hint="eastAsia" w:ascii="仿宋" w:hAnsi="仿宋" w:eastAsia="仿宋" w:cs="仿宋"/>
          <w:sz w:val="32"/>
          <w:szCs w:val="32"/>
        </w:rPr>
        <w:t>数据为</w:t>
      </w:r>
      <w:r>
        <w:rPr>
          <w:rFonts w:hint="eastAsia" w:ascii="仿宋" w:hAnsi="仿宋" w:eastAsia="仿宋" w:cs="仿宋"/>
          <w:sz w:val="32"/>
          <w:szCs w:val="32"/>
          <w:lang w:eastAsia="zh-CN"/>
        </w:rPr>
        <w:t>主测算</w:t>
      </w:r>
      <w:r>
        <w:rPr>
          <w:rFonts w:hint="eastAsia" w:ascii="仿宋" w:hAnsi="仿宋" w:eastAsia="仿宋" w:cs="仿宋"/>
          <w:sz w:val="32"/>
          <w:szCs w:val="32"/>
        </w:rPr>
        <w:t>的。经</w:t>
      </w:r>
      <w:r>
        <w:rPr>
          <w:rFonts w:hint="eastAsia" w:ascii="仿宋" w:hAnsi="仿宋" w:eastAsia="仿宋" w:cs="仿宋"/>
          <w:sz w:val="32"/>
          <w:szCs w:val="32"/>
          <w:lang w:eastAsia="zh-CN"/>
        </w:rPr>
        <w:t>测</w:t>
      </w:r>
      <w:r>
        <w:rPr>
          <w:rFonts w:hint="eastAsia" w:ascii="仿宋" w:hAnsi="仿宋" w:eastAsia="仿宋" w:cs="仿宋"/>
          <w:sz w:val="32"/>
          <w:szCs w:val="32"/>
        </w:rPr>
        <w:t>算，骊洋水务公司2022年供水总成本为1559.17</w:t>
      </w:r>
      <w:r>
        <w:rPr>
          <w:rFonts w:hint="eastAsia" w:ascii="仿宋" w:hAnsi="仿宋" w:eastAsia="仿宋" w:cs="仿宋"/>
          <w:sz w:val="32"/>
          <w:szCs w:val="32"/>
          <w:lang w:val="en-US" w:eastAsia="zh-CN"/>
        </w:rPr>
        <w:t>167</w:t>
      </w:r>
      <w:r>
        <w:rPr>
          <w:rFonts w:hint="eastAsia" w:ascii="仿宋" w:hAnsi="仿宋" w:eastAsia="仿宋" w:cs="仿宋"/>
          <w:sz w:val="32"/>
          <w:szCs w:val="32"/>
        </w:rPr>
        <w:t>万元，测算年供水总量为388.31</w:t>
      </w:r>
      <w:r>
        <w:rPr>
          <w:rFonts w:hint="eastAsia" w:ascii="仿宋" w:hAnsi="仿宋" w:eastAsia="仿宋" w:cs="仿宋"/>
          <w:sz w:val="32"/>
          <w:szCs w:val="32"/>
          <w:lang w:val="en-US" w:eastAsia="zh-CN"/>
        </w:rPr>
        <w:t>4</w:t>
      </w:r>
      <w:r>
        <w:rPr>
          <w:rFonts w:hint="eastAsia" w:ascii="仿宋" w:hAnsi="仿宋" w:eastAsia="仿宋" w:cs="仿宋"/>
          <w:sz w:val="32"/>
          <w:szCs w:val="32"/>
        </w:rPr>
        <w:t>万立方米，年售水总量349.48</w:t>
      </w:r>
      <w:r>
        <w:rPr>
          <w:rFonts w:hint="eastAsia" w:ascii="仿宋" w:hAnsi="仿宋" w:eastAsia="仿宋" w:cs="仿宋"/>
          <w:sz w:val="32"/>
          <w:szCs w:val="32"/>
          <w:lang w:val="en-US" w:eastAsia="zh-CN"/>
        </w:rPr>
        <w:t>26</w:t>
      </w:r>
      <w:r>
        <w:rPr>
          <w:rFonts w:hint="eastAsia" w:ascii="仿宋" w:hAnsi="仿宋" w:eastAsia="仿宋" w:cs="仿宋"/>
          <w:sz w:val="32"/>
          <w:szCs w:val="32"/>
        </w:rPr>
        <w:t>万立方米（管网漏损率暂按10%），单位供水成本为4.46元/立方米。由于</w:t>
      </w:r>
      <w:r>
        <w:rPr>
          <w:rFonts w:hint="eastAsia" w:ascii="仿宋" w:hAnsi="仿宋" w:eastAsia="仿宋" w:cs="仿宋"/>
          <w:color w:val="000000"/>
          <w:kern w:val="0"/>
          <w:sz w:val="32"/>
          <w:szCs w:val="32"/>
        </w:rPr>
        <w:t>配水管网工程正在建设中，成本资料尚不齐全，本次成本调查暂未计入管网资产、运营等相关成本。</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黑体" w:hAnsi="黑体" w:eastAsia="黑体" w:cs="仿宋"/>
          <w:sz w:val="32"/>
          <w:szCs w:val="32"/>
        </w:rPr>
      </w:pPr>
      <w:r>
        <w:rPr>
          <w:rFonts w:hint="eastAsia" w:ascii="黑体" w:hAnsi="黑体" w:eastAsia="黑体" w:cs="仿宋"/>
          <w:sz w:val="32"/>
          <w:szCs w:val="32"/>
        </w:rPr>
        <w:t>三、</w:t>
      </w:r>
      <w:r>
        <w:rPr>
          <w:rFonts w:hint="eastAsia" w:ascii="黑体" w:hAnsi="黑体" w:eastAsia="黑体" w:cs="仿宋"/>
          <w:sz w:val="32"/>
          <w:szCs w:val="32"/>
          <w:lang w:eastAsia="zh-CN"/>
        </w:rPr>
        <w:t>现</w:t>
      </w:r>
      <w:r>
        <w:rPr>
          <w:rFonts w:hint="eastAsia" w:ascii="黑体" w:hAnsi="黑体" w:eastAsia="黑体" w:cs="仿宋"/>
          <w:sz w:val="32"/>
          <w:szCs w:val="32"/>
        </w:rPr>
        <w:t xml:space="preserve">行价格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骊洋水务公司自2022年1月份以来，供水销售价格暂时执行</w:t>
      </w:r>
      <w:r>
        <w:rPr>
          <w:rFonts w:hint="eastAsia" w:ascii="仿宋" w:hAnsi="仿宋" w:eastAsia="仿宋" w:cs="仿宋"/>
          <w:b w:val="0"/>
          <w:bCs/>
          <w:sz w:val="32"/>
          <w:szCs w:val="32"/>
        </w:rPr>
        <w:t>《</w:t>
      </w:r>
      <w:r>
        <w:rPr>
          <w:rFonts w:hint="eastAsia" w:ascii="仿宋" w:hAnsi="仿宋" w:eastAsia="仿宋" w:cs="仿宋"/>
          <w:b w:val="0"/>
          <w:bCs/>
          <w:sz w:val="32"/>
          <w:szCs w:val="32"/>
          <w:lang w:eastAsia="zh-CN"/>
        </w:rPr>
        <w:t>抚宁县物价局关于调整县自来水价格的通知</w:t>
      </w:r>
      <w:r>
        <w:rPr>
          <w:rFonts w:hint="eastAsia" w:ascii="仿宋" w:hAnsi="仿宋" w:eastAsia="仿宋" w:cs="仿宋"/>
          <w:b w:val="0"/>
          <w:bCs/>
          <w:sz w:val="32"/>
          <w:szCs w:val="32"/>
        </w:rPr>
        <w:t>》</w:t>
      </w:r>
      <w:r>
        <w:rPr>
          <w:rFonts w:hint="eastAsia" w:ascii="仿宋" w:hAnsi="仿宋" w:eastAsia="仿宋" w:cs="仿宋"/>
          <w:sz w:val="32"/>
          <w:szCs w:val="32"/>
        </w:rPr>
        <w:t>（抚价费字</w:t>
      </w:r>
      <w:r>
        <w:rPr>
          <w:rFonts w:hint="eastAsia" w:ascii="宋体" w:hAnsi="宋体" w:eastAsia="宋体" w:cs="宋体"/>
          <w:sz w:val="32"/>
          <w:szCs w:val="32"/>
        </w:rPr>
        <w:t>〔2001〕第4</w:t>
      </w:r>
      <w:r>
        <w:rPr>
          <w:rFonts w:hint="eastAsia" w:ascii="宋体" w:hAnsi="宋体" w:eastAsia="宋体" w:cs="宋体"/>
          <w:sz w:val="32"/>
          <w:szCs w:val="32"/>
          <w:lang w:val="en-US" w:eastAsia="zh-CN"/>
        </w:rPr>
        <w:t>7</w:t>
      </w:r>
      <w:r>
        <w:rPr>
          <w:rFonts w:hint="eastAsia" w:ascii="宋体" w:hAnsi="宋体" w:eastAsia="宋体" w:cs="宋体"/>
          <w:sz w:val="32"/>
          <w:szCs w:val="32"/>
        </w:rPr>
        <w:t>号）</w:t>
      </w:r>
      <w:r>
        <w:rPr>
          <w:rFonts w:hint="eastAsia" w:ascii="仿宋" w:hAnsi="仿宋" w:eastAsia="仿宋" w:cs="仿宋"/>
          <w:sz w:val="32"/>
          <w:szCs w:val="32"/>
        </w:rPr>
        <w:t>，其中：居民0.80元/吨，工商业1.90元/吨，党政机关、社会团体1.35元/吨，宾馆、饭店、招待所2.70元/吨，建筑施工3.10元/吨，洗车、桑拿、洗浴、美容美发4.20元/吨。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黑体" w:hAnsi="黑体" w:eastAsia="黑体" w:cs="仿宋"/>
          <w:sz w:val="32"/>
          <w:szCs w:val="32"/>
        </w:rPr>
      </w:pPr>
      <w:r>
        <w:rPr>
          <w:rFonts w:hint="eastAsia" w:ascii="黑体" w:hAnsi="黑体" w:eastAsia="黑体" w:cs="仿宋"/>
          <w:sz w:val="32"/>
          <w:szCs w:val="32"/>
        </w:rPr>
        <w:t>四、定价理由</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（一）企业经营状况：骊洋水务公司作为我区供水企业，2020年初开始建设骊洋地表水厂，投资1.98亿元，资金来源为河北省政府专项债券；</w:t>
      </w:r>
      <w:r>
        <w:rPr>
          <w:rFonts w:hint="eastAsia" w:ascii="仿宋" w:hAnsi="仿宋" w:eastAsia="仿宋" w:cs="仿宋"/>
          <w:b w:val="0"/>
          <w:bCs w:val="0"/>
          <w:color w:val="auto"/>
          <w:sz w:val="32"/>
          <w:szCs w:val="32"/>
        </w:rPr>
        <w:t>2022年3月开始建设抚宁区自来水及附属设施提升项目，投资约1.5亿元，资金来源80%为农发行贷款，20%为政府投资；2022年8月开始建设城区配水管网工程，投资2.74亿元，资金来源80%为河北省政府专项债券，20%为政府投资；以上3个项目的还款来源均为水费收入。</w:t>
      </w:r>
      <w:r>
        <w:rPr>
          <w:rFonts w:hint="eastAsia" w:ascii="仿宋" w:hAnsi="仿宋" w:eastAsia="仿宋" w:cs="仿宋"/>
          <w:sz w:val="32"/>
          <w:szCs w:val="32"/>
        </w:rPr>
        <w:t>2021年12月底，骊洋</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ascii="仿宋" w:hAnsi="仿宋" w:eastAsia="仿宋" w:cs="仿宋"/>
          <w:sz w:val="32"/>
          <w:szCs w:val="32"/>
        </w:rPr>
      </w:pPr>
      <w:r>
        <w:rPr>
          <w:rFonts w:hint="eastAsia" w:ascii="仿宋" w:hAnsi="仿宋" w:eastAsia="仿宋" w:cs="仿宋"/>
          <w:sz w:val="32"/>
          <w:szCs w:val="32"/>
        </w:rPr>
        <w:t>水务与我区原自来水公司完成供水经营权移交。移交后，区政府停止对骊洋水务进行电费、水资源税等供水补贴。因此，制定骊洋水务公司供水价格势在必行。</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rPr>
        <w:t>（二）水源切换，原水费上涨，企业生产成本提高。骊洋地表水厂于2022年8月底正式运行，水源由地下水转为地表水，原水费为1.15元/吨。新水厂制水工艺提高，企业运营成本增加，形成亏损。</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黑体" w:hAnsi="黑体" w:eastAsia="黑体" w:cs="仿宋"/>
          <w:sz w:val="32"/>
          <w:szCs w:val="32"/>
        </w:rPr>
      </w:pPr>
      <w:r>
        <w:rPr>
          <w:rFonts w:hint="eastAsia" w:ascii="黑体" w:hAnsi="黑体" w:eastAsia="黑体" w:cs="仿宋"/>
          <w:sz w:val="32"/>
          <w:szCs w:val="32"/>
        </w:rPr>
        <w:t>五、定价方案</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rPr>
      </w:pPr>
      <w:r>
        <w:rPr>
          <w:rFonts w:hint="eastAsia" w:ascii="仿宋" w:hAnsi="仿宋" w:eastAsia="仿宋" w:cs="仿宋"/>
          <w:sz w:val="32"/>
          <w:szCs w:val="32"/>
        </w:rPr>
        <w:t>按照《城市供水价格管理办法》及《河北省城镇供水价格管理实施细则》规定，经第三方公司成本调查，骊洋水务供水成本为4.46元/</w:t>
      </w:r>
      <w:r>
        <w:rPr>
          <w:rFonts w:hint="eastAsia" w:ascii="仿宋" w:hAnsi="仿宋" w:eastAsia="仿宋" w:cs="仿宋"/>
          <w:sz w:val="32"/>
          <w:szCs w:val="32"/>
          <w:lang w:eastAsia="zh-CN"/>
        </w:rPr>
        <w:t>立方米</w:t>
      </w:r>
      <w:r>
        <w:rPr>
          <w:rFonts w:hint="eastAsia" w:ascii="仿宋" w:hAnsi="仿宋" w:eastAsia="仿宋" w:cs="仿宋"/>
          <w:sz w:val="32"/>
          <w:szCs w:val="32"/>
        </w:rPr>
        <w:t>，经研究，现制定2套价格方案。</w:t>
      </w:r>
    </w:p>
    <w:p>
      <w:pPr>
        <w:autoSpaceDE w:val="0"/>
        <w:autoSpaceDN w:val="0"/>
        <w:adjustRightInd w:val="0"/>
        <w:spacing w:line="560" w:lineRule="exact"/>
        <w:ind w:firstLine="640" w:firstLineChars="200"/>
        <w:rPr>
          <w:rFonts w:ascii="仿宋" w:hAnsi="仿宋" w:eastAsia="仿宋"/>
          <w:sz w:val="32"/>
          <w:szCs w:val="32"/>
        </w:rPr>
      </w:pPr>
      <w:r>
        <w:rPr>
          <w:rFonts w:hint="eastAsia" w:ascii="仿宋" w:hAnsi="仿宋" w:eastAsia="仿宋"/>
          <w:sz w:val="32"/>
          <w:szCs w:val="32"/>
        </w:rPr>
        <w:t xml:space="preserve">方案一：   </w:t>
      </w:r>
    </w:p>
    <w:p>
      <w:pPr>
        <w:spacing w:line="560" w:lineRule="exact"/>
        <w:ind w:firstLine="2240" w:firstLineChars="700"/>
        <w:rPr>
          <w:rFonts w:ascii="仿宋" w:hAnsi="仿宋" w:eastAsia="仿宋"/>
          <w:sz w:val="32"/>
          <w:szCs w:val="32"/>
        </w:rPr>
      </w:pPr>
      <w:r>
        <w:rPr>
          <w:rFonts w:hint="eastAsia" w:ascii="仿宋" w:hAnsi="仿宋" w:eastAsia="仿宋"/>
          <w:sz w:val="32"/>
          <w:szCs w:val="32"/>
        </w:rPr>
        <w:t>抚宁区城区自来水</w:t>
      </w:r>
      <w:r>
        <w:rPr>
          <w:rFonts w:hint="eastAsia" w:ascii="仿宋" w:hAnsi="仿宋" w:eastAsia="仿宋"/>
          <w:sz w:val="32"/>
          <w:szCs w:val="32"/>
          <w:lang w:eastAsia="zh-CN"/>
        </w:rPr>
        <w:t>销售</w:t>
      </w:r>
      <w:r>
        <w:rPr>
          <w:rFonts w:hint="eastAsia" w:ascii="仿宋" w:hAnsi="仿宋" w:eastAsia="仿宋"/>
          <w:sz w:val="32"/>
          <w:szCs w:val="32"/>
        </w:rPr>
        <w:t>价格一览表</w:t>
      </w:r>
    </w:p>
    <w:tbl>
      <w:tblPr>
        <w:tblStyle w:val="2"/>
        <w:tblW w:w="4977" w:type="pct"/>
        <w:tblInd w:w="-5" w:type="dxa"/>
        <w:tblLayout w:type="fixed"/>
        <w:tblCellMar>
          <w:top w:w="0" w:type="dxa"/>
          <w:left w:w="108" w:type="dxa"/>
          <w:bottom w:w="0" w:type="dxa"/>
          <w:right w:w="108" w:type="dxa"/>
        </w:tblCellMar>
      </w:tblPr>
      <w:tblGrid>
        <w:gridCol w:w="836"/>
        <w:gridCol w:w="1217"/>
        <w:gridCol w:w="961"/>
        <w:gridCol w:w="1455"/>
        <w:gridCol w:w="810"/>
        <w:gridCol w:w="1060"/>
        <w:gridCol w:w="1820"/>
        <w:gridCol w:w="862"/>
      </w:tblGrid>
      <w:tr>
        <w:tblPrEx>
          <w:tblCellMar>
            <w:top w:w="0" w:type="dxa"/>
            <w:left w:w="108" w:type="dxa"/>
            <w:bottom w:w="0" w:type="dxa"/>
            <w:right w:w="108" w:type="dxa"/>
          </w:tblCellMar>
        </w:tblPrEx>
        <w:trPr>
          <w:trHeight w:val="390" w:hRule="atLeast"/>
        </w:trPr>
        <w:tc>
          <w:tcPr>
            <w:tcW w:w="1137" w:type="pct"/>
            <w:gridSpan w:val="2"/>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类别</w:t>
            </w:r>
          </w:p>
        </w:tc>
        <w:tc>
          <w:tcPr>
            <w:tcW w:w="1788" w:type="pct"/>
            <w:gridSpan w:val="3"/>
            <w:tcBorders>
              <w:top w:val="single" w:color="auto" w:sz="4" w:space="0"/>
              <w:left w:val="nil"/>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居民用水</w:t>
            </w:r>
          </w:p>
        </w:tc>
        <w:tc>
          <w:tcPr>
            <w:tcW w:w="1596" w:type="pct"/>
            <w:gridSpan w:val="2"/>
            <w:tcBorders>
              <w:top w:val="single" w:color="auto" w:sz="4" w:space="0"/>
              <w:left w:val="nil"/>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非居用水</w:t>
            </w:r>
          </w:p>
        </w:tc>
        <w:tc>
          <w:tcPr>
            <w:tcW w:w="477" w:type="pct"/>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特种行业用水</w:t>
            </w:r>
          </w:p>
        </w:tc>
      </w:tr>
      <w:tr>
        <w:tblPrEx>
          <w:tblCellMar>
            <w:top w:w="0" w:type="dxa"/>
            <w:left w:w="108" w:type="dxa"/>
            <w:bottom w:w="0" w:type="dxa"/>
            <w:right w:w="108" w:type="dxa"/>
          </w:tblCellMar>
        </w:tblPrEx>
        <w:trPr>
          <w:trHeight w:val="1030" w:hRule="atLeast"/>
        </w:trPr>
        <w:tc>
          <w:tcPr>
            <w:tcW w:w="1137" w:type="pct"/>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560" w:lineRule="exact"/>
              <w:jc w:val="center"/>
              <w:rPr>
                <w:rFonts w:ascii="仿宋" w:hAnsi="仿宋" w:eastAsia="仿宋" w:cs="仿宋"/>
                <w:color w:val="000000"/>
                <w:kern w:val="0"/>
                <w:sz w:val="24"/>
              </w:rPr>
            </w:pPr>
          </w:p>
        </w:tc>
        <w:tc>
          <w:tcPr>
            <w:tcW w:w="532" w:type="pct"/>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普通居民用户</w:t>
            </w:r>
          </w:p>
        </w:tc>
        <w:tc>
          <w:tcPr>
            <w:tcW w:w="806" w:type="pct"/>
            <w:tcBorders>
              <w:top w:val="nil"/>
              <w:left w:val="nil"/>
              <w:bottom w:val="single" w:color="auto" w:sz="4" w:space="0"/>
              <w:right w:val="single" w:color="auto" w:sz="4" w:space="0"/>
            </w:tcBorders>
            <w:shd w:val="clear" w:color="auto" w:fill="auto"/>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低保户及特困人员</w:t>
            </w:r>
          </w:p>
        </w:tc>
        <w:tc>
          <w:tcPr>
            <w:tcW w:w="448" w:type="pct"/>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黑体" w:hAnsi="黑体" w:eastAsia="黑体" w:cs="仿宋"/>
                <w:b/>
                <w:color w:val="000000"/>
                <w:kern w:val="0"/>
                <w:sz w:val="24"/>
              </w:rPr>
            </w:pPr>
            <w:r>
              <w:rPr>
                <w:rFonts w:hint="eastAsia" w:ascii="仿宋" w:hAnsi="仿宋" w:eastAsia="仿宋" w:cs="仿宋"/>
                <w:color w:val="000000"/>
                <w:kern w:val="0"/>
                <w:sz w:val="24"/>
              </w:rPr>
              <w:t>合表用户</w:t>
            </w:r>
          </w:p>
        </w:tc>
        <w:tc>
          <w:tcPr>
            <w:tcW w:w="587" w:type="pct"/>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普通非居用户</w:t>
            </w:r>
          </w:p>
        </w:tc>
        <w:tc>
          <w:tcPr>
            <w:tcW w:w="1008" w:type="pct"/>
            <w:tcBorders>
              <w:top w:val="nil"/>
              <w:left w:val="nil"/>
              <w:bottom w:val="single" w:color="auto" w:sz="4" w:space="0"/>
              <w:right w:val="single" w:color="auto" w:sz="4" w:space="0"/>
            </w:tcBorders>
            <w:shd w:val="clear" w:color="auto" w:fill="auto"/>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执行居民水价的非居民用户</w:t>
            </w:r>
          </w:p>
        </w:tc>
        <w:tc>
          <w:tcPr>
            <w:tcW w:w="477" w:type="pct"/>
            <w:vMerge w:val="continue"/>
            <w:tcBorders>
              <w:top w:val="single" w:color="auto" w:sz="4" w:space="0"/>
              <w:left w:val="single" w:color="auto" w:sz="4" w:space="0"/>
              <w:bottom w:val="single" w:color="auto" w:sz="4" w:space="0"/>
              <w:right w:val="single" w:color="auto" w:sz="4" w:space="0"/>
            </w:tcBorders>
            <w:vAlign w:val="center"/>
          </w:tcPr>
          <w:p>
            <w:pPr>
              <w:widowControl/>
              <w:spacing w:line="560" w:lineRule="exact"/>
              <w:jc w:val="center"/>
              <w:rPr>
                <w:rFonts w:ascii="仿宋" w:hAnsi="仿宋" w:eastAsia="仿宋" w:cs="仿宋"/>
                <w:color w:val="000000"/>
                <w:kern w:val="0"/>
                <w:sz w:val="24"/>
              </w:rPr>
            </w:pPr>
          </w:p>
        </w:tc>
      </w:tr>
      <w:tr>
        <w:tblPrEx>
          <w:tblCellMar>
            <w:top w:w="0" w:type="dxa"/>
            <w:left w:w="108" w:type="dxa"/>
            <w:bottom w:w="0" w:type="dxa"/>
            <w:right w:w="108" w:type="dxa"/>
          </w:tblCellMar>
        </w:tblPrEx>
        <w:trPr>
          <w:trHeight w:val="402" w:hRule="atLeast"/>
        </w:trPr>
        <w:tc>
          <w:tcPr>
            <w:tcW w:w="1137" w:type="pct"/>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基本水价</w:t>
            </w:r>
          </w:p>
        </w:tc>
        <w:tc>
          <w:tcPr>
            <w:tcW w:w="532" w:type="pct"/>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3.40</w:t>
            </w:r>
          </w:p>
        </w:tc>
        <w:tc>
          <w:tcPr>
            <w:tcW w:w="806" w:type="pct"/>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1.50</w:t>
            </w:r>
          </w:p>
        </w:tc>
        <w:tc>
          <w:tcPr>
            <w:tcW w:w="448" w:type="pct"/>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3.40</w:t>
            </w:r>
          </w:p>
        </w:tc>
        <w:tc>
          <w:tcPr>
            <w:tcW w:w="587" w:type="pct"/>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5.78</w:t>
            </w:r>
          </w:p>
        </w:tc>
        <w:tc>
          <w:tcPr>
            <w:tcW w:w="1008" w:type="pct"/>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3.74</w:t>
            </w:r>
          </w:p>
        </w:tc>
        <w:tc>
          <w:tcPr>
            <w:tcW w:w="477" w:type="pct"/>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28.90</w:t>
            </w:r>
          </w:p>
        </w:tc>
      </w:tr>
      <w:tr>
        <w:tblPrEx>
          <w:tblCellMar>
            <w:top w:w="0" w:type="dxa"/>
            <w:left w:w="108" w:type="dxa"/>
            <w:bottom w:w="0" w:type="dxa"/>
            <w:right w:w="108" w:type="dxa"/>
          </w:tblCellMar>
        </w:tblPrEx>
        <w:trPr>
          <w:trHeight w:val="540" w:hRule="atLeast"/>
        </w:trPr>
        <w:tc>
          <w:tcPr>
            <w:tcW w:w="1137" w:type="pct"/>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污水处理费</w:t>
            </w:r>
          </w:p>
        </w:tc>
        <w:tc>
          <w:tcPr>
            <w:tcW w:w="532" w:type="pct"/>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1</w:t>
            </w:r>
            <w:r>
              <w:rPr>
                <w:rFonts w:hint="eastAsia" w:ascii="仿宋" w:hAnsi="仿宋" w:eastAsia="仿宋" w:cs="仿宋"/>
                <w:color w:val="000000"/>
                <w:kern w:val="0"/>
                <w:sz w:val="24"/>
                <w:lang w:val="en-US" w:eastAsia="zh-CN"/>
              </w:rPr>
              <w:t>.</w:t>
            </w:r>
            <w:r>
              <w:rPr>
                <w:rFonts w:hint="eastAsia" w:ascii="仿宋" w:hAnsi="仿宋" w:eastAsia="仿宋" w:cs="仿宋"/>
                <w:color w:val="000000"/>
                <w:kern w:val="0"/>
                <w:sz w:val="24"/>
              </w:rPr>
              <w:t>00</w:t>
            </w:r>
          </w:p>
        </w:tc>
        <w:tc>
          <w:tcPr>
            <w:tcW w:w="806" w:type="pct"/>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免收</w:t>
            </w:r>
          </w:p>
        </w:tc>
        <w:tc>
          <w:tcPr>
            <w:tcW w:w="448" w:type="pct"/>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1.00</w:t>
            </w:r>
          </w:p>
        </w:tc>
        <w:tc>
          <w:tcPr>
            <w:tcW w:w="587" w:type="pct"/>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1.45</w:t>
            </w:r>
          </w:p>
        </w:tc>
        <w:tc>
          <w:tcPr>
            <w:tcW w:w="1008" w:type="pct"/>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hint="default" w:ascii="仿宋" w:hAnsi="仿宋" w:eastAsia="仿宋" w:cs="仿宋"/>
                <w:b w:val="0"/>
                <w:bCs w:val="0"/>
                <w:color w:val="000000"/>
                <w:kern w:val="0"/>
                <w:sz w:val="24"/>
                <w:lang w:val="en-US" w:eastAsia="zh-CN"/>
              </w:rPr>
            </w:pPr>
            <w:r>
              <w:rPr>
                <w:rFonts w:hint="eastAsia" w:ascii="仿宋" w:hAnsi="仿宋" w:eastAsia="仿宋" w:cs="仿宋"/>
                <w:b w:val="0"/>
                <w:bCs w:val="0"/>
                <w:color w:val="000000"/>
                <w:kern w:val="0"/>
                <w:sz w:val="24"/>
                <w:lang w:val="en-US" w:eastAsia="zh-CN"/>
              </w:rPr>
              <w:t>1.45</w:t>
            </w:r>
          </w:p>
        </w:tc>
        <w:tc>
          <w:tcPr>
            <w:tcW w:w="477" w:type="pct"/>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5.00</w:t>
            </w:r>
          </w:p>
        </w:tc>
      </w:tr>
      <w:tr>
        <w:tblPrEx>
          <w:tblCellMar>
            <w:top w:w="0" w:type="dxa"/>
            <w:left w:w="108" w:type="dxa"/>
            <w:bottom w:w="0" w:type="dxa"/>
            <w:right w:w="108" w:type="dxa"/>
          </w:tblCellMar>
        </w:tblPrEx>
        <w:trPr>
          <w:trHeight w:val="520" w:hRule="atLeast"/>
        </w:trPr>
        <w:tc>
          <w:tcPr>
            <w:tcW w:w="463" w:type="pct"/>
            <w:vMerge w:val="restart"/>
            <w:tcBorders>
              <w:top w:val="nil"/>
              <w:left w:val="single" w:color="auto" w:sz="4" w:space="0"/>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综合水价</w:t>
            </w:r>
          </w:p>
        </w:tc>
        <w:tc>
          <w:tcPr>
            <w:tcW w:w="674" w:type="pct"/>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第一阶梯</w:t>
            </w:r>
          </w:p>
        </w:tc>
        <w:tc>
          <w:tcPr>
            <w:tcW w:w="532" w:type="pct"/>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4.40</w:t>
            </w:r>
          </w:p>
        </w:tc>
        <w:tc>
          <w:tcPr>
            <w:tcW w:w="806" w:type="pct"/>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1.50</w:t>
            </w:r>
          </w:p>
        </w:tc>
        <w:tc>
          <w:tcPr>
            <w:tcW w:w="448" w:type="pct"/>
            <w:vMerge w:val="restart"/>
            <w:tcBorders>
              <w:top w:val="nil"/>
              <w:left w:val="single" w:color="auto" w:sz="4" w:space="0"/>
              <w:right w:val="single" w:color="auto" w:sz="4" w:space="0"/>
            </w:tcBorders>
            <w:shd w:val="clear" w:color="auto" w:fill="auto"/>
            <w:noWrap/>
            <w:vAlign w:val="center"/>
          </w:tcPr>
          <w:p>
            <w:r>
              <w:rPr>
                <w:rFonts w:hint="eastAsia" w:ascii="仿宋" w:hAnsi="仿宋" w:eastAsia="仿宋" w:cs="仿宋"/>
                <w:color w:val="000000"/>
                <w:kern w:val="0"/>
                <w:sz w:val="24"/>
              </w:rPr>
              <w:t>4.40</w:t>
            </w:r>
          </w:p>
        </w:tc>
        <w:tc>
          <w:tcPr>
            <w:tcW w:w="587" w:type="pct"/>
            <w:tcBorders>
              <w:top w:val="nil"/>
              <w:left w:val="single" w:color="auto" w:sz="4" w:space="0"/>
              <w:bottom w:val="single" w:color="auto" w:sz="4" w:space="0"/>
              <w:right w:val="single" w:color="auto" w:sz="4" w:space="0"/>
            </w:tcBorders>
            <w:shd w:val="clear" w:color="auto" w:fill="auto"/>
            <w:noWrap/>
            <w:vAlign w:val="center"/>
          </w:tcPr>
          <w:p>
            <w:pPr>
              <w:widowControl/>
              <w:spacing w:line="560" w:lineRule="exact"/>
              <w:jc w:val="center"/>
              <w:rPr>
                <w:rFonts w:hint="default" w:ascii="仿宋" w:hAnsi="仿宋" w:eastAsia="仿宋" w:cs="仿宋"/>
                <w:color w:val="000000"/>
                <w:kern w:val="0"/>
                <w:sz w:val="24"/>
                <w:lang w:val="en-US" w:eastAsia="zh-CN"/>
              </w:rPr>
            </w:pPr>
            <w:r>
              <w:rPr>
                <w:rFonts w:hint="eastAsia" w:ascii="仿宋" w:hAnsi="仿宋" w:eastAsia="仿宋" w:cs="仿宋"/>
                <w:b w:val="0"/>
                <w:bCs w:val="0"/>
                <w:color w:val="000000"/>
                <w:kern w:val="0"/>
                <w:sz w:val="24"/>
                <w:lang w:val="en-US" w:eastAsia="zh-CN"/>
              </w:rPr>
              <w:t>7.23</w:t>
            </w:r>
          </w:p>
        </w:tc>
        <w:tc>
          <w:tcPr>
            <w:tcW w:w="1008" w:type="pct"/>
            <w:tcBorders>
              <w:top w:val="nil"/>
              <w:left w:val="single" w:color="auto" w:sz="4" w:space="0"/>
              <w:bottom w:val="single" w:color="auto" w:sz="4" w:space="0"/>
              <w:right w:val="single" w:color="auto" w:sz="4" w:space="0"/>
            </w:tcBorders>
            <w:shd w:val="clear" w:color="auto" w:fill="auto"/>
            <w:noWrap/>
            <w:vAlign w:val="center"/>
          </w:tcPr>
          <w:p>
            <w:pPr>
              <w:widowControl/>
              <w:spacing w:line="560" w:lineRule="exact"/>
              <w:jc w:val="center"/>
              <w:rPr>
                <w:rFonts w:hint="default" w:ascii="黑体" w:hAnsi="黑体" w:eastAsia="黑体" w:cs="仿宋"/>
                <w:b w:val="0"/>
                <w:bCs w:val="0"/>
                <w:color w:val="000000"/>
                <w:kern w:val="0"/>
                <w:sz w:val="32"/>
                <w:szCs w:val="32"/>
                <w:lang w:val="en-US" w:eastAsia="zh-CN"/>
              </w:rPr>
            </w:pPr>
            <w:r>
              <w:rPr>
                <w:rFonts w:hint="eastAsia" w:ascii="仿宋" w:hAnsi="仿宋" w:eastAsia="仿宋" w:cs="仿宋"/>
                <w:b w:val="0"/>
                <w:bCs w:val="0"/>
                <w:color w:val="000000"/>
                <w:kern w:val="0"/>
                <w:sz w:val="32"/>
                <w:szCs w:val="32"/>
                <w:lang w:val="en-US" w:eastAsia="zh-CN"/>
              </w:rPr>
              <w:t>5.19</w:t>
            </w:r>
          </w:p>
        </w:tc>
        <w:tc>
          <w:tcPr>
            <w:tcW w:w="477" w:type="pct"/>
            <w:tcBorders>
              <w:top w:val="nil"/>
              <w:left w:val="single" w:color="auto" w:sz="4" w:space="0"/>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33.90</w:t>
            </w:r>
          </w:p>
        </w:tc>
      </w:tr>
      <w:tr>
        <w:tblPrEx>
          <w:tblCellMar>
            <w:top w:w="0" w:type="dxa"/>
            <w:left w:w="108" w:type="dxa"/>
            <w:bottom w:w="0" w:type="dxa"/>
            <w:right w:w="108" w:type="dxa"/>
          </w:tblCellMar>
        </w:tblPrEx>
        <w:trPr>
          <w:trHeight w:val="402" w:hRule="atLeast"/>
        </w:trPr>
        <w:tc>
          <w:tcPr>
            <w:tcW w:w="463" w:type="pct"/>
            <w:vMerge w:val="continue"/>
            <w:tcBorders>
              <w:top w:val="nil"/>
              <w:left w:val="single" w:color="auto" w:sz="4" w:space="0"/>
              <w:bottom w:val="single" w:color="auto" w:sz="4" w:space="0"/>
              <w:right w:val="single" w:color="auto" w:sz="4" w:space="0"/>
            </w:tcBorders>
            <w:vAlign w:val="center"/>
          </w:tcPr>
          <w:p>
            <w:pPr>
              <w:widowControl/>
              <w:spacing w:line="560" w:lineRule="exact"/>
              <w:jc w:val="center"/>
              <w:rPr>
                <w:rFonts w:ascii="仿宋" w:hAnsi="仿宋" w:eastAsia="仿宋" w:cs="仿宋"/>
                <w:color w:val="000000"/>
                <w:kern w:val="0"/>
                <w:sz w:val="24"/>
              </w:rPr>
            </w:pPr>
          </w:p>
        </w:tc>
        <w:tc>
          <w:tcPr>
            <w:tcW w:w="674" w:type="pct"/>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第二阶梯</w:t>
            </w:r>
          </w:p>
        </w:tc>
        <w:tc>
          <w:tcPr>
            <w:tcW w:w="532" w:type="pct"/>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6.10</w:t>
            </w:r>
          </w:p>
        </w:tc>
        <w:tc>
          <w:tcPr>
            <w:tcW w:w="806" w:type="pct"/>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6.10</w:t>
            </w:r>
          </w:p>
        </w:tc>
        <w:tc>
          <w:tcPr>
            <w:tcW w:w="448" w:type="pct"/>
            <w:vMerge w:val="continue"/>
            <w:tcBorders>
              <w:left w:val="single" w:color="auto" w:sz="4" w:space="0"/>
              <w:right w:val="single" w:color="auto" w:sz="4" w:space="0"/>
            </w:tcBorders>
            <w:vAlign w:val="center"/>
          </w:tcPr>
          <w:p>
            <w:pPr>
              <w:widowControl/>
              <w:spacing w:line="560" w:lineRule="exact"/>
              <w:jc w:val="center"/>
              <w:rPr>
                <w:rFonts w:ascii="仿宋" w:hAnsi="仿宋" w:eastAsia="仿宋" w:cs="仿宋"/>
                <w:color w:val="000000"/>
                <w:kern w:val="0"/>
                <w:sz w:val="24"/>
              </w:rPr>
            </w:pPr>
          </w:p>
        </w:tc>
        <w:tc>
          <w:tcPr>
            <w:tcW w:w="2074" w:type="pct"/>
            <w:gridSpan w:val="3"/>
            <w:vMerge w:val="restart"/>
            <w:tcBorders>
              <w:top w:val="single" w:color="auto" w:sz="4" w:space="0"/>
              <w:left w:val="single" w:color="auto" w:sz="4" w:space="0"/>
              <w:right w:val="single" w:color="auto" w:sz="4" w:space="0"/>
            </w:tcBorders>
            <w:vAlign w:val="center"/>
          </w:tcPr>
          <w:p>
            <w:pPr>
              <w:widowControl/>
              <w:spacing w:line="560" w:lineRule="exact"/>
              <w:jc w:val="left"/>
              <w:rPr>
                <w:rFonts w:ascii="仿宋" w:hAnsi="仿宋" w:eastAsia="仿宋" w:cs="仿宋"/>
                <w:color w:val="000000"/>
                <w:kern w:val="0"/>
                <w:sz w:val="24"/>
              </w:rPr>
            </w:pPr>
            <w:r>
              <w:rPr>
                <w:rFonts w:hint="eastAsia" w:ascii="仿宋" w:hAnsi="仿宋" w:eastAsia="仿宋" w:cs="仿宋"/>
                <w:color w:val="000000"/>
                <w:kern w:val="0"/>
                <w:sz w:val="24"/>
                <w:lang w:val="en-US" w:eastAsia="zh-CN"/>
              </w:rPr>
              <w:t xml:space="preserve">    </w:t>
            </w:r>
            <w:r>
              <w:rPr>
                <w:rFonts w:hint="eastAsia" w:ascii="仿宋" w:hAnsi="仿宋" w:eastAsia="仿宋" w:cs="仿宋"/>
                <w:color w:val="000000"/>
                <w:kern w:val="0"/>
                <w:sz w:val="24"/>
                <w:lang w:eastAsia="zh-CN"/>
              </w:rPr>
              <w:t>非居民用水和特种行业用水实行超定额累进加价制度</w:t>
            </w:r>
          </w:p>
        </w:tc>
      </w:tr>
      <w:tr>
        <w:tblPrEx>
          <w:tblCellMar>
            <w:top w:w="0" w:type="dxa"/>
            <w:left w:w="108" w:type="dxa"/>
            <w:bottom w:w="0" w:type="dxa"/>
            <w:right w:w="108" w:type="dxa"/>
          </w:tblCellMar>
        </w:tblPrEx>
        <w:trPr>
          <w:trHeight w:val="90" w:hRule="atLeast"/>
        </w:trPr>
        <w:tc>
          <w:tcPr>
            <w:tcW w:w="463" w:type="pct"/>
            <w:vMerge w:val="continue"/>
            <w:tcBorders>
              <w:top w:val="nil"/>
              <w:left w:val="single" w:color="auto" w:sz="4" w:space="0"/>
              <w:bottom w:val="single" w:color="auto" w:sz="4" w:space="0"/>
              <w:right w:val="single" w:color="auto" w:sz="4" w:space="0"/>
            </w:tcBorders>
            <w:vAlign w:val="center"/>
          </w:tcPr>
          <w:p>
            <w:pPr>
              <w:widowControl/>
              <w:spacing w:line="560" w:lineRule="exact"/>
              <w:jc w:val="center"/>
              <w:rPr>
                <w:rFonts w:ascii="仿宋" w:hAnsi="仿宋" w:eastAsia="仿宋" w:cs="仿宋"/>
                <w:color w:val="000000"/>
                <w:kern w:val="0"/>
                <w:sz w:val="24"/>
              </w:rPr>
            </w:pPr>
          </w:p>
        </w:tc>
        <w:tc>
          <w:tcPr>
            <w:tcW w:w="674" w:type="pct"/>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第三阶梯</w:t>
            </w:r>
          </w:p>
        </w:tc>
        <w:tc>
          <w:tcPr>
            <w:tcW w:w="532" w:type="pct"/>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11.20</w:t>
            </w:r>
          </w:p>
        </w:tc>
        <w:tc>
          <w:tcPr>
            <w:tcW w:w="806" w:type="pct"/>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11.20</w:t>
            </w:r>
          </w:p>
        </w:tc>
        <w:tc>
          <w:tcPr>
            <w:tcW w:w="448" w:type="pct"/>
            <w:vMerge w:val="continue"/>
            <w:tcBorders>
              <w:left w:val="single" w:color="auto" w:sz="4" w:space="0"/>
              <w:bottom w:val="single" w:color="000000" w:sz="4" w:space="0"/>
              <w:right w:val="single" w:color="auto" w:sz="4" w:space="0"/>
            </w:tcBorders>
            <w:vAlign w:val="center"/>
          </w:tcPr>
          <w:p>
            <w:pPr>
              <w:widowControl/>
              <w:spacing w:line="560" w:lineRule="exact"/>
              <w:jc w:val="center"/>
              <w:rPr>
                <w:rFonts w:ascii="仿宋" w:hAnsi="仿宋" w:eastAsia="仿宋" w:cs="仿宋"/>
                <w:color w:val="000000"/>
                <w:kern w:val="0"/>
                <w:sz w:val="24"/>
              </w:rPr>
            </w:pPr>
          </w:p>
        </w:tc>
        <w:tc>
          <w:tcPr>
            <w:tcW w:w="2074" w:type="pct"/>
            <w:gridSpan w:val="3"/>
            <w:vMerge w:val="continue"/>
            <w:tcBorders>
              <w:left w:val="single" w:color="auto" w:sz="4" w:space="0"/>
              <w:bottom w:val="single" w:color="auto" w:sz="4" w:space="0"/>
              <w:right w:val="single" w:color="auto" w:sz="4" w:space="0"/>
            </w:tcBorders>
            <w:vAlign w:val="center"/>
          </w:tcPr>
          <w:p>
            <w:pPr>
              <w:widowControl/>
              <w:spacing w:line="560" w:lineRule="exact"/>
              <w:jc w:val="center"/>
              <w:rPr>
                <w:rFonts w:ascii="仿宋" w:hAnsi="仿宋" w:eastAsia="仿宋" w:cs="仿宋"/>
                <w:color w:val="000000"/>
                <w:kern w:val="0"/>
                <w:sz w:val="24"/>
              </w:rPr>
            </w:pPr>
          </w:p>
        </w:tc>
      </w:tr>
    </w:tbl>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按照居民生活用水、非居民生活用水、特殊行业用水基本水价比例为1：1.7：8.5，用水量比例为65%：34%：1%。</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lang w:eastAsia="zh-CN"/>
        </w:rPr>
      </w:pPr>
      <w:r>
        <w:rPr>
          <w:rFonts w:hint="eastAsia" w:ascii="仿宋" w:hAnsi="仿宋" w:eastAsia="仿宋"/>
          <w:b w:val="0"/>
          <w:bCs w:val="0"/>
          <w:sz w:val="32"/>
          <w:szCs w:val="32"/>
          <w:lang w:eastAsia="zh-CN"/>
        </w:rPr>
        <w:t>居民</w:t>
      </w:r>
      <w:r>
        <w:rPr>
          <w:rFonts w:hint="eastAsia" w:ascii="仿宋_GB2312" w:eastAsia="仿宋_GB2312"/>
          <w:b w:val="0"/>
          <w:bCs w:val="0"/>
          <w:sz w:val="32"/>
          <w:szCs w:val="32"/>
        </w:rPr>
        <w:t>生活用水实行阶梯水价政策</w:t>
      </w:r>
      <w:r>
        <w:rPr>
          <w:rFonts w:hint="eastAsia" w:ascii="仿宋_GB2312" w:eastAsia="仿宋_GB2312"/>
          <w:sz w:val="32"/>
          <w:szCs w:val="32"/>
        </w:rPr>
        <w:t>，每户家庭年用水量</w:t>
      </w:r>
      <w:r>
        <w:rPr>
          <w:rFonts w:hint="eastAsia" w:ascii="仿宋_GB2312" w:eastAsia="仿宋_GB2312"/>
          <w:spacing w:val="-34"/>
          <w:sz w:val="32"/>
          <w:szCs w:val="32"/>
        </w:rPr>
        <w:t>120米</w:t>
      </w:r>
      <w:r>
        <w:rPr>
          <w:rFonts w:hint="eastAsia" w:ascii="宋体" w:hAnsi="宋体" w:eastAsia="宋体" w:cs="宋体"/>
          <w:spacing w:val="-34"/>
          <w:sz w:val="32"/>
          <w:szCs w:val="32"/>
        </w:rPr>
        <w:t>³</w:t>
      </w:r>
      <w:r>
        <w:rPr>
          <w:rFonts w:hint="eastAsia" w:ascii="仿宋_GB2312" w:eastAsia="仿宋_GB2312"/>
          <w:sz w:val="32"/>
          <w:szCs w:val="32"/>
        </w:rPr>
        <w:t>（含）以内为第一阶梯、120-180米</w:t>
      </w:r>
      <w:r>
        <w:rPr>
          <w:rFonts w:hint="eastAsia" w:ascii="仿宋_GB2312" w:eastAsia="仿宋_GB2312"/>
          <w:sz w:val="32"/>
          <w:szCs w:val="32"/>
          <w:vertAlign w:val="superscript"/>
        </w:rPr>
        <w:t>3</w:t>
      </w:r>
      <w:r>
        <w:rPr>
          <w:rFonts w:hint="eastAsia" w:ascii="仿宋_GB2312" w:eastAsia="仿宋_GB2312"/>
          <w:sz w:val="32"/>
          <w:szCs w:val="32"/>
        </w:rPr>
        <w:t>（含）之间为第二阶梯、180米</w:t>
      </w:r>
      <w:r>
        <w:rPr>
          <w:rFonts w:hint="eastAsia" w:ascii="仿宋_GB2312" w:eastAsia="仿宋_GB2312"/>
          <w:sz w:val="32"/>
          <w:szCs w:val="32"/>
          <w:vertAlign w:val="superscript"/>
        </w:rPr>
        <w:t>3</w:t>
      </w:r>
      <w:r>
        <w:rPr>
          <w:rFonts w:hint="eastAsia" w:ascii="仿宋_GB2312" w:eastAsia="仿宋_GB2312"/>
          <w:sz w:val="32"/>
          <w:szCs w:val="32"/>
        </w:rPr>
        <w:t>以上为第三阶梯，其基本水价按1：1.5：3的比例分级递增</w:t>
      </w:r>
      <w:r>
        <w:rPr>
          <w:rFonts w:hint="eastAsia" w:ascii="仿宋_GB2312" w:eastAsia="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非居用水</w:t>
      </w:r>
      <w:r>
        <w:rPr>
          <w:rFonts w:hint="eastAsia" w:ascii="仿宋" w:hAnsi="仿宋" w:eastAsia="仿宋"/>
          <w:sz w:val="32"/>
          <w:szCs w:val="32"/>
          <w:lang w:eastAsia="zh-CN"/>
        </w:rPr>
        <w:t>：</w:t>
      </w:r>
      <w:r>
        <w:rPr>
          <w:rFonts w:hint="eastAsia" w:ascii="仿宋" w:hAnsi="仿宋" w:eastAsia="仿宋"/>
          <w:sz w:val="32"/>
          <w:szCs w:val="32"/>
        </w:rPr>
        <w:t>普通非居民用户基本水价为普通居民用户基本水价的1.7倍</w:t>
      </w:r>
      <w:r>
        <w:rPr>
          <w:rFonts w:hint="eastAsia" w:ascii="仿宋" w:hAnsi="仿宋" w:eastAsia="仿宋"/>
          <w:sz w:val="32"/>
          <w:szCs w:val="32"/>
          <w:lang w:eastAsia="zh-CN"/>
        </w:rPr>
        <w:t>。</w:t>
      </w:r>
      <w:r>
        <w:rPr>
          <w:rFonts w:hint="eastAsia" w:ascii="仿宋" w:hAnsi="仿宋" w:eastAsia="仿宋"/>
          <w:sz w:val="32"/>
          <w:szCs w:val="32"/>
        </w:rPr>
        <w:t>执行居民水价的非居民用户，基本水价在第一阶梯基本水价的基础上加价10%。</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特种行业用水基本水价为非居用水基本水价的5倍。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 w:hAnsi="仿宋" w:eastAsia="仿宋"/>
          <w:sz w:val="32"/>
          <w:szCs w:val="32"/>
          <w:lang w:val="en-US" w:eastAsia="zh-CN"/>
        </w:rPr>
      </w:pPr>
      <w:r>
        <w:rPr>
          <w:rFonts w:hint="eastAsia" w:ascii="仿宋" w:hAnsi="仿宋" w:eastAsia="仿宋"/>
          <w:sz w:val="32"/>
          <w:szCs w:val="32"/>
          <w:lang w:eastAsia="zh-CN"/>
        </w:rPr>
        <w:t>非居用水和特种行业用水实行超定额累进加价政策，超定额水量按照小于</w:t>
      </w:r>
      <w:r>
        <w:rPr>
          <w:rFonts w:hint="eastAsia" w:ascii="仿宋" w:hAnsi="仿宋" w:eastAsia="仿宋"/>
          <w:sz w:val="32"/>
          <w:szCs w:val="32"/>
          <w:lang w:val="en-US" w:eastAsia="zh-CN"/>
        </w:rPr>
        <w:t>20%（含20%）、20%-40%（含40%）、40%以上三个档次，分别按上表中的1.5倍、2倍、3倍征收。</w:t>
      </w:r>
    </w:p>
    <w:p>
      <w:pPr>
        <w:autoSpaceDE w:val="0"/>
        <w:autoSpaceDN w:val="0"/>
        <w:adjustRightInd w:val="0"/>
        <w:spacing w:line="560" w:lineRule="exact"/>
        <w:ind w:firstLine="640" w:firstLineChars="200"/>
        <w:rPr>
          <w:rFonts w:ascii="仿宋" w:hAnsi="仿宋" w:eastAsia="仿宋"/>
          <w:sz w:val="32"/>
          <w:szCs w:val="32"/>
        </w:rPr>
      </w:pPr>
      <w:r>
        <w:rPr>
          <w:rFonts w:hint="eastAsia" w:ascii="仿宋" w:hAnsi="仿宋" w:eastAsia="仿宋"/>
          <w:sz w:val="32"/>
          <w:szCs w:val="32"/>
        </w:rPr>
        <w:t>方案二：</w:t>
      </w:r>
    </w:p>
    <w:p>
      <w:pPr>
        <w:autoSpaceDE w:val="0"/>
        <w:autoSpaceDN w:val="0"/>
        <w:adjustRightInd w:val="0"/>
        <w:spacing w:line="560" w:lineRule="exact"/>
        <w:ind w:firstLine="2880" w:firstLineChars="900"/>
        <w:rPr>
          <w:rFonts w:ascii="仿宋" w:hAnsi="仿宋" w:eastAsia="仿宋"/>
          <w:sz w:val="32"/>
          <w:szCs w:val="32"/>
        </w:rPr>
      </w:pPr>
      <w:r>
        <w:rPr>
          <w:rFonts w:hint="eastAsia" w:eastAsia="仿宋"/>
          <w:bCs/>
          <w:sz w:val="32"/>
          <w:szCs w:val="32"/>
        </w:rPr>
        <w:t>抚宁区城区自来水价格一览表</w:t>
      </w:r>
    </w:p>
    <w:tbl>
      <w:tblPr>
        <w:tblStyle w:val="2"/>
        <w:tblW w:w="5004" w:type="pct"/>
        <w:tblInd w:w="-5" w:type="dxa"/>
        <w:tblLayout w:type="fixed"/>
        <w:tblCellMar>
          <w:top w:w="0" w:type="dxa"/>
          <w:left w:w="108" w:type="dxa"/>
          <w:bottom w:w="0" w:type="dxa"/>
          <w:right w:w="108" w:type="dxa"/>
        </w:tblCellMar>
      </w:tblPr>
      <w:tblGrid>
        <w:gridCol w:w="836"/>
        <w:gridCol w:w="1217"/>
        <w:gridCol w:w="1056"/>
        <w:gridCol w:w="1240"/>
        <w:gridCol w:w="760"/>
        <w:gridCol w:w="1000"/>
        <w:gridCol w:w="1880"/>
        <w:gridCol w:w="1080"/>
      </w:tblGrid>
      <w:tr>
        <w:tblPrEx>
          <w:tblCellMar>
            <w:top w:w="0" w:type="dxa"/>
            <w:left w:w="108" w:type="dxa"/>
            <w:bottom w:w="0" w:type="dxa"/>
            <w:right w:w="108" w:type="dxa"/>
          </w:tblCellMar>
        </w:tblPrEx>
        <w:trPr>
          <w:trHeight w:val="390" w:hRule="atLeast"/>
        </w:trPr>
        <w:tc>
          <w:tcPr>
            <w:tcW w:w="1131" w:type="pct"/>
            <w:gridSpan w:val="2"/>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类别</w:t>
            </w:r>
          </w:p>
        </w:tc>
        <w:tc>
          <w:tcPr>
            <w:tcW w:w="1684" w:type="pct"/>
            <w:gridSpan w:val="3"/>
            <w:tcBorders>
              <w:top w:val="single" w:color="auto" w:sz="4" w:space="0"/>
              <w:left w:val="nil"/>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居民用水</w:t>
            </w:r>
          </w:p>
        </w:tc>
        <w:tc>
          <w:tcPr>
            <w:tcW w:w="1587" w:type="pct"/>
            <w:gridSpan w:val="2"/>
            <w:tcBorders>
              <w:top w:val="single" w:color="auto" w:sz="4" w:space="0"/>
              <w:left w:val="nil"/>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非居用水</w:t>
            </w:r>
          </w:p>
        </w:tc>
        <w:tc>
          <w:tcPr>
            <w:tcW w:w="595" w:type="pct"/>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特种行业用水</w:t>
            </w:r>
          </w:p>
        </w:tc>
      </w:tr>
      <w:tr>
        <w:tblPrEx>
          <w:tblCellMar>
            <w:top w:w="0" w:type="dxa"/>
            <w:left w:w="108" w:type="dxa"/>
            <w:bottom w:w="0" w:type="dxa"/>
            <w:right w:w="108" w:type="dxa"/>
          </w:tblCellMar>
        </w:tblPrEx>
        <w:trPr>
          <w:trHeight w:val="1060" w:hRule="atLeast"/>
        </w:trPr>
        <w:tc>
          <w:tcPr>
            <w:tcW w:w="1131" w:type="pct"/>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560" w:lineRule="exact"/>
              <w:jc w:val="center"/>
              <w:rPr>
                <w:rFonts w:ascii="仿宋" w:hAnsi="仿宋" w:eastAsia="仿宋" w:cs="仿宋"/>
                <w:color w:val="000000"/>
                <w:kern w:val="0"/>
                <w:sz w:val="24"/>
              </w:rPr>
            </w:pPr>
          </w:p>
        </w:tc>
        <w:tc>
          <w:tcPr>
            <w:tcW w:w="582" w:type="pct"/>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普通居民用户</w:t>
            </w:r>
          </w:p>
        </w:tc>
        <w:tc>
          <w:tcPr>
            <w:tcW w:w="683" w:type="pct"/>
            <w:tcBorders>
              <w:top w:val="nil"/>
              <w:left w:val="nil"/>
              <w:bottom w:val="single" w:color="auto" w:sz="4" w:space="0"/>
              <w:right w:val="single" w:color="auto" w:sz="4" w:space="0"/>
            </w:tcBorders>
            <w:shd w:val="clear" w:color="auto" w:fill="auto"/>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低保户及特困人员</w:t>
            </w:r>
          </w:p>
        </w:tc>
        <w:tc>
          <w:tcPr>
            <w:tcW w:w="419" w:type="pct"/>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b/>
                <w:color w:val="000000"/>
                <w:kern w:val="0"/>
                <w:sz w:val="24"/>
              </w:rPr>
            </w:pPr>
            <w:r>
              <w:rPr>
                <w:rFonts w:hint="eastAsia" w:ascii="仿宋" w:hAnsi="仿宋" w:eastAsia="仿宋" w:cs="仿宋"/>
                <w:color w:val="000000"/>
                <w:kern w:val="0"/>
                <w:sz w:val="24"/>
              </w:rPr>
              <w:t>合表用户</w:t>
            </w:r>
          </w:p>
        </w:tc>
        <w:tc>
          <w:tcPr>
            <w:tcW w:w="551" w:type="pct"/>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普通非居用户</w:t>
            </w:r>
          </w:p>
        </w:tc>
        <w:tc>
          <w:tcPr>
            <w:tcW w:w="1036" w:type="pct"/>
            <w:tcBorders>
              <w:top w:val="nil"/>
              <w:left w:val="nil"/>
              <w:bottom w:val="single" w:color="auto" w:sz="4" w:space="0"/>
              <w:right w:val="single" w:color="auto" w:sz="4" w:space="0"/>
            </w:tcBorders>
            <w:shd w:val="clear" w:color="auto" w:fill="auto"/>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执行居民水价的非居民用户</w:t>
            </w:r>
          </w:p>
        </w:tc>
        <w:tc>
          <w:tcPr>
            <w:tcW w:w="595" w:type="pct"/>
            <w:vMerge w:val="continue"/>
            <w:tcBorders>
              <w:top w:val="single" w:color="auto" w:sz="4" w:space="0"/>
              <w:left w:val="single" w:color="auto" w:sz="4" w:space="0"/>
              <w:bottom w:val="single" w:color="auto" w:sz="4" w:space="0"/>
              <w:right w:val="single" w:color="auto" w:sz="4" w:space="0"/>
            </w:tcBorders>
            <w:vAlign w:val="center"/>
          </w:tcPr>
          <w:p>
            <w:pPr>
              <w:widowControl/>
              <w:spacing w:line="560" w:lineRule="exact"/>
              <w:jc w:val="center"/>
              <w:rPr>
                <w:rFonts w:ascii="仿宋" w:hAnsi="仿宋" w:eastAsia="仿宋" w:cs="仿宋"/>
                <w:color w:val="000000"/>
                <w:kern w:val="0"/>
                <w:sz w:val="24"/>
              </w:rPr>
            </w:pPr>
          </w:p>
        </w:tc>
      </w:tr>
      <w:tr>
        <w:tblPrEx>
          <w:tblCellMar>
            <w:top w:w="0" w:type="dxa"/>
            <w:left w:w="108" w:type="dxa"/>
            <w:bottom w:w="0" w:type="dxa"/>
            <w:right w:w="108" w:type="dxa"/>
          </w:tblCellMar>
        </w:tblPrEx>
        <w:trPr>
          <w:trHeight w:val="402" w:hRule="atLeast"/>
        </w:trPr>
        <w:tc>
          <w:tcPr>
            <w:tcW w:w="1131" w:type="pct"/>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基本水价</w:t>
            </w:r>
          </w:p>
        </w:tc>
        <w:tc>
          <w:tcPr>
            <w:tcW w:w="582" w:type="pct"/>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3.61</w:t>
            </w:r>
          </w:p>
        </w:tc>
        <w:tc>
          <w:tcPr>
            <w:tcW w:w="683" w:type="pct"/>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1.50</w:t>
            </w:r>
          </w:p>
        </w:tc>
        <w:tc>
          <w:tcPr>
            <w:tcW w:w="419" w:type="pct"/>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b/>
                <w:color w:val="000000"/>
                <w:kern w:val="0"/>
                <w:sz w:val="24"/>
              </w:rPr>
            </w:pPr>
            <w:r>
              <w:rPr>
                <w:rFonts w:hint="eastAsia" w:ascii="仿宋" w:hAnsi="仿宋" w:eastAsia="仿宋" w:cs="仿宋"/>
                <w:color w:val="000000"/>
                <w:kern w:val="0"/>
                <w:sz w:val="24"/>
              </w:rPr>
              <w:t>3.61</w:t>
            </w:r>
          </w:p>
        </w:tc>
        <w:tc>
          <w:tcPr>
            <w:tcW w:w="551" w:type="pct"/>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5.42</w:t>
            </w:r>
          </w:p>
        </w:tc>
        <w:tc>
          <w:tcPr>
            <w:tcW w:w="1036" w:type="pct"/>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3.97</w:t>
            </w:r>
          </w:p>
        </w:tc>
        <w:tc>
          <w:tcPr>
            <w:tcW w:w="595" w:type="pct"/>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27.10</w:t>
            </w:r>
          </w:p>
        </w:tc>
      </w:tr>
      <w:tr>
        <w:tblPrEx>
          <w:tblCellMar>
            <w:top w:w="0" w:type="dxa"/>
            <w:left w:w="108" w:type="dxa"/>
            <w:bottom w:w="0" w:type="dxa"/>
            <w:right w:w="108" w:type="dxa"/>
          </w:tblCellMar>
        </w:tblPrEx>
        <w:trPr>
          <w:trHeight w:val="540" w:hRule="atLeast"/>
        </w:trPr>
        <w:tc>
          <w:tcPr>
            <w:tcW w:w="1131" w:type="pct"/>
            <w:gridSpan w:val="2"/>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污水处理费</w:t>
            </w:r>
          </w:p>
        </w:tc>
        <w:tc>
          <w:tcPr>
            <w:tcW w:w="582" w:type="pct"/>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1.00</w:t>
            </w:r>
          </w:p>
        </w:tc>
        <w:tc>
          <w:tcPr>
            <w:tcW w:w="683" w:type="pct"/>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免收</w:t>
            </w:r>
          </w:p>
        </w:tc>
        <w:tc>
          <w:tcPr>
            <w:tcW w:w="419" w:type="pct"/>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b/>
                <w:color w:val="000000"/>
                <w:kern w:val="0"/>
                <w:sz w:val="24"/>
              </w:rPr>
            </w:pPr>
            <w:r>
              <w:rPr>
                <w:rFonts w:hint="eastAsia" w:ascii="仿宋" w:hAnsi="仿宋" w:eastAsia="仿宋" w:cs="仿宋"/>
                <w:color w:val="000000"/>
                <w:kern w:val="0"/>
                <w:sz w:val="24"/>
              </w:rPr>
              <w:t>1.00</w:t>
            </w:r>
          </w:p>
        </w:tc>
        <w:tc>
          <w:tcPr>
            <w:tcW w:w="551" w:type="pct"/>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1.45</w:t>
            </w:r>
          </w:p>
        </w:tc>
        <w:tc>
          <w:tcPr>
            <w:tcW w:w="1036" w:type="pct"/>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hint="default" w:ascii="仿宋" w:hAnsi="仿宋" w:eastAsia="仿宋" w:cs="仿宋"/>
                <w:color w:val="000000"/>
                <w:kern w:val="0"/>
                <w:sz w:val="24"/>
                <w:lang w:val="en-US" w:eastAsia="zh-CN"/>
              </w:rPr>
            </w:pPr>
            <w:r>
              <w:rPr>
                <w:rFonts w:hint="eastAsia" w:ascii="仿宋" w:hAnsi="仿宋" w:eastAsia="仿宋" w:cs="仿宋"/>
                <w:color w:val="000000"/>
                <w:kern w:val="0"/>
                <w:sz w:val="24"/>
              </w:rPr>
              <w:t>1.</w:t>
            </w:r>
            <w:r>
              <w:rPr>
                <w:rFonts w:hint="eastAsia" w:ascii="仿宋" w:hAnsi="仿宋" w:eastAsia="仿宋" w:cs="仿宋"/>
                <w:color w:val="000000"/>
                <w:kern w:val="0"/>
                <w:sz w:val="24"/>
                <w:lang w:val="en-US" w:eastAsia="zh-CN"/>
              </w:rPr>
              <w:t>45</w:t>
            </w:r>
          </w:p>
        </w:tc>
        <w:tc>
          <w:tcPr>
            <w:tcW w:w="595" w:type="pct"/>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5.00</w:t>
            </w:r>
          </w:p>
        </w:tc>
      </w:tr>
      <w:tr>
        <w:tblPrEx>
          <w:tblCellMar>
            <w:top w:w="0" w:type="dxa"/>
            <w:left w:w="108" w:type="dxa"/>
            <w:bottom w:w="0" w:type="dxa"/>
            <w:right w:w="108" w:type="dxa"/>
          </w:tblCellMar>
        </w:tblPrEx>
        <w:trPr>
          <w:trHeight w:val="550" w:hRule="atLeast"/>
        </w:trPr>
        <w:tc>
          <w:tcPr>
            <w:tcW w:w="460" w:type="pct"/>
            <w:vMerge w:val="restart"/>
            <w:tcBorders>
              <w:top w:val="nil"/>
              <w:left w:val="single" w:color="auto" w:sz="4" w:space="0"/>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综合水价</w:t>
            </w:r>
          </w:p>
        </w:tc>
        <w:tc>
          <w:tcPr>
            <w:tcW w:w="670" w:type="pct"/>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第一阶梯</w:t>
            </w:r>
          </w:p>
        </w:tc>
        <w:tc>
          <w:tcPr>
            <w:tcW w:w="582" w:type="pct"/>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4.61</w:t>
            </w:r>
          </w:p>
        </w:tc>
        <w:tc>
          <w:tcPr>
            <w:tcW w:w="683" w:type="pct"/>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1.50</w:t>
            </w:r>
          </w:p>
        </w:tc>
        <w:tc>
          <w:tcPr>
            <w:tcW w:w="419" w:type="pct"/>
            <w:vMerge w:val="restart"/>
            <w:tcBorders>
              <w:top w:val="nil"/>
              <w:left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b/>
                <w:color w:val="000000"/>
                <w:kern w:val="0"/>
                <w:sz w:val="24"/>
              </w:rPr>
            </w:pPr>
            <w:r>
              <w:rPr>
                <w:rFonts w:hint="eastAsia" w:ascii="仿宋" w:hAnsi="仿宋" w:eastAsia="仿宋" w:cs="仿宋"/>
                <w:color w:val="000000"/>
                <w:kern w:val="0"/>
                <w:sz w:val="24"/>
              </w:rPr>
              <w:t>4.61</w:t>
            </w:r>
          </w:p>
        </w:tc>
        <w:tc>
          <w:tcPr>
            <w:tcW w:w="551" w:type="pct"/>
            <w:tcBorders>
              <w:top w:val="nil"/>
              <w:left w:val="single" w:color="auto" w:sz="4" w:space="0"/>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6.87</w:t>
            </w:r>
          </w:p>
        </w:tc>
        <w:tc>
          <w:tcPr>
            <w:tcW w:w="1036" w:type="pct"/>
            <w:tcBorders>
              <w:top w:val="nil"/>
              <w:left w:val="single" w:color="auto" w:sz="4" w:space="0"/>
              <w:bottom w:val="single" w:color="auto" w:sz="4" w:space="0"/>
              <w:right w:val="single" w:color="auto" w:sz="4" w:space="0"/>
            </w:tcBorders>
            <w:shd w:val="clear" w:color="auto" w:fill="auto"/>
            <w:noWrap/>
            <w:vAlign w:val="center"/>
          </w:tcPr>
          <w:p>
            <w:pPr>
              <w:widowControl/>
              <w:spacing w:line="560" w:lineRule="exact"/>
              <w:jc w:val="center"/>
              <w:rPr>
                <w:rFonts w:hint="default" w:ascii="仿宋" w:hAnsi="仿宋" w:eastAsia="仿宋" w:cs="仿宋"/>
                <w:color w:val="000000"/>
                <w:kern w:val="0"/>
                <w:sz w:val="24"/>
                <w:lang w:val="en-US" w:eastAsia="zh-CN"/>
              </w:rPr>
            </w:pPr>
            <w:r>
              <w:rPr>
                <w:rFonts w:hint="eastAsia" w:ascii="仿宋" w:hAnsi="仿宋" w:eastAsia="仿宋" w:cs="仿宋"/>
                <w:color w:val="000000"/>
                <w:kern w:val="0"/>
                <w:sz w:val="24"/>
                <w:lang w:val="en-US" w:eastAsia="zh-CN"/>
              </w:rPr>
              <w:t>5.42</w:t>
            </w:r>
          </w:p>
        </w:tc>
        <w:tc>
          <w:tcPr>
            <w:tcW w:w="595" w:type="pct"/>
            <w:tcBorders>
              <w:top w:val="nil"/>
              <w:left w:val="single" w:color="auto" w:sz="4" w:space="0"/>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32.10</w:t>
            </w:r>
          </w:p>
        </w:tc>
      </w:tr>
      <w:tr>
        <w:tblPrEx>
          <w:tblCellMar>
            <w:top w:w="0" w:type="dxa"/>
            <w:left w:w="108" w:type="dxa"/>
            <w:bottom w:w="0" w:type="dxa"/>
            <w:right w:w="108" w:type="dxa"/>
          </w:tblCellMar>
        </w:tblPrEx>
        <w:trPr>
          <w:trHeight w:val="402" w:hRule="atLeast"/>
        </w:trPr>
        <w:tc>
          <w:tcPr>
            <w:tcW w:w="460" w:type="pct"/>
            <w:vMerge w:val="continue"/>
            <w:tcBorders>
              <w:top w:val="nil"/>
              <w:left w:val="single" w:color="auto" w:sz="4" w:space="0"/>
              <w:bottom w:val="single" w:color="auto" w:sz="4" w:space="0"/>
              <w:right w:val="single" w:color="auto" w:sz="4" w:space="0"/>
            </w:tcBorders>
            <w:vAlign w:val="center"/>
          </w:tcPr>
          <w:p>
            <w:pPr>
              <w:widowControl/>
              <w:spacing w:line="560" w:lineRule="exact"/>
              <w:jc w:val="center"/>
              <w:rPr>
                <w:rFonts w:ascii="仿宋" w:hAnsi="仿宋" w:eastAsia="仿宋" w:cs="仿宋"/>
                <w:color w:val="000000"/>
                <w:kern w:val="0"/>
                <w:sz w:val="24"/>
              </w:rPr>
            </w:pPr>
          </w:p>
        </w:tc>
        <w:tc>
          <w:tcPr>
            <w:tcW w:w="670" w:type="pct"/>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第二阶梯</w:t>
            </w:r>
          </w:p>
        </w:tc>
        <w:tc>
          <w:tcPr>
            <w:tcW w:w="582" w:type="pct"/>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6.42</w:t>
            </w:r>
          </w:p>
        </w:tc>
        <w:tc>
          <w:tcPr>
            <w:tcW w:w="683" w:type="pct"/>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6.42</w:t>
            </w:r>
          </w:p>
        </w:tc>
        <w:tc>
          <w:tcPr>
            <w:tcW w:w="419" w:type="pct"/>
            <w:vMerge w:val="continue"/>
            <w:tcBorders>
              <w:left w:val="single" w:color="auto" w:sz="4" w:space="0"/>
              <w:right w:val="single" w:color="auto" w:sz="4" w:space="0"/>
            </w:tcBorders>
            <w:vAlign w:val="center"/>
          </w:tcPr>
          <w:p>
            <w:pPr>
              <w:widowControl/>
              <w:spacing w:line="560" w:lineRule="exact"/>
              <w:jc w:val="center"/>
              <w:rPr>
                <w:rFonts w:ascii="仿宋" w:hAnsi="仿宋" w:eastAsia="仿宋" w:cs="仿宋"/>
                <w:color w:val="000000"/>
                <w:kern w:val="0"/>
                <w:sz w:val="24"/>
              </w:rPr>
            </w:pPr>
          </w:p>
        </w:tc>
        <w:tc>
          <w:tcPr>
            <w:tcW w:w="2183" w:type="pct"/>
            <w:gridSpan w:val="3"/>
            <w:vMerge w:val="restart"/>
            <w:tcBorders>
              <w:top w:val="single" w:color="auto" w:sz="4" w:space="0"/>
              <w:left w:val="single" w:color="auto" w:sz="4" w:space="0"/>
              <w:right w:val="single" w:color="auto" w:sz="4" w:space="0"/>
            </w:tcBorders>
            <w:vAlign w:val="center"/>
          </w:tcPr>
          <w:p>
            <w:pPr>
              <w:widowControl/>
              <w:tabs>
                <w:tab w:val="left" w:pos="852"/>
              </w:tabs>
              <w:spacing w:line="560" w:lineRule="exact"/>
              <w:ind w:firstLine="480" w:firstLineChars="200"/>
              <w:jc w:val="left"/>
              <w:rPr>
                <w:rFonts w:hint="eastAsia" w:ascii="仿宋" w:hAnsi="仿宋" w:eastAsia="仿宋" w:cs="仿宋"/>
                <w:color w:val="000000"/>
                <w:kern w:val="0"/>
                <w:sz w:val="24"/>
                <w:lang w:eastAsia="zh-CN"/>
              </w:rPr>
            </w:pPr>
            <w:r>
              <w:rPr>
                <w:rFonts w:hint="eastAsia" w:ascii="仿宋" w:hAnsi="仿宋" w:eastAsia="仿宋" w:cs="仿宋"/>
                <w:color w:val="000000"/>
                <w:kern w:val="0"/>
                <w:sz w:val="24"/>
                <w:lang w:eastAsia="zh-CN"/>
              </w:rPr>
              <w:t>非居民用水和特种行业用水实行超定额累进加价制度</w:t>
            </w:r>
          </w:p>
        </w:tc>
      </w:tr>
      <w:tr>
        <w:tblPrEx>
          <w:tblCellMar>
            <w:top w:w="0" w:type="dxa"/>
            <w:left w:w="108" w:type="dxa"/>
            <w:bottom w:w="0" w:type="dxa"/>
            <w:right w:w="108" w:type="dxa"/>
          </w:tblCellMar>
        </w:tblPrEx>
        <w:trPr>
          <w:trHeight w:val="90" w:hRule="atLeast"/>
        </w:trPr>
        <w:tc>
          <w:tcPr>
            <w:tcW w:w="460" w:type="pct"/>
            <w:vMerge w:val="continue"/>
            <w:tcBorders>
              <w:top w:val="nil"/>
              <w:left w:val="single" w:color="auto" w:sz="4" w:space="0"/>
              <w:bottom w:val="single" w:color="auto" w:sz="4" w:space="0"/>
              <w:right w:val="single" w:color="auto" w:sz="4" w:space="0"/>
            </w:tcBorders>
            <w:vAlign w:val="center"/>
          </w:tcPr>
          <w:p>
            <w:pPr>
              <w:widowControl/>
              <w:spacing w:line="560" w:lineRule="exact"/>
              <w:jc w:val="center"/>
              <w:rPr>
                <w:rFonts w:ascii="仿宋" w:hAnsi="仿宋" w:eastAsia="仿宋" w:cs="仿宋"/>
                <w:color w:val="000000"/>
                <w:kern w:val="0"/>
                <w:sz w:val="24"/>
              </w:rPr>
            </w:pPr>
          </w:p>
        </w:tc>
        <w:tc>
          <w:tcPr>
            <w:tcW w:w="670" w:type="pct"/>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第三阶梯</w:t>
            </w:r>
          </w:p>
        </w:tc>
        <w:tc>
          <w:tcPr>
            <w:tcW w:w="582" w:type="pct"/>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11.83</w:t>
            </w:r>
          </w:p>
        </w:tc>
        <w:tc>
          <w:tcPr>
            <w:tcW w:w="683" w:type="pct"/>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仿宋" w:hAnsi="仿宋" w:eastAsia="仿宋" w:cs="仿宋"/>
                <w:color w:val="000000"/>
                <w:kern w:val="0"/>
                <w:sz w:val="24"/>
              </w:rPr>
            </w:pPr>
            <w:r>
              <w:rPr>
                <w:rFonts w:hint="eastAsia" w:ascii="仿宋" w:hAnsi="仿宋" w:eastAsia="仿宋" w:cs="仿宋"/>
                <w:color w:val="000000"/>
                <w:kern w:val="0"/>
                <w:sz w:val="24"/>
              </w:rPr>
              <w:t>11.83</w:t>
            </w:r>
          </w:p>
        </w:tc>
        <w:tc>
          <w:tcPr>
            <w:tcW w:w="419" w:type="pct"/>
            <w:vMerge w:val="continue"/>
            <w:tcBorders>
              <w:left w:val="single" w:color="auto" w:sz="4" w:space="0"/>
              <w:bottom w:val="single" w:color="000000" w:sz="4" w:space="0"/>
              <w:right w:val="single" w:color="auto" w:sz="4" w:space="0"/>
            </w:tcBorders>
            <w:vAlign w:val="center"/>
          </w:tcPr>
          <w:p>
            <w:pPr>
              <w:widowControl/>
              <w:spacing w:line="560" w:lineRule="exact"/>
              <w:jc w:val="center"/>
              <w:rPr>
                <w:rFonts w:ascii="仿宋" w:hAnsi="仿宋" w:eastAsia="仿宋" w:cs="仿宋"/>
                <w:color w:val="000000"/>
                <w:kern w:val="0"/>
                <w:sz w:val="24"/>
              </w:rPr>
            </w:pPr>
          </w:p>
        </w:tc>
        <w:tc>
          <w:tcPr>
            <w:tcW w:w="2183" w:type="pct"/>
            <w:gridSpan w:val="3"/>
            <w:vMerge w:val="continue"/>
            <w:tcBorders>
              <w:left w:val="single" w:color="auto" w:sz="4" w:space="0"/>
              <w:bottom w:val="single" w:color="auto" w:sz="4" w:space="0"/>
              <w:right w:val="single" w:color="auto" w:sz="4" w:space="0"/>
            </w:tcBorders>
            <w:vAlign w:val="center"/>
          </w:tcPr>
          <w:p>
            <w:pPr>
              <w:widowControl/>
              <w:spacing w:line="560" w:lineRule="exact"/>
              <w:jc w:val="center"/>
              <w:rPr>
                <w:rFonts w:ascii="仿宋" w:hAnsi="仿宋" w:eastAsia="仿宋" w:cs="仿宋"/>
                <w:color w:val="000000"/>
                <w:kern w:val="0"/>
                <w:sz w:val="24"/>
              </w:rPr>
            </w:pPr>
          </w:p>
        </w:tc>
      </w:tr>
    </w:tbl>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rPr>
        <w:t>按照居民生活用水、非居民生活用水、特殊行业用水基本水价比例为1：1.5：7.5，用水量比例为65%：34%：1%。其他条件不变。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rPr>
        <w:t>对民政部门确定的低保户继续实行优惠政策，第一阶梯1.5元/立方米。</w:t>
      </w:r>
    </w:p>
    <w:p>
      <w:pPr>
        <w:ind w:firstLine="640" w:firstLineChars="200"/>
        <w:rPr>
          <w:rFonts w:hint="eastAsia" w:ascii="仿宋" w:hAnsi="仿宋" w:eastAsia="仿宋" w:cs="仿宋"/>
          <w:sz w:val="32"/>
          <w:szCs w:val="32"/>
        </w:rPr>
      </w:pPr>
      <w:r>
        <w:rPr>
          <w:rFonts w:hint="eastAsia" w:ascii="黑体" w:hAnsi="黑体" w:eastAsia="黑体" w:cs="仿宋"/>
          <w:sz w:val="32"/>
          <w:szCs w:val="32"/>
        </w:rPr>
        <w:t xml:space="preserve">六、与市内其他县区相比较情况 </w:t>
      </w:r>
    </w:p>
    <w:p>
      <w:pPr>
        <w:ind w:firstLine="5440" w:firstLineChars="1700"/>
        <w:rPr>
          <w:rFonts w:ascii="仿宋" w:hAnsi="仿宋" w:eastAsia="仿宋" w:cs="仿宋"/>
          <w:sz w:val="32"/>
          <w:szCs w:val="32"/>
        </w:rPr>
      </w:pPr>
      <w:r>
        <w:rPr>
          <w:rFonts w:hint="eastAsia" w:ascii="仿宋" w:hAnsi="仿宋" w:eastAsia="仿宋" w:cs="仿宋"/>
          <w:sz w:val="32"/>
          <w:szCs w:val="32"/>
        </w:rPr>
        <w:t xml:space="preserve">单位：元/立方米 </w:t>
      </w:r>
    </w:p>
    <w:tbl>
      <w:tblPr>
        <w:tblStyle w:val="3"/>
        <w:tblW w:w="491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3"/>
        <w:gridCol w:w="1691"/>
        <w:gridCol w:w="1040"/>
        <w:gridCol w:w="987"/>
        <w:gridCol w:w="1833"/>
        <w:gridCol w:w="906"/>
        <w:gridCol w:w="906"/>
        <w:gridCol w:w="8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1" w:type="pct"/>
          </w:tcPr>
          <w:p>
            <w:pPr>
              <w:autoSpaceDE w:val="0"/>
              <w:autoSpaceDN w:val="0"/>
              <w:adjustRightInd w:val="0"/>
              <w:spacing w:line="560" w:lineRule="exact"/>
              <w:jc w:val="center"/>
              <w:rPr>
                <w:rFonts w:ascii="仿宋" w:hAnsi="仿宋" w:eastAsia="仿宋"/>
                <w:bCs/>
                <w:sz w:val="24"/>
              </w:rPr>
            </w:pPr>
            <w:r>
              <w:rPr>
                <w:rFonts w:hint="eastAsia" w:ascii="仿宋" w:hAnsi="仿宋" w:eastAsia="仿宋"/>
                <w:bCs/>
                <w:sz w:val="24"/>
              </w:rPr>
              <w:t>序号</w:t>
            </w:r>
          </w:p>
        </w:tc>
        <w:tc>
          <w:tcPr>
            <w:tcW w:w="950" w:type="pct"/>
          </w:tcPr>
          <w:p>
            <w:pPr>
              <w:autoSpaceDE w:val="0"/>
              <w:autoSpaceDN w:val="0"/>
              <w:adjustRightInd w:val="0"/>
              <w:spacing w:line="560" w:lineRule="exact"/>
              <w:jc w:val="center"/>
              <w:rPr>
                <w:rFonts w:ascii="仿宋" w:hAnsi="仿宋" w:eastAsia="仿宋"/>
                <w:bCs/>
                <w:sz w:val="24"/>
              </w:rPr>
            </w:pPr>
            <w:r>
              <w:rPr>
                <w:rFonts w:hint="eastAsia" w:ascii="仿宋" w:hAnsi="仿宋" w:eastAsia="仿宋"/>
                <w:bCs/>
                <w:sz w:val="24"/>
              </w:rPr>
              <w:t>类别</w:t>
            </w:r>
          </w:p>
        </w:tc>
        <w:tc>
          <w:tcPr>
            <w:tcW w:w="584" w:type="pct"/>
          </w:tcPr>
          <w:p>
            <w:pPr>
              <w:autoSpaceDE w:val="0"/>
              <w:autoSpaceDN w:val="0"/>
              <w:adjustRightInd w:val="0"/>
              <w:spacing w:line="560" w:lineRule="exact"/>
              <w:jc w:val="center"/>
              <w:rPr>
                <w:rFonts w:hint="eastAsia" w:ascii="仿宋" w:hAnsi="仿宋" w:eastAsia="仿宋"/>
                <w:bCs/>
                <w:sz w:val="24"/>
              </w:rPr>
            </w:pPr>
            <w:r>
              <w:rPr>
                <w:rFonts w:hint="eastAsia" w:ascii="仿宋" w:hAnsi="仿宋" w:eastAsia="仿宋"/>
                <w:bCs/>
                <w:sz w:val="24"/>
              </w:rPr>
              <w:t>抚宁区方案一</w:t>
            </w:r>
          </w:p>
        </w:tc>
        <w:tc>
          <w:tcPr>
            <w:tcW w:w="554" w:type="pct"/>
          </w:tcPr>
          <w:p>
            <w:pPr>
              <w:autoSpaceDE w:val="0"/>
              <w:autoSpaceDN w:val="0"/>
              <w:adjustRightInd w:val="0"/>
              <w:spacing w:line="560" w:lineRule="exact"/>
              <w:jc w:val="center"/>
              <w:rPr>
                <w:rFonts w:hint="eastAsia" w:ascii="仿宋" w:hAnsi="仿宋" w:eastAsia="仿宋"/>
                <w:bCs/>
                <w:sz w:val="24"/>
              </w:rPr>
            </w:pPr>
            <w:r>
              <w:rPr>
                <w:rFonts w:hint="eastAsia" w:ascii="仿宋" w:hAnsi="仿宋" w:eastAsia="仿宋"/>
                <w:bCs/>
                <w:sz w:val="24"/>
              </w:rPr>
              <w:t>抚宁区方案二</w:t>
            </w:r>
          </w:p>
        </w:tc>
        <w:tc>
          <w:tcPr>
            <w:tcW w:w="1030" w:type="pct"/>
          </w:tcPr>
          <w:p>
            <w:pPr>
              <w:autoSpaceDE w:val="0"/>
              <w:autoSpaceDN w:val="0"/>
              <w:adjustRightInd w:val="0"/>
              <w:spacing w:line="560" w:lineRule="exact"/>
              <w:jc w:val="center"/>
              <w:rPr>
                <w:rFonts w:ascii="仿宋" w:hAnsi="仿宋" w:eastAsia="仿宋"/>
                <w:bCs/>
                <w:sz w:val="24"/>
              </w:rPr>
            </w:pPr>
            <w:r>
              <w:rPr>
                <w:rFonts w:hint="eastAsia" w:ascii="仿宋" w:hAnsi="仿宋" w:eastAsia="仿宋"/>
                <w:bCs/>
                <w:sz w:val="24"/>
              </w:rPr>
              <w:t>海港区、北戴河区、山海关区</w:t>
            </w:r>
          </w:p>
        </w:tc>
        <w:tc>
          <w:tcPr>
            <w:tcW w:w="509" w:type="pct"/>
          </w:tcPr>
          <w:p>
            <w:pPr>
              <w:autoSpaceDE w:val="0"/>
              <w:autoSpaceDN w:val="0"/>
              <w:adjustRightInd w:val="0"/>
              <w:spacing w:line="560" w:lineRule="exact"/>
              <w:jc w:val="center"/>
              <w:rPr>
                <w:rFonts w:ascii="仿宋" w:hAnsi="仿宋" w:eastAsia="仿宋"/>
                <w:bCs/>
                <w:sz w:val="24"/>
              </w:rPr>
            </w:pPr>
            <w:r>
              <w:rPr>
                <w:rFonts w:hint="eastAsia" w:ascii="仿宋" w:hAnsi="仿宋" w:eastAsia="仿宋"/>
                <w:bCs/>
                <w:sz w:val="24"/>
              </w:rPr>
              <w:t>卢龙县</w:t>
            </w:r>
          </w:p>
        </w:tc>
        <w:tc>
          <w:tcPr>
            <w:tcW w:w="509" w:type="pct"/>
          </w:tcPr>
          <w:p>
            <w:pPr>
              <w:autoSpaceDE w:val="0"/>
              <w:autoSpaceDN w:val="0"/>
              <w:adjustRightInd w:val="0"/>
              <w:spacing w:line="560" w:lineRule="exact"/>
              <w:jc w:val="center"/>
              <w:rPr>
                <w:rFonts w:ascii="仿宋" w:hAnsi="仿宋" w:eastAsia="仿宋"/>
                <w:bCs/>
                <w:sz w:val="24"/>
              </w:rPr>
            </w:pPr>
            <w:r>
              <w:rPr>
                <w:rFonts w:hint="eastAsia" w:ascii="仿宋" w:hAnsi="仿宋" w:eastAsia="仿宋"/>
                <w:bCs/>
                <w:sz w:val="24"/>
              </w:rPr>
              <w:t>青龙县</w:t>
            </w:r>
          </w:p>
        </w:tc>
        <w:tc>
          <w:tcPr>
            <w:tcW w:w="501" w:type="pct"/>
          </w:tcPr>
          <w:p>
            <w:pPr>
              <w:autoSpaceDE w:val="0"/>
              <w:autoSpaceDN w:val="0"/>
              <w:adjustRightInd w:val="0"/>
              <w:spacing w:line="560" w:lineRule="exact"/>
              <w:jc w:val="center"/>
              <w:rPr>
                <w:rFonts w:ascii="仿宋" w:hAnsi="仿宋" w:eastAsia="仿宋"/>
                <w:bCs/>
                <w:sz w:val="24"/>
              </w:rPr>
            </w:pPr>
            <w:r>
              <w:rPr>
                <w:rFonts w:hint="eastAsia" w:ascii="仿宋" w:hAnsi="仿宋" w:eastAsia="仿宋"/>
                <w:bCs/>
                <w:sz w:val="24"/>
              </w:rPr>
              <w:t>昌黎县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1" w:type="pct"/>
          </w:tcPr>
          <w:p>
            <w:pPr>
              <w:autoSpaceDE w:val="0"/>
              <w:autoSpaceDN w:val="0"/>
              <w:adjustRightInd w:val="0"/>
              <w:spacing w:line="560" w:lineRule="exact"/>
              <w:jc w:val="center"/>
              <w:rPr>
                <w:rFonts w:ascii="仿宋" w:hAnsi="仿宋" w:eastAsia="仿宋"/>
                <w:bCs/>
                <w:sz w:val="24"/>
              </w:rPr>
            </w:pPr>
            <w:r>
              <w:rPr>
                <w:rFonts w:hint="eastAsia" w:ascii="仿宋" w:hAnsi="仿宋" w:eastAsia="仿宋"/>
                <w:bCs/>
                <w:sz w:val="24"/>
              </w:rPr>
              <w:t>1</w:t>
            </w:r>
          </w:p>
        </w:tc>
        <w:tc>
          <w:tcPr>
            <w:tcW w:w="950" w:type="pct"/>
          </w:tcPr>
          <w:p>
            <w:pPr>
              <w:autoSpaceDE w:val="0"/>
              <w:autoSpaceDN w:val="0"/>
              <w:adjustRightInd w:val="0"/>
              <w:spacing w:line="560" w:lineRule="exact"/>
              <w:jc w:val="center"/>
              <w:rPr>
                <w:rFonts w:ascii="仿宋" w:hAnsi="仿宋" w:eastAsia="仿宋"/>
                <w:bCs/>
                <w:sz w:val="24"/>
              </w:rPr>
            </w:pPr>
            <w:r>
              <w:rPr>
                <w:rFonts w:hint="eastAsia" w:ascii="仿宋" w:hAnsi="仿宋" w:eastAsia="仿宋"/>
                <w:bCs/>
                <w:sz w:val="24"/>
              </w:rPr>
              <w:t>居民生活用水</w:t>
            </w:r>
          </w:p>
        </w:tc>
        <w:tc>
          <w:tcPr>
            <w:tcW w:w="584" w:type="pct"/>
          </w:tcPr>
          <w:p>
            <w:pPr>
              <w:autoSpaceDE w:val="0"/>
              <w:autoSpaceDN w:val="0"/>
              <w:adjustRightInd w:val="0"/>
              <w:spacing w:line="560" w:lineRule="exact"/>
              <w:jc w:val="center"/>
              <w:rPr>
                <w:rFonts w:hint="eastAsia" w:ascii="仿宋" w:hAnsi="仿宋" w:eastAsia="仿宋"/>
                <w:bCs/>
                <w:sz w:val="24"/>
              </w:rPr>
            </w:pPr>
            <w:r>
              <w:rPr>
                <w:rFonts w:hint="eastAsia" w:ascii="仿宋" w:hAnsi="仿宋" w:eastAsia="仿宋"/>
                <w:bCs/>
                <w:sz w:val="24"/>
              </w:rPr>
              <w:t>4.40</w:t>
            </w:r>
          </w:p>
        </w:tc>
        <w:tc>
          <w:tcPr>
            <w:tcW w:w="554" w:type="pct"/>
          </w:tcPr>
          <w:p>
            <w:pPr>
              <w:autoSpaceDE w:val="0"/>
              <w:autoSpaceDN w:val="0"/>
              <w:adjustRightInd w:val="0"/>
              <w:spacing w:line="560" w:lineRule="exact"/>
              <w:jc w:val="center"/>
              <w:rPr>
                <w:rFonts w:hint="eastAsia" w:ascii="仿宋" w:hAnsi="仿宋" w:eastAsia="仿宋"/>
                <w:bCs/>
                <w:sz w:val="24"/>
              </w:rPr>
            </w:pPr>
            <w:r>
              <w:rPr>
                <w:rFonts w:hint="eastAsia" w:ascii="仿宋" w:hAnsi="仿宋" w:eastAsia="仿宋"/>
                <w:bCs/>
                <w:sz w:val="24"/>
              </w:rPr>
              <w:t>4.61</w:t>
            </w:r>
          </w:p>
        </w:tc>
        <w:tc>
          <w:tcPr>
            <w:tcW w:w="1030" w:type="pct"/>
          </w:tcPr>
          <w:p>
            <w:pPr>
              <w:autoSpaceDE w:val="0"/>
              <w:autoSpaceDN w:val="0"/>
              <w:adjustRightInd w:val="0"/>
              <w:spacing w:line="560" w:lineRule="exact"/>
              <w:jc w:val="center"/>
              <w:rPr>
                <w:rFonts w:ascii="仿宋" w:hAnsi="仿宋" w:eastAsia="仿宋"/>
                <w:bCs/>
                <w:sz w:val="24"/>
              </w:rPr>
            </w:pPr>
            <w:r>
              <w:rPr>
                <w:rFonts w:hint="eastAsia" w:ascii="仿宋" w:hAnsi="仿宋" w:eastAsia="仿宋"/>
                <w:bCs/>
                <w:sz w:val="24"/>
              </w:rPr>
              <w:t>4</w:t>
            </w:r>
            <w:r>
              <w:rPr>
                <w:rFonts w:ascii="仿宋" w:hAnsi="仿宋" w:eastAsia="仿宋"/>
                <w:bCs/>
                <w:sz w:val="24"/>
              </w:rPr>
              <w:t>.70</w:t>
            </w:r>
          </w:p>
        </w:tc>
        <w:tc>
          <w:tcPr>
            <w:tcW w:w="509" w:type="pct"/>
          </w:tcPr>
          <w:p>
            <w:pPr>
              <w:autoSpaceDE w:val="0"/>
              <w:autoSpaceDN w:val="0"/>
              <w:adjustRightInd w:val="0"/>
              <w:spacing w:line="560" w:lineRule="exact"/>
              <w:jc w:val="center"/>
              <w:rPr>
                <w:rFonts w:ascii="仿宋" w:hAnsi="仿宋" w:eastAsia="仿宋"/>
                <w:bCs/>
                <w:sz w:val="24"/>
              </w:rPr>
            </w:pPr>
            <w:r>
              <w:rPr>
                <w:rFonts w:hint="eastAsia" w:ascii="仿宋" w:hAnsi="仿宋" w:eastAsia="仿宋"/>
                <w:bCs/>
                <w:sz w:val="24"/>
              </w:rPr>
              <w:t>3</w:t>
            </w:r>
            <w:r>
              <w:rPr>
                <w:rFonts w:ascii="仿宋" w:hAnsi="仿宋" w:eastAsia="仿宋"/>
                <w:bCs/>
                <w:sz w:val="24"/>
              </w:rPr>
              <w:t>.65</w:t>
            </w:r>
          </w:p>
        </w:tc>
        <w:tc>
          <w:tcPr>
            <w:tcW w:w="509" w:type="pct"/>
          </w:tcPr>
          <w:p>
            <w:pPr>
              <w:autoSpaceDE w:val="0"/>
              <w:autoSpaceDN w:val="0"/>
              <w:adjustRightInd w:val="0"/>
              <w:spacing w:line="560" w:lineRule="exact"/>
              <w:jc w:val="center"/>
              <w:rPr>
                <w:rFonts w:ascii="仿宋" w:hAnsi="仿宋" w:eastAsia="仿宋"/>
                <w:bCs/>
                <w:sz w:val="24"/>
              </w:rPr>
            </w:pPr>
            <w:r>
              <w:rPr>
                <w:rFonts w:hint="eastAsia" w:ascii="仿宋" w:hAnsi="仿宋" w:eastAsia="仿宋"/>
                <w:bCs/>
                <w:sz w:val="24"/>
              </w:rPr>
              <w:t>3.7</w:t>
            </w:r>
            <w:r>
              <w:rPr>
                <w:rFonts w:ascii="仿宋" w:hAnsi="仿宋" w:eastAsia="仿宋"/>
                <w:bCs/>
                <w:sz w:val="24"/>
              </w:rPr>
              <w:t>0</w:t>
            </w:r>
          </w:p>
        </w:tc>
        <w:tc>
          <w:tcPr>
            <w:tcW w:w="501" w:type="pct"/>
          </w:tcPr>
          <w:p>
            <w:pPr>
              <w:autoSpaceDE w:val="0"/>
              <w:autoSpaceDN w:val="0"/>
              <w:adjustRightInd w:val="0"/>
              <w:spacing w:line="560" w:lineRule="exact"/>
              <w:jc w:val="center"/>
              <w:rPr>
                <w:rFonts w:ascii="仿宋" w:hAnsi="仿宋" w:eastAsia="仿宋"/>
                <w:bCs/>
                <w:sz w:val="24"/>
              </w:rPr>
            </w:pPr>
            <w:r>
              <w:rPr>
                <w:rFonts w:hint="eastAsia" w:ascii="仿宋" w:hAnsi="仿宋" w:eastAsia="仿宋"/>
                <w:bCs/>
                <w:sz w:val="24"/>
              </w:rPr>
              <w:t>3.45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1" w:type="pct"/>
          </w:tcPr>
          <w:p>
            <w:pPr>
              <w:autoSpaceDE w:val="0"/>
              <w:autoSpaceDN w:val="0"/>
              <w:adjustRightInd w:val="0"/>
              <w:spacing w:line="560" w:lineRule="exact"/>
              <w:jc w:val="center"/>
              <w:rPr>
                <w:rFonts w:ascii="仿宋" w:hAnsi="仿宋" w:eastAsia="仿宋"/>
                <w:bCs/>
                <w:sz w:val="24"/>
              </w:rPr>
            </w:pPr>
            <w:r>
              <w:rPr>
                <w:rFonts w:hint="eastAsia" w:ascii="仿宋" w:hAnsi="仿宋" w:eastAsia="仿宋"/>
                <w:bCs/>
                <w:sz w:val="24"/>
              </w:rPr>
              <w:t>2</w:t>
            </w:r>
          </w:p>
        </w:tc>
        <w:tc>
          <w:tcPr>
            <w:tcW w:w="950" w:type="pct"/>
          </w:tcPr>
          <w:p>
            <w:pPr>
              <w:autoSpaceDE w:val="0"/>
              <w:autoSpaceDN w:val="0"/>
              <w:adjustRightInd w:val="0"/>
              <w:spacing w:line="560" w:lineRule="exact"/>
              <w:jc w:val="center"/>
              <w:rPr>
                <w:rFonts w:ascii="仿宋" w:hAnsi="仿宋" w:eastAsia="仿宋"/>
                <w:bCs/>
                <w:sz w:val="24"/>
              </w:rPr>
            </w:pPr>
            <w:r>
              <w:rPr>
                <w:rFonts w:hint="eastAsia" w:ascii="仿宋" w:hAnsi="仿宋" w:eastAsia="仿宋"/>
                <w:bCs/>
                <w:sz w:val="24"/>
              </w:rPr>
              <w:t>非居用水</w:t>
            </w:r>
          </w:p>
        </w:tc>
        <w:tc>
          <w:tcPr>
            <w:tcW w:w="584" w:type="pct"/>
          </w:tcPr>
          <w:p>
            <w:pPr>
              <w:autoSpaceDE w:val="0"/>
              <w:autoSpaceDN w:val="0"/>
              <w:adjustRightInd w:val="0"/>
              <w:spacing w:line="560" w:lineRule="exact"/>
              <w:jc w:val="center"/>
              <w:rPr>
                <w:rFonts w:hint="default" w:ascii="仿宋" w:hAnsi="仿宋" w:eastAsia="仿宋"/>
                <w:bCs/>
                <w:sz w:val="24"/>
                <w:lang w:val="en-US" w:eastAsia="zh-CN"/>
              </w:rPr>
            </w:pPr>
            <w:r>
              <w:rPr>
                <w:rFonts w:hint="eastAsia" w:ascii="仿宋" w:hAnsi="仿宋" w:eastAsia="仿宋"/>
                <w:bCs/>
                <w:sz w:val="24"/>
              </w:rPr>
              <w:t>7.</w:t>
            </w:r>
            <w:r>
              <w:rPr>
                <w:rFonts w:hint="eastAsia" w:ascii="仿宋" w:hAnsi="仿宋" w:eastAsia="仿宋"/>
                <w:bCs/>
                <w:sz w:val="24"/>
                <w:lang w:val="en-US" w:eastAsia="zh-CN"/>
              </w:rPr>
              <w:t>23</w:t>
            </w:r>
          </w:p>
        </w:tc>
        <w:tc>
          <w:tcPr>
            <w:tcW w:w="554" w:type="pct"/>
          </w:tcPr>
          <w:p>
            <w:pPr>
              <w:autoSpaceDE w:val="0"/>
              <w:autoSpaceDN w:val="0"/>
              <w:adjustRightInd w:val="0"/>
              <w:spacing w:line="560" w:lineRule="exact"/>
              <w:jc w:val="center"/>
              <w:rPr>
                <w:rFonts w:hint="eastAsia" w:ascii="仿宋" w:hAnsi="仿宋" w:eastAsia="仿宋"/>
                <w:bCs/>
                <w:sz w:val="24"/>
              </w:rPr>
            </w:pPr>
            <w:r>
              <w:rPr>
                <w:rFonts w:hint="eastAsia" w:ascii="仿宋" w:hAnsi="仿宋" w:eastAsia="仿宋"/>
                <w:bCs/>
                <w:sz w:val="24"/>
              </w:rPr>
              <w:t>6.87</w:t>
            </w:r>
          </w:p>
        </w:tc>
        <w:tc>
          <w:tcPr>
            <w:tcW w:w="1030" w:type="pct"/>
          </w:tcPr>
          <w:p>
            <w:pPr>
              <w:autoSpaceDE w:val="0"/>
              <w:autoSpaceDN w:val="0"/>
              <w:adjustRightInd w:val="0"/>
              <w:spacing w:line="560" w:lineRule="exact"/>
              <w:jc w:val="center"/>
              <w:rPr>
                <w:rFonts w:ascii="仿宋" w:hAnsi="仿宋" w:eastAsia="仿宋"/>
                <w:bCs/>
                <w:sz w:val="24"/>
              </w:rPr>
            </w:pPr>
            <w:r>
              <w:rPr>
                <w:rFonts w:hint="eastAsia" w:ascii="仿宋" w:hAnsi="仿宋" w:eastAsia="仿宋"/>
                <w:bCs/>
                <w:sz w:val="24"/>
              </w:rPr>
              <w:t>7</w:t>
            </w:r>
            <w:r>
              <w:rPr>
                <w:rFonts w:ascii="仿宋" w:hAnsi="仿宋" w:eastAsia="仿宋"/>
                <w:bCs/>
                <w:sz w:val="24"/>
              </w:rPr>
              <w:t>.64</w:t>
            </w:r>
          </w:p>
        </w:tc>
        <w:tc>
          <w:tcPr>
            <w:tcW w:w="509" w:type="pct"/>
          </w:tcPr>
          <w:p>
            <w:pPr>
              <w:autoSpaceDE w:val="0"/>
              <w:autoSpaceDN w:val="0"/>
              <w:adjustRightInd w:val="0"/>
              <w:spacing w:line="560" w:lineRule="exact"/>
              <w:jc w:val="center"/>
              <w:rPr>
                <w:rFonts w:ascii="仿宋" w:hAnsi="仿宋" w:eastAsia="仿宋"/>
                <w:bCs/>
                <w:sz w:val="24"/>
              </w:rPr>
            </w:pPr>
            <w:r>
              <w:rPr>
                <w:rFonts w:hint="eastAsia" w:ascii="仿宋" w:hAnsi="仿宋" w:eastAsia="仿宋"/>
                <w:bCs/>
                <w:sz w:val="24"/>
              </w:rPr>
              <w:t>6</w:t>
            </w:r>
            <w:r>
              <w:rPr>
                <w:rFonts w:ascii="仿宋" w:hAnsi="仿宋" w:eastAsia="仿宋"/>
                <w:bCs/>
                <w:sz w:val="24"/>
              </w:rPr>
              <w:t>.60</w:t>
            </w:r>
          </w:p>
        </w:tc>
        <w:tc>
          <w:tcPr>
            <w:tcW w:w="509" w:type="pct"/>
          </w:tcPr>
          <w:p>
            <w:pPr>
              <w:autoSpaceDE w:val="0"/>
              <w:autoSpaceDN w:val="0"/>
              <w:adjustRightInd w:val="0"/>
              <w:spacing w:line="560" w:lineRule="exact"/>
              <w:jc w:val="center"/>
              <w:rPr>
                <w:rFonts w:ascii="仿宋" w:hAnsi="仿宋" w:eastAsia="仿宋"/>
                <w:bCs/>
                <w:sz w:val="24"/>
              </w:rPr>
            </w:pPr>
            <w:r>
              <w:rPr>
                <w:rFonts w:hint="eastAsia" w:ascii="仿宋" w:hAnsi="仿宋" w:eastAsia="仿宋"/>
                <w:bCs/>
                <w:sz w:val="24"/>
              </w:rPr>
              <w:t>7.28</w:t>
            </w:r>
          </w:p>
        </w:tc>
        <w:tc>
          <w:tcPr>
            <w:tcW w:w="501" w:type="pct"/>
          </w:tcPr>
          <w:p>
            <w:pPr>
              <w:autoSpaceDE w:val="0"/>
              <w:autoSpaceDN w:val="0"/>
              <w:adjustRightInd w:val="0"/>
              <w:spacing w:line="560" w:lineRule="exact"/>
              <w:jc w:val="center"/>
              <w:rPr>
                <w:rFonts w:ascii="仿宋" w:hAnsi="仿宋" w:eastAsia="仿宋"/>
                <w:bCs/>
                <w:sz w:val="24"/>
              </w:rPr>
            </w:pPr>
            <w:r>
              <w:rPr>
                <w:rFonts w:hint="eastAsia" w:ascii="仿宋" w:hAnsi="仿宋" w:eastAsia="仿宋"/>
                <w:bCs/>
                <w:sz w:val="24"/>
              </w:rPr>
              <w:t>6.80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1" w:type="pct"/>
          </w:tcPr>
          <w:p>
            <w:pPr>
              <w:autoSpaceDE w:val="0"/>
              <w:autoSpaceDN w:val="0"/>
              <w:adjustRightInd w:val="0"/>
              <w:spacing w:line="560" w:lineRule="exact"/>
              <w:jc w:val="center"/>
              <w:rPr>
                <w:rFonts w:ascii="仿宋" w:hAnsi="仿宋" w:eastAsia="仿宋"/>
                <w:bCs/>
                <w:sz w:val="24"/>
              </w:rPr>
            </w:pPr>
            <w:r>
              <w:rPr>
                <w:rFonts w:hint="eastAsia" w:ascii="仿宋" w:hAnsi="仿宋" w:eastAsia="仿宋"/>
                <w:bCs/>
                <w:sz w:val="24"/>
              </w:rPr>
              <w:t>3</w:t>
            </w:r>
          </w:p>
        </w:tc>
        <w:tc>
          <w:tcPr>
            <w:tcW w:w="950" w:type="pct"/>
          </w:tcPr>
          <w:p>
            <w:pPr>
              <w:autoSpaceDE w:val="0"/>
              <w:autoSpaceDN w:val="0"/>
              <w:adjustRightInd w:val="0"/>
              <w:spacing w:line="560" w:lineRule="exact"/>
              <w:jc w:val="center"/>
              <w:rPr>
                <w:rFonts w:ascii="仿宋" w:hAnsi="仿宋" w:eastAsia="仿宋"/>
                <w:bCs/>
                <w:sz w:val="24"/>
              </w:rPr>
            </w:pPr>
            <w:r>
              <w:rPr>
                <w:rFonts w:hint="eastAsia" w:ascii="仿宋" w:hAnsi="仿宋" w:eastAsia="仿宋"/>
                <w:bCs/>
                <w:sz w:val="24"/>
              </w:rPr>
              <w:t>特种行业用水</w:t>
            </w:r>
          </w:p>
        </w:tc>
        <w:tc>
          <w:tcPr>
            <w:tcW w:w="584" w:type="pct"/>
          </w:tcPr>
          <w:p>
            <w:pPr>
              <w:autoSpaceDE w:val="0"/>
              <w:autoSpaceDN w:val="0"/>
              <w:adjustRightInd w:val="0"/>
              <w:spacing w:line="560" w:lineRule="exact"/>
              <w:jc w:val="center"/>
              <w:rPr>
                <w:rFonts w:hint="eastAsia" w:ascii="仿宋" w:hAnsi="仿宋" w:eastAsia="仿宋"/>
                <w:bCs/>
                <w:sz w:val="24"/>
              </w:rPr>
            </w:pPr>
            <w:r>
              <w:rPr>
                <w:rFonts w:hint="eastAsia" w:ascii="仿宋" w:hAnsi="仿宋" w:eastAsia="仿宋"/>
                <w:bCs/>
                <w:sz w:val="24"/>
              </w:rPr>
              <w:t>33.90</w:t>
            </w:r>
          </w:p>
        </w:tc>
        <w:tc>
          <w:tcPr>
            <w:tcW w:w="554" w:type="pct"/>
          </w:tcPr>
          <w:p>
            <w:pPr>
              <w:autoSpaceDE w:val="0"/>
              <w:autoSpaceDN w:val="0"/>
              <w:adjustRightInd w:val="0"/>
              <w:spacing w:line="560" w:lineRule="exact"/>
              <w:jc w:val="center"/>
              <w:rPr>
                <w:rFonts w:hint="eastAsia" w:ascii="仿宋" w:hAnsi="仿宋" w:eastAsia="仿宋"/>
                <w:bCs/>
                <w:sz w:val="24"/>
              </w:rPr>
            </w:pPr>
            <w:r>
              <w:rPr>
                <w:rFonts w:hint="eastAsia" w:ascii="仿宋" w:hAnsi="仿宋" w:eastAsia="仿宋"/>
                <w:bCs/>
                <w:sz w:val="24"/>
              </w:rPr>
              <w:t>32.10</w:t>
            </w:r>
          </w:p>
        </w:tc>
        <w:tc>
          <w:tcPr>
            <w:tcW w:w="1030" w:type="pct"/>
          </w:tcPr>
          <w:p>
            <w:pPr>
              <w:autoSpaceDE w:val="0"/>
              <w:autoSpaceDN w:val="0"/>
              <w:adjustRightInd w:val="0"/>
              <w:spacing w:line="560" w:lineRule="exact"/>
              <w:jc w:val="center"/>
              <w:rPr>
                <w:rFonts w:ascii="仿宋" w:hAnsi="仿宋" w:eastAsia="仿宋"/>
                <w:bCs/>
                <w:sz w:val="24"/>
              </w:rPr>
            </w:pPr>
            <w:r>
              <w:rPr>
                <w:rFonts w:hint="eastAsia" w:ascii="仿宋" w:hAnsi="仿宋" w:eastAsia="仿宋"/>
                <w:bCs/>
                <w:sz w:val="24"/>
              </w:rPr>
              <w:t>2</w:t>
            </w:r>
            <w:r>
              <w:rPr>
                <w:rFonts w:ascii="仿宋" w:hAnsi="仿宋" w:eastAsia="仿宋"/>
                <w:bCs/>
                <w:sz w:val="24"/>
              </w:rPr>
              <w:t>8.00</w:t>
            </w:r>
          </w:p>
        </w:tc>
        <w:tc>
          <w:tcPr>
            <w:tcW w:w="509" w:type="pct"/>
          </w:tcPr>
          <w:p>
            <w:pPr>
              <w:autoSpaceDE w:val="0"/>
              <w:autoSpaceDN w:val="0"/>
              <w:adjustRightInd w:val="0"/>
              <w:spacing w:line="560" w:lineRule="exact"/>
              <w:jc w:val="center"/>
              <w:rPr>
                <w:rFonts w:ascii="仿宋" w:hAnsi="仿宋" w:eastAsia="仿宋"/>
                <w:bCs/>
                <w:sz w:val="24"/>
              </w:rPr>
            </w:pPr>
            <w:r>
              <w:rPr>
                <w:rFonts w:hint="eastAsia" w:ascii="仿宋" w:hAnsi="仿宋" w:eastAsia="仿宋"/>
                <w:bCs/>
                <w:sz w:val="24"/>
              </w:rPr>
              <w:t>1</w:t>
            </w:r>
            <w:r>
              <w:rPr>
                <w:rFonts w:ascii="仿宋" w:hAnsi="仿宋" w:eastAsia="仿宋"/>
                <w:bCs/>
                <w:sz w:val="24"/>
              </w:rPr>
              <w:t>9.40</w:t>
            </w:r>
          </w:p>
        </w:tc>
        <w:tc>
          <w:tcPr>
            <w:tcW w:w="509" w:type="pct"/>
          </w:tcPr>
          <w:p>
            <w:pPr>
              <w:autoSpaceDE w:val="0"/>
              <w:autoSpaceDN w:val="0"/>
              <w:adjustRightInd w:val="0"/>
              <w:spacing w:line="560" w:lineRule="exact"/>
              <w:jc w:val="center"/>
              <w:rPr>
                <w:rFonts w:ascii="仿宋" w:hAnsi="仿宋" w:eastAsia="仿宋"/>
                <w:bCs/>
                <w:sz w:val="24"/>
              </w:rPr>
            </w:pPr>
            <w:r>
              <w:rPr>
                <w:rFonts w:hint="eastAsia" w:ascii="仿宋" w:hAnsi="仿宋" w:eastAsia="仿宋"/>
                <w:bCs/>
                <w:sz w:val="24"/>
              </w:rPr>
              <w:t>22.32</w:t>
            </w:r>
          </w:p>
        </w:tc>
        <w:tc>
          <w:tcPr>
            <w:tcW w:w="501" w:type="pct"/>
          </w:tcPr>
          <w:p>
            <w:pPr>
              <w:autoSpaceDE w:val="0"/>
              <w:autoSpaceDN w:val="0"/>
              <w:adjustRightInd w:val="0"/>
              <w:spacing w:line="560" w:lineRule="exact"/>
              <w:jc w:val="center"/>
              <w:rPr>
                <w:rFonts w:ascii="仿宋" w:hAnsi="仿宋" w:eastAsia="仿宋"/>
                <w:bCs/>
                <w:sz w:val="24"/>
              </w:rPr>
            </w:pPr>
            <w:r>
              <w:rPr>
                <w:rFonts w:hint="eastAsia" w:ascii="仿宋" w:hAnsi="仿宋" w:eastAsia="仿宋"/>
                <w:bCs/>
                <w:sz w:val="24"/>
              </w:rPr>
              <w:t>20</w:t>
            </w:r>
            <w:r>
              <w:rPr>
                <w:rFonts w:ascii="仿宋" w:hAnsi="仿宋" w:eastAsia="仿宋"/>
                <w:bCs/>
                <w:sz w:val="24"/>
              </w:rPr>
              <w:t>.40</w:t>
            </w:r>
          </w:p>
        </w:tc>
      </w:tr>
    </w:tbl>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rPr>
        <w:t>昌黎、卢龙县水源为地下水，不包含原水费。青龙县水源为水胡同水库，原水费0.3元/</w:t>
      </w:r>
      <w:r>
        <w:rPr>
          <w:rFonts w:hint="eastAsia" w:ascii="仿宋" w:hAnsi="仿宋" w:eastAsia="仿宋" w:cs="仿宋"/>
          <w:sz w:val="32"/>
          <w:szCs w:val="32"/>
          <w:lang w:eastAsia="zh-CN"/>
        </w:rPr>
        <w:t>立方米</w:t>
      </w:r>
      <w:r>
        <w:rPr>
          <w:rFonts w:hint="eastAsia" w:ascii="仿宋" w:hAnsi="仿宋" w:eastAsia="仿宋" w:cs="仿宋"/>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cs="仿宋"/>
          <w:sz w:val="32"/>
          <w:szCs w:val="32"/>
        </w:rPr>
      </w:pPr>
      <w:r>
        <w:rPr>
          <w:rFonts w:hint="eastAsia" w:ascii="仿宋" w:hAnsi="仿宋" w:eastAsia="仿宋" w:cs="仿宋"/>
          <w:sz w:val="32"/>
          <w:szCs w:val="32"/>
          <w:lang w:eastAsia="zh-CN"/>
        </w:rPr>
        <w:t>与</w:t>
      </w:r>
      <w:r>
        <w:rPr>
          <w:rFonts w:hint="eastAsia" w:ascii="仿宋" w:hAnsi="仿宋" w:eastAsia="仿宋" w:cs="仿宋"/>
          <w:sz w:val="32"/>
          <w:szCs w:val="32"/>
        </w:rPr>
        <w:t>全市现行价格对比看：我区居</w:t>
      </w:r>
      <w:bookmarkStart w:id="0" w:name="_GoBack"/>
      <w:bookmarkEnd w:id="0"/>
      <w:r>
        <w:rPr>
          <w:rFonts w:hint="eastAsia" w:ascii="仿宋" w:hAnsi="仿宋" w:eastAsia="仿宋" w:cs="仿宋"/>
          <w:sz w:val="32"/>
          <w:szCs w:val="32"/>
        </w:rPr>
        <w:t>民</w:t>
      </w:r>
      <w:r>
        <w:rPr>
          <w:rFonts w:hint="eastAsia" w:ascii="仿宋" w:hAnsi="仿宋" w:eastAsia="仿宋" w:cs="仿宋"/>
          <w:sz w:val="32"/>
          <w:szCs w:val="32"/>
          <w:lang w:eastAsia="zh-CN"/>
        </w:rPr>
        <w:t>生活</w:t>
      </w:r>
      <w:r>
        <w:rPr>
          <w:rFonts w:hint="eastAsia" w:ascii="仿宋" w:hAnsi="仿宋" w:eastAsia="仿宋" w:cs="仿宋"/>
          <w:sz w:val="32"/>
          <w:szCs w:val="32"/>
        </w:rPr>
        <w:t>用水</w:t>
      </w:r>
      <w:r>
        <w:rPr>
          <w:rFonts w:hint="eastAsia" w:ascii="仿宋" w:hAnsi="仿宋" w:eastAsia="仿宋" w:cs="仿宋"/>
          <w:sz w:val="32"/>
          <w:szCs w:val="32"/>
          <w:lang w:eastAsia="zh-CN"/>
        </w:rPr>
        <w:t>、非居用水</w:t>
      </w:r>
      <w:r>
        <w:rPr>
          <w:rFonts w:hint="eastAsia" w:ascii="仿宋" w:hAnsi="仿宋" w:eastAsia="仿宋" w:cs="仿宋"/>
          <w:sz w:val="32"/>
          <w:szCs w:val="32"/>
        </w:rPr>
        <w:t>价格</w:t>
      </w:r>
      <w:r>
        <w:rPr>
          <w:rFonts w:hint="eastAsia" w:ascii="仿宋" w:hAnsi="仿宋" w:eastAsia="仿宋" w:cs="仿宋"/>
          <w:sz w:val="32"/>
          <w:szCs w:val="32"/>
          <w:lang w:eastAsia="zh-CN"/>
        </w:rPr>
        <w:t>将略高于</w:t>
      </w:r>
      <w:r>
        <w:rPr>
          <w:rFonts w:hint="eastAsia" w:ascii="仿宋" w:hAnsi="仿宋" w:eastAsia="仿宋" w:cs="仿宋"/>
          <w:sz w:val="32"/>
          <w:szCs w:val="32"/>
        </w:rPr>
        <w:t>周边县区</w:t>
      </w:r>
      <w:r>
        <w:rPr>
          <w:rFonts w:hint="eastAsia" w:ascii="仿宋" w:hAnsi="仿宋" w:eastAsia="仿宋" w:cs="仿宋"/>
          <w:sz w:val="32"/>
          <w:szCs w:val="32"/>
          <w:lang w:eastAsia="zh-CN"/>
        </w:rPr>
        <w:t>，低于海港区、北戴河区和山海关区</w:t>
      </w:r>
      <w:r>
        <w:rPr>
          <w:rFonts w:hint="eastAsia" w:ascii="仿宋" w:hAnsi="仿宋" w:eastAsia="仿宋" w:cs="仿宋"/>
          <w:sz w:val="32"/>
          <w:szCs w:val="32"/>
        </w:rPr>
        <w:t>。</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10" w:leftChars="0" w:firstLine="640" w:firstLineChars="0"/>
        <w:textAlignment w:val="auto"/>
        <w:rPr>
          <w:rFonts w:hint="eastAsia" w:ascii="黑体" w:hAnsi="黑体" w:eastAsia="黑体" w:cs="黑体"/>
          <w:sz w:val="32"/>
          <w:szCs w:val="32"/>
        </w:rPr>
      </w:pPr>
      <w:r>
        <w:rPr>
          <w:rFonts w:hint="eastAsia" w:ascii="黑体" w:hAnsi="黑体" w:eastAsia="黑体" w:cs="黑体"/>
          <w:sz w:val="32"/>
          <w:szCs w:val="32"/>
        </w:rPr>
        <w:t>实行拟定价格对居民生活的影响</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ascii="仿宋" w:hAnsi="仿宋" w:eastAsia="宋体" w:cs="仿宋"/>
          <w:color w:val="auto"/>
          <w:sz w:val="32"/>
          <w:szCs w:val="32"/>
        </w:rPr>
      </w:pPr>
      <w:r>
        <w:rPr>
          <w:rFonts w:hint="eastAsia" w:ascii="仿宋" w:hAnsi="仿宋" w:eastAsia="仿宋" w:cs="仿宋"/>
          <w:sz w:val="32"/>
          <w:szCs w:val="32"/>
        </w:rPr>
        <w:t xml:space="preserve">   </w:t>
      </w:r>
      <w:r>
        <w:rPr>
          <w:rFonts w:hint="eastAsia" w:ascii="仿宋" w:hAnsi="仿宋" w:eastAsia="仿宋" w:cs="仿宋"/>
          <w:color w:val="auto"/>
          <w:sz w:val="32"/>
          <w:szCs w:val="32"/>
          <w:shd w:val="clear" w:color="auto" w:fill="FFFFFF"/>
        </w:rPr>
        <w:t>按照每户居民每月生活用水量平均在8立方米左右</w:t>
      </w:r>
      <w:r>
        <w:rPr>
          <w:rFonts w:hint="eastAsia" w:ascii="仿宋" w:hAnsi="仿宋" w:eastAsia="仿宋" w:cs="仿宋"/>
          <w:color w:val="auto"/>
          <w:sz w:val="32"/>
          <w:szCs w:val="32"/>
          <w:shd w:val="clear" w:color="auto" w:fill="FFFFFF"/>
          <w:lang w:eastAsia="zh-CN"/>
        </w:rPr>
        <w:t>、</w:t>
      </w:r>
      <w:r>
        <w:rPr>
          <w:rFonts w:hint="eastAsia" w:ascii="仿宋" w:hAnsi="仿宋" w:eastAsia="仿宋" w:cs="仿宋"/>
          <w:color w:val="auto"/>
          <w:sz w:val="32"/>
          <w:szCs w:val="32"/>
          <w:shd w:val="clear" w:color="auto" w:fill="FFFFFF"/>
        </w:rPr>
        <w:t>拟定的4.4元/</w:t>
      </w:r>
      <w:r>
        <w:rPr>
          <w:rFonts w:hint="eastAsia" w:ascii="仿宋" w:hAnsi="仿宋" w:eastAsia="仿宋" w:cs="仿宋"/>
          <w:color w:val="auto"/>
          <w:sz w:val="32"/>
          <w:szCs w:val="32"/>
          <w:shd w:val="clear" w:color="auto" w:fill="FFFFFF"/>
          <w:lang w:eastAsia="zh-CN"/>
        </w:rPr>
        <w:t>立方米</w:t>
      </w:r>
      <w:r>
        <w:rPr>
          <w:rFonts w:hint="eastAsia" w:ascii="仿宋" w:hAnsi="仿宋" w:eastAsia="仿宋" w:cs="仿宋"/>
          <w:color w:val="auto"/>
          <w:sz w:val="32"/>
          <w:szCs w:val="32"/>
          <w:shd w:val="clear" w:color="auto" w:fill="FFFFFF"/>
        </w:rPr>
        <w:t>计算，则每月每户支出35.2元，全年支出422.4元。2021年我区城镇居民可支配收入为42302元，居民生活用水的年自来水水费支出在居民家庭年可支配收入中所占比例为1% ;</w:t>
      </w:r>
      <w:r>
        <w:rPr>
          <w:rFonts w:hint="eastAsia" w:ascii="宋体" w:hAnsi="宋体" w:eastAsia="宋体" w:cs="宋体"/>
          <w:color w:val="auto"/>
          <w:sz w:val="32"/>
          <w:szCs w:val="32"/>
          <w:shd w:val="clear" w:color="auto" w:fill="FFFFFF"/>
        </w:rPr>
        <w:t xml:space="preserve"> </w:t>
      </w:r>
      <w:r>
        <w:rPr>
          <w:rFonts w:hint="eastAsia" w:ascii="仿宋" w:hAnsi="仿宋" w:eastAsia="仿宋" w:cs="仿宋"/>
          <w:color w:val="auto"/>
          <w:sz w:val="32"/>
          <w:szCs w:val="32"/>
          <w:shd w:val="clear" w:color="auto" w:fill="FFFFFF"/>
        </w:rPr>
        <w:t>按照拟定的4.61元/</w:t>
      </w:r>
      <w:r>
        <w:rPr>
          <w:rFonts w:hint="eastAsia" w:ascii="仿宋" w:hAnsi="仿宋" w:eastAsia="仿宋" w:cs="仿宋"/>
          <w:color w:val="auto"/>
          <w:sz w:val="32"/>
          <w:szCs w:val="32"/>
          <w:shd w:val="clear" w:color="auto" w:fill="FFFFFF"/>
          <w:lang w:eastAsia="zh-CN"/>
        </w:rPr>
        <w:t>立方米</w:t>
      </w:r>
      <w:r>
        <w:rPr>
          <w:rFonts w:hint="eastAsia" w:ascii="仿宋" w:hAnsi="仿宋" w:eastAsia="仿宋" w:cs="仿宋"/>
          <w:color w:val="auto"/>
          <w:sz w:val="32"/>
          <w:szCs w:val="32"/>
          <w:shd w:val="clear" w:color="auto" w:fill="FFFFFF"/>
        </w:rPr>
        <w:t>计算，则每月每户支出36.88元，全年支出442.56元， 居民生活用水的年自来水水费支出在居民家庭年可支配收入中所占比例为1.05% 。这次收费标准的实施对中等收入家庭居民的影响较低，在可承受范围之内。</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ascii="仿宋" w:hAnsi="仿宋" w:eastAsia="仿宋" w:cs="仿宋"/>
          <w:color w:val="auto"/>
          <w:sz w:val="32"/>
          <w:szCs w:val="32"/>
        </w:rPr>
      </w:pPr>
      <w:r>
        <w:rPr>
          <w:rFonts w:hint="eastAsia" w:ascii="仿宋" w:hAnsi="仿宋" w:eastAsia="仿宋" w:cs="仿宋"/>
          <w:color w:val="auto"/>
          <w:sz w:val="32"/>
          <w:szCs w:val="32"/>
        </w:rPr>
        <w:t>供水企业要以这次调价为契机，深化企业改革，加强企业管理，再减少漏失，降低成本，提高水质，改善服务等方面采取有效措施，使企业管理水平，供水品质和服务质量都有明显提高，确保城市经济发展和人民生产生活用水需要。</w:t>
      </w: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仿宋_GB2312">
    <w:altName w:val="仿宋"/>
    <w:panose1 w:val="00000000000000000000"/>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BB1A26"/>
    <w:multiLevelType w:val="singleLevel"/>
    <w:tmpl w:val="5EBB1A26"/>
    <w:lvl w:ilvl="0" w:tentative="0">
      <w:start w:val="7"/>
      <w:numFmt w:val="chineseCounting"/>
      <w:suff w:val="nothing"/>
      <w:lvlText w:val="%1、"/>
      <w:lvlJc w:val="left"/>
      <w:pPr>
        <w:ind w:left="-1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B1422A4"/>
    <w:rsid w:val="00135954"/>
    <w:rsid w:val="00163C67"/>
    <w:rsid w:val="001C51E0"/>
    <w:rsid w:val="002135A3"/>
    <w:rsid w:val="0026099D"/>
    <w:rsid w:val="00293F69"/>
    <w:rsid w:val="002D48DE"/>
    <w:rsid w:val="00312B2C"/>
    <w:rsid w:val="00503345"/>
    <w:rsid w:val="00797390"/>
    <w:rsid w:val="00797FE1"/>
    <w:rsid w:val="008A1959"/>
    <w:rsid w:val="00BD4F7A"/>
    <w:rsid w:val="00BF22BD"/>
    <w:rsid w:val="00E57B0F"/>
    <w:rsid w:val="00EC1D26"/>
    <w:rsid w:val="00F975C9"/>
    <w:rsid w:val="0A2C39BF"/>
    <w:rsid w:val="0AEB05DC"/>
    <w:rsid w:val="13180B05"/>
    <w:rsid w:val="1C212523"/>
    <w:rsid w:val="287F3C51"/>
    <w:rsid w:val="2B1422A4"/>
    <w:rsid w:val="392B2A0B"/>
    <w:rsid w:val="3A881E27"/>
    <w:rsid w:val="5347330B"/>
    <w:rsid w:val="534E122B"/>
    <w:rsid w:val="76734C72"/>
    <w:rsid w:val="790211F6"/>
    <w:rsid w:val="7FB65D3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5">
    <w:name w:val="样式1"/>
    <w:basedOn w:val="1"/>
    <w:next w:val="1"/>
    <w:qFormat/>
    <w:uiPriority w:val="0"/>
    <w:pPr>
      <w:keepNext/>
      <w:keepLines/>
      <w:spacing w:before="340" w:after="330" w:line="576" w:lineRule="auto"/>
      <w:outlineLvl w:val="0"/>
    </w:pPr>
    <w:rPr>
      <w:b/>
      <w:kern w:val="44"/>
      <w:sz w:val="44"/>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numbering.xml" Type="http://schemas.openxmlformats.org/officeDocument/2006/relationships/numbering"/><Relationship Id="rId6"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Pages>
  <Words>394</Words>
  <Characters>2250</Characters>
  <Lines>18</Lines>
  <Paragraphs>5</Paragraphs>
  <TotalTime>2</TotalTime>
  <ScaleCrop>false</ScaleCrop>
  <LinksUpToDate>false</LinksUpToDate>
  <CharactersWithSpaces>2639</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2022-10-27T08:03:00Z</dcterms:created>
  <dc:creator>user</dc:creator>
  <cp:lastModifiedBy>user</cp:lastModifiedBy>
  <cp:lastPrinted>2022-11-04T03:30:10Z</cp:lastPrinted>
  <dcterms:modified xsi:type="dcterms:W3CDTF">2022-11-04T03:31:14Z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