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jc w:val="left"/>
        <w:rPr>
          <w:rFonts w:hint="eastAsia" w:ascii="黑体" w:hAnsi="黑体" w:eastAsia="黑体"/>
          <w:color w:val="00000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附件</w:t>
      </w:r>
      <w:r>
        <w:rPr>
          <w:rFonts w:hint="eastAsia" w:ascii="黑体" w:hAnsi="黑体" w:eastAsia="黑体"/>
          <w:color w:val="000000"/>
          <w:sz w:val="32"/>
          <w:szCs w:val="32"/>
          <w:lang w:val="en-US" w:eastAsia="zh-CN"/>
        </w:rPr>
        <w:t>1</w:t>
      </w:r>
    </w:p>
    <w:p>
      <w:pPr>
        <w:adjustRightInd w:val="0"/>
        <w:snapToGrid w:val="0"/>
        <w:spacing w:afterLines="50"/>
        <w:jc w:val="center"/>
        <w:rPr>
          <w:rFonts w:ascii="方正小标宋_GBK" w:hAnsi="宋体" w:eastAsia="方正小标宋_GBK" w:cs="宋体"/>
          <w:color w:val="000000"/>
          <w:kern w:val="0"/>
          <w:sz w:val="44"/>
          <w:szCs w:val="44"/>
        </w:rPr>
      </w:pP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</w:rPr>
        <w:t>抚宁区商务局</w:t>
      </w:r>
      <w:r>
        <w:rPr>
          <w:rFonts w:ascii="方正小标宋_GBK" w:hAnsi="宋体" w:eastAsia="方正小标宋_GBK" w:cs="宋体"/>
          <w:color w:val="000000"/>
          <w:kern w:val="0"/>
          <w:sz w:val="44"/>
          <w:szCs w:val="44"/>
        </w:rPr>
        <w:t>2023</w:t>
      </w: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</w:rPr>
        <w:t>年度内部联合随机抽查工作计划</w:t>
      </w:r>
    </w:p>
    <w:tbl>
      <w:tblPr>
        <w:tblStyle w:val="3"/>
        <w:tblW w:w="15828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60"/>
        <w:gridCol w:w="1926"/>
        <w:gridCol w:w="1056"/>
        <w:gridCol w:w="1857"/>
        <w:gridCol w:w="882"/>
        <w:gridCol w:w="1506"/>
        <w:gridCol w:w="1284"/>
        <w:gridCol w:w="1380"/>
        <w:gridCol w:w="902"/>
        <w:gridCol w:w="1275"/>
        <w:gridCol w:w="1418"/>
        <w:gridCol w:w="128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  <w:jc w:val="center"/>
        </w:trPr>
        <w:tc>
          <w:tcPr>
            <w:tcW w:w="1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抽查计划编号</w:t>
            </w:r>
          </w:p>
        </w:tc>
        <w:tc>
          <w:tcPr>
            <w:tcW w:w="19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抽查计划名称</w:t>
            </w:r>
          </w:p>
        </w:tc>
        <w:tc>
          <w:tcPr>
            <w:tcW w:w="10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抽查任务编号</w:t>
            </w:r>
          </w:p>
        </w:tc>
        <w:tc>
          <w:tcPr>
            <w:tcW w:w="18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抽查任务名称</w:t>
            </w:r>
          </w:p>
        </w:tc>
        <w:tc>
          <w:tcPr>
            <w:tcW w:w="88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</w:t>
            </w:r>
          </w:p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类型</w:t>
            </w:r>
          </w:p>
        </w:tc>
        <w:tc>
          <w:tcPr>
            <w:tcW w:w="15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</w:t>
            </w:r>
          </w:p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比例</w:t>
            </w:r>
          </w:p>
        </w:tc>
        <w:tc>
          <w:tcPr>
            <w:tcW w:w="12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抽查事项</w:t>
            </w:r>
          </w:p>
        </w:tc>
        <w:tc>
          <w:tcPr>
            <w:tcW w:w="13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抽查对象</w:t>
            </w:r>
          </w:p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范围</w:t>
            </w:r>
          </w:p>
        </w:tc>
        <w:tc>
          <w:tcPr>
            <w:tcW w:w="9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发起处室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联合处室</w:t>
            </w:r>
          </w:p>
        </w:tc>
        <w:tc>
          <w:tcPr>
            <w:tcW w:w="14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抽查时间</w:t>
            </w:r>
          </w:p>
        </w:tc>
        <w:tc>
          <w:tcPr>
            <w:tcW w:w="128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5" w:hRule="atLeast"/>
          <w:jc w:val="center"/>
        </w:trPr>
        <w:tc>
          <w:tcPr>
            <w:tcW w:w="10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" w:hAnsi="仿宋" w:eastAsia="仿宋" w:cs="仿宋"/>
                <w:bCs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kern w:val="0"/>
                <w:sz w:val="24"/>
              </w:rPr>
              <w:t>抚商</w:t>
            </w:r>
          </w:p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ascii="仿宋" w:hAnsi="仿宋" w:eastAsia="仿宋" w:cs="仿宋"/>
                <w:bCs/>
                <w:kern w:val="0"/>
                <w:sz w:val="24"/>
              </w:rPr>
              <w:t>2023001</w:t>
            </w:r>
          </w:p>
        </w:tc>
        <w:tc>
          <w:tcPr>
            <w:tcW w:w="19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  <w:t>2023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年秦皇岛市抚宁区商务局内部联合随机抽查</w:t>
            </w:r>
            <w:r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  <w:t>001</w:t>
            </w:r>
          </w:p>
        </w:tc>
        <w:tc>
          <w:tcPr>
            <w:tcW w:w="10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bCs/>
                <w:kern w:val="0"/>
                <w:sz w:val="24"/>
              </w:rPr>
            </w:pPr>
            <w:r>
              <w:rPr>
                <w:rFonts w:ascii="仿宋" w:hAnsi="仿宋" w:eastAsia="仿宋" w:cs="仿宋"/>
                <w:bCs/>
                <w:kern w:val="0"/>
                <w:sz w:val="24"/>
              </w:rPr>
              <w:t>001</w:t>
            </w:r>
            <w:r>
              <w:rPr>
                <w:rFonts w:hint="eastAsia" w:ascii="仿宋" w:hAnsi="仿宋" w:eastAsia="仿宋" w:cs="仿宋"/>
                <w:bCs/>
                <w:kern w:val="0"/>
                <w:sz w:val="24"/>
              </w:rPr>
              <w:t>号</w:t>
            </w:r>
          </w:p>
        </w:tc>
        <w:tc>
          <w:tcPr>
            <w:tcW w:w="18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  <w:t>2023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年秦皇岛市抚宁区商务局内部联合随机抽查一</w:t>
            </w:r>
          </w:p>
        </w:tc>
        <w:tc>
          <w:tcPr>
            <w:tcW w:w="8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bCs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kern w:val="0"/>
                <w:sz w:val="24"/>
              </w:rPr>
              <w:t>定向抽查</w:t>
            </w:r>
          </w:p>
        </w:tc>
        <w:tc>
          <w:tcPr>
            <w:tcW w:w="15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bCs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kern w:val="0"/>
                <w:sz w:val="24"/>
              </w:rPr>
              <w:t>根据信用风险等级，按照</w:t>
            </w:r>
            <w:r>
              <w:rPr>
                <w:rFonts w:ascii="仿宋" w:hAnsi="仿宋" w:eastAsia="仿宋" w:cs="仿宋"/>
                <w:bCs/>
                <w:kern w:val="0"/>
                <w:sz w:val="24"/>
              </w:rPr>
              <w:t>1-50%</w:t>
            </w:r>
            <w:r>
              <w:rPr>
                <w:rFonts w:hint="eastAsia" w:ascii="仿宋" w:hAnsi="仿宋" w:eastAsia="仿宋" w:cs="仿宋"/>
                <w:bCs/>
                <w:kern w:val="0"/>
                <w:sz w:val="24"/>
              </w:rPr>
              <w:t>的比例差异抽取，平均比例不低于</w:t>
            </w:r>
            <w:r>
              <w:rPr>
                <w:rFonts w:ascii="仿宋" w:hAnsi="仿宋" w:eastAsia="仿宋" w:cs="仿宋"/>
                <w:bCs/>
                <w:kern w:val="0"/>
                <w:sz w:val="24"/>
              </w:rPr>
              <w:t>3%</w:t>
            </w:r>
          </w:p>
        </w:tc>
        <w:tc>
          <w:tcPr>
            <w:tcW w:w="12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bCs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kern w:val="0"/>
                <w:sz w:val="24"/>
              </w:rPr>
              <w:t>单用途商业预付卡管理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bCs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kern w:val="0"/>
                <w:sz w:val="24"/>
              </w:rPr>
              <w:t>符合抽查事项规定的相关市场主体</w:t>
            </w:r>
          </w:p>
        </w:tc>
        <w:tc>
          <w:tcPr>
            <w:tcW w:w="9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bCs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kern w:val="0"/>
                <w:sz w:val="24"/>
              </w:rPr>
              <w:t>商务综合执法大队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bCs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kern w:val="0"/>
                <w:sz w:val="24"/>
              </w:rPr>
              <w:t>对内经济贸易科、市场体系建设科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bCs/>
                <w:kern w:val="0"/>
                <w:sz w:val="24"/>
              </w:rPr>
            </w:pPr>
            <w:r>
              <w:rPr>
                <w:rFonts w:ascii="仿宋" w:hAnsi="仿宋" w:eastAsia="仿宋" w:cs="仿宋"/>
                <w:bCs/>
                <w:kern w:val="0"/>
                <w:sz w:val="24"/>
              </w:rPr>
              <w:t>2023</w:t>
            </w:r>
            <w:r>
              <w:rPr>
                <w:rFonts w:hint="eastAsia" w:ascii="仿宋" w:hAnsi="仿宋" w:eastAsia="仿宋" w:cs="仿宋"/>
                <w:bCs/>
                <w:kern w:val="0"/>
                <w:sz w:val="24"/>
              </w:rPr>
              <w:t>年</w:t>
            </w:r>
            <w:r>
              <w:rPr>
                <w:rFonts w:ascii="仿宋" w:hAnsi="仿宋" w:eastAsia="仿宋" w:cs="仿宋"/>
                <w:bCs/>
                <w:kern w:val="0"/>
                <w:sz w:val="24"/>
              </w:rPr>
              <w:t>1</w:t>
            </w:r>
            <w:r>
              <w:rPr>
                <w:rFonts w:hint="eastAsia" w:ascii="仿宋" w:hAnsi="仿宋" w:eastAsia="仿宋" w:cs="仿宋"/>
                <w:bCs/>
                <w:kern w:val="0"/>
                <w:sz w:val="24"/>
              </w:rPr>
              <w:t>月至</w:t>
            </w:r>
            <w:r>
              <w:rPr>
                <w:rFonts w:ascii="仿宋" w:hAnsi="仿宋" w:eastAsia="仿宋" w:cs="仿宋"/>
                <w:bCs/>
                <w:kern w:val="0"/>
                <w:sz w:val="24"/>
              </w:rPr>
              <w:t>6</w:t>
            </w:r>
            <w:r>
              <w:rPr>
                <w:rFonts w:hint="eastAsia" w:ascii="仿宋" w:hAnsi="仿宋" w:eastAsia="仿宋" w:cs="仿宋"/>
                <w:bCs/>
                <w:kern w:val="0"/>
                <w:sz w:val="24"/>
              </w:rPr>
              <w:t>月</w:t>
            </w:r>
          </w:p>
        </w:tc>
        <w:tc>
          <w:tcPr>
            <w:tcW w:w="12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bCs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5" w:hRule="atLeast"/>
          <w:jc w:val="center"/>
        </w:trPr>
        <w:tc>
          <w:tcPr>
            <w:tcW w:w="10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" w:hAnsi="仿宋" w:eastAsia="仿宋" w:cs="仿宋"/>
                <w:bCs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kern w:val="0"/>
                <w:sz w:val="24"/>
              </w:rPr>
              <w:t>抚商</w:t>
            </w:r>
          </w:p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ascii="仿宋" w:hAnsi="仿宋" w:eastAsia="仿宋" w:cs="仿宋"/>
                <w:bCs/>
                <w:kern w:val="0"/>
                <w:sz w:val="24"/>
              </w:rPr>
              <w:t>2023002</w:t>
            </w:r>
          </w:p>
        </w:tc>
        <w:tc>
          <w:tcPr>
            <w:tcW w:w="19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  <w:t>2023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年秦皇岛市抚宁区商务局内部联合随机抽查</w:t>
            </w:r>
            <w:r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  <w:t>002</w:t>
            </w:r>
          </w:p>
        </w:tc>
        <w:tc>
          <w:tcPr>
            <w:tcW w:w="10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bCs/>
                <w:kern w:val="0"/>
                <w:sz w:val="24"/>
              </w:rPr>
            </w:pPr>
            <w:r>
              <w:rPr>
                <w:rFonts w:ascii="仿宋" w:hAnsi="仿宋" w:eastAsia="仿宋" w:cs="仿宋"/>
                <w:bCs/>
                <w:kern w:val="0"/>
                <w:sz w:val="24"/>
              </w:rPr>
              <w:t>002</w:t>
            </w:r>
            <w:r>
              <w:rPr>
                <w:rFonts w:hint="eastAsia" w:ascii="仿宋" w:hAnsi="仿宋" w:eastAsia="仿宋" w:cs="仿宋"/>
                <w:bCs/>
                <w:kern w:val="0"/>
                <w:sz w:val="24"/>
              </w:rPr>
              <w:t>号</w:t>
            </w:r>
          </w:p>
        </w:tc>
        <w:tc>
          <w:tcPr>
            <w:tcW w:w="18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  <w:t>2023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年秦皇岛市抚宁区商务局内部联合随机抽查二</w:t>
            </w:r>
          </w:p>
        </w:tc>
        <w:tc>
          <w:tcPr>
            <w:tcW w:w="8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bCs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kern w:val="0"/>
                <w:sz w:val="24"/>
              </w:rPr>
              <w:t>定向抽查</w:t>
            </w:r>
          </w:p>
        </w:tc>
        <w:tc>
          <w:tcPr>
            <w:tcW w:w="15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bCs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kern w:val="0"/>
                <w:sz w:val="24"/>
              </w:rPr>
              <w:t>根据信用风险等级，按照</w:t>
            </w:r>
            <w:r>
              <w:rPr>
                <w:rFonts w:ascii="仿宋" w:hAnsi="仿宋" w:eastAsia="仿宋" w:cs="仿宋"/>
                <w:bCs/>
                <w:kern w:val="0"/>
                <w:sz w:val="24"/>
              </w:rPr>
              <w:t>1-50%</w:t>
            </w:r>
            <w:r>
              <w:rPr>
                <w:rFonts w:hint="eastAsia" w:ascii="仿宋" w:hAnsi="仿宋" w:eastAsia="仿宋" w:cs="仿宋"/>
                <w:bCs/>
                <w:kern w:val="0"/>
                <w:sz w:val="24"/>
              </w:rPr>
              <w:t>的比例差异抽取，平均比例不低于</w:t>
            </w:r>
            <w:r>
              <w:rPr>
                <w:rFonts w:ascii="仿宋" w:hAnsi="仿宋" w:eastAsia="仿宋" w:cs="仿宋"/>
                <w:bCs/>
                <w:kern w:val="0"/>
                <w:sz w:val="24"/>
              </w:rPr>
              <w:t>3%</w:t>
            </w:r>
          </w:p>
        </w:tc>
        <w:tc>
          <w:tcPr>
            <w:tcW w:w="12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bCs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kern w:val="0"/>
                <w:sz w:val="24"/>
              </w:rPr>
              <w:t>家庭服务业管理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bCs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kern w:val="0"/>
                <w:sz w:val="24"/>
              </w:rPr>
              <w:t>符合抽查事项规定的相关市场主体</w:t>
            </w:r>
          </w:p>
        </w:tc>
        <w:tc>
          <w:tcPr>
            <w:tcW w:w="9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bCs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kern w:val="0"/>
                <w:sz w:val="24"/>
              </w:rPr>
              <w:t>商务综合执法大队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bCs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kern w:val="0"/>
                <w:sz w:val="24"/>
              </w:rPr>
              <w:t>对内经济贸易科、市场体系建设科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bCs/>
                <w:kern w:val="0"/>
                <w:sz w:val="24"/>
              </w:rPr>
            </w:pPr>
            <w:r>
              <w:rPr>
                <w:rFonts w:ascii="仿宋" w:hAnsi="仿宋" w:eastAsia="仿宋" w:cs="仿宋"/>
                <w:bCs/>
                <w:kern w:val="0"/>
                <w:sz w:val="24"/>
              </w:rPr>
              <w:t>2023</w:t>
            </w:r>
            <w:r>
              <w:rPr>
                <w:rFonts w:hint="eastAsia" w:ascii="仿宋" w:hAnsi="仿宋" w:eastAsia="仿宋" w:cs="仿宋"/>
                <w:bCs/>
                <w:kern w:val="0"/>
                <w:sz w:val="24"/>
              </w:rPr>
              <w:t>年</w:t>
            </w:r>
            <w:r>
              <w:rPr>
                <w:rFonts w:ascii="仿宋" w:hAnsi="仿宋" w:eastAsia="仿宋" w:cs="仿宋"/>
                <w:bCs/>
                <w:kern w:val="0"/>
                <w:sz w:val="24"/>
              </w:rPr>
              <w:t>7</w:t>
            </w:r>
            <w:r>
              <w:rPr>
                <w:rFonts w:hint="eastAsia" w:ascii="仿宋" w:hAnsi="仿宋" w:eastAsia="仿宋" w:cs="仿宋"/>
                <w:bCs/>
                <w:kern w:val="0"/>
                <w:sz w:val="24"/>
              </w:rPr>
              <w:t>月至</w:t>
            </w:r>
            <w:r>
              <w:rPr>
                <w:rFonts w:ascii="仿宋" w:hAnsi="仿宋" w:eastAsia="仿宋" w:cs="仿宋"/>
                <w:bCs/>
                <w:kern w:val="0"/>
                <w:sz w:val="24"/>
              </w:rPr>
              <w:t>12</w:t>
            </w:r>
            <w:r>
              <w:rPr>
                <w:rFonts w:hint="eastAsia" w:ascii="仿宋" w:hAnsi="仿宋" w:eastAsia="仿宋" w:cs="仿宋"/>
                <w:bCs/>
                <w:kern w:val="0"/>
                <w:sz w:val="24"/>
              </w:rPr>
              <w:t>月</w:t>
            </w:r>
          </w:p>
        </w:tc>
        <w:tc>
          <w:tcPr>
            <w:tcW w:w="12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bCs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  <w:jc w:val="center"/>
        </w:trPr>
        <w:tc>
          <w:tcPr>
            <w:tcW w:w="15828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bCs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kern w:val="0"/>
                <w:sz w:val="24"/>
              </w:rPr>
              <w:t>备注：</w:t>
            </w:r>
            <w:r>
              <w:rPr>
                <w:rFonts w:ascii="仿宋" w:hAnsi="仿宋" w:eastAsia="仿宋" w:cs="仿宋"/>
                <w:bCs/>
                <w:kern w:val="0"/>
                <w:sz w:val="24"/>
              </w:rPr>
              <w:t>1.</w:t>
            </w:r>
            <w:r>
              <w:rPr>
                <w:rFonts w:hint="eastAsia" w:ascii="仿宋" w:hAnsi="仿宋" w:eastAsia="仿宋" w:cs="仿宋"/>
                <w:bCs/>
                <w:kern w:val="0"/>
                <w:sz w:val="24"/>
              </w:rPr>
              <w:t>抽查计划名称为：年度</w:t>
            </w:r>
            <w:r>
              <w:rPr>
                <w:rFonts w:ascii="仿宋" w:hAnsi="仿宋" w:eastAsia="仿宋" w:cs="仿宋"/>
                <w:bCs/>
                <w:kern w:val="0"/>
                <w:sz w:val="24"/>
              </w:rPr>
              <w:t>+</w:t>
            </w:r>
            <w:r>
              <w:rPr>
                <w:rFonts w:hint="eastAsia" w:ascii="仿宋" w:hAnsi="仿宋" w:eastAsia="仿宋" w:cs="仿宋"/>
                <w:bCs/>
                <w:kern w:val="0"/>
                <w:sz w:val="24"/>
              </w:rPr>
              <w:t>部门</w:t>
            </w:r>
            <w:r>
              <w:rPr>
                <w:rFonts w:ascii="仿宋" w:hAnsi="仿宋" w:eastAsia="仿宋" w:cs="仿宋"/>
                <w:bCs/>
                <w:kern w:val="0"/>
                <w:sz w:val="24"/>
              </w:rPr>
              <w:t>+</w:t>
            </w:r>
            <w:r>
              <w:rPr>
                <w:rFonts w:hint="eastAsia" w:ascii="仿宋" w:hAnsi="仿宋" w:eastAsia="仿宋" w:cs="仿宋"/>
                <w:bCs/>
                <w:kern w:val="0"/>
                <w:sz w:val="24"/>
              </w:rPr>
              <w:t>随机抽查</w:t>
            </w:r>
            <w:r>
              <w:rPr>
                <w:rFonts w:ascii="仿宋" w:hAnsi="仿宋" w:eastAsia="仿宋" w:cs="仿宋"/>
                <w:bCs/>
                <w:kern w:val="0"/>
                <w:sz w:val="24"/>
              </w:rPr>
              <w:t>+</w:t>
            </w:r>
            <w:r>
              <w:rPr>
                <w:rFonts w:hint="eastAsia" w:ascii="仿宋" w:hAnsi="仿宋" w:eastAsia="仿宋" w:cs="仿宋"/>
                <w:bCs/>
                <w:kern w:val="0"/>
                <w:sz w:val="24"/>
              </w:rPr>
              <w:t>序号。抽查任务名称以实施方案为准。</w:t>
            </w:r>
          </w:p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ascii="仿宋" w:hAnsi="仿宋" w:eastAsia="仿宋" w:cs="仿宋"/>
                <w:bCs/>
                <w:kern w:val="0"/>
                <w:sz w:val="24"/>
              </w:rPr>
              <w:t xml:space="preserve">      2.</w:t>
            </w:r>
            <w:r>
              <w:rPr>
                <w:rFonts w:hint="eastAsia" w:ascii="仿宋" w:hAnsi="仿宋" w:eastAsia="仿宋" w:cs="仿宋"/>
                <w:bCs/>
                <w:kern w:val="0"/>
                <w:sz w:val="24"/>
              </w:rPr>
              <w:t>抽查时间必须填写到月份。</w:t>
            </w:r>
          </w:p>
        </w:tc>
      </w:tr>
    </w:tbl>
    <w:p>
      <w:pPr>
        <w:jc w:val="left"/>
        <w:rPr>
          <w:rFonts w:hint="eastAsia" w:ascii="黑体" w:hAnsi="黑体" w:eastAsia="黑体"/>
          <w:color w:val="000000"/>
          <w:sz w:val="32"/>
          <w:szCs w:val="32"/>
        </w:rPr>
      </w:pPr>
    </w:p>
    <w:p>
      <w:pPr>
        <w:jc w:val="left"/>
        <w:rPr>
          <w:rFonts w:ascii="黑体" w:hAnsi="黑体" w:eastAsia="黑体"/>
          <w:color w:val="000000"/>
          <w:sz w:val="32"/>
          <w:szCs w:val="32"/>
        </w:rPr>
      </w:pPr>
    </w:p>
    <w:p>
      <w:bookmarkStart w:id="0" w:name="_GoBack"/>
      <w:bookmarkEnd w:id="0"/>
    </w:p>
    <w:sectPr>
      <w:pgSz w:w="16838" w:h="11906" w:orient="landscape"/>
      <w:pgMar w:top="1587" w:right="2098" w:bottom="1474" w:left="1871" w:header="851" w:footer="992" w:gutter="0"/>
      <w:cols w:space="0" w:num="1"/>
      <w:docGrid w:type="lines" w:linePitch="313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HorizontalSpacing w:val="210"/>
  <w:drawingGridVerticalSpacing w:val="156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jI3YWU3YzU4YWJkYzU5OWQ1NDVmYjRlNGNhMzZmY2MifQ=="/>
  </w:docVars>
  <w:rsids>
    <w:rsidRoot w:val="15CD3170"/>
    <w:rsid w:val="00023416"/>
    <w:rsid w:val="000A6D0C"/>
    <w:rsid w:val="001D2BE4"/>
    <w:rsid w:val="00235983"/>
    <w:rsid w:val="0024674E"/>
    <w:rsid w:val="002E4B14"/>
    <w:rsid w:val="00596393"/>
    <w:rsid w:val="005B1B65"/>
    <w:rsid w:val="006921E2"/>
    <w:rsid w:val="0070153F"/>
    <w:rsid w:val="00711C9B"/>
    <w:rsid w:val="007F6C84"/>
    <w:rsid w:val="00912FFA"/>
    <w:rsid w:val="00922885"/>
    <w:rsid w:val="0098639F"/>
    <w:rsid w:val="00B23BEE"/>
    <w:rsid w:val="00B870A5"/>
    <w:rsid w:val="00D31396"/>
    <w:rsid w:val="00DC67E7"/>
    <w:rsid w:val="00F70384"/>
    <w:rsid w:val="00F77A07"/>
    <w:rsid w:val="038F2D04"/>
    <w:rsid w:val="072107C3"/>
    <w:rsid w:val="15CD3170"/>
    <w:rsid w:val="21D14695"/>
    <w:rsid w:val="22331FED"/>
    <w:rsid w:val="26841DA1"/>
    <w:rsid w:val="280D64D0"/>
    <w:rsid w:val="2AFD5439"/>
    <w:rsid w:val="35C92BA9"/>
    <w:rsid w:val="3E7C55CD"/>
    <w:rsid w:val="42D940DB"/>
    <w:rsid w:val="46C31EEC"/>
    <w:rsid w:val="474B6530"/>
    <w:rsid w:val="5AAF7567"/>
    <w:rsid w:val="6228352B"/>
    <w:rsid w:val="72C91D9E"/>
    <w:rsid w:val="741A437B"/>
    <w:rsid w:val="7AD57708"/>
    <w:rsid w:val="7DCF0C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 w:locked="1"/>
    <w:lsdException w:qFormat="1" w:uiPriority="9" w:name="heading 2" w:locked="1"/>
    <w:lsdException w:qFormat="1" w:uiPriority="9" w:name="heading 3" w:locked="1"/>
    <w:lsdException w:qFormat="1" w:uiPriority="9" w:name="heading 4" w:locked="1"/>
    <w:lsdException w:qFormat="1" w:uiPriority="9" w:name="heading 5" w:locked="1"/>
    <w:lsdException w:qFormat="1" w:uiPriority="9" w:name="heading 6" w:locked="1"/>
    <w:lsdException w:qFormat="1" w:uiPriority="9" w:name="heading 7" w:locked="1"/>
    <w:lsdException w:qFormat="1" w:uiPriority="9" w:name="heading 8" w:locked="1"/>
    <w:lsdException w:qFormat="1" w:uiPriority="9" w:name="heading 9" w:locked="1"/>
    <w:lsdException w:uiPriority="99" w:name="index 1" w:locked="1"/>
    <w:lsdException w:uiPriority="99" w:name="index 2" w:locked="1"/>
    <w:lsdException w:uiPriority="99" w:name="index 3" w:locked="1"/>
    <w:lsdException w:uiPriority="99" w:name="index 4" w:locked="1"/>
    <w:lsdException w:uiPriority="99" w:name="index 5" w:locked="1"/>
    <w:lsdException w:uiPriority="99" w:name="index 6" w:locked="1"/>
    <w:lsdException w:uiPriority="99" w:name="index 7" w:locked="1"/>
    <w:lsdException w:uiPriority="99" w:name="index 8" w:locked="1"/>
    <w:lsdException w:uiPriority="99" w:name="index 9" w:locked="1"/>
    <w:lsdException w:uiPriority="39" w:name="toc 1" w:locked="1"/>
    <w:lsdException w:uiPriority="39" w:name="toc 2" w:locked="1"/>
    <w:lsdException w:uiPriority="39" w:name="toc 3" w:locked="1"/>
    <w:lsdException w:uiPriority="39" w:name="toc 4" w:locked="1"/>
    <w:lsdException w:uiPriority="39" w:name="toc 5" w:locked="1"/>
    <w:lsdException w:uiPriority="39" w:name="toc 6" w:locked="1"/>
    <w:lsdException w:uiPriority="39" w:name="toc 7" w:locked="1"/>
    <w:lsdException w:uiPriority="39" w:name="toc 8" w:locked="1"/>
    <w:lsdException w:uiPriority="39" w:name="toc 9" w:locked="1"/>
    <w:lsdException w:uiPriority="99" w:name="Normal Indent" w:locked="1"/>
    <w:lsdException w:uiPriority="99" w:name="footnote text" w:locked="1"/>
    <w:lsdException w:uiPriority="99" w:name="annotation text" w:locked="1"/>
    <w:lsdException w:uiPriority="99" w:name="header" w:locked="1"/>
    <w:lsdException w:uiPriority="99" w:name="footer" w:locked="1"/>
    <w:lsdException w:uiPriority="99" w:name="index heading" w:locked="1"/>
    <w:lsdException w:qFormat="1" w:uiPriority="35" w:name="caption" w:locked="1"/>
    <w:lsdException w:uiPriority="99" w:name="table of figures" w:locked="1"/>
    <w:lsdException w:uiPriority="99" w:name="envelope address" w:locked="1"/>
    <w:lsdException w:uiPriority="99" w:name="envelope return" w:locked="1"/>
    <w:lsdException w:uiPriority="99" w:name="footnote reference" w:locked="1"/>
    <w:lsdException w:uiPriority="99" w:name="annotation reference" w:locked="1"/>
    <w:lsdException w:uiPriority="99" w:name="line number" w:locked="1"/>
    <w:lsdException w:uiPriority="99" w:name="page number" w:locked="1"/>
    <w:lsdException w:uiPriority="99" w:name="endnote reference" w:locked="1"/>
    <w:lsdException w:uiPriority="99" w:name="endnote text" w:locked="1"/>
    <w:lsdException w:uiPriority="99" w:name="table of authorities" w:locked="1"/>
    <w:lsdException w:uiPriority="99" w:name="macro" w:locked="1"/>
    <w:lsdException w:uiPriority="99" w:name="toa heading" w:locked="1"/>
    <w:lsdException w:uiPriority="99" w:name="List" w:locked="1"/>
    <w:lsdException w:uiPriority="99" w:name="List Bullet" w:locked="1"/>
    <w:lsdException w:uiPriority="99" w:name="List Number" w:locked="1"/>
    <w:lsdException w:uiPriority="99" w:name="List 2" w:locked="1"/>
    <w:lsdException w:uiPriority="99" w:name="List 3" w:locked="1"/>
    <w:lsdException w:uiPriority="99" w:name="List 4" w:locked="1"/>
    <w:lsdException w:uiPriority="99" w:name="List 5" w:locked="1"/>
    <w:lsdException w:uiPriority="99" w:name="List Bullet 2" w:locked="1"/>
    <w:lsdException w:uiPriority="99" w:name="List Bullet 3" w:locked="1"/>
    <w:lsdException w:uiPriority="99" w:name="List Bullet 4" w:locked="1"/>
    <w:lsdException w:uiPriority="99" w:name="List Bullet 5" w:locked="1"/>
    <w:lsdException w:uiPriority="99" w:name="List Number 2" w:locked="1"/>
    <w:lsdException w:uiPriority="99" w:name="List Number 3" w:locked="1"/>
    <w:lsdException w:uiPriority="99" w:name="List Number 4" w:locked="1"/>
    <w:lsdException w:uiPriority="99" w:name="List Number 5" w:locked="1"/>
    <w:lsdException w:qFormat="1" w:unhideWhenUsed="0" w:uiPriority="10" w:semiHidden="0" w:name="Title" w:locked="1"/>
    <w:lsdException w:uiPriority="99" w:name="Closing" w:locked="1"/>
    <w:lsdException w:uiPriority="99" w:name="Signature" w:locked="1"/>
    <w:lsdException w:unhideWhenUsed="0" w:uiPriority="99" w:name="Default Paragraph Font"/>
    <w:lsdException w:qFormat="1" w:unhideWhenUsed="0" w:uiPriority="99" w:semiHidden="0" w:name="Body Text"/>
    <w:lsdException w:uiPriority="99" w:name="Body Text Indent" w:locked="1"/>
    <w:lsdException w:uiPriority="99" w:name="List Continue" w:locked="1"/>
    <w:lsdException w:uiPriority="99" w:name="List Continue 2" w:locked="1"/>
    <w:lsdException w:uiPriority="99" w:name="List Continue 3" w:locked="1"/>
    <w:lsdException w:uiPriority="99" w:name="List Continue 4" w:locked="1"/>
    <w:lsdException w:uiPriority="99" w:name="List Continue 5" w:locked="1"/>
    <w:lsdException w:uiPriority="99" w:name="Message Header" w:locked="1"/>
    <w:lsdException w:qFormat="1" w:unhideWhenUsed="0" w:uiPriority="11" w:semiHidden="0" w:name="Subtitle" w:locked="1"/>
    <w:lsdException w:uiPriority="99" w:name="Salutation" w:locked="1"/>
    <w:lsdException w:uiPriority="99" w:name="Date" w:locked="1"/>
    <w:lsdException w:uiPriority="99" w:name="Body Text First Indent" w:locked="1"/>
    <w:lsdException w:uiPriority="99" w:name="Body Text First Indent 2" w:locked="1"/>
    <w:lsdException w:uiPriority="99" w:name="Note Heading" w:locked="1"/>
    <w:lsdException w:uiPriority="99" w:name="Body Text 2" w:locked="1"/>
    <w:lsdException w:uiPriority="99" w:name="Body Text 3" w:locked="1"/>
    <w:lsdException w:uiPriority="99" w:name="Body Text Indent 2" w:locked="1"/>
    <w:lsdException w:uiPriority="99" w:name="Body Text Indent 3" w:locked="1"/>
    <w:lsdException w:uiPriority="99" w:name="Block Text" w:locked="1"/>
    <w:lsdException w:unhideWhenUsed="0" w:uiPriority="99" w:semiHidden="0" w:name="Hyperlink"/>
    <w:lsdException w:uiPriority="99" w:name="FollowedHyperlink" w:locked="1"/>
    <w:lsdException w:qFormat="1" w:unhideWhenUsed="0" w:uiPriority="22" w:semiHidden="0" w:name="Strong" w:locked="1"/>
    <w:lsdException w:qFormat="1" w:unhideWhenUsed="0" w:uiPriority="20" w:semiHidden="0" w:name="Emphasis" w:locked="1"/>
    <w:lsdException w:uiPriority="99" w:name="Document Map" w:locked="1"/>
    <w:lsdException w:uiPriority="99" w:name="Plain Text" w:locked="1"/>
    <w:lsdException w:uiPriority="99" w:name="E-mail Signature" w:locked="1"/>
    <w:lsdException w:uiPriority="99" w:name="Normal (Web)" w:locked="1"/>
    <w:lsdException w:uiPriority="99" w:name="HTML Acronym" w:locked="1"/>
    <w:lsdException w:uiPriority="99" w:name="HTML Address" w:locked="1"/>
    <w:lsdException w:uiPriority="99" w:name="HTML Cite" w:locked="1"/>
    <w:lsdException w:uiPriority="99" w:name="HTML Code" w:locked="1"/>
    <w:lsdException w:uiPriority="99" w:name="HTML Definition" w:locked="1"/>
    <w:lsdException w:uiPriority="99" w:name="HTML Keyboard" w:locked="1"/>
    <w:lsdException w:uiPriority="99" w:name="HTML Preformatted" w:locked="1"/>
    <w:lsdException w:uiPriority="99" w:name="HTML Sample" w:locked="1"/>
    <w:lsdException w:uiPriority="99" w:name="HTML Typewriter" w:locked="1"/>
    <w:lsdException w:uiPriority="99" w:name="HTML Variable" w:locked="1"/>
    <w:lsdException w:qFormat="1" w:uiPriority="99" w:name="Normal Table"/>
    <w:lsdException w:uiPriority="99" w:name="annotation subject" w:locked="1"/>
    <w:lsdException w:uiPriority="99" w:name="Table Simple 1" w:locked="1"/>
    <w:lsdException w:uiPriority="99" w:name="Table Simple 2" w:locked="1"/>
    <w:lsdException w:uiPriority="99" w:name="Table Simple 3" w:locked="1"/>
    <w:lsdException w:uiPriority="99" w:name="Table Classic 1" w:locked="1"/>
    <w:lsdException w:uiPriority="99" w:name="Table Classic 2" w:locked="1"/>
    <w:lsdException w:uiPriority="99" w:name="Table Classic 3" w:locked="1"/>
    <w:lsdException w:uiPriority="99" w:name="Table Classic 4" w:locked="1"/>
    <w:lsdException w:uiPriority="99" w:name="Table Colorful 1" w:locked="1"/>
    <w:lsdException w:uiPriority="99" w:name="Table Colorful 2" w:locked="1"/>
    <w:lsdException w:uiPriority="99" w:name="Table Colorful 3" w:locked="1"/>
    <w:lsdException w:uiPriority="99" w:name="Table Columns 1" w:locked="1"/>
    <w:lsdException w:uiPriority="99" w:name="Table Columns 2" w:locked="1"/>
    <w:lsdException w:uiPriority="99" w:name="Table Columns 3" w:locked="1"/>
    <w:lsdException w:uiPriority="99" w:name="Table Columns 4" w:locked="1"/>
    <w:lsdException w:uiPriority="99" w:name="Table Columns 5" w:locked="1"/>
    <w:lsdException w:uiPriority="99" w:name="Table Grid 1" w:locked="1"/>
    <w:lsdException w:uiPriority="99" w:name="Table Grid 2" w:locked="1"/>
    <w:lsdException w:uiPriority="99" w:name="Table Grid 3" w:locked="1"/>
    <w:lsdException w:uiPriority="99" w:name="Table Grid 4" w:locked="1"/>
    <w:lsdException w:uiPriority="99" w:name="Table Grid 5" w:locked="1"/>
    <w:lsdException w:uiPriority="99" w:name="Table Grid 6" w:locked="1"/>
    <w:lsdException w:uiPriority="99" w:name="Table Grid 7" w:locked="1"/>
    <w:lsdException w:uiPriority="99" w:name="Table Grid 8" w:locked="1"/>
    <w:lsdException w:uiPriority="99" w:name="Table List 1" w:locked="1"/>
    <w:lsdException w:uiPriority="99" w:name="Table List 2" w:locked="1"/>
    <w:lsdException w:uiPriority="99" w:name="Table List 3" w:locked="1"/>
    <w:lsdException w:uiPriority="99" w:name="Table List 4" w:locked="1"/>
    <w:lsdException w:uiPriority="99" w:name="Table List 5" w:locked="1"/>
    <w:lsdException w:uiPriority="99" w:name="Table List 6" w:locked="1"/>
    <w:lsdException w:uiPriority="99" w:name="Table List 7" w:locked="1"/>
    <w:lsdException w:uiPriority="99" w:name="Table List 8" w:locked="1"/>
    <w:lsdException w:uiPriority="99" w:name="Table 3D effects 1" w:locked="1"/>
    <w:lsdException w:uiPriority="99" w:name="Table 3D effects 2" w:locked="1"/>
    <w:lsdException w:uiPriority="99" w:name="Table 3D effects 3" w:locked="1"/>
    <w:lsdException w:uiPriority="99" w:name="Table Contemporary" w:locked="1"/>
    <w:lsdException w:uiPriority="99" w:name="Table Elegant" w:locked="1"/>
    <w:lsdException w:uiPriority="99" w:name="Table Professional" w:locked="1"/>
    <w:lsdException w:uiPriority="99" w:name="Table Subtle 1" w:locked="1"/>
    <w:lsdException w:uiPriority="99" w:name="Table Subtle 2" w:locked="1"/>
    <w:lsdException w:uiPriority="99" w:name="Table Web 1" w:locked="1"/>
    <w:lsdException w:uiPriority="99" w:name="Table Web 2" w:locked="1"/>
    <w:lsdException w:uiPriority="99" w:name="Table Web 3" w:locked="1"/>
    <w:lsdException w:uiPriority="99" w:name="Balloon Text" w:locked="1"/>
    <w:lsdException w:unhideWhenUsed="0" w:uiPriority="59" w:semiHidden="0" w:name="Table Grid" w:locked="1"/>
    <w:lsdException w:uiPriority="99" w:name="Table Theme" w:locked="1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99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link w:val="6"/>
    <w:qFormat/>
    <w:uiPriority w:val="99"/>
    <w:pPr>
      <w:adjustRightInd w:val="0"/>
      <w:spacing w:line="360" w:lineRule="auto"/>
      <w:ind w:firstLine="200" w:firstLineChars="200"/>
      <w:jc w:val="left"/>
      <w:textAlignment w:val="baseline"/>
    </w:pPr>
    <w:rPr>
      <w:rFonts w:ascii="宋体" w:hAnsi="宋体" w:cs="宋体"/>
      <w:kern w:val="0"/>
      <w:sz w:val="24"/>
    </w:rPr>
  </w:style>
  <w:style w:type="character" w:styleId="5">
    <w:name w:val="Hyperlink"/>
    <w:basedOn w:val="4"/>
    <w:uiPriority w:val="99"/>
    <w:rPr>
      <w:rFonts w:cs="Times New Roman"/>
      <w:color w:val="0000FF"/>
      <w:u w:val="single"/>
    </w:rPr>
  </w:style>
  <w:style w:type="character" w:customStyle="1" w:styleId="6">
    <w:name w:val="Body Text Char"/>
    <w:basedOn w:val="4"/>
    <w:link w:val="2"/>
    <w:semiHidden/>
    <w:locked/>
    <w:uiPriority w:val="99"/>
    <w:rPr>
      <w:rFonts w:ascii="Calibri" w:hAnsi="Calibri" w:cs="Times New Roman"/>
      <w:sz w:val="24"/>
      <w:szCs w:val="24"/>
    </w:rPr>
  </w:style>
  <w:style w:type="paragraph" w:customStyle="1" w:styleId="7">
    <w:name w:val="样式 正文文本 + 首行缩进:  2 字符"/>
    <w:basedOn w:val="2"/>
    <w:uiPriority w:val="99"/>
    <w:pPr>
      <w:ind w:firstLine="560"/>
    </w:pPr>
    <w:rPr>
      <w:szCs w:val="28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Pages>2</Pages>
  <Words>115</Words>
  <Characters>656</Characters>
  <Lines>0</Lines>
  <Paragraphs>0</Paragraphs>
  <TotalTime>128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2021-01-19T01:03:00Z</dcterms:created>
  <dc:creator>孩儿他爹</dc:creator>
  <cp:lastModifiedBy>DELL</cp:lastModifiedBy>
  <cp:lastPrinted>2021-12-20T00:40:00Z</cp:lastPrinted>
  <dcterms:modified xsi:type="dcterms:W3CDTF">2023-01-09T08:23:39Z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  <property fmtid="{D5CDD505-2E9C-101B-9397-08002B2CF9AE}" pid="3" name="KSOSaveFontToCloudKey">
    <vt:lpwstr>306718375_cloud</vt:lpwstr>
  </property>
  <property fmtid="{D5CDD505-2E9C-101B-9397-08002B2CF9AE}" pid="4" name="ICV">
    <vt:lpwstr>A921EE587C8E473E8D06CB5BBE06EB6E</vt:lpwstr>
  </property>
</Properties>
</file>