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left"/>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eastAsia="zh-CN"/>
        </w:rPr>
        <w:t>附件</w:t>
      </w:r>
      <w:r>
        <w:rPr>
          <w:rFonts w:hint="eastAsia" w:ascii="仿宋_GB2312" w:hAnsi="仿宋_GB2312" w:eastAsia="仿宋_GB2312" w:cs="仿宋_GB2312"/>
          <w:b w:val="0"/>
          <w:bCs w:val="0"/>
          <w:sz w:val="32"/>
          <w:szCs w:val="32"/>
          <w:lang w:val="en-US" w:eastAsia="zh-CN"/>
        </w:rPr>
        <w:t>2</w:t>
      </w:r>
    </w:p>
    <w:p>
      <w:pPr>
        <w:spacing w:line="560" w:lineRule="exact"/>
        <w:jc w:val="left"/>
        <w:rPr>
          <w:rFonts w:hint="eastAsia" w:ascii="仿宋_GB2312" w:hAnsi="仿宋_GB2312" w:eastAsia="仿宋_GB2312" w:cs="仿宋_GB2312"/>
          <w:b w:val="0"/>
          <w:bCs w:val="0"/>
          <w:sz w:val="32"/>
          <w:szCs w:val="32"/>
          <w:lang w:val="en-US" w:eastAsia="zh-CN"/>
        </w:rPr>
      </w:pPr>
    </w:p>
    <w:p>
      <w:pPr>
        <w:spacing w:line="560" w:lineRule="exact"/>
        <w:jc w:val="center"/>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秦皇岛市抚宁区商务局</w:t>
      </w:r>
    </w:p>
    <w:p>
      <w:pPr>
        <w:spacing w:line="560" w:lineRule="exact"/>
        <w:jc w:val="center"/>
        <w:rPr>
          <w:rFonts w:ascii="宋体" w:cs="Times New Roman"/>
          <w:b/>
          <w:bCs/>
          <w:sz w:val="44"/>
          <w:szCs w:val="44"/>
        </w:rPr>
      </w:pP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3</w:t>
      </w:r>
      <w:r>
        <w:rPr>
          <w:rFonts w:hint="eastAsia" w:ascii="方正小标宋简体" w:hAnsi="方正小标宋简体" w:eastAsia="方正小标宋简体" w:cs="方正小标宋简体"/>
          <w:b w:val="0"/>
          <w:bCs w:val="0"/>
          <w:sz w:val="44"/>
          <w:szCs w:val="44"/>
        </w:rPr>
        <w:t>年“双随机一公开”抽查计划</w:t>
      </w:r>
    </w:p>
    <w:p>
      <w:pPr>
        <w:spacing w:line="560" w:lineRule="exact"/>
        <w:rPr>
          <w:rFonts w:ascii="仿宋" w:hAnsi="仿宋" w:eastAsia="仿宋" w:cs="Times New Roman"/>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为贯彻落实省、市、区政府关于“双随机一公开”监管工作部署要求，深入推进我区商务领域随机抽查工作，按照上级要求，结合全区商务发展实际和我局工作职能，制定202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年“双随机一公开”抽查计划如下：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黑体" w:hAnsi="黑体" w:eastAsia="黑体" w:cs="黑体"/>
          <w:sz w:val="32"/>
          <w:szCs w:val="32"/>
        </w:rPr>
      </w:pPr>
      <w:r>
        <w:rPr>
          <w:rFonts w:hint="eastAsia" w:ascii="黑体" w:hAnsi="黑体" w:eastAsia="黑体" w:cs="黑体"/>
          <w:sz w:val="32"/>
          <w:szCs w:val="32"/>
        </w:rPr>
        <w:t>一、抽查计划</w:t>
      </w:r>
      <w:r>
        <w:rPr>
          <w:rFonts w:hint="eastAsia" w:ascii="黑体" w:hAnsi="黑体" w:eastAsia="黑体" w:cs="黑体"/>
          <w:sz w:val="32"/>
          <w:szCs w:val="32"/>
          <w:lang w:eastAsia="zh-CN"/>
        </w:rPr>
        <w:t>名称</w:t>
      </w:r>
      <w:r>
        <w:rPr>
          <w:rFonts w:hint="eastAsia" w:ascii="黑体" w:hAnsi="黑体" w:eastAsia="黑体" w:cs="黑体"/>
          <w:sz w:val="32"/>
          <w:szCs w:val="32"/>
        </w:rPr>
        <w:t>、</w:t>
      </w:r>
      <w:r>
        <w:rPr>
          <w:rFonts w:hint="eastAsia" w:ascii="黑体" w:hAnsi="黑体" w:eastAsia="黑体" w:cs="黑体"/>
          <w:sz w:val="32"/>
          <w:szCs w:val="32"/>
          <w:lang w:eastAsia="zh-CN"/>
        </w:rPr>
        <w:t>编号、</w:t>
      </w:r>
      <w:r>
        <w:rPr>
          <w:rFonts w:hint="eastAsia" w:ascii="黑体" w:hAnsi="黑体" w:eastAsia="黑体" w:cs="黑体"/>
          <w:sz w:val="32"/>
          <w:szCs w:val="32"/>
        </w:rPr>
        <w:t>类型、时间</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年秦皇岛市抚宁区商务局内部联合随机抽查</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次，计划编号</w:t>
      </w:r>
      <w:r>
        <w:rPr>
          <w:rFonts w:hint="eastAsia" w:ascii="仿宋_GB2312" w:hAnsi="仿宋_GB2312" w:eastAsia="仿宋_GB2312" w:cs="仿宋_GB2312"/>
          <w:sz w:val="32"/>
          <w:szCs w:val="32"/>
          <w:lang w:eastAsia="zh-CN"/>
        </w:rPr>
        <w:t>抚商</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001-202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00</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号，抽查类型为定向抽查，抽查时间为上半年</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-6月份、下半年</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月份</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黑体" w:hAnsi="黑体" w:eastAsia="黑体" w:cs="黑体"/>
          <w:sz w:val="32"/>
          <w:szCs w:val="32"/>
        </w:rPr>
      </w:pPr>
      <w:r>
        <w:rPr>
          <w:rFonts w:hint="eastAsia" w:ascii="黑体" w:hAnsi="黑体" w:eastAsia="黑体" w:cs="黑体"/>
          <w:sz w:val="32"/>
          <w:szCs w:val="32"/>
        </w:rPr>
        <w:t>二、抽查内容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.依据《单用途商业预付卡管理办法》对单用途商业预付卡管理进行抽查。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.依据《家庭服务业管理暂行办法》对家庭服务业管理进行抽查。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黑体" w:hAnsi="黑体" w:eastAsia="黑体" w:cs="黑体"/>
          <w:sz w:val="32"/>
          <w:szCs w:val="32"/>
        </w:rPr>
      </w:pPr>
      <w:bookmarkStart w:id="0" w:name="_GoBack"/>
      <w:bookmarkEnd w:id="0"/>
      <w:r>
        <w:rPr>
          <w:rFonts w:hint="eastAsia" w:ascii="黑体" w:hAnsi="黑体" w:eastAsia="黑体" w:cs="黑体"/>
          <w:sz w:val="32"/>
          <w:szCs w:val="32"/>
        </w:rPr>
        <w:t>三、市场主体和执法检查人员的抽取</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市场主体通过双随机双告知系统随机抽取，比例大于等于</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27" w:firstLineChars="196"/>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2.信用风险等级：</w:t>
      </w:r>
      <w:r>
        <w:rPr>
          <w:rFonts w:hint="eastAsia" w:ascii="仿宋_GB2312" w:hAnsi="仿宋_GB2312" w:eastAsia="仿宋_GB2312" w:cs="仿宋_GB2312"/>
          <w:sz w:val="32"/>
          <w:szCs w:val="32"/>
        </w:rPr>
        <w:t>为推进“双随机一公开”监管与企业信用风险分类监管相结合，提高</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双随机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抽查的精准性和靶向性，本年度“双随机”抽查</w:t>
      </w:r>
      <w:r>
        <w:rPr>
          <w:rFonts w:hint="eastAsia" w:ascii="仿宋_GB2312" w:hAnsi="仿宋_GB2312" w:eastAsia="仿宋_GB2312" w:cs="仿宋_GB2312"/>
          <w:sz w:val="32"/>
          <w:szCs w:val="32"/>
          <w:lang w:eastAsia="zh-CN"/>
        </w:rPr>
        <w:t>先</w:t>
      </w:r>
      <w:r>
        <w:rPr>
          <w:rFonts w:hint="eastAsia" w:ascii="仿宋_GB2312" w:hAnsi="仿宋_GB2312" w:eastAsia="仿宋_GB2312" w:cs="仿宋_GB2312"/>
          <w:sz w:val="32"/>
          <w:szCs w:val="32"/>
        </w:rPr>
        <w:t>从信用分类较高风险等级中抽取检查对象，若数量不能满足比例要求，再从信用分类较低风险等级中抽取，直到满足比例要求。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.执法检查人员通过双随机双告知系统随机抽取，不少于两人。</w:t>
      </w:r>
      <w:r>
        <w:rPr>
          <w:rFonts w:hint="eastAsia" w:ascii="仿宋_GB2312" w:hAnsi="仿宋_GB2312" w:eastAsia="仿宋_GB2312" w:cs="仿宋_GB2312"/>
          <w:sz w:val="32"/>
          <w:szCs w:val="32"/>
          <w:lang w:eastAsia="zh-CN"/>
        </w:rPr>
        <w:t>执法检查人员与主场主体有利害关系的，按相关要求依法回避。</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黑体" w:hAnsi="黑体" w:eastAsia="黑体" w:cs="黑体"/>
          <w:sz w:val="32"/>
          <w:szCs w:val="32"/>
        </w:rPr>
      </w:pPr>
      <w:r>
        <w:rPr>
          <w:rFonts w:hint="eastAsia" w:ascii="黑体" w:hAnsi="黑体" w:eastAsia="黑体" w:cs="黑体"/>
          <w:sz w:val="32"/>
          <w:szCs w:val="32"/>
        </w:rPr>
        <w:t>四、检查工作流程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1.通过双随机双告知系统随机抽取市场主体和执法检查人员。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2.名单确定后，执法检查人员应在规定时间内采取实地核查的方式开展工作。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3.对市场主体进行实地核查时，执法检查人员不得少于2人，执法检查人员填写</w:t>
      </w:r>
      <w:r>
        <w:rPr>
          <w:rFonts w:hint="eastAsia" w:ascii="仿宋_GB2312" w:hAnsi="仿宋_GB2312" w:eastAsia="仿宋_GB2312" w:cs="仿宋_GB2312"/>
          <w:sz w:val="32"/>
          <w:szCs w:val="32"/>
          <w:lang w:eastAsia="zh-CN"/>
        </w:rPr>
        <w:t>《市场主体综合检查随机抽查记录表》</w:t>
      </w:r>
      <w:r>
        <w:rPr>
          <w:rFonts w:hint="eastAsia" w:ascii="仿宋_GB2312" w:hAnsi="仿宋_GB2312" w:eastAsia="仿宋_GB2312" w:cs="仿宋_GB2312"/>
          <w:sz w:val="32"/>
          <w:szCs w:val="32"/>
        </w:rPr>
        <w:t>，并由被检查市场主体法定代表人(负责人)签字盖章确认。</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4.对市场主体实施检查时，被抽查市场主体与执法检查人员要积极配合，对确定的检查事项和内容，一次性完成检查。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黑体" w:hAnsi="黑体" w:eastAsia="黑体" w:cs="黑体"/>
          <w:sz w:val="32"/>
          <w:szCs w:val="32"/>
        </w:rPr>
      </w:pPr>
      <w:r>
        <w:rPr>
          <w:rFonts w:hint="eastAsia" w:ascii="黑体" w:hAnsi="黑体" w:eastAsia="黑体" w:cs="黑体"/>
          <w:sz w:val="32"/>
          <w:szCs w:val="32"/>
        </w:rPr>
        <w:t>五、抽查结果公示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抽查结束后，要将被抽查市场主体相关经营行为的检查结果通过双随机双告知系统或政府门户网站向社会公示。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检查结果正常的，自检查结束之日起20个工作日内通过双随机双告知系统或政府门户网站向社会公示“正常”。</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检查中发现存在问题的，应及时核查，查实后及时公示。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检查中发现存在违法行为的，应当按照有关程序移交案件线索,办案机关依法进行查处；同时，将行政处罚信息通过双随机双告知系统或政府门户网站向社会公示。</w:t>
      </w:r>
    </w:p>
    <w:p>
      <w:pPr>
        <w:keepNext w:val="0"/>
        <w:keepLines w:val="0"/>
        <w:pageBreakBefore w:val="0"/>
        <w:widowControl w:val="0"/>
        <w:tabs>
          <w:tab w:val="left" w:pos="928"/>
        </w:tabs>
        <w:kinsoku/>
        <w:wordWrap/>
        <w:overflowPunct/>
        <w:topLinePunct w:val="0"/>
        <w:autoSpaceDE/>
        <w:autoSpaceDN/>
        <w:bidi w:val="0"/>
        <w:adjustRightInd/>
        <w:snapToGrid/>
        <w:spacing w:line="560" w:lineRule="exact"/>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4960" w:firstLineChars="155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秦皇岛市抚宁区商务局</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年1月</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p>
    <w:p>
      <w:pPr>
        <w:spacing w:line="560" w:lineRule="exact"/>
        <w:ind w:firstLine="640" w:firstLineChars="200"/>
        <w:jc w:val="left"/>
        <w:rPr>
          <w:rFonts w:hint="eastAsia" w:ascii="仿宋_GB2312" w:hAnsi="仿宋_GB2312" w:eastAsia="仿宋_GB2312" w:cs="仿宋_GB2312"/>
          <w:sz w:val="32"/>
          <w:szCs w:val="32"/>
        </w:rPr>
      </w:pPr>
    </w:p>
    <w:p>
      <w:pPr>
        <w:spacing w:line="560" w:lineRule="exact"/>
        <w:ind w:firstLine="640" w:firstLineChars="200"/>
        <w:jc w:val="left"/>
        <w:rPr>
          <w:rFonts w:hint="eastAsia" w:ascii="仿宋_GB2312" w:hAnsi="仿宋_GB2312" w:eastAsia="仿宋_GB2312" w:cs="仿宋_GB2312"/>
          <w:sz w:val="32"/>
          <w:szCs w:val="32"/>
        </w:rPr>
      </w:pPr>
    </w:p>
    <w:p>
      <w:pPr>
        <w:spacing w:line="560" w:lineRule="exact"/>
        <w:ind w:firstLine="640" w:firstLineChars="200"/>
        <w:jc w:val="left"/>
        <w:rPr>
          <w:rFonts w:hint="eastAsia" w:ascii="仿宋_GB2312" w:hAnsi="仿宋_GB2312" w:eastAsia="仿宋_GB2312" w:cs="仿宋_GB2312"/>
          <w:sz w:val="32"/>
          <w:szCs w:val="32"/>
        </w:rPr>
      </w:pPr>
    </w:p>
    <w:p>
      <w:pPr>
        <w:spacing w:line="560" w:lineRule="exact"/>
        <w:ind w:firstLine="640" w:firstLineChars="200"/>
        <w:jc w:val="left"/>
        <w:rPr>
          <w:rFonts w:hint="eastAsia" w:ascii="仿宋_GB2312" w:hAnsi="仿宋_GB2312" w:eastAsia="仿宋_GB2312" w:cs="仿宋_GB2312"/>
          <w:sz w:val="32"/>
          <w:szCs w:val="32"/>
        </w:rPr>
      </w:pPr>
    </w:p>
    <w:p>
      <w:pPr>
        <w:spacing w:line="560" w:lineRule="exact"/>
        <w:ind w:firstLine="640" w:firstLineChars="200"/>
        <w:jc w:val="left"/>
        <w:rPr>
          <w:rFonts w:hint="eastAsia" w:ascii="仿宋_GB2312" w:hAnsi="仿宋_GB2312" w:eastAsia="仿宋_GB2312" w:cs="仿宋_GB2312"/>
          <w:sz w:val="32"/>
          <w:szCs w:val="32"/>
        </w:rPr>
      </w:pPr>
    </w:p>
    <w:p>
      <w:pPr>
        <w:spacing w:line="560" w:lineRule="exact"/>
        <w:ind w:firstLine="640" w:firstLineChars="200"/>
        <w:jc w:val="left"/>
        <w:rPr>
          <w:rFonts w:ascii="仿宋_GB2312" w:eastAsia="仿宋_GB2312" w:cs="Times New Roman"/>
          <w:sz w:val="32"/>
          <w:szCs w:val="32"/>
        </w:rPr>
      </w:pPr>
    </w:p>
    <w:p>
      <w:pPr>
        <w:spacing w:line="560" w:lineRule="exact"/>
        <w:ind w:firstLine="640" w:firstLineChars="200"/>
        <w:jc w:val="left"/>
        <w:rPr>
          <w:rFonts w:ascii="仿宋_GB2312" w:eastAsia="仿宋_GB2312" w:cs="Times New Roman"/>
          <w:sz w:val="32"/>
          <w:szCs w:val="32"/>
        </w:rPr>
      </w:pPr>
    </w:p>
    <w:p>
      <w:pPr>
        <w:spacing w:line="560" w:lineRule="exact"/>
        <w:ind w:firstLine="640" w:firstLineChars="200"/>
        <w:jc w:val="left"/>
        <w:rPr>
          <w:rFonts w:ascii="仿宋_GB2312" w:eastAsia="仿宋_GB2312" w:cs="Times New Roman"/>
          <w:sz w:val="32"/>
          <w:szCs w:val="32"/>
        </w:rPr>
      </w:pPr>
    </w:p>
    <w:sectPr>
      <w:footerReference r:id="rId3" w:type="default"/>
      <w:footerReference r:id="rId4" w:type="even"/>
      <w:pgSz w:w="11906" w:h="16838"/>
      <w:pgMar w:top="2098" w:right="1474" w:bottom="1984" w:left="1588" w:header="851" w:footer="1587" w:gutter="0"/>
      <w:cols w:space="0" w:num="1"/>
      <w:titlePg/>
      <w:rtlGutter w:val="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Verdana">
    <w:panose1 w:val="020B0604030504040204"/>
    <w:charset w:val="00"/>
    <w:family w:val="swiss"/>
    <w:pitch w:val="default"/>
    <w:sig w:usb0="A10006FF" w:usb1="4000205B" w:usb2="00000010"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altName w:val="宋体-方正超大字符集"/>
    <w:panose1 w:val="03000509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宋体-方正超大字符集">
    <w:panose1 w:val="03000509000000000000"/>
    <w:charset w:val="86"/>
    <w:family w:val="auto"/>
    <w:pitch w:val="default"/>
    <w:sig w:usb0="00000001" w:usb1="080E0000" w:usb2="00000000" w:usb3="00000000" w:csb0="00040000"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9"/>
        <w:rFonts w:ascii="宋体" w:hAnsi="宋体" w:cs="宋体"/>
        <w:sz w:val="28"/>
        <w:szCs w:val="28"/>
      </w:rPr>
    </w:pPr>
    <w:r>
      <w:rPr>
        <w:rStyle w:val="9"/>
        <w:rFonts w:ascii="宋体" w:hAnsi="宋体" w:cs="宋体"/>
        <w:sz w:val="28"/>
        <w:szCs w:val="28"/>
      </w:rPr>
      <w:t xml:space="preserve">— </w:t>
    </w:r>
    <w:r>
      <w:rPr>
        <w:rStyle w:val="9"/>
        <w:rFonts w:ascii="宋体" w:hAnsi="宋体" w:cs="宋体"/>
        <w:sz w:val="28"/>
        <w:szCs w:val="28"/>
      </w:rPr>
      <w:fldChar w:fldCharType="begin"/>
    </w:r>
    <w:r>
      <w:rPr>
        <w:rStyle w:val="9"/>
        <w:rFonts w:ascii="宋体" w:hAnsi="宋体" w:cs="宋体"/>
        <w:sz w:val="28"/>
        <w:szCs w:val="28"/>
      </w:rPr>
      <w:instrText xml:space="preserve">PAGE  </w:instrText>
    </w:r>
    <w:r>
      <w:rPr>
        <w:rStyle w:val="9"/>
        <w:rFonts w:ascii="宋体" w:hAnsi="宋体" w:cs="宋体"/>
        <w:sz w:val="28"/>
        <w:szCs w:val="28"/>
      </w:rPr>
      <w:fldChar w:fldCharType="separate"/>
    </w:r>
    <w:r>
      <w:rPr>
        <w:rStyle w:val="9"/>
        <w:rFonts w:ascii="宋体" w:hAnsi="宋体" w:cs="宋体"/>
        <w:sz w:val="28"/>
        <w:szCs w:val="28"/>
      </w:rPr>
      <w:t>3</w:t>
    </w:r>
    <w:r>
      <w:rPr>
        <w:rStyle w:val="9"/>
        <w:rFonts w:ascii="宋体" w:hAnsi="宋体" w:cs="宋体"/>
        <w:sz w:val="28"/>
        <w:szCs w:val="28"/>
      </w:rPr>
      <w:fldChar w:fldCharType="end"/>
    </w:r>
    <w:r>
      <w:rPr>
        <w:rStyle w:val="9"/>
        <w:rFonts w:ascii="宋体" w:hAnsi="宋体" w:cs="宋体"/>
        <w:sz w:val="28"/>
        <w:szCs w:val="28"/>
      </w:rPr>
      <w:t xml:space="preserve"> —</w:t>
    </w:r>
  </w:p>
  <w:p>
    <w:pPr>
      <w:pStyle w:val="5"/>
      <w:ind w:right="360" w:firstLine="360"/>
      <w:rPr>
        <w:rFonts w:cs="Times New Roma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9"/>
        <w:rFonts w:ascii="宋体" w:hAnsi="宋体" w:cs="宋体"/>
        <w:sz w:val="28"/>
        <w:szCs w:val="28"/>
      </w:rPr>
    </w:pPr>
    <w:r>
      <w:rPr>
        <w:rStyle w:val="9"/>
        <w:rFonts w:ascii="宋体" w:hAnsi="宋体" w:cs="宋体"/>
        <w:sz w:val="28"/>
        <w:szCs w:val="28"/>
      </w:rPr>
      <w:t xml:space="preserve">— </w:t>
    </w:r>
    <w:r>
      <w:rPr>
        <w:rStyle w:val="9"/>
        <w:rFonts w:ascii="宋体" w:hAnsi="宋体" w:cs="宋体"/>
        <w:sz w:val="28"/>
        <w:szCs w:val="28"/>
      </w:rPr>
      <w:fldChar w:fldCharType="begin"/>
    </w:r>
    <w:r>
      <w:rPr>
        <w:rStyle w:val="9"/>
        <w:rFonts w:ascii="宋体" w:hAnsi="宋体" w:cs="宋体"/>
        <w:sz w:val="28"/>
        <w:szCs w:val="28"/>
      </w:rPr>
      <w:instrText xml:space="preserve">PAGE  </w:instrText>
    </w:r>
    <w:r>
      <w:rPr>
        <w:rStyle w:val="9"/>
        <w:rFonts w:ascii="宋体" w:hAnsi="宋体" w:cs="宋体"/>
        <w:sz w:val="28"/>
        <w:szCs w:val="28"/>
      </w:rPr>
      <w:fldChar w:fldCharType="separate"/>
    </w:r>
    <w:r>
      <w:rPr>
        <w:rStyle w:val="9"/>
        <w:rFonts w:ascii="宋体" w:hAnsi="宋体" w:cs="宋体"/>
        <w:sz w:val="28"/>
        <w:szCs w:val="28"/>
      </w:rPr>
      <w:t>2</w:t>
    </w:r>
    <w:r>
      <w:rPr>
        <w:rStyle w:val="9"/>
        <w:rFonts w:ascii="宋体" w:hAnsi="宋体" w:cs="宋体"/>
        <w:sz w:val="28"/>
        <w:szCs w:val="28"/>
      </w:rPr>
      <w:fldChar w:fldCharType="end"/>
    </w:r>
    <w:r>
      <w:rPr>
        <w:rStyle w:val="9"/>
        <w:rFonts w:ascii="宋体" w:hAnsi="宋体" w:cs="宋体"/>
        <w:sz w:val="28"/>
        <w:szCs w:val="28"/>
      </w:rPr>
      <w:t xml:space="preserve"> —</w:t>
    </w:r>
  </w:p>
  <w:p>
    <w:pPr>
      <w:pStyle w:val="5"/>
      <w:ind w:right="360" w:firstLine="360"/>
      <w:rPr>
        <w:rFonts w:cs="Times New Roman"/>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mirrorMargins w:val="1"/>
  <w:bordersDoNotSurroundHeader w:val="1"/>
  <w:bordersDoNotSurroundFooter w:val="1"/>
  <w:documentProtection w:enforcement="0"/>
  <w:defaultTabStop w:val="420"/>
  <w:doNotHyphenateCaps/>
  <w:evenAndOddHeaders w:val="1"/>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43D3D"/>
    <w:rsid w:val="000002CC"/>
    <w:rsid w:val="000053CC"/>
    <w:rsid w:val="00026172"/>
    <w:rsid w:val="00073520"/>
    <w:rsid w:val="000A486B"/>
    <w:rsid w:val="000D3ACE"/>
    <w:rsid w:val="00105196"/>
    <w:rsid w:val="00127279"/>
    <w:rsid w:val="0013508F"/>
    <w:rsid w:val="0013783A"/>
    <w:rsid w:val="00151A10"/>
    <w:rsid w:val="001548A5"/>
    <w:rsid w:val="00161053"/>
    <w:rsid w:val="00187F09"/>
    <w:rsid w:val="001A28AC"/>
    <w:rsid w:val="001B315A"/>
    <w:rsid w:val="001C32D5"/>
    <w:rsid w:val="001C5C18"/>
    <w:rsid w:val="001D49AA"/>
    <w:rsid w:val="001E5526"/>
    <w:rsid w:val="001F5068"/>
    <w:rsid w:val="002020F1"/>
    <w:rsid w:val="00203A17"/>
    <w:rsid w:val="00204C1D"/>
    <w:rsid w:val="00235DDB"/>
    <w:rsid w:val="0024216B"/>
    <w:rsid w:val="00245383"/>
    <w:rsid w:val="00266106"/>
    <w:rsid w:val="00275375"/>
    <w:rsid w:val="00286F71"/>
    <w:rsid w:val="002B2532"/>
    <w:rsid w:val="002B3397"/>
    <w:rsid w:val="002B4B64"/>
    <w:rsid w:val="002D460E"/>
    <w:rsid w:val="002D4E42"/>
    <w:rsid w:val="002F6D83"/>
    <w:rsid w:val="00311DFE"/>
    <w:rsid w:val="00337F88"/>
    <w:rsid w:val="0034454F"/>
    <w:rsid w:val="0035017F"/>
    <w:rsid w:val="003569DE"/>
    <w:rsid w:val="00356BF0"/>
    <w:rsid w:val="00356BFA"/>
    <w:rsid w:val="00363B6E"/>
    <w:rsid w:val="00380180"/>
    <w:rsid w:val="00384B79"/>
    <w:rsid w:val="0039039A"/>
    <w:rsid w:val="003C6D20"/>
    <w:rsid w:val="003D1288"/>
    <w:rsid w:val="003D78BF"/>
    <w:rsid w:val="003D7FC4"/>
    <w:rsid w:val="004010CB"/>
    <w:rsid w:val="00412F85"/>
    <w:rsid w:val="0041708B"/>
    <w:rsid w:val="004221B0"/>
    <w:rsid w:val="00432179"/>
    <w:rsid w:val="004404AA"/>
    <w:rsid w:val="00443ACD"/>
    <w:rsid w:val="00455993"/>
    <w:rsid w:val="0046053F"/>
    <w:rsid w:val="00485A3F"/>
    <w:rsid w:val="004B14F4"/>
    <w:rsid w:val="004C2230"/>
    <w:rsid w:val="004D69D5"/>
    <w:rsid w:val="00516A3A"/>
    <w:rsid w:val="005174A3"/>
    <w:rsid w:val="005219FD"/>
    <w:rsid w:val="00537C67"/>
    <w:rsid w:val="005411D1"/>
    <w:rsid w:val="005804FC"/>
    <w:rsid w:val="0058305D"/>
    <w:rsid w:val="005B1060"/>
    <w:rsid w:val="005B277C"/>
    <w:rsid w:val="005F3E46"/>
    <w:rsid w:val="00601907"/>
    <w:rsid w:val="00620B71"/>
    <w:rsid w:val="0066195B"/>
    <w:rsid w:val="00664AA9"/>
    <w:rsid w:val="00674BCF"/>
    <w:rsid w:val="0068342F"/>
    <w:rsid w:val="0068709D"/>
    <w:rsid w:val="00690C87"/>
    <w:rsid w:val="006B3FD9"/>
    <w:rsid w:val="006D1021"/>
    <w:rsid w:val="006D53BD"/>
    <w:rsid w:val="006E4A5C"/>
    <w:rsid w:val="006F7247"/>
    <w:rsid w:val="006F7CC7"/>
    <w:rsid w:val="006F7DFA"/>
    <w:rsid w:val="00766EA5"/>
    <w:rsid w:val="007707B0"/>
    <w:rsid w:val="007756BE"/>
    <w:rsid w:val="007907EB"/>
    <w:rsid w:val="00796923"/>
    <w:rsid w:val="007A706C"/>
    <w:rsid w:val="007C07D6"/>
    <w:rsid w:val="008079D4"/>
    <w:rsid w:val="008222FD"/>
    <w:rsid w:val="00852EA4"/>
    <w:rsid w:val="00853077"/>
    <w:rsid w:val="00865E92"/>
    <w:rsid w:val="00882EC6"/>
    <w:rsid w:val="00884B48"/>
    <w:rsid w:val="008B07EF"/>
    <w:rsid w:val="008B5A3B"/>
    <w:rsid w:val="008B66A3"/>
    <w:rsid w:val="008B7694"/>
    <w:rsid w:val="008F35AA"/>
    <w:rsid w:val="008F3675"/>
    <w:rsid w:val="00906CC3"/>
    <w:rsid w:val="0093585F"/>
    <w:rsid w:val="00940FC6"/>
    <w:rsid w:val="0094598F"/>
    <w:rsid w:val="009512F0"/>
    <w:rsid w:val="009825B3"/>
    <w:rsid w:val="00983F17"/>
    <w:rsid w:val="009C1AA8"/>
    <w:rsid w:val="009C3DED"/>
    <w:rsid w:val="009E4DD7"/>
    <w:rsid w:val="00A01158"/>
    <w:rsid w:val="00A41C50"/>
    <w:rsid w:val="00A61296"/>
    <w:rsid w:val="00AB2403"/>
    <w:rsid w:val="00AB62DC"/>
    <w:rsid w:val="00AC0CA4"/>
    <w:rsid w:val="00AC6F1D"/>
    <w:rsid w:val="00AD36A8"/>
    <w:rsid w:val="00AF5ABF"/>
    <w:rsid w:val="00B30E8A"/>
    <w:rsid w:val="00B354FF"/>
    <w:rsid w:val="00B452EB"/>
    <w:rsid w:val="00B47F98"/>
    <w:rsid w:val="00B61071"/>
    <w:rsid w:val="00B70FDA"/>
    <w:rsid w:val="00BB37F0"/>
    <w:rsid w:val="00BE2E7E"/>
    <w:rsid w:val="00BF73C3"/>
    <w:rsid w:val="00C1209F"/>
    <w:rsid w:val="00C16EA8"/>
    <w:rsid w:val="00C22F19"/>
    <w:rsid w:val="00C4393C"/>
    <w:rsid w:val="00C57B32"/>
    <w:rsid w:val="00C671C8"/>
    <w:rsid w:val="00C729CF"/>
    <w:rsid w:val="00C7670E"/>
    <w:rsid w:val="00CB1689"/>
    <w:rsid w:val="00CB3CBC"/>
    <w:rsid w:val="00CC3D42"/>
    <w:rsid w:val="00CD1848"/>
    <w:rsid w:val="00CE208A"/>
    <w:rsid w:val="00CF68CF"/>
    <w:rsid w:val="00D14C89"/>
    <w:rsid w:val="00D16163"/>
    <w:rsid w:val="00D45D8D"/>
    <w:rsid w:val="00D57B1B"/>
    <w:rsid w:val="00D82428"/>
    <w:rsid w:val="00D85E47"/>
    <w:rsid w:val="00D91667"/>
    <w:rsid w:val="00D965B8"/>
    <w:rsid w:val="00D97B82"/>
    <w:rsid w:val="00DA28A3"/>
    <w:rsid w:val="00DB55A6"/>
    <w:rsid w:val="00DC3F5E"/>
    <w:rsid w:val="00DE1F7F"/>
    <w:rsid w:val="00E05CD2"/>
    <w:rsid w:val="00E07AA8"/>
    <w:rsid w:val="00E2361C"/>
    <w:rsid w:val="00E43D3D"/>
    <w:rsid w:val="00E57682"/>
    <w:rsid w:val="00E63E91"/>
    <w:rsid w:val="00E6484F"/>
    <w:rsid w:val="00E653C6"/>
    <w:rsid w:val="00E84B19"/>
    <w:rsid w:val="00EC1266"/>
    <w:rsid w:val="00EC2A19"/>
    <w:rsid w:val="00EC4D5E"/>
    <w:rsid w:val="00EC5AE5"/>
    <w:rsid w:val="00EC79F9"/>
    <w:rsid w:val="00F12DBF"/>
    <w:rsid w:val="00F23B1C"/>
    <w:rsid w:val="00F421DA"/>
    <w:rsid w:val="00F52391"/>
    <w:rsid w:val="00F76FB0"/>
    <w:rsid w:val="00F911C0"/>
    <w:rsid w:val="00FA18F6"/>
    <w:rsid w:val="00FB6244"/>
    <w:rsid w:val="02932077"/>
    <w:rsid w:val="0313168C"/>
    <w:rsid w:val="19E43580"/>
    <w:rsid w:val="1EC05A50"/>
    <w:rsid w:val="23B408B5"/>
    <w:rsid w:val="26656213"/>
    <w:rsid w:val="3C526CEF"/>
    <w:rsid w:val="44EC695B"/>
    <w:rsid w:val="5C2443E2"/>
    <w:rsid w:val="6E7705CC"/>
    <w:rsid w:val="79CC4659"/>
    <w:rsid w:val="7BFE425B"/>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qFormat="1" w:unhideWhenUsed="0"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qFormat="1" w:unhideWhenUsed="0" w:uiPriority="99"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8">
    <w:name w:val="Default Paragraph Font"/>
    <w:semiHidden/>
    <w:qFormat/>
    <w:uiPriority w:val="99"/>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18"/>
    <w:qFormat/>
    <w:uiPriority w:val="99"/>
    <w:pPr>
      <w:widowControl/>
      <w:jc w:val="left"/>
    </w:pPr>
    <w:rPr>
      <w:rFonts w:ascii="宋体" w:hAnsi="Times New Roman" w:cs="宋体"/>
      <w:kern w:val="0"/>
      <w:sz w:val="24"/>
      <w:szCs w:val="24"/>
    </w:rPr>
  </w:style>
  <w:style w:type="paragraph" w:styleId="3">
    <w:name w:val="Date"/>
    <w:basedOn w:val="1"/>
    <w:next w:val="1"/>
    <w:link w:val="16"/>
    <w:qFormat/>
    <w:uiPriority w:val="99"/>
    <w:pPr>
      <w:ind w:left="100" w:leftChars="2500"/>
    </w:pPr>
  </w:style>
  <w:style w:type="paragraph" w:styleId="4">
    <w:name w:val="Balloon Text"/>
    <w:basedOn w:val="1"/>
    <w:link w:val="14"/>
    <w:semiHidden/>
    <w:qFormat/>
    <w:uiPriority w:val="99"/>
    <w:rPr>
      <w:sz w:val="18"/>
      <w:szCs w:val="18"/>
    </w:rPr>
  </w:style>
  <w:style w:type="paragraph" w:styleId="5">
    <w:name w:val="footer"/>
    <w:basedOn w:val="1"/>
    <w:link w:val="12"/>
    <w:qFormat/>
    <w:uiPriority w:val="99"/>
    <w:pPr>
      <w:tabs>
        <w:tab w:val="center" w:pos="4153"/>
        <w:tab w:val="right" w:pos="8306"/>
      </w:tabs>
      <w:snapToGrid w:val="0"/>
      <w:jc w:val="left"/>
    </w:pPr>
    <w:rPr>
      <w:sz w:val="18"/>
      <w:szCs w:val="18"/>
    </w:rPr>
  </w:style>
  <w:style w:type="paragraph" w:styleId="6">
    <w:name w:val="header"/>
    <w:basedOn w:val="1"/>
    <w:link w:val="11"/>
    <w:semiHidden/>
    <w:qFormat/>
    <w:uiPriority w:val="99"/>
    <w:pPr>
      <w:pBdr>
        <w:bottom w:val="single" w:color="auto" w:sz="6" w:space="1"/>
      </w:pBdr>
      <w:tabs>
        <w:tab w:val="center" w:pos="4153"/>
        <w:tab w:val="right" w:pos="8306"/>
      </w:tabs>
      <w:snapToGrid w:val="0"/>
      <w:jc w:val="center"/>
    </w:pPr>
    <w:rPr>
      <w:sz w:val="18"/>
      <w:szCs w:val="18"/>
    </w:rPr>
  </w:style>
  <w:style w:type="character" w:styleId="9">
    <w:name w:val="page number"/>
    <w:basedOn w:val="8"/>
    <w:qFormat/>
    <w:uiPriority w:val="99"/>
  </w:style>
  <w:style w:type="character" w:styleId="10">
    <w:name w:val="Hyperlink"/>
    <w:basedOn w:val="8"/>
    <w:qFormat/>
    <w:uiPriority w:val="99"/>
    <w:rPr>
      <w:color w:val="0000FF"/>
      <w:u w:val="single"/>
    </w:rPr>
  </w:style>
  <w:style w:type="character" w:customStyle="1" w:styleId="11">
    <w:name w:val="Header Char"/>
    <w:basedOn w:val="8"/>
    <w:link w:val="6"/>
    <w:semiHidden/>
    <w:qFormat/>
    <w:locked/>
    <w:uiPriority w:val="99"/>
    <w:rPr>
      <w:sz w:val="18"/>
      <w:szCs w:val="18"/>
    </w:rPr>
  </w:style>
  <w:style w:type="character" w:customStyle="1" w:styleId="12">
    <w:name w:val="Footer Char"/>
    <w:basedOn w:val="8"/>
    <w:link w:val="5"/>
    <w:qFormat/>
    <w:locked/>
    <w:uiPriority w:val="99"/>
    <w:rPr>
      <w:sz w:val="18"/>
      <w:szCs w:val="18"/>
    </w:rPr>
  </w:style>
  <w:style w:type="paragraph" w:styleId="13">
    <w:name w:val="List Paragraph"/>
    <w:basedOn w:val="1"/>
    <w:qFormat/>
    <w:uiPriority w:val="99"/>
    <w:pPr>
      <w:ind w:firstLine="420" w:firstLineChars="200"/>
    </w:pPr>
  </w:style>
  <w:style w:type="character" w:customStyle="1" w:styleId="14">
    <w:name w:val="Balloon Text Char"/>
    <w:basedOn w:val="8"/>
    <w:link w:val="4"/>
    <w:semiHidden/>
    <w:qFormat/>
    <w:locked/>
    <w:uiPriority w:val="99"/>
    <w:rPr>
      <w:sz w:val="2"/>
      <w:szCs w:val="2"/>
    </w:rPr>
  </w:style>
  <w:style w:type="paragraph" w:customStyle="1" w:styleId="15">
    <w:name w:val="默认段落字体 Para Char Char Char Char"/>
    <w:basedOn w:val="1"/>
    <w:qFormat/>
    <w:uiPriority w:val="99"/>
    <w:rPr>
      <w:rFonts w:ascii="Times New Roman" w:hAnsi="Times New Roman" w:cs="Times New Roman"/>
    </w:rPr>
  </w:style>
  <w:style w:type="character" w:customStyle="1" w:styleId="16">
    <w:name w:val="Date Char"/>
    <w:basedOn w:val="8"/>
    <w:link w:val="3"/>
    <w:semiHidden/>
    <w:qFormat/>
    <w:locked/>
    <w:uiPriority w:val="99"/>
    <w:rPr>
      <w:sz w:val="21"/>
      <w:szCs w:val="21"/>
    </w:rPr>
  </w:style>
  <w:style w:type="paragraph" w:customStyle="1" w:styleId="17">
    <w:name w:val="Char Char Char Char Char Char Char Char Char Char Char Char Char Char Char Char Char Char Char Char Char Char Char Char Char Char Char Char Char Char Char Char Char"/>
    <w:basedOn w:val="1"/>
    <w:qFormat/>
    <w:uiPriority w:val="99"/>
    <w:pPr>
      <w:widowControl/>
      <w:spacing w:after="160" w:line="240" w:lineRule="exact"/>
      <w:jc w:val="left"/>
    </w:pPr>
    <w:rPr>
      <w:rFonts w:ascii="Verdana" w:hAnsi="Verdana" w:eastAsia="仿宋_GB2312" w:cs="Verdana"/>
      <w:kern w:val="0"/>
      <w:sz w:val="24"/>
      <w:szCs w:val="24"/>
      <w:lang w:eastAsia="en-US"/>
    </w:rPr>
  </w:style>
  <w:style w:type="character" w:customStyle="1" w:styleId="18">
    <w:name w:val="Plain Text Char"/>
    <w:basedOn w:val="8"/>
    <w:link w:val="2"/>
    <w:qFormat/>
    <w:locked/>
    <w:uiPriority w:val="99"/>
    <w:rPr>
      <w:rFonts w:ascii="宋体" w:hAnsi="Times New Roman" w:cs="宋体"/>
      <w:sz w:val="21"/>
      <w:szCs w:val="21"/>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Microsoft</Company>
  <Pages>4</Pages>
  <Words>168</Words>
  <Characters>958</Characters>
  <Lines>0</Lines>
  <Paragraphs>0</Paragraphs>
  <TotalTime>25</TotalTime>
  <ScaleCrop>false</ScaleCrop>
  <LinksUpToDate>false</LinksUpToDate>
  <CharactersWithSpaces>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2018-12-24T06:11:00Z</dcterms:created>
  <dc:creator>chenxiaoqiu</dc:creator>
  <cp:lastModifiedBy>DELL</cp:lastModifiedBy>
  <cp:lastPrinted>2022-01-04T02:04:00Z</cp:lastPrinted>
  <dcterms:modified xsi:type="dcterms:W3CDTF">2023-01-09T08:25:01Z</dcterms:modified>
  <cp:revision>33</cp:revision>
  <dc:title>000001</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