
<file path=[Content_Types].xml><?xml version="1.0" encoding="utf-8"?>
<Types xmlns="http://schemas.openxmlformats.org/package/2006/content-types">
  <Default ContentType="application/vnd.openxmlformats-officedocument.oleObject" Extension="bin"/>
  <Default ContentType="image/jpeg" Extension="jpeg"/>
  <Default ContentType="image/.jpg" Extension="jpg"/>
  <Default ContentType="image/png" Extension="png"/>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jc w:val="center"/>
        <w:rPr>
          <w:rFonts w:hint="default" w:ascii="黑体" w:hAnsi="黑体" w:eastAsia="黑体" w:cs="黑体"/>
          <w:b w:val="0"/>
          <w:bCs w:val="0"/>
          <w:color w:val="000000" w:themeColor="text1"/>
          <w:sz w:val="30"/>
          <w:szCs w:val="30"/>
          <w:highlight w:val="none"/>
          <w14:textFill>
            <w14:solidFill>
              <w14:schemeClr w14:val="tx1"/>
            </w14:solidFill>
          </w14:textFill>
        </w:rPr>
      </w:pPr>
      <w:r>
        <w:rPr>
          <w:rFonts w:hint="default" w:ascii="黑体" w:hAnsi="黑体" w:eastAsia="黑体" w:cs="黑体"/>
          <w:b w:val="0"/>
          <w:bCs w:val="0"/>
          <w:color w:val="000000" w:themeColor="text1"/>
          <w:sz w:val="30"/>
          <w:szCs w:val="30"/>
          <w:highlight w:val="none"/>
          <w14:textFill>
            <w14:solidFill>
              <w14:schemeClr w14:val="tx1"/>
            </w14:solidFill>
          </w14:textFill>
        </w:rPr>
        <w:t>一、建设项目基本情况</w:t>
      </w:r>
    </w:p>
    <w:tbl>
      <w:tblPr>
        <w:tblStyle w:val="31"/>
        <w:tblW w:w="4922"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2044"/>
        <w:gridCol w:w="1823"/>
        <w:gridCol w:w="2175"/>
        <w:gridCol w:w="257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046" w:type="dxa"/>
            <w:noWrap w:val="0"/>
            <w:tcMar>
              <w:top w:w="16" w:type="dxa"/>
              <w:left w:w="16" w:type="dxa"/>
              <w:right w:w="16" w:type="dxa"/>
            </w:tcMar>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建设项目名称</w:t>
            </w:r>
          </w:p>
        </w:tc>
        <w:tc>
          <w:tcPr>
            <w:tcW w:w="6581" w:type="dxa"/>
            <w:gridSpan w:val="3"/>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生活垃圾焚烧发电炉渣综合利用项目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437" w:hRule="atLeast"/>
          <w:jc w:val="center"/>
        </w:trPr>
        <w:tc>
          <w:tcPr>
            <w:tcW w:w="2046" w:type="dxa"/>
            <w:noWrap w:val="0"/>
            <w:tcMar>
              <w:top w:w="16" w:type="dxa"/>
              <w:left w:w="16" w:type="dxa"/>
              <w:right w:w="16" w:type="dxa"/>
            </w:tcMar>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项目代码</w:t>
            </w:r>
          </w:p>
        </w:tc>
        <w:tc>
          <w:tcPr>
            <w:tcW w:w="6581" w:type="dxa"/>
            <w:gridSpan w:val="3"/>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2301-130306-89-05-477320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046" w:type="dxa"/>
            <w:noWrap w:val="0"/>
            <w:tcMar>
              <w:top w:w="16" w:type="dxa"/>
              <w:left w:w="16" w:type="dxa"/>
              <w:right w:w="16" w:type="dxa"/>
            </w:tcMar>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建设单位联系人</w:t>
            </w:r>
          </w:p>
        </w:tc>
        <w:tc>
          <w:tcPr>
            <w:tcW w:w="1824"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鲍雅平</w:t>
            </w:r>
          </w:p>
        </w:tc>
        <w:tc>
          <w:tcPr>
            <w:tcW w:w="2177"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t>联系方式</w:t>
            </w:r>
          </w:p>
        </w:tc>
        <w:tc>
          <w:tcPr>
            <w:tcW w:w="2580"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t>13952684688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03" w:hRule="atLeast"/>
          <w:jc w:val="center"/>
        </w:trPr>
        <w:tc>
          <w:tcPr>
            <w:tcW w:w="2046" w:type="dxa"/>
            <w:noWrap w:val="0"/>
            <w:tcMar>
              <w:top w:w="16" w:type="dxa"/>
              <w:left w:w="16" w:type="dxa"/>
              <w:right w:w="16" w:type="dxa"/>
            </w:tcMar>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建设地点</w:t>
            </w:r>
          </w:p>
        </w:tc>
        <w:tc>
          <w:tcPr>
            <w:tcW w:w="6581" w:type="dxa"/>
            <w:gridSpan w:val="3"/>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河北省秦皇岛市抚宁区留守营镇潘官营村南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046" w:type="dxa"/>
            <w:noWrap w:val="0"/>
            <w:tcMar>
              <w:top w:w="16" w:type="dxa"/>
              <w:left w:w="16" w:type="dxa"/>
              <w:right w:w="16" w:type="dxa"/>
            </w:tcMar>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地理坐标</w:t>
            </w:r>
          </w:p>
        </w:tc>
        <w:tc>
          <w:tcPr>
            <w:tcW w:w="6581" w:type="dxa"/>
            <w:gridSpan w:val="3"/>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t>（东经119°17'51.273"，北纬39°53'9.524"）</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571" w:hRule="atLeast"/>
          <w:jc w:val="center"/>
        </w:trPr>
        <w:tc>
          <w:tcPr>
            <w:tcW w:w="2046" w:type="dxa"/>
            <w:noWrap w:val="0"/>
            <w:tcMar>
              <w:top w:w="16" w:type="dxa"/>
              <w:left w:w="16" w:type="dxa"/>
              <w:right w:w="16" w:type="dxa"/>
            </w:tcMar>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国民经济</w:t>
            </w:r>
          </w:p>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行业类别</w:t>
            </w:r>
          </w:p>
        </w:tc>
        <w:tc>
          <w:tcPr>
            <w:tcW w:w="1824"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color w:val="000000" w:themeColor="text1"/>
                <w:sz w:val="24"/>
                <w:szCs w:val="24"/>
                <w:highlight w:val="none"/>
                <w:lang w:val="en-US"/>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C4220非金属废料和碎屑加工处理</w:t>
            </w:r>
          </w:p>
        </w:tc>
        <w:tc>
          <w:tcPr>
            <w:tcW w:w="2177"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4"/>
                <w:szCs w:val="24"/>
                <w:highlight w:val="none"/>
                <w14:textFill>
                  <w14:solidFill>
                    <w14:schemeClr w14:val="tx1"/>
                  </w14:solidFill>
                </w14:textFill>
              </w:rPr>
            </w:pPr>
            <w:bookmarkStart w:id="0" w:name="_Hlk49843745"/>
            <w:r>
              <w:rPr>
                <w:rFonts w:hint="default" w:ascii="Times New Roman" w:hAnsi="Times New Roman" w:eastAsia="宋体" w:cs="Times New Roman"/>
                <w:b/>
                <w:bCs/>
                <w:color w:val="000000" w:themeColor="text1"/>
                <w:sz w:val="24"/>
                <w:szCs w:val="24"/>
                <w:highlight w:val="none"/>
                <w14:textFill>
                  <w14:solidFill>
                    <w14:schemeClr w14:val="tx1"/>
                  </w14:solidFill>
                </w14:textFill>
              </w:rPr>
              <w:t>建设项目</w:t>
            </w:r>
          </w:p>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14:textFill>
                  <w14:solidFill>
                    <w14:schemeClr w14:val="tx1"/>
                  </w14:solidFill>
                </w14:textFill>
              </w:rPr>
              <w:t>行业类别</w:t>
            </w:r>
            <w:bookmarkEnd w:id="0"/>
          </w:p>
        </w:tc>
        <w:tc>
          <w:tcPr>
            <w:tcW w:w="2580"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三十九、废弃资源综合利用业；非金属废料和碎屑加工处理422废弃电器电子产品、废机动车、废电机、废电线电缆、废钢、废铁、金属和金属化合物矿灰及残渣、有色金属肥料与碎屑、废塑料、废轮胎、废船、含水洗工艺的其他废料和碎屑加工处理（农业生产产生的废旧秧盘、薄膜破碎和清洗工艺的除外）</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030" w:hRule="atLeast"/>
          <w:jc w:val="center"/>
        </w:trPr>
        <w:tc>
          <w:tcPr>
            <w:tcW w:w="2046" w:type="dxa"/>
            <w:noWrap w:val="0"/>
            <w:tcMar>
              <w:top w:w="16" w:type="dxa"/>
              <w:left w:w="16" w:type="dxa"/>
              <w:right w:w="16" w:type="dxa"/>
            </w:tcMar>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建设性质</w:t>
            </w:r>
          </w:p>
        </w:tc>
        <w:tc>
          <w:tcPr>
            <w:tcW w:w="1824" w:type="dxa"/>
            <w:noWrap w:val="0"/>
            <w:vAlign w:val="center"/>
          </w:tcPr>
          <w:p>
            <w:pPr>
              <w:pageBreakBefore w:val="0"/>
              <w:widowControl w:val="0"/>
              <w:kinsoku/>
              <w:wordWrap/>
              <w:topLinePunct w:val="0"/>
              <w:bidi w:val="0"/>
              <w:adjustRightInd w:val="0"/>
              <w:snapToGrid w:val="0"/>
              <w:spacing w:line="240" w:lineRule="auto"/>
              <w:jc w:val="both"/>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sym w:font="Wingdings 2" w:char="0052"/>
            </w:r>
            <w:r>
              <w:rPr>
                <w:rFonts w:hint="default" w:cs="Times New Roman"/>
                <w:color w:val="000000" w:themeColor="text1"/>
                <w:sz w:val="21"/>
                <w:szCs w:val="21"/>
                <w:highlight w:val="none"/>
                <w:lang w:val="en-US" w:eastAsia="zh-CN"/>
                <w14:textFill>
                  <w14:solidFill>
                    <w14:schemeClr w14:val="tx1"/>
                  </w14:solidFill>
                </w14:textFill>
              </w:rPr>
              <w:t>新建（迁建）</w:t>
            </w:r>
          </w:p>
          <w:p>
            <w:pPr>
              <w:pageBreakBefore w:val="0"/>
              <w:widowControl w:val="0"/>
              <w:kinsoku/>
              <w:wordWrap/>
              <w:topLinePunct w:val="0"/>
              <w:bidi w:val="0"/>
              <w:adjustRightInd w:val="0"/>
              <w:snapToGrid w:val="0"/>
              <w:spacing w:line="240" w:lineRule="auto"/>
              <w:jc w:val="both"/>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sym w:font="Wingdings 2" w:char="00A3"/>
            </w:r>
            <w:r>
              <w:rPr>
                <w:rFonts w:hint="default" w:cs="Times New Roman"/>
                <w:color w:val="000000" w:themeColor="text1"/>
                <w:sz w:val="21"/>
                <w:szCs w:val="21"/>
                <w:highlight w:val="none"/>
                <w:lang w:val="en-US" w:eastAsia="zh-CN"/>
                <w14:textFill>
                  <w14:solidFill>
                    <w14:schemeClr w14:val="tx1"/>
                  </w14:solidFill>
                </w14:textFill>
              </w:rPr>
              <w:t>改建</w:t>
            </w:r>
          </w:p>
          <w:p>
            <w:pPr>
              <w:pageBreakBefore w:val="0"/>
              <w:widowControl w:val="0"/>
              <w:kinsoku/>
              <w:wordWrap/>
              <w:topLinePunct w:val="0"/>
              <w:bidi w:val="0"/>
              <w:adjustRightInd w:val="0"/>
              <w:snapToGrid w:val="0"/>
              <w:spacing w:line="240" w:lineRule="auto"/>
              <w:jc w:val="both"/>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sym w:font="Wingdings 2" w:char="00A3"/>
            </w:r>
            <w:r>
              <w:rPr>
                <w:rFonts w:hint="default" w:cs="Times New Roman"/>
                <w:color w:val="000000" w:themeColor="text1"/>
                <w:sz w:val="21"/>
                <w:szCs w:val="21"/>
                <w:highlight w:val="none"/>
                <w:lang w:val="en-US" w:eastAsia="zh-CN"/>
                <w14:textFill>
                  <w14:solidFill>
                    <w14:schemeClr w14:val="tx1"/>
                  </w14:solidFill>
                </w14:textFill>
              </w:rPr>
              <w:t>扩建</w:t>
            </w:r>
          </w:p>
          <w:p>
            <w:pPr>
              <w:pageBreakBefore w:val="0"/>
              <w:widowControl w:val="0"/>
              <w:kinsoku/>
              <w:wordWrap/>
              <w:topLinePunct w:val="0"/>
              <w:bidi w:val="0"/>
              <w:adjustRightInd w:val="0"/>
              <w:snapToGrid w:val="0"/>
              <w:spacing w:line="240" w:lineRule="auto"/>
              <w:jc w:val="both"/>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w:t>
            </w:r>
            <w:r>
              <w:rPr>
                <w:rFonts w:hint="default" w:cs="Times New Roman"/>
                <w:color w:val="000000" w:themeColor="text1"/>
                <w:sz w:val="21"/>
                <w:szCs w:val="21"/>
                <w:highlight w:val="none"/>
                <w:lang w:val="en-US" w:eastAsia="zh-CN"/>
                <w14:textFill>
                  <w14:solidFill>
                    <w14:schemeClr w14:val="tx1"/>
                  </w14:solidFill>
                </w14:textFill>
              </w:rPr>
              <w:t>技术改造</w:t>
            </w:r>
          </w:p>
        </w:tc>
        <w:tc>
          <w:tcPr>
            <w:tcW w:w="2177"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14:textFill>
                  <w14:solidFill>
                    <w14:schemeClr w14:val="tx1"/>
                  </w14:solidFill>
                </w14:textFill>
              </w:rPr>
              <w:t>建设项目</w:t>
            </w:r>
          </w:p>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14:textFill>
                  <w14:solidFill>
                    <w14:schemeClr w14:val="tx1"/>
                  </w14:solidFill>
                </w14:textFill>
              </w:rPr>
              <w:t>申报情形</w:t>
            </w:r>
          </w:p>
        </w:tc>
        <w:tc>
          <w:tcPr>
            <w:tcW w:w="2580" w:type="dxa"/>
            <w:noWrap w:val="0"/>
            <w:vAlign w:val="center"/>
          </w:tcPr>
          <w:p>
            <w:pPr>
              <w:pageBreakBefore w:val="0"/>
              <w:widowControl w:val="0"/>
              <w:kinsoku/>
              <w:wordWrap/>
              <w:topLinePunct w:val="0"/>
              <w:bidi w:val="0"/>
              <w:adjustRightInd w:val="0"/>
              <w:snapToGrid w:val="0"/>
              <w:spacing w:line="240" w:lineRule="auto"/>
              <w:jc w:val="both"/>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t>☑首次申报项目</w:t>
            </w:r>
          </w:p>
          <w:p>
            <w:pPr>
              <w:pageBreakBefore w:val="0"/>
              <w:widowControl w:val="0"/>
              <w:kinsoku/>
              <w:wordWrap/>
              <w:topLinePunct w:val="0"/>
              <w:bidi w:val="0"/>
              <w:adjustRightInd w:val="0"/>
              <w:snapToGrid w:val="0"/>
              <w:spacing w:line="240" w:lineRule="auto"/>
              <w:jc w:val="both"/>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sym w:font="Wingdings 2" w:char="00A3"/>
            </w:r>
            <w:r>
              <w:rPr>
                <w:rFonts w:hint="default" w:cs="Times New Roman"/>
                <w:color w:val="000000" w:themeColor="text1"/>
                <w:sz w:val="21"/>
                <w:szCs w:val="21"/>
                <w:highlight w:val="none"/>
                <w:lang w:val="en-US" w:eastAsia="zh-CN"/>
                <w14:textFill>
                  <w14:solidFill>
                    <w14:schemeClr w14:val="tx1"/>
                  </w14:solidFill>
                </w14:textFill>
              </w:rPr>
              <w:t>不予批准后再次申报项目</w:t>
            </w:r>
          </w:p>
          <w:p>
            <w:pPr>
              <w:pageBreakBefore w:val="0"/>
              <w:widowControl w:val="0"/>
              <w:kinsoku/>
              <w:wordWrap/>
              <w:topLinePunct w:val="0"/>
              <w:bidi w:val="0"/>
              <w:adjustRightInd w:val="0"/>
              <w:snapToGrid w:val="0"/>
              <w:spacing w:line="240" w:lineRule="auto"/>
              <w:jc w:val="both"/>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sym w:font="Wingdings 2" w:char="00A3"/>
            </w:r>
            <w:r>
              <w:rPr>
                <w:rFonts w:hint="default" w:cs="Times New Roman"/>
                <w:color w:val="000000" w:themeColor="text1"/>
                <w:sz w:val="21"/>
                <w:szCs w:val="21"/>
                <w:highlight w:val="none"/>
                <w:lang w:val="en-US" w:eastAsia="zh-CN"/>
                <w14:textFill>
                  <w14:solidFill>
                    <w14:schemeClr w14:val="tx1"/>
                  </w14:solidFill>
                </w14:textFill>
              </w:rPr>
              <w:t>超五年重新审核项目</w:t>
            </w:r>
          </w:p>
          <w:p>
            <w:pPr>
              <w:pageBreakBefore w:val="0"/>
              <w:widowControl w:val="0"/>
              <w:kinsoku/>
              <w:wordWrap/>
              <w:topLinePunct w:val="0"/>
              <w:bidi w:val="0"/>
              <w:adjustRightInd w:val="0"/>
              <w:snapToGrid w:val="0"/>
              <w:spacing w:line="240" w:lineRule="auto"/>
              <w:jc w:val="both"/>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sym w:font="Wingdings 2" w:char="00A3"/>
            </w:r>
            <w:r>
              <w:rPr>
                <w:rFonts w:hint="default" w:cs="Times New Roman"/>
                <w:color w:val="000000" w:themeColor="text1"/>
                <w:sz w:val="21"/>
                <w:szCs w:val="21"/>
                <w:highlight w:val="none"/>
                <w:lang w:val="en-US" w:eastAsia="zh-CN"/>
                <w14:textFill>
                  <w14:solidFill>
                    <w14:schemeClr w14:val="tx1"/>
                  </w14:solidFill>
                </w14:textFill>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2046" w:type="dxa"/>
            <w:noWrap w:val="0"/>
            <w:tcMar>
              <w:top w:w="16" w:type="dxa"/>
              <w:left w:w="16" w:type="dxa"/>
              <w:right w:w="16" w:type="dxa"/>
            </w:tcMar>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项目审批（核准/</w:t>
            </w:r>
          </w:p>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备案）部门（选填）</w:t>
            </w:r>
          </w:p>
        </w:tc>
        <w:tc>
          <w:tcPr>
            <w:tcW w:w="1824"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t>秦皇岛市抚宁区行政审批局</w:t>
            </w:r>
          </w:p>
        </w:tc>
        <w:tc>
          <w:tcPr>
            <w:tcW w:w="2177"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14:textFill>
                  <w14:solidFill>
                    <w14:schemeClr w14:val="tx1"/>
                  </w14:solidFill>
                </w14:textFill>
              </w:rPr>
              <w:t>项目审批（核准/</w:t>
            </w:r>
          </w:p>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14:textFill>
                  <w14:solidFill>
                    <w14:schemeClr w14:val="tx1"/>
                  </w14:solidFill>
                </w14:textFill>
              </w:rPr>
              <w:t>备案）文号（选填）</w:t>
            </w:r>
          </w:p>
        </w:tc>
        <w:tc>
          <w:tcPr>
            <w:tcW w:w="2580"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抚行审备【2023】6号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005" w:hRule="atLeast"/>
          <w:jc w:val="center"/>
        </w:trPr>
        <w:tc>
          <w:tcPr>
            <w:tcW w:w="2046" w:type="dxa"/>
            <w:noWrap w:val="0"/>
            <w:tcMar>
              <w:top w:w="16" w:type="dxa"/>
              <w:left w:w="16" w:type="dxa"/>
              <w:right w:w="16" w:type="dxa"/>
            </w:tcMar>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总投资（万元）</w:t>
            </w:r>
          </w:p>
        </w:tc>
        <w:tc>
          <w:tcPr>
            <w:tcW w:w="1824"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1200</w:t>
            </w:r>
          </w:p>
        </w:tc>
        <w:tc>
          <w:tcPr>
            <w:tcW w:w="2177" w:type="dxa"/>
            <w:noWrap w:val="0"/>
            <w:tcMar>
              <w:top w:w="16" w:type="dxa"/>
              <w:left w:w="16" w:type="dxa"/>
              <w:right w:w="16" w:type="dxa"/>
            </w:tcMar>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14:textFill>
                  <w14:solidFill>
                    <w14:schemeClr w14:val="tx1"/>
                  </w14:solidFill>
                </w14:textFill>
              </w:rPr>
              <w:t>环保投资（万元）</w:t>
            </w:r>
          </w:p>
        </w:tc>
        <w:tc>
          <w:tcPr>
            <w:tcW w:w="2580"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10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6" w:hRule="atLeast"/>
          <w:jc w:val="center"/>
        </w:trPr>
        <w:tc>
          <w:tcPr>
            <w:tcW w:w="2046" w:type="dxa"/>
            <w:noWrap w:val="0"/>
            <w:tcMar>
              <w:top w:w="16" w:type="dxa"/>
              <w:left w:w="16" w:type="dxa"/>
              <w:right w:w="16" w:type="dxa"/>
            </w:tcMar>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环保投资占比（%）</w:t>
            </w:r>
          </w:p>
        </w:tc>
        <w:tc>
          <w:tcPr>
            <w:tcW w:w="1824"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0.83</w:t>
            </w:r>
          </w:p>
        </w:tc>
        <w:tc>
          <w:tcPr>
            <w:tcW w:w="2177" w:type="dxa"/>
            <w:noWrap w:val="0"/>
            <w:tcMar>
              <w:top w:w="16" w:type="dxa"/>
              <w:left w:w="16" w:type="dxa"/>
              <w:right w:w="16" w:type="dxa"/>
            </w:tcMar>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14:textFill>
                  <w14:solidFill>
                    <w14:schemeClr w14:val="tx1"/>
                  </w14:solidFill>
                </w14:textFill>
              </w:rPr>
              <w:t>施工工期</w:t>
            </w:r>
          </w:p>
        </w:tc>
        <w:tc>
          <w:tcPr>
            <w:tcW w:w="2580"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6个月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2046" w:type="dxa"/>
            <w:noWrap w:val="0"/>
            <w:tcMar>
              <w:top w:w="16" w:type="dxa"/>
              <w:left w:w="16" w:type="dxa"/>
              <w:right w:w="16" w:type="dxa"/>
            </w:tcMar>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是否开工建设</w:t>
            </w:r>
          </w:p>
        </w:tc>
        <w:tc>
          <w:tcPr>
            <w:tcW w:w="1824"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sym w:font="Wingdings 2" w:char="0052"/>
            </w:r>
            <w:r>
              <w:rPr>
                <w:rFonts w:hint="default" w:cs="Times New Roman"/>
                <w:color w:val="000000" w:themeColor="text1"/>
                <w:sz w:val="21"/>
                <w:szCs w:val="21"/>
                <w:highlight w:val="none"/>
                <w:lang w:val="en-US" w:eastAsia="zh-CN"/>
                <w14:textFill>
                  <w14:solidFill>
                    <w14:schemeClr w14:val="tx1"/>
                  </w14:solidFill>
                </w14:textFill>
              </w:rPr>
              <w:t>否</w:t>
            </w:r>
          </w:p>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sym w:font="Wingdings 2" w:char="00A3"/>
            </w:r>
            <w:r>
              <w:rPr>
                <w:rFonts w:hint="default" w:cs="Times New Roman"/>
                <w:color w:val="000000" w:themeColor="text1"/>
                <w:sz w:val="21"/>
                <w:szCs w:val="21"/>
                <w:highlight w:val="none"/>
                <w:lang w:val="en-US" w:eastAsia="zh-CN"/>
                <w14:textFill>
                  <w14:solidFill>
                    <w14:schemeClr w14:val="tx1"/>
                  </w14:solidFill>
                </w14:textFill>
              </w:rPr>
              <w:t>是：</w:t>
            </w:r>
          </w:p>
        </w:tc>
        <w:tc>
          <w:tcPr>
            <w:tcW w:w="2177" w:type="dxa"/>
            <w:noWrap w:val="0"/>
            <w:tcMar>
              <w:top w:w="16" w:type="dxa"/>
              <w:left w:w="16" w:type="dxa"/>
              <w:right w:w="16" w:type="dxa"/>
            </w:tcMar>
            <w:vAlign w:val="center"/>
          </w:tcPr>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000000" w:themeColor="text1"/>
                <w:spacing w:val="-6"/>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spacing w:val="-6"/>
                <w:sz w:val="24"/>
                <w:szCs w:val="24"/>
                <w:highlight w:val="none"/>
                <w14:textFill>
                  <w14:solidFill>
                    <w14:schemeClr w14:val="tx1"/>
                  </w14:solidFill>
                </w14:textFill>
              </w:rPr>
              <w:t>用地（用海）</w:t>
            </w:r>
          </w:p>
          <w:p>
            <w:pPr>
              <w:pageBreakBefore w:val="0"/>
              <w:widowControl w:val="0"/>
              <w:kinsoku/>
              <w:wordWrap/>
              <w:topLinePunct w:val="0"/>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spacing w:val="-6"/>
                <w:sz w:val="24"/>
                <w:szCs w:val="24"/>
                <w:highlight w:val="none"/>
                <w14:textFill>
                  <w14:solidFill>
                    <w14:schemeClr w14:val="tx1"/>
                  </w14:solidFill>
                </w14:textFill>
              </w:rPr>
              <w:t>面积（m</w:t>
            </w:r>
            <w:r>
              <w:rPr>
                <w:rFonts w:hint="default" w:ascii="Times New Roman" w:hAnsi="Times New Roman" w:eastAsia="宋体" w:cs="Times New Roman"/>
                <w:b/>
                <w:bCs/>
                <w:color w:val="000000" w:themeColor="text1"/>
                <w:spacing w:val="-6"/>
                <w:sz w:val="24"/>
                <w:szCs w:val="24"/>
                <w:highlight w:val="none"/>
                <w:vertAlign w:val="superscript"/>
                <w14:textFill>
                  <w14:solidFill>
                    <w14:schemeClr w14:val="tx1"/>
                  </w14:solidFill>
                </w14:textFill>
              </w:rPr>
              <w:t>2</w:t>
            </w:r>
            <w:r>
              <w:rPr>
                <w:rFonts w:hint="default" w:ascii="Times New Roman" w:hAnsi="Times New Roman" w:eastAsia="宋体" w:cs="Times New Roman"/>
                <w:b/>
                <w:bCs/>
                <w:color w:val="000000" w:themeColor="text1"/>
                <w:spacing w:val="-6"/>
                <w:sz w:val="24"/>
                <w:szCs w:val="24"/>
                <w:highlight w:val="none"/>
                <w14:textFill>
                  <w14:solidFill>
                    <w14:schemeClr w14:val="tx1"/>
                  </w14:solidFill>
                </w14:textFill>
              </w:rPr>
              <w:t>）</w:t>
            </w:r>
          </w:p>
        </w:tc>
        <w:tc>
          <w:tcPr>
            <w:tcW w:w="2580" w:type="dxa"/>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11026.86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2046" w:type="dxa"/>
            <w:noWrap w:val="0"/>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专项评价设置情况</w:t>
            </w:r>
          </w:p>
        </w:tc>
        <w:tc>
          <w:tcPr>
            <w:tcW w:w="6581" w:type="dxa"/>
            <w:gridSpan w:val="3"/>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default" w:cs="Times New Roman"/>
                <w:color w:val="000000" w:themeColor="text1"/>
                <w:sz w:val="21"/>
                <w:szCs w:val="21"/>
                <w:highlight w:val="none"/>
                <w:lang w:val="en-US" w:eastAsia="zh-CN"/>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046" w:type="dxa"/>
            <w:noWrap w:val="0"/>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规划情况</w:t>
            </w:r>
          </w:p>
        </w:tc>
        <w:tc>
          <w:tcPr>
            <w:tcW w:w="6581" w:type="dxa"/>
            <w:gridSpan w:val="3"/>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046" w:type="dxa"/>
            <w:noWrap w:val="0"/>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规划环境影响</w:t>
            </w:r>
          </w:p>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评价情况</w:t>
            </w:r>
          </w:p>
        </w:tc>
        <w:tc>
          <w:tcPr>
            <w:tcW w:w="6581" w:type="dxa"/>
            <w:gridSpan w:val="3"/>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046" w:type="dxa"/>
            <w:noWrap w:val="0"/>
            <w:vAlign w:val="center"/>
          </w:tcPr>
          <w:p>
            <w:pPr>
              <w:pStyle w:val="3"/>
              <w:pageBreakBefore w:val="0"/>
              <w:widowControl w:val="0"/>
              <w:kinsoku/>
              <w:wordWrap/>
              <w:topLinePunct w:val="0"/>
              <w:bidi w:val="0"/>
              <w:spacing w:line="240" w:lineRule="auto"/>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规划及规划环境影响评价符合性分析</w:t>
            </w:r>
          </w:p>
        </w:tc>
        <w:tc>
          <w:tcPr>
            <w:tcW w:w="6581" w:type="dxa"/>
            <w:gridSpan w:val="3"/>
            <w:noWrap w:val="0"/>
            <w:vAlign w:val="center"/>
          </w:tcPr>
          <w:p>
            <w:pPr>
              <w:pageBreakBefore w:val="0"/>
              <w:widowControl w:val="0"/>
              <w:kinsoku/>
              <w:wordWrap/>
              <w:topLinePunct w:val="0"/>
              <w:bidi w:val="0"/>
              <w:adjustRightInd w:val="0"/>
              <w:snapToGrid w:val="0"/>
              <w:spacing w:line="240" w:lineRule="auto"/>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无</w:t>
            </w:r>
          </w:p>
        </w:tc>
      </w:tr>
    </w:tbl>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br w:type="page"/>
      </w:r>
    </w:p>
    <w:tbl>
      <w:tblPr>
        <w:tblStyle w:val="31"/>
        <w:tblW w:w="486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57"/>
        <w:gridCol w:w="828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13590" w:hRule="atLeast"/>
          <w:jc w:val="center"/>
        </w:trPr>
        <w:tc>
          <w:tcPr>
            <w:tcW w:w="441" w:type="dxa"/>
            <w:noWrap w:val="0"/>
            <w:vAlign w:val="center"/>
          </w:tcPr>
          <w:p>
            <w:pPr>
              <w:pStyle w:val="4"/>
              <w:spacing w:line="240" w:lineRule="auto"/>
              <w:rPr>
                <w:rFonts w:hint="default" w:ascii="Times New Roman" w:hAnsi="Times New Roman" w:cs="Times New Roman"/>
                <w:color w:val="000000" w:themeColor="text1"/>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color w:val="000000" w:themeColor="text1"/>
                <w14:textFill>
                  <w14:solidFill>
                    <w14:schemeClr w14:val="tx1"/>
                  </w14:solidFill>
                </w14:textFill>
              </w:rPr>
            </w:pPr>
          </w:p>
          <w:p>
            <w:pPr>
              <w:pStyle w:val="2"/>
              <w:spacing w:line="240" w:lineRule="auto"/>
              <w:rPr>
                <w:rFonts w:hint="default" w:ascii="Times New Roman" w:hAnsi="Times New Roman" w:cs="Times New Roman"/>
                <w:color w:val="000000" w:themeColor="text1"/>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其他符合性分析</w:t>
            </w: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4"/>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4"/>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4"/>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4"/>
              <w:spacing w:line="240" w:lineRule="auto"/>
              <w:rPr>
                <w:rFonts w:hint="default" w:ascii="Times New Roman" w:hAnsi="Times New Roman" w:cs="Times New Roman"/>
                <w:color w:val="000000" w:themeColor="text1"/>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color w:val="000000" w:themeColor="text1"/>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其他符合性分析</w:t>
            </w: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color w:val="000000" w:themeColor="text1"/>
                <w14:textFill>
                  <w14:solidFill>
                    <w14:schemeClr w14:val="tx1"/>
                  </w14:solidFill>
                </w14:textFill>
              </w:rPr>
            </w:pPr>
          </w:p>
          <w:p>
            <w:pPr>
              <w:pStyle w:val="2"/>
              <w:spacing w:line="240" w:lineRule="auto"/>
              <w:rPr>
                <w:rFonts w:hint="default"/>
                <w:color w:val="000000" w:themeColor="text1"/>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其他符合性分析</w:t>
            </w: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spacing w:line="240" w:lineRule="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color w:val="000000" w:themeColor="text1"/>
                <w14:textFill>
                  <w14:solidFill>
                    <w14:schemeClr w14:val="tx1"/>
                  </w14:solidFill>
                </w14:textFill>
              </w:rPr>
            </w:pPr>
          </w:p>
          <w:p>
            <w:pPr>
              <w:spacing w:line="240" w:lineRule="auto"/>
              <w:rPr>
                <w:rFonts w:hint="default"/>
                <w:color w:val="000000" w:themeColor="text1"/>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其他符合性分析</w:t>
            </w: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color w:val="000000" w:themeColor="text1"/>
                <w14:textFill>
                  <w14:solidFill>
                    <w14:schemeClr w14:val="tx1"/>
                  </w14:solidFill>
                </w14:textFill>
              </w:rPr>
            </w:pPr>
          </w:p>
          <w:p>
            <w:pPr>
              <w:pStyle w:val="2"/>
              <w:rPr>
                <w:rFonts w:hint="default"/>
                <w:color w:val="000000" w:themeColor="text1"/>
                <w14:textFill>
                  <w14:solidFill>
                    <w14:schemeClr w14:val="tx1"/>
                  </w14:solidFill>
                </w14:textFill>
              </w:rPr>
            </w:pPr>
          </w:p>
          <w:p>
            <w:pPr>
              <w:rPr>
                <w:rFonts w:hint="default"/>
                <w:color w:val="000000" w:themeColor="text1"/>
                <w14:textFill>
                  <w14:solidFill>
                    <w14:schemeClr w14:val="tx1"/>
                  </w14:solidFill>
                </w14:textFill>
              </w:rPr>
            </w:pPr>
          </w:p>
          <w:p>
            <w:pPr>
              <w:pStyle w:val="2"/>
              <w:rPr>
                <w:rFonts w:hint="default"/>
                <w:color w:val="000000" w:themeColor="text1"/>
                <w14:textFill>
                  <w14:solidFill>
                    <w14:schemeClr w14:val="tx1"/>
                  </w14:solidFill>
                </w14:textFill>
              </w:rPr>
            </w:pPr>
          </w:p>
          <w:p>
            <w:pPr>
              <w:rPr>
                <w:rFonts w:hint="default"/>
                <w:color w:val="000000" w:themeColor="text1"/>
                <w14:textFill>
                  <w14:solidFill>
                    <w14:schemeClr w14:val="tx1"/>
                  </w14:solidFill>
                </w14:textFill>
              </w:rPr>
            </w:pPr>
          </w:p>
          <w:p>
            <w:pPr>
              <w:pStyle w:val="2"/>
              <w:rPr>
                <w:rFonts w:hint="default"/>
                <w:color w:val="000000" w:themeColor="text1"/>
                <w14:textFill>
                  <w14:solidFill>
                    <w14:schemeClr w14:val="tx1"/>
                  </w14:solidFill>
                </w14:textFill>
              </w:rPr>
            </w:pPr>
          </w:p>
          <w:p>
            <w:pPr>
              <w:rPr>
                <w:rFonts w:hint="default"/>
                <w:color w:val="000000" w:themeColor="text1"/>
                <w14:textFill>
                  <w14:solidFill>
                    <w14:schemeClr w14:val="tx1"/>
                  </w14:solidFill>
                </w14:textFill>
              </w:rPr>
            </w:pPr>
          </w:p>
          <w:p>
            <w:pPr>
              <w:pStyle w:val="2"/>
              <w:rPr>
                <w:rFonts w:hint="default"/>
                <w:color w:val="000000" w:themeColor="text1"/>
                <w14:textFill>
                  <w14:solidFill>
                    <w14:schemeClr w14:val="tx1"/>
                  </w14:solidFill>
                </w14:textFill>
              </w:rPr>
            </w:pPr>
          </w:p>
          <w:p>
            <w:pPr>
              <w:pStyle w:val="2"/>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其他符合性分析</w:t>
            </w:r>
          </w:p>
          <w:p>
            <w:pPr>
              <w:pageBreakBefore w:val="0"/>
              <w:widowControl w:val="0"/>
              <w:kinsoku/>
              <w:wordWrap/>
              <w:topLinePunct w:val="0"/>
              <w:bidi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color w:val="000000" w:themeColor="text1"/>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其他符合性分析</w:t>
            </w: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color w:val="000000" w:themeColor="text1"/>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其他符合性分析</w:t>
            </w: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color w:val="000000" w:themeColor="text1"/>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rPr>
            </w:pPr>
            <w:bookmarkStart w:id="2" w:name="_GoBack"/>
            <w:bookmarkEnd w:id="2"/>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其他符合性分析</w:t>
            </w: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
              <w:rPr>
                <w:rFonts w:hint="default"/>
                <w:color w:val="000000" w:themeColor="text1"/>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其他符合性分析</w:t>
            </w: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240"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tc>
        <w:tc>
          <w:tcPr>
            <w:tcW w:w="8257"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504" w:firstLineChars="200"/>
              <w:jc w:val="left"/>
              <w:textAlignment w:val="auto"/>
              <w:rPr>
                <w:rFonts w:hint="default" w:ascii="Times New Roman" w:hAnsi="Times New Roman" w:eastAsia="宋体" w:cs="Times New Roman"/>
                <w:color w:val="000000" w:themeColor="text1"/>
                <w:spacing w:val="6"/>
                <w:sz w:val="24"/>
                <w:szCs w:val="24"/>
                <w14:textFill>
                  <w14:solidFill>
                    <w14:schemeClr w14:val="tx1"/>
                  </w14:solidFill>
                </w14:textFill>
              </w:rPr>
            </w:pPr>
            <w:r>
              <w:rPr>
                <w:rFonts w:hint="default" w:ascii="Times New Roman" w:hAnsi="Times New Roman" w:eastAsia="宋体" w:cs="Times New Roman"/>
                <w:color w:val="000000" w:themeColor="text1"/>
                <w:spacing w:val="6"/>
                <w:sz w:val="24"/>
                <w:szCs w:val="24"/>
                <w:lang w:val="en-US" w:eastAsia="zh-CN"/>
                <w14:textFill>
                  <w14:solidFill>
                    <w14:schemeClr w14:val="tx1"/>
                  </w14:solidFill>
                </w14:textFill>
              </w:rPr>
              <w:t>1、</w:t>
            </w:r>
            <w:r>
              <w:rPr>
                <w:rFonts w:hint="default" w:ascii="Times New Roman" w:hAnsi="Times New Roman" w:eastAsia="宋体" w:cs="Times New Roman"/>
                <w:color w:val="000000" w:themeColor="text1"/>
                <w:spacing w:val="6"/>
                <w:sz w:val="24"/>
                <w:szCs w:val="24"/>
                <w14:textFill>
                  <w14:solidFill>
                    <w14:schemeClr w14:val="tx1"/>
                  </w14:solidFill>
                </w14:textFill>
              </w:rPr>
              <w:t>产业政策分析</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eastAsia" w:ascii="Times New Roman" w:hAnsi="Times New Roman" w:cs="Times New Roman"/>
                <w:bCs/>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（1）项目为</w:t>
            </w:r>
            <w:r>
              <w:rPr>
                <w:rFonts w:hint="eastAsia" w:ascii="Times New Roman" w:hAnsi="Times New Roman" w:cs="Times New Roman"/>
                <w:color w:val="000000" w:themeColor="text1"/>
                <w:kern w:val="0"/>
                <w:sz w:val="24"/>
                <w:szCs w:val="24"/>
                <w:highlight w:val="none"/>
                <w:lang w:val="en-US" w:eastAsia="zh-CN"/>
                <w14:textFill>
                  <w14:solidFill>
                    <w14:schemeClr w14:val="tx1"/>
                  </w14:solidFill>
                </w14:textFill>
              </w:rPr>
              <w:t>C4220非金属废料和碎屑加工处理</w:t>
            </w: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，属于2019年10月30日</w:t>
            </w:r>
            <w:r>
              <w:rPr>
                <w:rFonts w:hint="default" w:ascii="Times New Roman" w:hAnsi="Times New Roman" w:eastAsia="宋体" w:cs="Times New Roman"/>
                <w:bCs/>
                <w:color w:val="000000" w:themeColor="text1"/>
                <w:sz w:val="24"/>
                <w:szCs w:val="24"/>
                <w:lang w:eastAsia="zh-CN"/>
                <w14:textFill>
                  <w14:solidFill>
                    <w14:schemeClr w14:val="tx1"/>
                  </w14:solidFill>
                </w14:textFill>
              </w:rPr>
              <w:t>国家发改委令第2</w:t>
            </w: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9</w:t>
            </w:r>
            <w:r>
              <w:rPr>
                <w:rFonts w:hint="default" w:ascii="Times New Roman" w:hAnsi="Times New Roman" w:eastAsia="宋体" w:cs="Times New Roman"/>
                <w:bCs/>
                <w:color w:val="000000" w:themeColor="text1"/>
                <w:sz w:val="24"/>
                <w:szCs w:val="24"/>
                <w:lang w:eastAsia="zh-CN"/>
                <w14:textFill>
                  <w14:solidFill>
                    <w14:schemeClr w14:val="tx1"/>
                  </w14:solidFill>
                </w14:textFill>
              </w:rPr>
              <w:t>号《产业结构调整指导目录(20</w:t>
            </w: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19</w:t>
            </w:r>
            <w:r>
              <w:rPr>
                <w:rFonts w:hint="default" w:ascii="Times New Roman" w:hAnsi="Times New Roman" w:eastAsia="宋体" w:cs="Times New Roman"/>
                <w:bCs/>
                <w:color w:val="000000" w:themeColor="text1"/>
                <w:sz w:val="24"/>
                <w:szCs w:val="24"/>
                <w:lang w:eastAsia="zh-CN"/>
                <w14:textFill>
                  <w14:solidFill>
                    <w14:schemeClr w14:val="tx1"/>
                  </w14:solidFill>
                </w14:textFill>
              </w:rPr>
              <w:t>年本)》</w:t>
            </w: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中</w:t>
            </w:r>
            <w:r>
              <w:rPr>
                <w:rFonts w:hint="eastAsia" w:cs="Times New Roman"/>
                <w:bCs/>
                <w:color w:val="000000" w:themeColor="text1"/>
                <w:sz w:val="24"/>
                <w:szCs w:val="24"/>
                <w:lang w:val="en-US" w:eastAsia="zh-CN"/>
                <w14:textFill>
                  <w14:solidFill>
                    <w14:schemeClr w14:val="tx1"/>
                  </w14:solidFill>
                </w14:textFill>
              </w:rPr>
              <w:t>四十三环境保护与资源节约综合利用20、城镇垃圾、农村生活垃圾、农村生活污水、污泥及其他固体废弃物减量化、资源化、无害化处理和综合利用工程”鼓励</w:t>
            </w: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类</w:t>
            </w:r>
            <w:r>
              <w:rPr>
                <w:rFonts w:hint="eastAsia" w:cs="Times New Roman"/>
                <w:bCs/>
                <w:color w:val="000000" w:themeColor="text1"/>
                <w:sz w:val="24"/>
                <w:szCs w:val="24"/>
                <w:lang w:val="en-US" w:eastAsia="zh-CN"/>
                <w14:textFill>
                  <w14:solidFill>
                    <w14:schemeClr w14:val="tx1"/>
                  </w14:solidFill>
                </w14:textFill>
              </w:rPr>
              <w:t>项目</w:t>
            </w: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，符合国家产业政策。</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rPr>
                <w:rFonts w:hint="default" w:ascii="Times New Roman" w:hAnsi="Times New Roman" w:eastAsia="宋体" w:cs="Times New Roman"/>
                <w:bCs/>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（2）</w:t>
            </w:r>
            <w:r>
              <w:rPr>
                <w:rFonts w:hint="eastAsia" w:cs="Times New Roman"/>
                <w:color w:val="000000" w:themeColor="text1"/>
                <w:kern w:val="0"/>
                <w:sz w:val="24"/>
                <w:szCs w:val="24"/>
                <w:highlight w:val="none"/>
                <w:lang w:val="en-US" w:eastAsia="zh-CN"/>
                <w14:textFill>
                  <w14:solidFill>
                    <w14:schemeClr w14:val="tx1"/>
                  </w14:solidFill>
                </w14:textFill>
              </w:rPr>
              <w:t>企业所使用的</w:t>
            </w:r>
            <w:r>
              <w:rPr>
                <w:rFonts w:hint="eastAsia" w:cs="Times New Roman"/>
                <w:bCs/>
                <w:color w:val="000000" w:themeColor="text1"/>
                <w:sz w:val="24"/>
                <w:szCs w:val="24"/>
                <w:lang w:val="en-US" w:eastAsia="zh-CN"/>
                <w14:textFill>
                  <w14:solidFill>
                    <w14:schemeClr w14:val="tx1"/>
                  </w14:solidFill>
                </w14:textFill>
              </w:rPr>
              <w:t>生产设备符合</w:t>
            </w: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《落后</w:t>
            </w:r>
            <w:r>
              <w:rPr>
                <w:rFonts w:hint="eastAsia" w:cs="Times New Roman"/>
                <w:bCs/>
                <w:color w:val="000000" w:themeColor="text1"/>
                <w:sz w:val="24"/>
                <w:szCs w:val="24"/>
                <w:lang w:val="en-US" w:eastAsia="zh-CN"/>
                <w14:textFill>
                  <w14:solidFill>
                    <w14:schemeClr w14:val="tx1"/>
                  </w14:solidFill>
                </w14:textFill>
              </w:rPr>
              <w:t>淘汰</w:t>
            </w: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设备</w:t>
            </w:r>
            <w:r>
              <w:rPr>
                <w:rFonts w:hint="eastAsia" w:cs="Times New Roman"/>
                <w:bCs/>
                <w:color w:val="000000" w:themeColor="text1"/>
                <w:sz w:val="24"/>
                <w:szCs w:val="24"/>
                <w:lang w:val="en-US" w:eastAsia="zh-CN"/>
                <w14:textFill>
                  <w14:solidFill>
                    <w14:schemeClr w14:val="tx1"/>
                  </w14:solidFill>
                </w14:textFill>
              </w:rPr>
              <w:t>目录</w:t>
            </w: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w:t>
            </w:r>
            <w:r>
              <w:rPr>
                <w:rFonts w:hint="eastAsia" w:cs="Times New Roman"/>
                <w:bCs/>
                <w:color w:val="000000" w:themeColor="text1"/>
                <w:sz w:val="24"/>
                <w:szCs w:val="24"/>
                <w:lang w:val="en-US" w:eastAsia="zh-CN"/>
                <w14:textFill>
                  <w14:solidFill>
                    <w14:schemeClr w14:val="tx1"/>
                  </w14:solidFill>
                </w14:textFill>
              </w:rPr>
              <w:t>、</w:t>
            </w: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《产业结构调整指导目录(2019年本)》相关要求</w:t>
            </w:r>
            <w:r>
              <w:rPr>
                <w:rFonts w:hint="eastAsia" w:cs="Times New Roman"/>
                <w:bCs/>
                <w:color w:val="000000" w:themeColor="text1"/>
                <w:sz w:val="24"/>
                <w:szCs w:val="24"/>
                <w:lang w:val="en-US" w:eastAsia="zh-CN"/>
                <w14:textFill>
                  <w14:solidFill>
                    <w14:schemeClr w14:val="tx1"/>
                  </w14:solidFill>
                </w14:textFill>
              </w:rPr>
              <w:t xml:space="preserve">。                                                                                                                                                                                                                                                                                                    </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eastAsia="宋体" w:cs="Times New Roman"/>
                <w:bCs/>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3）项目不属于《关于河北省区域禁（限）批建项目的实施意见（试行）》（冀政[2009]89号）中区域禁止和限制建设项目，不在该文件规定的环境敏感区内，也不属于《河北省新增限制和淘汰类产业目录（2015年版）》中限制和淘汰类项目，符合河北省政策要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eastAsia="宋体" w:cs="Times New Roman"/>
                <w:bCs/>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（4）项目为</w:t>
            </w:r>
            <w:r>
              <w:rPr>
                <w:rFonts w:hint="eastAsia" w:ascii="Times New Roman" w:hAnsi="Times New Roman" w:cs="Times New Roman"/>
                <w:color w:val="000000" w:themeColor="text1"/>
                <w:kern w:val="0"/>
                <w:sz w:val="24"/>
                <w:szCs w:val="24"/>
                <w:highlight w:val="none"/>
                <w:lang w:val="en-US" w:eastAsia="zh-CN"/>
                <w14:textFill>
                  <w14:solidFill>
                    <w14:schemeClr w14:val="tx1"/>
                  </w14:solidFill>
                </w14:textFill>
              </w:rPr>
              <w:t>C4220非金属废料和碎屑加工处理</w:t>
            </w: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，不属于秦皇岛市发展和改革委员会制定的《秦皇岛市限制和禁止投资的产业目录（2020年修订版）》中限制类和淘汰类，符合秦皇岛市产业政策要求。</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eastAsia="宋体" w:cs="Times New Roman"/>
                <w:bCs/>
                <w:color w:val="000000" w:themeColor="text1"/>
                <w:sz w:val="24"/>
                <w:szCs w:val="24"/>
                <w:highlight w:val="yellow"/>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（5）本项目已取得</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秦皇岛市抚宁区</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行政审批局企业投资项目备案信息，备案编号：</w:t>
            </w:r>
            <w:r>
              <w:rPr>
                <w:rFonts w:hint="eastAsia" w:cs="Times New Roman"/>
                <w:bCs/>
                <w:color w:val="000000" w:themeColor="text1"/>
                <w:sz w:val="24"/>
                <w:szCs w:val="24"/>
                <w:highlight w:val="none"/>
                <w:lang w:val="en-US" w:eastAsia="zh-CN"/>
                <w14:textFill>
                  <w14:solidFill>
                    <w14:schemeClr w14:val="tx1"/>
                  </w14:solidFill>
                </w14:textFill>
              </w:rPr>
              <w:t>抚行审备【2023】6号</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，项目代码：2301-130306-89-05-477320。</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eastAsia="宋体" w:cs="Times New Roman"/>
                <w:bCs/>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2、选址合理性分析</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本项目位于</w:t>
            </w:r>
            <w:r>
              <w:rPr>
                <w:rFonts w:hint="eastAsia" w:ascii="Times New Roman" w:hAnsi="Times New Roman" w:cs="Times New Roman"/>
                <w:color w:val="000000" w:themeColor="text1"/>
                <w:highlight w:val="none"/>
                <w:lang w:val="en-US" w:eastAsia="zh-CN"/>
                <w14:textFill>
                  <w14:solidFill>
                    <w14:schemeClr w14:val="tx1"/>
                  </w14:solidFill>
                </w14:textFill>
              </w:rPr>
              <w:t>河北省秦皇岛市抚宁区留守营镇潘官营村南</w:t>
            </w:r>
            <w:r>
              <w:rPr>
                <w:rFonts w:hint="default" w:ascii="Times New Roman" w:hAnsi="Times New Roman" w:cs="Times New Roman"/>
                <w:color w:val="000000" w:themeColor="text1"/>
                <w:highlight w:val="none"/>
                <w:lang w:val="en-US" w:eastAsia="zh-CN"/>
                <w14:textFill>
                  <w14:solidFill>
                    <w14:schemeClr w14:val="tx1"/>
                  </w14:solidFill>
                </w14:textFill>
              </w:rPr>
              <w:t>，</w:t>
            </w:r>
            <w:r>
              <w:rPr>
                <w:rFonts w:hint="eastAsia" w:ascii="Times New Roman" w:hAnsi="Times New Roman" w:cs="Times New Roman"/>
                <w:color w:val="000000" w:themeColor="text1"/>
                <w:highlight w:val="none"/>
                <w:lang w:val="en-US" w:eastAsia="zh-CN"/>
                <w14:textFill>
                  <w14:solidFill>
                    <w14:schemeClr w14:val="tx1"/>
                  </w14:solidFill>
                </w14:textFill>
              </w:rPr>
              <w:t>企业租赁潘官营村土地</w:t>
            </w:r>
            <w:r>
              <w:rPr>
                <w:rFonts w:hint="default" w:ascii="Times New Roman" w:hAnsi="Times New Roman" w:cs="Times New Roman"/>
                <w:color w:val="000000" w:themeColor="text1"/>
                <w:kern w:val="0"/>
                <w:sz w:val="24"/>
                <w:szCs w:val="24"/>
                <w:highlight w:val="none"/>
                <w14:textFill>
                  <w14:solidFill>
                    <w14:schemeClr w14:val="tx1"/>
                  </w14:solidFill>
                </w14:textFill>
              </w:rPr>
              <w:t>（租赁协议</w:t>
            </w:r>
            <w:r>
              <w:rPr>
                <w:rFonts w:hint="eastAsia" w:cs="Times New Roman"/>
                <w:color w:val="000000" w:themeColor="text1"/>
                <w:kern w:val="0"/>
                <w:sz w:val="24"/>
                <w:szCs w:val="24"/>
                <w:highlight w:val="none"/>
                <w:lang w:val="en-US" w:eastAsia="zh-CN"/>
                <w14:textFill>
                  <w14:solidFill>
                    <w14:schemeClr w14:val="tx1"/>
                  </w14:solidFill>
                </w14:textFill>
              </w:rPr>
              <w:t>以及土地证明</w:t>
            </w:r>
            <w:r>
              <w:rPr>
                <w:rFonts w:hint="default" w:ascii="Times New Roman" w:hAnsi="Times New Roman" w:cs="Times New Roman"/>
                <w:color w:val="000000" w:themeColor="text1"/>
                <w:kern w:val="0"/>
                <w:sz w:val="24"/>
                <w:szCs w:val="24"/>
                <w:highlight w:val="none"/>
                <w14:textFill>
                  <w14:solidFill>
                    <w14:schemeClr w14:val="tx1"/>
                  </w14:solidFill>
                </w14:textFill>
              </w:rPr>
              <w:t>详见附件）</w:t>
            </w:r>
            <w:r>
              <w:rPr>
                <w:rFonts w:hint="eastAsia" w:ascii="Times New Roman" w:hAnsi="Times New Roman" w:cs="Times New Roman"/>
                <w:color w:val="000000" w:themeColor="text1"/>
                <w:kern w:val="0"/>
                <w:sz w:val="24"/>
                <w:szCs w:val="24"/>
                <w:highlight w:val="none"/>
                <w:lang w:eastAsia="zh-CN"/>
                <w14:textFill>
                  <w14:solidFill>
                    <w14:schemeClr w14:val="tx1"/>
                  </w14:solidFill>
                </w14:textFill>
              </w:rPr>
              <w:t>，</w:t>
            </w:r>
            <w:r>
              <w:rPr>
                <w:rFonts w:hint="default" w:ascii="Times New Roman" w:hAnsi="Times New Roman" w:cs="Times New Roman"/>
                <w:color w:val="000000" w:themeColor="text1"/>
                <w:highlight w:val="none"/>
                <w:lang w:val="en-US" w:eastAsia="zh-CN"/>
                <w14:textFill>
                  <w14:solidFill>
                    <w14:schemeClr w14:val="tx1"/>
                  </w14:solidFill>
                </w14:textFill>
              </w:rPr>
              <w:t>用地类型为</w:t>
            </w:r>
            <w:r>
              <w:rPr>
                <w:rFonts w:hint="eastAsia" w:ascii="Times New Roman" w:hAnsi="Times New Roman" w:cs="Times New Roman"/>
                <w:color w:val="000000" w:themeColor="text1"/>
                <w:highlight w:val="none"/>
                <w:lang w:val="en-US" w:eastAsia="zh-CN"/>
                <w14:textFill>
                  <w14:solidFill>
                    <w14:schemeClr w14:val="tx1"/>
                  </w14:solidFill>
                </w14:textFill>
              </w:rPr>
              <w:t>建设用地</w:t>
            </w:r>
            <w:r>
              <w:rPr>
                <w:rFonts w:hint="default" w:ascii="Times New Roman" w:hAnsi="Times New Roman" w:cs="Times New Roman"/>
                <w:color w:val="000000" w:themeColor="text1"/>
                <w:highlight w:val="none"/>
                <w:lang w:val="en-US" w:eastAsia="zh-CN"/>
                <w14:textFill>
                  <w14:solidFill>
                    <w14:schemeClr w14:val="tx1"/>
                  </w14:solidFill>
                </w14:textFill>
              </w:rPr>
              <w:t>，符合秦皇岛市土地利用总体规划要求同时符合</w:t>
            </w:r>
            <w:r>
              <w:rPr>
                <w:rFonts w:hint="eastAsia" w:ascii="Times New Roman" w:hAnsi="Times New Roman" w:cs="Times New Roman"/>
                <w:color w:val="000000" w:themeColor="text1"/>
                <w:highlight w:val="none"/>
                <w:lang w:val="en-US" w:eastAsia="zh-CN"/>
                <w14:textFill>
                  <w14:solidFill>
                    <w14:schemeClr w14:val="tx1"/>
                  </w14:solidFill>
                </w14:textFill>
              </w:rPr>
              <w:t>抚宁区土地利用规划，厂址为允许建设区。</w:t>
            </w:r>
            <w:r>
              <w:rPr>
                <w:rFonts w:hint="eastAsia" w:cs="Times New Roman"/>
                <w:color w:val="000000" w:themeColor="text1"/>
                <w:kern w:val="0"/>
                <w:sz w:val="24"/>
                <w:szCs w:val="24"/>
                <w:highlight w:val="none"/>
                <w:lang w:val="en-US" w:eastAsia="zh-CN"/>
                <w14:textFill>
                  <w14:solidFill>
                    <w14:schemeClr w14:val="tx1"/>
                  </w14:solidFill>
                </w14:textFill>
              </w:rPr>
              <w:t>本项目厂界与高压线垂直投影距离为10m，本项目旁高压线等级为110kv，符合《中华人民共和国电力设施保护条例实施细则》中对于距离相关要求：距离建筑物水平安全距离6.0m。供电站附近不建设居民区、幼儿园等，本项目属于工业企业，根据《电磁辐射管理办法》符合相关要求；企业运营期所产生的废水不外排，固体废物均合理利用，废气达标排放</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厂址周围无饮用水源保护区、自然保护区和风景名胜区等敏感区域。项目不在国土资源部、国家发展和改革委员会发布的《限制用地项目目录（2012年本）》和《禁止用地项目目录（2012年本）》的范围内，项目场地不在河北省冀政[2009]89号《关于河北省区域禁（限）批建设项目的实施意见（试行）》范围内，也不属于《河北省环境敏感区支持、限制及禁止建设项目名录（2005年本）》中的限制、禁止内容</w:t>
            </w:r>
            <w:r>
              <w:rPr>
                <w:rFonts w:hint="eastAsia" w:ascii="Times New Roman" w:hAnsi="Times New Roman" w:cs="Times New Roman"/>
                <w:color w:val="000000" w:themeColor="text1"/>
                <w:highlight w:val="none"/>
                <w:lang w:val="en-US" w:eastAsia="zh-CN"/>
                <w14:textFill>
                  <w14:solidFill>
                    <w14:schemeClr w14:val="tx1"/>
                  </w14:solidFill>
                </w14:textFill>
              </w:rPr>
              <w:t>。</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综上所述，本项目选址可行</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80" w:leftChars="0"/>
              <w:jc w:val="left"/>
              <w:textAlignment w:val="auto"/>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3、平面布局合理</w:t>
            </w:r>
            <w:r>
              <w:rPr>
                <w:rFonts w:hint="default" w:ascii="Times New Roman" w:hAnsi="Times New Roman" w:eastAsia="宋体" w:cs="Times New Roman"/>
                <w:bCs/>
                <w:color w:val="000000" w:themeColor="text1"/>
                <w:sz w:val="24"/>
                <w:szCs w:val="24"/>
                <w14:textFill>
                  <w14:solidFill>
                    <w14:schemeClr w14:val="tx1"/>
                  </w14:solidFill>
                </w14:textFill>
              </w:rPr>
              <w:t>性分析</w:t>
            </w:r>
          </w:p>
          <w:p>
            <w:pPr>
              <w:pStyle w:val="30"/>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textAlignment w:val="auto"/>
              <w:rPr>
                <w:rFonts w:hint="default" w:ascii="Times New Roman" w:hAnsi="Times New Roman" w:cs="Times New Roman"/>
                <w:color w:val="000000" w:themeColor="text1"/>
                <w:lang w:val="en-US"/>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本项目</w:t>
            </w:r>
            <w:r>
              <w:rPr>
                <w:rFonts w:hint="eastAsia" w:cs="Times New Roman"/>
                <w:bCs/>
                <w:color w:val="000000" w:themeColor="text1"/>
                <w:sz w:val="24"/>
                <w:szCs w:val="24"/>
                <w:highlight w:val="none"/>
                <w:lang w:val="en-US" w:eastAsia="zh-CN"/>
                <w14:textFill>
                  <w14:solidFill>
                    <w14:schemeClr w14:val="tx1"/>
                  </w14:solidFill>
                </w14:textFill>
              </w:rPr>
              <w:t>生产区域位于厂区内北侧</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w:t>
            </w:r>
            <w:r>
              <w:rPr>
                <w:rFonts w:hint="eastAsia" w:cs="Times New Roman"/>
                <w:bCs/>
                <w:color w:val="000000" w:themeColor="text1"/>
                <w:sz w:val="24"/>
                <w:szCs w:val="24"/>
                <w:highlight w:val="none"/>
                <w:lang w:val="en-US" w:eastAsia="zh-CN"/>
                <w14:textFill>
                  <w14:solidFill>
                    <w14:schemeClr w14:val="tx1"/>
                  </w14:solidFill>
                </w14:textFill>
              </w:rPr>
              <w:t>办公楼位于厂界西侧</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w:t>
            </w:r>
            <w:r>
              <w:rPr>
                <w:rFonts w:hint="eastAsia" w:cs="Times New Roman"/>
                <w:bCs/>
                <w:color w:val="000000" w:themeColor="text1"/>
                <w:sz w:val="24"/>
                <w:szCs w:val="24"/>
                <w:highlight w:val="none"/>
                <w:lang w:val="en-US" w:eastAsia="zh-CN"/>
                <w14:textFill>
                  <w14:solidFill>
                    <w14:schemeClr w14:val="tx1"/>
                  </w14:solidFill>
                </w14:textFill>
              </w:rPr>
              <w:t>生产设备均至于生产车间内</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布局合理。</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eastAsia="宋体" w:cs="Times New Roman"/>
                <w:bCs/>
                <w:color w:val="000000" w:themeColor="text1"/>
                <w:sz w:val="24"/>
                <w:szCs w:val="24"/>
                <w14:textFill>
                  <w14:solidFill>
                    <w14:schemeClr w14:val="tx1"/>
                  </w14:solidFill>
                </w14:textFill>
              </w:rPr>
            </w:pPr>
            <w:r>
              <w:rPr>
                <w:rFonts w:hint="default" w:ascii="Times New Roman" w:hAnsi="Times New Roman" w:eastAsia="宋体" w:cs="Times New Roman"/>
                <w:bCs/>
                <w:color w:val="000000" w:themeColor="text1"/>
                <w:sz w:val="24"/>
                <w:szCs w:val="24"/>
                <w:lang w:val="en-US" w:eastAsia="zh-CN"/>
                <w14:textFill>
                  <w14:solidFill>
                    <w14:schemeClr w14:val="tx1"/>
                  </w14:solidFill>
                </w14:textFill>
              </w:rPr>
              <w:t>4、</w:t>
            </w:r>
            <w:r>
              <w:rPr>
                <w:rFonts w:hint="default" w:ascii="Times New Roman" w:hAnsi="Times New Roman" w:eastAsia="宋体" w:cs="Times New Roman"/>
                <w:bCs/>
                <w:color w:val="000000" w:themeColor="text1"/>
                <w:sz w:val="24"/>
                <w:szCs w:val="24"/>
                <w:lang w:eastAsia="zh-CN"/>
                <w14:textFill>
                  <w14:solidFill>
                    <w14:schemeClr w14:val="tx1"/>
                  </w14:solidFill>
                </w14:textFill>
              </w:rPr>
              <w:t>“</w:t>
            </w:r>
            <w:r>
              <w:rPr>
                <w:rFonts w:hint="default" w:ascii="Times New Roman" w:hAnsi="Times New Roman" w:eastAsia="宋体" w:cs="Times New Roman"/>
                <w:bCs/>
                <w:color w:val="000000" w:themeColor="text1"/>
                <w:sz w:val="24"/>
                <w:szCs w:val="24"/>
                <w14:textFill>
                  <w14:solidFill>
                    <w14:schemeClr w14:val="tx1"/>
                  </w14:solidFill>
                </w14:textFill>
              </w:rPr>
              <w:t>三线一单</w:t>
            </w:r>
            <w:r>
              <w:rPr>
                <w:rFonts w:hint="default" w:ascii="Times New Roman" w:hAnsi="Times New Roman" w:eastAsia="宋体" w:cs="Times New Roman"/>
                <w:bCs/>
                <w:color w:val="000000" w:themeColor="text1"/>
                <w:sz w:val="24"/>
                <w:szCs w:val="24"/>
                <w:lang w:eastAsia="zh-CN"/>
                <w14:textFill>
                  <w14:solidFill>
                    <w14:schemeClr w14:val="tx1"/>
                  </w14:solidFill>
                </w14:textFill>
              </w:rPr>
              <w:t>”</w:t>
            </w:r>
            <w:r>
              <w:rPr>
                <w:rFonts w:hint="default" w:ascii="Times New Roman" w:hAnsi="Times New Roman" w:eastAsia="宋体" w:cs="Times New Roman"/>
                <w:bCs/>
                <w:color w:val="000000" w:themeColor="text1"/>
                <w:sz w:val="24"/>
                <w:szCs w:val="24"/>
                <w14:textFill>
                  <w14:solidFill>
                    <w14:schemeClr w14:val="tx1"/>
                  </w14:solidFill>
                </w14:textFill>
              </w:rPr>
              <w:t>符合性分析</w:t>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eastAsia="宋体" w:cs="Times New Roman"/>
                <w:b/>
                <w:bCs/>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根据《关于以改善环境质量为核心加强环境影响评价管理的通知》（环环评[2016]150号），文中</w:t>
            </w:r>
            <w:r>
              <w:rPr>
                <w:rFonts w:hint="default" w:ascii="Times New Roman" w:hAnsi="Times New Roman" w:eastAsia="宋体" w:cs="Times New Roman"/>
                <w:color w:val="000000" w:themeColor="text1"/>
                <w:sz w:val="24"/>
                <w:szCs w:val="24"/>
                <w:lang w:eastAsia="zh-CN"/>
                <w14:textFill>
                  <w14:solidFill>
                    <w14:schemeClr w14:val="tx1"/>
                  </w14:solidFill>
                </w14:textFill>
              </w:rPr>
              <w:t>“</w:t>
            </w:r>
            <w:r>
              <w:rPr>
                <w:rFonts w:hint="default" w:ascii="Times New Roman" w:hAnsi="Times New Roman" w:eastAsia="宋体" w:cs="Times New Roman"/>
                <w:color w:val="000000" w:themeColor="text1"/>
                <w:sz w:val="24"/>
                <w:szCs w:val="24"/>
                <w14:textFill>
                  <w14:solidFill>
                    <w14:schemeClr w14:val="tx1"/>
                  </w14:solidFill>
                </w14:textFill>
              </w:rPr>
              <w:t>为适应以改善环境质量为核心的环境管理要求，切实加强环境影响评价（以下简称环评）管理，落实生态保护红线、环境质量底线、资源利用上线和环境准入负面清单（以下简称</w:t>
            </w:r>
            <w:r>
              <w:rPr>
                <w:rFonts w:hint="default" w:ascii="Times New Roman" w:hAnsi="Times New Roman" w:eastAsia="宋体" w:cs="Times New Roman"/>
                <w:color w:val="000000" w:themeColor="text1"/>
                <w:sz w:val="24"/>
                <w:szCs w:val="24"/>
                <w:lang w:eastAsia="zh-CN"/>
                <w14:textFill>
                  <w14:solidFill>
                    <w14:schemeClr w14:val="tx1"/>
                  </w14:solidFill>
                </w14:textFill>
              </w:rPr>
              <w:t>“</w:t>
            </w:r>
            <w:r>
              <w:rPr>
                <w:rFonts w:hint="default" w:ascii="Times New Roman" w:hAnsi="Times New Roman" w:eastAsia="宋体" w:cs="Times New Roman"/>
                <w:color w:val="000000" w:themeColor="text1"/>
                <w:sz w:val="24"/>
                <w:szCs w:val="24"/>
                <w14:textFill>
                  <w14:solidFill>
                    <w14:schemeClr w14:val="tx1"/>
                  </w14:solidFill>
                </w14:textFill>
              </w:rPr>
              <w:t>三线一单</w:t>
            </w:r>
            <w:r>
              <w:rPr>
                <w:rFonts w:hint="default" w:ascii="Times New Roman" w:hAnsi="Times New Roman" w:eastAsia="宋体" w:cs="Times New Roman"/>
                <w:color w:val="000000" w:themeColor="text1"/>
                <w:sz w:val="24"/>
                <w:szCs w:val="24"/>
                <w:lang w:eastAsia="zh-CN"/>
                <w14:textFill>
                  <w14:solidFill>
                    <w14:schemeClr w14:val="tx1"/>
                  </w14:solidFill>
                </w14:textFill>
              </w:rPr>
              <w:t>”</w:t>
            </w:r>
            <w:r>
              <w:rPr>
                <w:rFonts w:hint="default" w:ascii="Times New Roman" w:hAnsi="Times New Roman" w:eastAsia="宋体" w:cs="Times New Roman"/>
                <w:color w:val="000000" w:themeColor="text1"/>
                <w:sz w:val="24"/>
                <w:szCs w:val="24"/>
                <w14:textFill>
                  <w14:solidFill>
                    <w14:schemeClr w14:val="tx1"/>
                  </w14:solidFill>
                </w14:textFill>
              </w:rPr>
              <w:t>）约束，建立项目环评审批与规划环评、现有项目环境管理、区域环境质量联动机制（以下简称</w:t>
            </w:r>
            <w:r>
              <w:rPr>
                <w:rFonts w:hint="default" w:ascii="Times New Roman" w:hAnsi="Times New Roman" w:eastAsia="宋体" w:cs="Times New Roman"/>
                <w:color w:val="000000" w:themeColor="text1"/>
                <w:sz w:val="24"/>
                <w:szCs w:val="24"/>
                <w:lang w:eastAsia="zh-CN"/>
                <w14:textFill>
                  <w14:solidFill>
                    <w14:schemeClr w14:val="tx1"/>
                  </w14:solidFill>
                </w14:textFill>
              </w:rPr>
              <w:t>“</w:t>
            </w:r>
            <w:r>
              <w:rPr>
                <w:rFonts w:hint="default" w:ascii="Times New Roman" w:hAnsi="Times New Roman" w:eastAsia="宋体" w:cs="Times New Roman"/>
                <w:color w:val="000000" w:themeColor="text1"/>
                <w:sz w:val="24"/>
                <w:szCs w:val="24"/>
                <w14:textFill>
                  <w14:solidFill>
                    <w14:schemeClr w14:val="tx1"/>
                  </w14:solidFill>
                </w14:textFill>
              </w:rPr>
              <w:t>三挂钩</w:t>
            </w:r>
            <w:r>
              <w:rPr>
                <w:rFonts w:hint="default" w:ascii="Times New Roman" w:hAnsi="Times New Roman" w:eastAsia="宋体" w:cs="Times New Roman"/>
                <w:color w:val="000000" w:themeColor="text1"/>
                <w:sz w:val="24"/>
                <w:szCs w:val="24"/>
                <w:lang w:eastAsia="zh-CN"/>
                <w14:textFill>
                  <w14:solidFill>
                    <w14:schemeClr w14:val="tx1"/>
                  </w14:solidFill>
                </w14:textFill>
              </w:rPr>
              <w:t>”</w:t>
            </w:r>
            <w:r>
              <w:rPr>
                <w:rFonts w:hint="default" w:ascii="Times New Roman" w:hAnsi="Times New Roman" w:eastAsia="宋体" w:cs="Times New Roman"/>
                <w:color w:val="000000" w:themeColor="text1"/>
                <w:sz w:val="24"/>
                <w:szCs w:val="24"/>
                <w14:textFill>
                  <w14:solidFill>
                    <w14:schemeClr w14:val="tx1"/>
                  </w14:solidFill>
                </w14:textFill>
              </w:rPr>
              <w:t>机制），更好地发挥环评制度从源头防范环境污染和生态破坏的作用，加快推进改善环境质量</w:t>
            </w:r>
            <w:r>
              <w:rPr>
                <w:rFonts w:hint="default" w:ascii="Times New Roman" w:hAnsi="Times New Roman" w:eastAsia="宋体" w:cs="Times New Roman"/>
                <w:color w:val="000000" w:themeColor="text1"/>
                <w:sz w:val="24"/>
                <w:szCs w:val="24"/>
                <w:lang w:eastAsia="zh-CN"/>
                <w14:textFill>
                  <w14:solidFill>
                    <w14:schemeClr w14:val="tx1"/>
                  </w14:solidFill>
                </w14:textFill>
              </w:rPr>
              <w:t>”</w:t>
            </w:r>
            <w:r>
              <w:rPr>
                <w:rFonts w:hint="default" w:ascii="Times New Roman" w:hAnsi="Times New Roman" w:eastAsia="宋体" w:cs="Times New Roman"/>
                <w:color w:val="000000" w:themeColor="text1"/>
                <w:sz w:val="24"/>
                <w:szCs w:val="24"/>
                <w14:textFill>
                  <w14:solidFill>
                    <w14:schemeClr w14:val="tx1"/>
                  </w14:solidFill>
                </w14:textFill>
              </w:rPr>
              <w:t>的要求，本项目结合生态环境部关于</w:t>
            </w:r>
            <w:r>
              <w:rPr>
                <w:rFonts w:hint="default" w:ascii="Times New Roman" w:hAnsi="Times New Roman" w:eastAsia="宋体" w:cs="Times New Roman"/>
                <w:color w:val="000000" w:themeColor="text1"/>
                <w:sz w:val="24"/>
                <w:szCs w:val="24"/>
                <w:lang w:eastAsia="zh-CN"/>
                <w14:textFill>
                  <w14:solidFill>
                    <w14:schemeClr w14:val="tx1"/>
                  </w14:solidFill>
                </w14:textFill>
              </w:rPr>
              <w:t>“</w:t>
            </w:r>
            <w:r>
              <w:rPr>
                <w:rFonts w:hint="default" w:ascii="Times New Roman" w:hAnsi="Times New Roman" w:eastAsia="宋体" w:cs="Times New Roman"/>
                <w:color w:val="000000" w:themeColor="text1"/>
                <w:sz w:val="24"/>
                <w:szCs w:val="24"/>
                <w14:textFill>
                  <w14:solidFill>
                    <w14:schemeClr w14:val="tx1"/>
                  </w14:solidFill>
                </w14:textFill>
              </w:rPr>
              <w:t>三线一单</w:t>
            </w:r>
            <w:r>
              <w:rPr>
                <w:rFonts w:hint="default" w:ascii="Times New Roman" w:hAnsi="Times New Roman" w:eastAsia="宋体" w:cs="Times New Roman"/>
                <w:color w:val="000000" w:themeColor="text1"/>
                <w:sz w:val="24"/>
                <w:szCs w:val="24"/>
                <w:lang w:eastAsia="zh-CN"/>
                <w14:textFill>
                  <w14:solidFill>
                    <w14:schemeClr w14:val="tx1"/>
                  </w14:solidFill>
                </w14:textFill>
              </w:rPr>
              <w:t>”</w:t>
            </w:r>
            <w:r>
              <w:rPr>
                <w:rFonts w:hint="default" w:ascii="Times New Roman" w:hAnsi="Times New Roman" w:eastAsia="宋体" w:cs="Times New Roman"/>
                <w:color w:val="000000" w:themeColor="text1"/>
                <w:sz w:val="24"/>
                <w:szCs w:val="24"/>
                <w14:textFill>
                  <w14:solidFill>
                    <w14:schemeClr w14:val="tx1"/>
                  </w14:solidFill>
                </w14:textFill>
              </w:rPr>
              <w:t>要求进行判定，详见下表。</w:t>
            </w:r>
          </w:p>
          <w:p>
            <w:pPr>
              <w:pStyle w:val="48"/>
              <w:pageBreakBefore w:val="0"/>
              <w:widowControl w:val="0"/>
              <w:kinsoku/>
              <w:wordWrap/>
              <w:topLinePunct w:val="0"/>
              <w:bidi w:val="0"/>
              <w:spacing w:line="240" w:lineRule="auto"/>
              <w:textAlignment w:val="auto"/>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t>表1-2  “三线一单”符合性分析</w:t>
            </w:r>
          </w:p>
          <w:tbl>
            <w:tblPr>
              <w:tblStyle w:val="31"/>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40"/>
              <w:gridCol w:w="3162"/>
              <w:gridCol w:w="37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8"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内容</w:t>
                  </w:r>
                </w:p>
              </w:tc>
              <w:tc>
                <w:tcPr>
                  <w:tcW w:w="1963"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文件要求</w:t>
                  </w:r>
                </w:p>
              </w:tc>
              <w:tc>
                <w:tcPr>
                  <w:tcW w:w="2328"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符合性分析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8"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生态保护红线</w:t>
                  </w:r>
                </w:p>
              </w:tc>
              <w:tc>
                <w:tcPr>
                  <w:tcW w:w="1963"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生态保护红线是生态空间范围内具有特殊重要生态功能必须实行强制性严格保护的区域。在生态保护红线范围内，严控各类开发建设活动，依法不予审批新建工业项目和矿产开发项目的环评文件。</w:t>
                  </w:r>
                </w:p>
              </w:tc>
              <w:tc>
                <w:tcPr>
                  <w:tcW w:w="2328"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本项目位于</w:t>
                  </w:r>
                  <w:r>
                    <w:rPr>
                      <w:rFonts w:hint="eastAsia" w:cs="Times New Roman"/>
                      <w:color w:val="000000" w:themeColor="text1"/>
                      <w:sz w:val="21"/>
                      <w:szCs w:val="21"/>
                      <w:lang w:val="en-US" w:eastAsia="zh-CN"/>
                      <w14:textFill>
                        <w14:solidFill>
                          <w14:schemeClr w14:val="tx1"/>
                        </w14:solidFill>
                      </w14:textFill>
                    </w:rPr>
                    <w:t>秦皇岛市抚宁区留守营镇潘官营村</w:t>
                  </w:r>
                  <w:r>
                    <w:rPr>
                      <w:rFonts w:hint="default" w:ascii="Times New Roman" w:hAnsi="Times New Roman" w:eastAsia="宋体" w:cs="Times New Roman"/>
                      <w:color w:val="000000" w:themeColor="text1"/>
                      <w:sz w:val="21"/>
                      <w:szCs w:val="21"/>
                      <w14:textFill>
                        <w14:solidFill>
                          <w14:schemeClr w14:val="tx1"/>
                        </w14:solidFill>
                      </w14:textFill>
                    </w:rPr>
                    <w:t>，该地区周围无自然保护区、风景名胜区、饮用水水源保护区等生态保护目标，</w:t>
                  </w:r>
                  <w:r>
                    <w:rPr>
                      <w:rFonts w:hint="eastAsia" w:cs="Times New Roman"/>
                      <w:color w:val="000000" w:themeColor="text1"/>
                      <w:sz w:val="21"/>
                      <w:szCs w:val="21"/>
                      <w:lang w:val="en-US" w:eastAsia="zh-CN"/>
                      <w14:textFill>
                        <w14:solidFill>
                          <w14:schemeClr w14:val="tx1"/>
                        </w14:solidFill>
                      </w14:textFill>
                    </w:rPr>
                    <w:t>不位于生态保护红线内，</w:t>
                  </w:r>
                  <w:r>
                    <w:rPr>
                      <w:rFonts w:hint="default" w:ascii="Times New Roman" w:hAnsi="Times New Roman" w:eastAsia="宋体" w:cs="Times New Roman"/>
                      <w:color w:val="000000" w:themeColor="text1"/>
                      <w:sz w:val="21"/>
                      <w:szCs w:val="21"/>
                      <w14:textFill>
                        <w14:solidFill>
                          <w14:schemeClr w14:val="tx1"/>
                        </w14:solidFill>
                      </w14:textFill>
                    </w:rPr>
                    <w:t>满足生态保护红线要求。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8"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环境质量底线</w:t>
                  </w:r>
                </w:p>
              </w:tc>
              <w:tc>
                <w:tcPr>
                  <w:tcW w:w="1963"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环境质量底线是国家和地方设置的大气、水和土壤环境质量目标，也是改善环境质量的基准线。项目环评应对照区域环境质量目标，深入分析预测项目建设对环境质量的影响，强化污染防治措施和污染物排放控制要求。</w:t>
                  </w:r>
                </w:p>
              </w:tc>
              <w:tc>
                <w:tcPr>
                  <w:tcW w:w="2328"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本项目所在区域环境空气质量</w:t>
                  </w:r>
                  <w:r>
                    <w:rPr>
                      <w:rFonts w:hint="eastAsia" w:cs="Times New Roman"/>
                      <w:color w:val="000000" w:themeColor="text1"/>
                      <w:sz w:val="21"/>
                      <w:szCs w:val="21"/>
                      <w:lang w:val="en-US" w:eastAsia="zh-CN"/>
                      <w14:textFill>
                        <w14:solidFill>
                          <w14:schemeClr w14:val="tx1"/>
                        </w14:solidFill>
                      </w14:textFill>
                    </w:rPr>
                    <w:t>不</w:t>
                  </w:r>
                  <w:r>
                    <w:rPr>
                      <w:rFonts w:hint="default" w:ascii="Times New Roman" w:hAnsi="Times New Roman" w:eastAsia="宋体" w:cs="Times New Roman"/>
                      <w:color w:val="000000" w:themeColor="text1"/>
                      <w:sz w:val="21"/>
                      <w:szCs w:val="21"/>
                      <w14:textFill>
                        <w14:solidFill>
                          <w14:schemeClr w14:val="tx1"/>
                        </w14:solidFill>
                      </w14:textFill>
                    </w:rPr>
                    <w:t>达标，经过国家和社会各界的共同努力，环境空气质量可以得到改善，长期以来可以达标，项目所在区域声环境质量、水环境质量能够满足相应的标准要求，本项目废气</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产生量较小且经</w:t>
                  </w:r>
                  <w:r>
                    <w:rPr>
                      <w:rFonts w:hint="eastAsia" w:cs="Times New Roman"/>
                      <w:color w:val="000000" w:themeColor="text1"/>
                      <w:sz w:val="21"/>
                      <w:szCs w:val="21"/>
                      <w:lang w:val="en-US" w:eastAsia="zh-CN"/>
                      <w14:textFill>
                        <w14:solidFill>
                          <w14:schemeClr w14:val="tx1"/>
                        </w14:solidFill>
                      </w14:textFill>
                    </w:rPr>
                    <w:t>喷淋设施</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处理后能够达标排放，噪声</w:t>
                  </w:r>
                  <w:r>
                    <w:rPr>
                      <w:rFonts w:hint="default" w:ascii="Times New Roman" w:hAnsi="Times New Roman" w:eastAsia="宋体" w:cs="Times New Roman"/>
                      <w:color w:val="000000" w:themeColor="text1"/>
                      <w:sz w:val="21"/>
                      <w:szCs w:val="21"/>
                      <w14:textFill>
                        <w14:solidFill>
                          <w14:schemeClr w14:val="tx1"/>
                        </w14:solidFill>
                      </w14:textFill>
                    </w:rPr>
                    <w:t>采取相应措施</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后</w:t>
                  </w:r>
                  <w:r>
                    <w:rPr>
                      <w:rFonts w:hint="default" w:ascii="Times New Roman" w:hAnsi="Times New Roman" w:eastAsia="宋体" w:cs="Times New Roman"/>
                      <w:color w:val="000000" w:themeColor="text1"/>
                      <w:sz w:val="21"/>
                      <w:szCs w:val="21"/>
                      <w14:textFill>
                        <w14:solidFill>
                          <w14:schemeClr w14:val="tx1"/>
                        </w14:solidFill>
                      </w14:textFill>
                    </w:rPr>
                    <w:t>达标排放</w:t>
                  </w:r>
                  <w:r>
                    <w:rPr>
                      <w:rFonts w:hint="default" w:ascii="Times New Roman" w:hAnsi="Times New Roman" w:eastAsia="宋体" w:cs="Times New Roman"/>
                      <w:color w:val="000000" w:themeColor="text1"/>
                      <w:sz w:val="21"/>
                      <w:szCs w:val="21"/>
                      <w:lang w:eastAsia="zh-CN"/>
                      <w14:textFill>
                        <w14:solidFill>
                          <w14:schemeClr w14:val="tx1"/>
                        </w14:solidFill>
                      </w14:textFill>
                    </w:rPr>
                    <w:t>，</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废水主要为生活污水，</w:t>
                  </w:r>
                  <w:r>
                    <w:rPr>
                      <w:rFonts w:hint="eastAsia" w:cs="Times New Roman"/>
                      <w:color w:val="000000" w:themeColor="text1"/>
                      <w:sz w:val="21"/>
                      <w:szCs w:val="21"/>
                      <w:lang w:val="en-US" w:eastAsia="zh-CN"/>
                      <w14:textFill>
                        <w14:solidFill>
                          <w14:schemeClr w14:val="tx1"/>
                        </w14:solidFill>
                      </w14:textFill>
                    </w:rPr>
                    <w:t>化粪池处理后定期由清污车外运处置</w:t>
                  </w:r>
                  <w:r>
                    <w:rPr>
                      <w:rFonts w:hint="default" w:ascii="Times New Roman" w:hAnsi="Times New Roman" w:cs="Times New Roman"/>
                      <w:color w:val="000000" w:themeColor="text1"/>
                      <w:sz w:val="21"/>
                      <w:szCs w:val="21"/>
                      <w:lang w:val="en-US" w:eastAsia="zh-CN"/>
                      <w14:textFill>
                        <w14:solidFill>
                          <w14:schemeClr w14:val="tx1"/>
                        </w14:solidFill>
                      </w14:textFill>
                    </w:rPr>
                    <w:t>，</w:t>
                  </w:r>
                  <w:r>
                    <w:rPr>
                      <w:rFonts w:hint="eastAsia" w:cs="Times New Roman"/>
                      <w:color w:val="000000" w:themeColor="text1"/>
                      <w:sz w:val="21"/>
                      <w:szCs w:val="21"/>
                      <w:lang w:val="en-US" w:eastAsia="zh-CN"/>
                      <w14:textFill>
                        <w14:solidFill>
                          <w14:schemeClr w14:val="tx1"/>
                        </w14:solidFill>
                      </w14:textFill>
                    </w:rPr>
                    <w:t>本项目产生的</w:t>
                  </w:r>
                  <w:r>
                    <w:rPr>
                      <w:rFonts w:hint="default" w:ascii="Times New Roman" w:hAnsi="Times New Roman" w:eastAsia="宋体" w:cs="Times New Roman"/>
                      <w:color w:val="000000" w:themeColor="text1"/>
                      <w:sz w:val="21"/>
                      <w:szCs w:val="21"/>
                      <w14:textFill>
                        <w14:solidFill>
                          <w14:schemeClr w14:val="tx1"/>
                        </w14:solidFill>
                      </w14:textFill>
                    </w:rPr>
                    <w:t>固体废物妥善处理后，对周围环境的影响不大，</w:t>
                  </w:r>
                  <w:r>
                    <w:rPr>
                      <w:rFonts w:hint="eastAsia" w:cs="Times New Roman"/>
                      <w:color w:val="000000" w:themeColor="text1"/>
                      <w:sz w:val="21"/>
                      <w:szCs w:val="21"/>
                      <w:lang w:val="en-US" w:eastAsia="zh-CN"/>
                      <w14:textFill>
                        <w14:solidFill>
                          <w14:schemeClr w14:val="tx1"/>
                        </w14:solidFill>
                      </w14:textFill>
                    </w:rPr>
                    <w:t>本项目利用炉渣进行一系列处理后选出成品砂及金属，属于固体废物综合利用项目，</w:t>
                  </w:r>
                  <w:r>
                    <w:rPr>
                      <w:rFonts w:hint="default" w:ascii="Times New Roman" w:hAnsi="Times New Roman" w:eastAsia="宋体" w:cs="Times New Roman"/>
                      <w:color w:val="000000" w:themeColor="text1"/>
                      <w:sz w:val="21"/>
                      <w:szCs w:val="21"/>
                      <w14:textFill>
                        <w14:solidFill>
                          <w14:schemeClr w14:val="tx1"/>
                        </w14:solidFill>
                      </w14:textFill>
                    </w:rPr>
                    <w:t>符合环境质量底线要求。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8"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资源利用上线</w:t>
                  </w:r>
                </w:p>
              </w:tc>
              <w:tc>
                <w:tcPr>
                  <w:tcW w:w="1963"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资源利用上线是各地区能源、水、土地等资源消耗不得突破的</w:t>
                  </w:r>
                  <w:r>
                    <w:rPr>
                      <w:rFonts w:hint="default" w:ascii="Times New Roman" w:hAnsi="Times New Roman" w:eastAsia="宋体" w:cs="Times New Roman"/>
                      <w:color w:val="000000" w:themeColor="text1"/>
                      <w:sz w:val="21"/>
                      <w:szCs w:val="21"/>
                      <w:lang w:eastAsia="zh-CN"/>
                      <w14:textFill>
                        <w14:solidFill>
                          <w14:schemeClr w14:val="tx1"/>
                        </w14:solidFill>
                      </w14:textFill>
                    </w:rPr>
                    <w:t>“</w:t>
                  </w:r>
                  <w:r>
                    <w:rPr>
                      <w:rFonts w:hint="default" w:ascii="Times New Roman" w:hAnsi="Times New Roman" w:eastAsia="宋体" w:cs="Times New Roman"/>
                      <w:color w:val="000000" w:themeColor="text1"/>
                      <w:sz w:val="21"/>
                      <w:szCs w:val="21"/>
                      <w14:textFill>
                        <w14:solidFill>
                          <w14:schemeClr w14:val="tx1"/>
                        </w14:solidFill>
                      </w14:textFill>
                    </w:rPr>
                    <w:t>天花板</w:t>
                  </w:r>
                  <w:r>
                    <w:rPr>
                      <w:rFonts w:hint="default" w:ascii="Times New Roman" w:hAnsi="Times New Roman" w:eastAsia="宋体" w:cs="Times New Roman"/>
                      <w:color w:val="000000" w:themeColor="text1"/>
                      <w:sz w:val="21"/>
                      <w:szCs w:val="21"/>
                      <w:lang w:eastAsia="zh-CN"/>
                      <w14:textFill>
                        <w14:solidFill>
                          <w14:schemeClr w14:val="tx1"/>
                        </w14:solidFill>
                      </w14:textFill>
                    </w:rPr>
                    <w:t>”</w:t>
                  </w:r>
                  <w:r>
                    <w:rPr>
                      <w:rFonts w:hint="default" w:ascii="Times New Roman" w:hAnsi="Times New Roman" w:eastAsia="宋体" w:cs="Times New Roman"/>
                      <w:color w:val="000000" w:themeColor="text1"/>
                      <w:sz w:val="21"/>
                      <w:szCs w:val="21"/>
                      <w14:textFill>
                        <w14:solidFill>
                          <w14:schemeClr w14:val="tx1"/>
                        </w14:solidFill>
                      </w14:textFill>
                    </w:rPr>
                    <w:t>。相关规划环评应依据有关资源利用上线，对规划实施以及规划内项目的资源开发利用，区分不同行业，从能源资源开发等量或减量替代、开采方式和规模控制、利用效率和保护措施等方面提出建议，为规划编制和审批决策提供重要依据。</w:t>
                  </w:r>
                </w:p>
              </w:tc>
              <w:tc>
                <w:tcPr>
                  <w:tcW w:w="2328"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本项目为</w:t>
                  </w:r>
                  <w:r>
                    <w:rPr>
                      <w:rFonts w:hint="eastAsia" w:cs="Times New Roman"/>
                      <w:color w:val="000000" w:themeColor="text1"/>
                      <w:sz w:val="21"/>
                      <w:szCs w:val="21"/>
                      <w:lang w:val="en-US" w:eastAsia="zh-CN"/>
                      <w14:textFill>
                        <w14:solidFill>
                          <w14:schemeClr w14:val="tx1"/>
                        </w14:solidFill>
                      </w14:textFill>
                    </w:rPr>
                    <w:t>新建</w:t>
                  </w:r>
                  <w:r>
                    <w:rPr>
                      <w:rFonts w:hint="default" w:ascii="Times New Roman" w:hAnsi="Times New Roman" w:eastAsia="宋体" w:cs="Times New Roman"/>
                      <w:color w:val="000000" w:themeColor="text1"/>
                      <w:sz w:val="21"/>
                      <w:szCs w:val="21"/>
                      <w:lang w:eastAsia="zh-CN"/>
                      <w14:textFill>
                        <w14:solidFill>
                          <w14:schemeClr w14:val="tx1"/>
                        </w14:solidFill>
                      </w14:textFill>
                    </w:rPr>
                    <w:t>项目</w:t>
                  </w:r>
                  <w:r>
                    <w:rPr>
                      <w:rFonts w:hint="default" w:ascii="Times New Roman" w:hAnsi="Times New Roman" w:eastAsia="宋体" w:cs="Times New Roman"/>
                      <w:color w:val="000000" w:themeColor="text1"/>
                      <w:sz w:val="21"/>
                      <w:szCs w:val="21"/>
                      <w14:textFill>
                        <w14:solidFill>
                          <w14:schemeClr w14:val="tx1"/>
                        </w14:solidFill>
                      </w14:textFill>
                    </w:rPr>
                    <w:t>，</w:t>
                  </w:r>
                  <w:r>
                    <w:rPr>
                      <w:rFonts w:hint="eastAsia" w:cs="Times New Roman"/>
                      <w:color w:val="000000" w:themeColor="text1"/>
                      <w:sz w:val="21"/>
                      <w:szCs w:val="21"/>
                      <w:lang w:val="en-US" w:eastAsia="zh-CN"/>
                      <w14:textFill>
                        <w14:solidFill>
                          <w14:schemeClr w14:val="tx1"/>
                        </w14:solidFill>
                      </w14:textFill>
                    </w:rPr>
                    <w:t>项目在现有场地内进行建设，供水供电依托管网</w:t>
                  </w:r>
                  <w:r>
                    <w:rPr>
                      <w:rFonts w:hint="default" w:ascii="Times New Roman" w:hAnsi="Times New Roman" w:eastAsia="宋体" w:cs="Times New Roman"/>
                      <w:color w:val="000000" w:themeColor="text1"/>
                      <w:sz w:val="21"/>
                      <w:szCs w:val="21"/>
                      <w14:textFill>
                        <w14:solidFill>
                          <w14:schemeClr w14:val="tx1"/>
                        </w14:solidFill>
                      </w14:textFill>
                    </w:rPr>
                    <w:t>，符合资源利用上线要求。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08"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环境准入负面清单</w:t>
                  </w:r>
                </w:p>
              </w:tc>
              <w:tc>
                <w:tcPr>
                  <w:tcW w:w="1963" w:type="pct"/>
                  <w:noWrap w:val="0"/>
                  <w:vAlign w:val="center"/>
                </w:tcPr>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环境准入负面清单是基于生态保护红线、环境质量底线和资源利用上线，以清单方式列出的禁止、限制等差别化环境准入条件和要求。要在规划环评清单式管理试点的基础上，从布局选址、资源利用效率、资源配置方式等方面入手，制定环境准入负面清单，充分发挥负面清单对产业发展和项目准入的指导和约束作用。</w:t>
                  </w:r>
                </w:p>
              </w:tc>
              <w:tc>
                <w:tcPr>
                  <w:tcW w:w="2328" w:type="pct"/>
                  <w:noWrap w:val="0"/>
                  <w:vAlign w:val="center"/>
                </w:tcPr>
                <w:p>
                  <w:pPr>
                    <w:pStyle w:val="50"/>
                    <w:keepNext w:val="0"/>
                    <w:keepLines w:val="0"/>
                    <w:pageBreakBefore w:val="0"/>
                    <w:widowControl w:val="0"/>
                    <w:kinsoku/>
                    <w:wordWrap/>
                    <w:overflowPunct/>
                    <w:topLinePunct w:val="0"/>
                    <w:bidi w:val="0"/>
                    <w:adjustRightInd w:val="0"/>
                    <w:snapToGrid w:val="0"/>
                    <w:spacing w:line="240" w:lineRule="auto"/>
                    <w:ind w:firstLine="420" w:firstLineChars="200"/>
                    <w:jc w:val="left"/>
                    <w:textAlignment w:val="auto"/>
                    <w:rPr>
                      <w:rFonts w:hint="default" w:ascii="Times New Roman" w:hAnsi="Times New Roman" w:eastAsia="宋体" w:cs="Times New Roman"/>
                      <w:b w:val="0"/>
                      <w:snapToGrid w:val="0"/>
                      <w:color w:val="000000" w:themeColor="text1"/>
                      <w:spacing w:val="0"/>
                      <w:w w:val="100"/>
                      <w:sz w:val="21"/>
                      <w:szCs w:val="21"/>
                      <w14:textFill>
                        <w14:solidFill>
                          <w14:schemeClr w14:val="tx1"/>
                        </w14:solidFill>
                      </w14:textFill>
                    </w:rPr>
                  </w:pPr>
                  <w:r>
                    <w:rPr>
                      <w:rFonts w:hint="default" w:ascii="Times New Roman" w:hAnsi="Times New Roman" w:eastAsia="宋体" w:cs="Times New Roman"/>
                      <w:b w:val="0"/>
                      <w:snapToGrid w:val="0"/>
                      <w:color w:val="000000" w:themeColor="text1"/>
                      <w:spacing w:val="0"/>
                      <w:w w:val="100"/>
                      <w:sz w:val="21"/>
                      <w:szCs w:val="21"/>
                      <w14:textFill>
                        <w14:solidFill>
                          <w14:schemeClr w14:val="tx1"/>
                        </w14:solidFill>
                      </w14:textFill>
                    </w:rPr>
                    <w:t>本项目不属于《市场准入负面清单（</w:t>
                  </w:r>
                  <w:r>
                    <w:rPr>
                      <w:rFonts w:hint="default" w:ascii="Times New Roman" w:hAnsi="Times New Roman" w:eastAsia="宋体" w:cs="Times New Roman"/>
                      <w:b w:val="0"/>
                      <w:snapToGrid w:val="0"/>
                      <w:color w:val="000000" w:themeColor="text1"/>
                      <w:spacing w:val="0"/>
                      <w:w w:val="100"/>
                      <w:sz w:val="21"/>
                      <w:szCs w:val="21"/>
                      <w:lang w:val="en-US" w:eastAsia="zh-CN"/>
                      <w14:textFill>
                        <w14:solidFill>
                          <w14:schemeClr w14:val="tx1"/>
                        </w14:solidFill>
                      </w14:textFill>
                    </w:rPr>
                    <w:t>20</w:t>
                  </w:r>
                  <w:r>
                    <w:rPr>
                      <w:rFonts w:hint="eastAsia" w:cs="Times New Roman"/>
                      <w:b w:val="0"/>
                      <w:snapToGrid w:val="0"/>
                      <w:color w:val="000000" w:themeColor="text1"/>
                      <w:spacing w:val="0"/>
                      <w:w w:val="100"/>
                      <w:sz w:val="21"/>
                      <w:szCs w:val="21"/>
                      <w:lang w:val="en-US" w:eastAsia="zh-CN"/>
                      <w14:textFill>
                        <w14:solidFill>
                          <w14:schemeClr w14:val="tx1"/>
                        </w14:solidFill>
                      </w14:textFill>
                    </w:rPr>
                    <w:t>22</w:t>
                  </w:r>
                  <w:r>
                    <w:rPr>
                      <w:rFonts w:hint="default" w:ascii="Times New Roman" w:hAnsi="Times New Roman" w:eastAsia="宋体" w:cs="Times New Roman"/>
                      <w:b w:val="0"/>
                      <w:snapToGrid w:val="0"/>
                      <w:color w:val="000000" w:themeColor="text1"/>
                      <w:spacing w:val="0"/>
                      <w:w w:val="100"/>
                      <w:sz w:val="21"/>
                      <w:szCs w:val="21"/>
                      <w14:textFill>
                        <w14:solidFill>
                          <w14:schemeClr w14:val="tx1"/>
                        </w14:solidFill>
                      </w14:textFill>
                    </w:rPr>
                    <w:t>年版）》、《河北省禁止投资的产业目录》、《秦皇岛市</w:t>
                  </w:r>
                  <w:r>
                    <w:rPr>
                      <w:rFonts w:hint="default" w:ascii="Times New Roman" w:hAnsi="Times New Roman" w:eastAsia="宋体" w:cs="Times New Roman"/>
                      <w:b w:val="0"/>
                      <w:snapToGrid w:val="0"/>
                      <w:color w:val="000000" w:themeColor="text1"/>
                      <w:spacing w:val="0"/>
                      <w:w w:val="100"/>
                      <w:sz w:val="21"/>
                      <w:szCs w:val="21"/>
                      <w:lang w:eastAsia="zh-CN"/>
                      <w14:textFill>
                        <w14:solidFill>
                          <w14:schemeClr w14:val="tx1"/>
                        </w14:solidFill>
                      </w14:textFill>
                    </w:rPr>
                    <w:t>限</w:t>
                  </w:r>
                  <w:r>
                    <w:rPr>
                      <w:rFonts w:hint="default" w:ascii="Times New Roman" w:hAnsi="Times New Roman" w:eastAsia="宋体" w:cs="Times New Roman"/>
                      <w:b w:val="0"/>
                      <w:snapToGrid w:val="0"/>
                      <w:color w:val="000000" w:themeColor="text1"/>
                      <w:spacing w:val="0"/>
                      <w:w w:val="100"/>
                      <w:sz w:val="21"/>
                      <w:szCs w:val="21"/>
                      <w:lang w:val="en-US" w:eastAsia="zh-CN"/>
                      <w14:textFill>
                        <w14:solidFill>
                          <w14:schemeClr w14:val="tx1"/>
                        </w14:solidFill>
                      </w14:textFill>
                    </w:rPr>
                    <w:t>制</w:t>
                  </w:r>
                  <w:r>
                    <w:rPr>
                      <w:rFonts w:hint="default" w:ascii="Times New Roman" w:hAnsi="Times New Roman" w:eastAsia="宋体" w:cs="Times New Roman"/>
                      <w:b w:val="0"/>
                      <w:snapToGrid w:val="0"/>
                      <w:color w:val="000000" w:themeColor="text1"/>
                      <w:spacing w:val="0"/>
                      <w:w w:val="100"/>
                      <w:sz w:val="21"/>
                      <w:szCs w:val="21"/>
                      <w14:textFill>
                        <w14:solidFill>
                          <w14:schemeClr w14:val="tx1"/>
                        </w14:solidFill>
                      </w14:textFill>
                    </w:rPr>
                    <w:t>和禁止投资的产业目录（2020年修订版）》中的</w:t>
                  </w:r>
                  <w:r>
                    <w:rPr>
                      <w:rFonts w:hint="default" w:ascii="Times New Roman" w:hAnsi="Times New Roman" w:eastAsia="宋体" w:cs="Times New Roman"/>
                      <w:b w:val="0"/>
                      <w:snapToGrid w:val="0"/>
                      <w:color w:val="000000" w:themeColor="text1"/>
                      <w:spacing w:val="0"/>
                      <w:w w:val="100"/>
                      <w:sz w:val="21"/>
                      <w:szCs w:val="21"/>
                      <w:lang w:eastAsia="zh-CN"/>
                      <w14:textFill>
                        <w14:solidFill>
                          <w14:schemeClr w14:val="tx1"/>
                        </w14:solidFill>
                      </w14:textFill>
                    </w:rPr>
                    <w:t>限</w:t>
                  </w:r>
                  <w:r>
                    <w:rPr>
                      <w:rFonts w:hint="default" w:ascii="Times New Roman" w:hAnsi="Times New Roman" w:eastAsia="宋体" w:cs="Times New Roman"/>
                      <w:b w:val="0"/>
                      <w:snapToGrid w:val="0"/>
                      <w:color w:val="000000" w:themeColor="text1"/>
                      <w:spacing w:val="0"/>
                      <w:w w:val="100"/>
                      <w:sz w:val="21"/>
                      <w:szCs w:val="21"/>
                      <w:lang w:val="en-US" w:eastAsia="zh-CN"/>
                      <w14:textFill>
                        <w14:solidFill>
                          <w14:schemeClr w14:val="tx1"/>
                        </w14:solidFill>
                      </w14:textFill>
                    </w:rPr>
                    <w:t>制</w:t>
                  </w:r>
                  <w:r>
                    <w:rPr>
                      <w:rFonts w:hint="default" w:ascii="Times New Roman" w:hAnsi="Times New Roman" w:eastAsia="宋体" w:cs="Times New Roman"/>
                      <w:b w:val="0"/>
                      <w:snapToGrid w:val="0"/>
                      <w:color w:val="000000" w:themeColor="text1"/>
                      <w:spacing w:val="0"/>
                      <w:w w:val="100"/>
                      <w:sz w:val="21"/>
                      <w:szCs w:val="21"/>
                      <w14:textFill>
                        <w14:solidFill>
                          <w14:schemeClr w14:val="tx1"/>
                        </w14:solidFill>
                      </w14:textFill>
                    </w:rPr>
                    <w:t>类和淘汰类项目，不在环境准入负面清单之列。</w:t>
                  </w:r>
                </w:p>
                <w:p>
                  <w:pPr>
                    <w:pStyle w:val="30"/>
                    <w:keepNext w:val="0"/>
                    <w:keepLines w:val="0"/>
                    <w:pageBreakBefore w:val="0"/>
                    <w:widowControl w:val="0"/>
                    <w:kinsoku/>
                    <w:wordWrap/>
                    <w:overflowPunct/>
                    <w:topLinePunct w:val="0"/>
                    <w:autoSpaceDE/>
                    <w:autoSpaceDN/>
                    <w:bidi w:val="0"/>
                    <w:adjustRightInd/>
                    <w:snapToGrid/>
                    <w:spacing w:after="0" w:line="240" w:lineRule="auto"/>
                    <w:ind w:left="0" w:lef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p>
              </w:tc>
            </w:tr>
          </w:tbl>
          <w:p>
            <w:pPr>
              <w:pStyle w:val="41"/>
              <w:widowControl w:val="0"/>
              <w:numPr>
                <w:ilvl w:val="0"/>
                <w:numId w:val="0"/>
              </w:numPr>
              <w:adjustRightInd w:val="0"/>
              <w:spacing w:line="360" w:lineRule="auto"/>
              <w:jc w:val="both"/>
              <w:rPr>
                <w:rFonts w:hint="default" w:ascii="Times New Roman" w:hAnsi="Times New Roman" w:cs="Times New Roman"/>
                <w:color w:val="000000" w:themeColor="text1"/>
                <w:highlight w:val="none"/>
                <w14:textFill>
                  <w14:solidFill>
                    <w14:schemeClr w14:val="tx1"/>
                  </w14:solidFill>
                </w14:textFill>
              </w:rPr>
            </w:pPr>
          </w:p>
          <w:p>
            <w:pPr>
              <w:pStyle w:val="41"/>
              <w:widowControl w:val="0"/>
              <w:numPr>
                <w:ilvl w:val="0"/>
                <w:numId w:val="0"/>
              </w:numPr>
              <w:adjustRightInd w:val="0"/>
              <w:spacing w:line="360" w:lineRule="auto"/>
              <w:jc w:val="both"/>
              <w:rPr>
                <w:rFonts w:hint="default" w:ascii="Times New Roman" w:hAnsi="Times New Roman" w:cs="Times New Roman"/>
                <w:color w:val="000000" w:themeColor="text1"/>
                <w:highlight w:val="none"/>
                <w14:textFill>
                  <w14:solidFill>
                    <w14:schemeClr w14:val="tx1"/>
                  </w14:solidFill>
                </w14:textFill>
              </w:rPr>
            </w:pPr>
          </w:p>
          <w:p>
            <w:pPr>
              <w:pStyle w:val="41"/>
              <w:widowControl w:val="0"/>
              <w:numPr>
                <w:ilvl w:val="0"/>
                <w:numId w:val="0"/>
              </w:numPr>
              <w:adjustRightInd w:val="0"/>
              <w:spacing w:line="360" w:lineRule="auto"/>
              <w:jc w:val="both"/>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drawing>
                <wp:anchor distT="0" distB="0" distL="114300" distR="114300" simplePos="0" relativeHeight="251663360" behindDoc="0" locked="0" layoutInCell="1" allowOverlap="1">
                  <wp:simplePos x="0" y="0"/>
                  <wp:positionH relativeFrom="column">
                    <wp:posOffset>3630930</wp:posOffset>
                  </wp:positionH>
                  <wp:positionV relativeFrom="paragraph">
                    <wp:posOffset>5243830</wp:posOffset>
                  </wp:positionV>
                  <wp:extent cx="1359535" cy="925195"/>
                  <wp:effectExtent l="0" t="0" r="12065" b="8255"/>
                  <wp:wrapNone/>
                  <wp:docPr id="1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
                          <pic:cNvPicPr>
                            <a:picLocks noChangeAspect="1"/>
                          </pic:cNvPicPr>
                        </pic:nvPicPr>
                        <pic:blipFill>
                          <a:blip r:embed="rId9"/>
                          <a:stretch>
                            <a:fillRect/>
                          </a:stretch>
                        </pic:blipFill>
                        <pic:spPr>
                          <a:xfrm>
                            <a:off x="0" y="0"/>
                            <a:ext cx="1359535" cy="925195"/>
                          </a:xfrm>
                          <a:prstGeom prst="rect">
                            <a:avLst/>
                          </a:prstGeom>
                          <a:noFill/>
                          <a:ln>
                            <a:noFill/>
                          </a:ln>
                        </pic:spPr>
                      </pic:pic>
                    </a:graphicData>
                  </a:graphic>
                </wp:anchor>
              </w:drawing>
            </w:r>
            <w:r>
              <w:rPr>
                <w:rFonts w:hint="default" w:ascii="Times New Roman" w:hAnsi="Times New Roman" w:cs="Times New Roman"/>
                <w:color w:val="000000" w:themeColor="text1"/>
                <w:highlight w:val="none"/>
                <w14:textFill>
                  <w14:solidFill>
                    <w14:schemeClr w14:val="tx1"/>
                  </w14:solidFill>
                </w14:textFill>
              </w:rPr>
              <mc:AlternateContent>
                <mc:Choice Requires="wps">
                  <w:drawing>
                    <wp:anchor distT="0" distB="0" distL="114300" distR="114300" simplePos="0" relativeHeight="251661312" behindDoc="0" locked="0" layoutInCell="1" allowOverlap="1">
                      <wp:simplePos x="0" y="0"/>
                      <wp:positionH relativeFrom="column">
                        <wp:posOffset>2985135</wp:posOffset>
                      </wp:positionH>
                      <wp:positionV relativeFrom="paragraph">
                        <wp:posOffset>4220210</wp:posOffset>
                      </wp:positionV>
                      <wp:extent cx="371475" cy="335280"/>
                      <wp:effectExtent l="17145" t="19050" r="11430" b="7620"/>
                      <wp:wrapNone/>
                      <wp:docPr id="2" name="直接箭头连接符 2"/>
                      <wp:cNvGraphicFramePr/>
                      <a:graphic xmlns:a="http://schemas.openxmlformats.org/drawingml/2006/main">
                        <a:graphicData uri="http://schemas.microsoft.com/office/word/2010/wordprocessingShape">
                          <wps:wsp>
                            <wps:cNvCnPr/>
                            <wps:spPr>
                              <a:xfrm>
                                <a:off x="4718685" y="5538470"/>
                                <a:ext cx="371475" cy="335280"/>
                              </a:xfrm>
                              <a:prstGeom prst="straightConnector1">
                                <a:avLst/>
                              </a:prstGeom>
                              <a:noFill/>
                              <a:ln w="50800" cap="flat" cmpd="sng" algn="ctr">
                                <a:solidFill>
                                  <a:srgbClr val="FF0000"/>
                                </a:solidFill>
                                <a:prstDash val="solid"/>
                                <a:tailEnd type="arrow"/>
                              </a:ln>
                              <a:effectLst/>
                            </wps:spPr>
                            <wps:bodyPr/>
                          </wps:wsp>
                        </a:graphicData>
                      </a:graphic>
                    </wp:anchor>
                  </w:drawing>
                </mc:Choice>
                <mc:Fallback>
                  <w:pict>
                    <v:shape id="_x0000_s1026" o:spid="_x0000_s1026" o:spt="32" type="#_x0000_t32" style="position:absolute;left:0pt;margin-left:235.05pt;margin-top:332.3pt;height:26.4pt;width:29.25pt;z-index:251661312;mso-width-relative:page;mso-height-relative:page;" filled="f" stroked="t" coordsize="21600,21600" o:gfxdata="UEsDBAoAAAAAAIdO4kAAAAAAAAAAAAAAAAAEAAAAZHJzL1BLAwQUAAAACACHTuJA67UfFdkAAAAL&#10;AQAADwAAAGRycy9kb3ducmV2LnhtbE2PwU7DMAyG70i8Q2QkLoglnbq2lKY7IDghgRjjnjWmKTRJ&#10;laRb9/aYE9xs+dfn72+2ix3ZEUMcvJOQrQQwdJ3Xg+sl7N+fbitgMSmn1egdSjhjhG17edGoWvuT&#10;e8PjLvWMIC7WSoJJaao5j51Bq+LKT+jo9umDVYnW0HMd1IngduRrIQpu1eDog1ETPhjsvnezlZC/&#10;qqX6COV5v9GPz/OduVm+XlDK66tM3ANLuKS/MPzqkzq05HTws9ORjcQoRUZRCUWRF8AosVlXNBwk&#10;lFmZA28b/r9D+wNQSwMEFAAAAAgAh07iQBICg1sRAgAA5gMAAA4AAABkcnMvZTJvRG9jLnhtbK1T&#10;zY7TMBC+I/EOlu806d82qpruoaVcEFQCHsB1nMSS/zT2Nu1L8AJInIATcNo7TwPLYzB2wrIslz2Q&#10;QzLOzHwz3zfj1eVJK3IU4KU1JR2PckqE4baSpinpm9e7JwUlPjBTMWWNKOlZeHq5fvxo1bmlmNjW&#10;qkoAQRDjl50raRuCW2aZ563QzI+sEwadtQXNAh6hySpgHaJrlU3y/CLrLFQOLBfe499t76QDIjwE&#10;0Na15GJr+ZUWJvSoIBQLSMm30nm6Tt3WteDhZV17EYgqKTIN6Y1F0D7Ed7ZesWUDzLWSDy2wh7Rw&#10;j5Nm0mDRW6gtC4xcgfwHSksO1ts6jLjVWU8kKYIsxvk9bV61zInEBaX27lZ0//9g+YvjHoisSjqh&#10;xDCNA795d/3j7cebr1++f7j++e19tD9/IpMoVef8EjM2Zg/Dybs9RN6nGnT8IiNyKulsMS4uijkl&#10;55LO59NithikFqdAOAZMF+PZAv0cA6bT+aRI/uwPkAMfngmrSTRK6gMw2bRhY43BoVoYJ7nZ8bkP&#10;2Aom/k6IXRi7k0ql2SpDOuwhL3IcOWe4sDUuCpraIWlvGkqYavAm8AAJ0lslq5gegTw0h40CcmS4&#10;P7tdjk/UAcv9FRZrb5lv+7jk6jcrMKmemoqEs0NlGYDthnxlIr5IKzpwiOr2ekbrYKtzkjmLJxx/&#10;Kjusatyvu2e0717P9S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DrtR8V2QAAAAsBAAAPAAAAAAAA&#10;AAEAIAAAACIAAABkcnMvZG93bnJldi54bWxQSwECFAAUAAAACACHTuJAEgKDWxECAADmAwAADgAA&#10;AAAAAAABACAAAAAoAQAAZHJzL2Uyb0RvYy54bWxQSwUGAAAAAAYABgBZAQAAqwUAAAAA&#10;">
                      <v:fill on="f" focussize="0,0"/>
                      <v:stroke weight="4pt" color="#FF0000" joinstyle="round" endarrow="open"/>
                      <v:imagedata o:title=""/>
                      <o:lock v:ext="edit" aspectratio="f"/>
                    </v:shape>
                  </w:pict>
                </mc:Fallback>
              </mc:AlternateContent>
            </w:r>
            <w:r>
              <w:rPr>
                <w:rFonts w:hint="default" w:ascii="Times New Roman" w:hAnsi="Times New Roman" w:cs="Times New Roman"/>
                <w:color w:val="000000" w:themeColor="text1"/>
                <w:highlight w:val="none"/>
                <w14:textFill>
                  <w14:solidFill>
                    <w14:schemeClr w14:val="tx1"/>
                  </w14:solidFill>
                </w14:textFill>
              </w:rPr>
              <mc:AlternateContent>
                <mc:Choice Requires="wps">
                  <w:drawing>
                    <wp:anchor distT="0" distB="0" distL="114300" distR="114300" simplePos="0" relativeHeight="251662336" behindDoc="0" locked="0" layoutInCell="1" allowOverlap="1">
                      <wp:simplePos x="0" y="0"/>
                      <wp:positionH relativeFrom="column">
                        <wp:posOffset>2037715</wp:posOffset>
                      </wp:positionH>
                      <wp:positionV relativeFrom="paragraph">
                        <wp:posOffset>4093210</wp:posOffset>
                      </wp:positionV>
                      <wp:extent cx="1029970" cy="437515"/>
                      <wp:effectExtent l="0" t="0" r="6350" b="4445"/>
                      <wp:wrapNone/>
                      <wp:docPr id="3" name="文本框 3"/>
                      <wp:cNvGraphicFramePr/>
                      <a:graphic xmlns:a="http://schemas.openxmlformats.org/drawingml/2006/main">
                        <a:graphicData uri="http://schemas.microsoft.com/office/word/2010/wordprocessingShape">
                          <wps:wsp>
                            <wps:cNvSpPr txBox="1"/>
                            <wps:spPr>
                              <a:xfrm>
                                <a:off x="3642995" y="4887595"/>
                                <a:ext cx="1029970" cy="437515"/>
                              </a:xfrm>
                              <a:prstGeom prst="rect">
                                <a:avLst/>
                              </a:prstGeom>
                              <a:solidFill>
                                <a:schemeClr val="bg1"/>
                              </a:solidFill>
                              <a:ln w="6350">
                                <a:noFill/>
                              </a:ln>
                              <a:effectLst/>
                            </wps:spPr>
                            <wps:txbx>
                              <w:txbxContent>
                                <w:p>
                                  <w:pPr>
                                    <w:ind w:left="0" w:leftChars="0" w:firstLine="0" w:firstLineChars="0"/>
                                    <w:rPr>
                                      <w:rFonts w:hint="eastAsia" w:eastAsia="宋体"/>
                                      <w:color w:val="FF0000"/>
                                      <w:sz w:val="44"/>
                                      <w:szCs w:val="44"/>
                                      <w:highlight w:val="none"/>
                                      <w:lang w:val="en-US" w:eastAsia="zh-CN"/>
                                    </w:rPr>
                                  </w:pPr>
                                  <w:r>
                                    <w:rPr>
                                      <w:rFonts w:hint="eastAsia"/>
                                      <w:color w:val="FF0000"/>
                                      <w:sz w:val="44"/>
                                      <w:szCs w:val="44"/>
                                      <w:highlight w:val="none"/>
                                      <w:lang w:val="en-US" w:eastAsia="zh-CN"/>
                                    </w:rPr>
                                    <w:t>本项目</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60.45pt;margin-top:322.3pt;height:34.45pt;width:81.1pt;z-index:251662336;mso-width-relative:page;mso-height-relative:page;" fillcolor="#FFFFFF [3212]" filled="t" stroked="f" coordsize="21600,21600" o:gfxdata="UEsDBAoAAAAAAIdO4kAAAAAAAAAAAAAAAAAEAAAAZHJzL1BLAwQUAAAACACHTuJAGehh79cAAAAL&#10;AQAADwAAAGRycy9kb3ducmV2LnhtbE2Py07DMBBF90j8gzVI7KjtJoSSZtIFElsk2tK1G5s4ajyO&#10;bPf59ZgVLEf36N4zzeriRnYyIQ6eEORMADPUeT1Qj7DdvD8tgMWkSKvRk0G4mgir9v6uUbX2Z/o0&#10;p3XqWS6hWCsEm9JUcx47a5yKMz8Zytm3D06lfIae66DOudyNfC5ExZ0aKC9YNZk3a7rD+ugQdr27&#10;7b7kFKx2Y0kft+tm6wfExwcplsCSuaQ/GH71szq02Wnvj6QjGxGKuXjNKEJVlhWwTJSLQgLbI7zI&#10;4hl42/D/P7Q/UEsDBBQAAAAIAIdO4kDHS1gdYAIAAKkEAAAOAAAAZHJzL2Uyb0RvYy54bWytVM1u&#10;EzEQviPxDpbvZPP/p26q0CoIqaKVAuLseL1ZS7bH2E52ywPAG/TEhTvP1edg7E2aUDj0QA6bGc+3&#10;33i+mdmLy0YrshfOSzA57XW6lAjDoZBmm9NPH1dvppT4wEzBFBiR03vh6eXi9auL2s5FHypQhXAE&#10;SYyf1zanVQh2nmWeV0Iz3wErDAZLcJoFdN02KxyrkV2rrN/tjrMaXGEdcOE9nl63QXpgdC8hhLKU&#10;XFwD32lhQsvqhGIBS/KVtJ4u0m3LUvBwW5ZeBKJyipWG9MQkaG/iM1tcsPnWMVtJfrgCe8kVntWk&#10;mTSY9InqmgVGdk7+RaUld+ChDB0OOmsLSYpgFb3uM23WFbMi1YJSe/skuv9/tPzD/s4RWeR0QIlh&#10;Ghv++PD98cevx5/fyCDKU1s/R9TaIi40b6HBoTmeezyMVTel0/Ef6yEYH4yH/dlsRMl9TofT6WSE&#10;dhJaNIHwSNDF+AR7wCNiMBn1EiA7MVnnwzsBmkQjpw4bmfRl+xsfkAuhR0hM7EHJYiWVSo7bbq6U&#10;I3uGTV+lX0yPr/wBU4bUOR0PRt3EbCC+3+KUiTwizc8hX5ShLTdaodk0CI3mBop7lMZBO1ve8pXE&#10;O98wH+6Yw2HCMnHdwi0+SgWYEg4WJRW4r/86j3jsMUYpqXE4c+q/7JgTlKj3Brs/6w2HcZqTMxxN&#10;+ui488jmPGJ2+gpQih4utuXJjPigjmbpQH/GrVzGrBhihmPunIajeRXalcGt5mK5TCCcX8vCjVlb&#10;HqmjYAaWuwClTA06aYPSRwcnODXhsG1xRc79hDp9YR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BnoYe/XAAAACwEAAA8AAAAAAAAAAQAgAAAAIgAAAGRycy9kb3ducmV2LnhtbFBLAQIUABQAAAAI&#10;AIdO4kDHS1gdYAIAAKkEAAAOAAAAAAAAAAEAIAAAACYBAABkcnMvZTJvRG9jLnhtbFBLBQYAAAAA&#10;BgAGAFkBAAD4BQAAAAA=&#10;">
                      <v:fill on="t" focussize="0,0"/>
                      <v:stroke on="f" weight="0.5pt"/>
                      <v:imagedata o:title=""/>
                      <o:lock v:ext="edit" aspectratio="f"/>
                      <v:textbox>
                        <w:txbxContent>
                          <w:p>
                            <w:pPr>
                              <w:ind w:left="0" w:leftChars="0" w:firstLine="0" w:firstLineChars="0"/>
                              <w:rPr>
                                <w:rFonts w:hint="eastAsia" w:eastAsia="宋体"/>
                                <w:color w:val="FF0000"/>
                                <w:sz w:val="44"/>
                                <w:szCs w:val="44"/>
                                <w:highlight w:val="none"/>
                                <w:lang w:val="en-US" w:eastAsia="zh-CN"/>
                              </w:rPr>
                            </w:pPr>
                            <w:r>
                              <w:rPr>
                                <w:rFonts w:hint="eastAsia"/>
                                <w:color w:val="FF0000"/>
                                <w:sz w:val="44"/>
                                <w:szCs w:val="44"/>
                                <w:highlight w:val="none"/>
                                <w:lang w:val="en-US" w:eastAsia="zh-CN"/>
                              </w:rPr>
                              <w:t>本项目</w:t>
                            </w:r>
                          </w:p>
                        </w:txbxContent>
                      </v:textbox>
                    </v:shape>
                  </w:pict>
                </mc:Fallback>
              </mc:AlternateContent>
            </w:r>
            <w:r>
              <w:rPr>
                <w:rFonts w:hint="default" w:ascii="Times New Roman" w:hAnsi="Times New Roman" w:cs="Times New Roman"/>
                <w:color w:val="000000" w:themeColor="text1"/>
                <w:highlight w:val="none"/>
                <w:lang w:val="en-US" w:eastAsia="zh-CN"/>
                <w14:textFill>
                  <w14:solidFill>
                    <w14:schemeClr w14:val="tx1"/>
                  </w14:solidFill>
                </w14:textFill>
              </w:rPr>
              <w:drawing>
                <wp:inline distT="0" distB="0" distL="114300" distR="114300">
                  <wp:extent cx="5119370" cy="7681595"/>
                  <wp:effectExtent l="0" t="0" r="5080" b="14605"/>
                  <wp:docPr id="8" name="图片 1" descr="秦皇岛市生态红线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descr="秦皇岛市生态红线图"/>
                          <pic:cNvPicPr>
                            <a:picLocks noChangeAspect="1"/>
                          </pic:cNvPicPr>
                        </pic:nvPicPr>
                        <pic:blipFill>
                          <a:blip r:embed="rId10"/>
                          <a:stretch>
                            <a:fillRect/>
                          </a:stretch>
                        </pic:blipFill>
                        <pic:spPr>
                          <a:xfrm>
                            <a:off x="0" y="0"/>
                            <a:ext cx="5119370" cy="7681595"/>
                          </a:xfrm>
                          <a:prstGeom prst="rect">
                            <a:avLst/>
                          </a:prstGeom>
                          <a:noFill/>
                          <a:ln>
                            <a:noFill/>
                          </a:ln>
                        </pic:spPr>
                      </pic:pic>
                    </a:graphicData>
                  </a:graphic>
                </wp:inline>
              </w:drawing>
            </w:r>
          </w:p>
          <w:p>
            <w:pPr>
              <w:pStyle w:val="48"/>
              <w:pageBreakBefore w:val="0"/>
              <w:widowControl w:val="0"/>
              <w:kinsoku/>
              <w:wordWrap/>
              <w:topLinePunct w:val="0"/>
              <w:bidi w:val="0"/>
              <w:spacing w:line="240" w:lineRule="auto"/>
              <w:textAlignment w:val="auto"/>
              <w:rPr>
                <w:rFonts w:hint="default" w:ascii="Times New Roman" w:hAnsi="Times New Roman" w:cs="Times New Roman"/>
                <w:color w:val="000000" w:themeColor="text1"/>
                <w:sz w:val="21"/>
                <w:szCs w:val="16"/>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16"/>
                <w:highlight w:val="none"/>
                <w:lang w:val="en-US" w:eastAsia="zh-CN"/>
                <w14:textFill>
                  <w14:solidFill>
                    <w14:schemeClr w14:val="tx1"/>
                  </w14:solidFill>
                </w14:textFill>
              </w:rPr>
              <w:t>图</w:t>
            </w:r>
            <w:r>
              <w:rPr>
                <w:rFonts w:hint="eastAsia" w:cs="Times New Roman"/>
                <w:color w:val="000000" w:themeColor="text1"/>
                <w:sz w:val="21"/>
                <w:szCs w:val="16"/>
                <w:highlight w:val="none"/>
                <w:lang w:val="en-US" w:eastAsia="zh-CN"/>
                <w14:textFill>
                  <w14:solidFill>
                    <w14:schemeClr w14:val="tx1"/>
                  </w14:solidFill>
                </w14:textFill>
              </w:rPr>
              <w:t>1-</w:t>
            </w:r>
            <w:r>
              <w:rPr>
                <w:rFonts w:hint="default" w:ascii="Times New Roman" w:hAnsi="Times New Roman" w:cs="Times New Roman"/>
                <w:color w:val="000000" w:themeColor="text1"/>
                <w:sz w:val="21"/>
                <w:szCs w:val="16"/>
                <w:highlight w:val="none"/>
                <w:lang w:val="en-US" w:eastAsia="zh-CN"/>
                <w14:textFill>
                  <w14:solidFill>
                    <w14:schemeClr w14:val="tx1"/>
                  </w14:solidFill>
                </w14:textFill>
              </w:rPr>
              <w:t>1  本项目与生态保护红线位置关系</w:t>
            </w:r>
          </w:p>
          <w:p>
            <w:pPr>
              <w:autoSpaceDE w:val="0"/>
              <w:autoSpaceDN w:val="0"/>
              <w:adjustRightInd w:val="0"/>
              <w:snapToGrid w:val="0"/>
              <w:spacing w:line="360" w:lineRule="auto"/>
              <w:ind w:firstLine="480" w:firstLineChars="200"/>
              <w:jc w:val="both"/>
              <w:rPr>
                <w:rFonts w:hint="default" w:ascii="Times New Roman" w:hAnsi="Times New Roman" w:cs="Times New Roman"/>
                <w:snapToGrid w:val="0"/>
                <w:color w:val="000000" w:themeColor="text1"/>
                <w:sz w:val="24"/>
                <w:highlight w:val="none"/>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（5）</w:t>
            </w:r>
            <w:r>
              <w:rPr>
                <w:rFonts w:hint="default" w:ascii="Times New Roman" w:hAnsi="Times New Roman" w:cs="Times New Roman"/>
                <w:snapToGrid w:val="0"/>
                <w:color w:val="000000" w:themeColor="text1"/>
                <w:sz w:val="24"/>
                <w:highlight w:val="none"/>
                <w14:textFill>
                  <w14:solidFill>
                    <w14:schemeClr w14:val="tx1"/>
                  </w14:solidFill>
                </w14:textFill>
              </w:rPr>
              <w:t>本项目位于</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秦皇岛市</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抚宁区</w:t>
            </w:r>
            <w:r>
              <w:rPr>
                <w:rFonts w:hint="eastAsia" w:cs="Times New Roman"/>
                <w:color w:val="000000" w:themeColor="text1"/>
                <w:sz w:val="24"/>
                <w:szCs w:val="24"/>
                <w:highlight w:val="none"/>
                <w:lang w:val="en-US" w:eastAsia="zh-CN"/>
                <w14:textFill>
                  <w14:solidFill>
                    <w14:schemeClr w14:val="tx1"/>
                  </w14:solidFill>
                </w14:textFill>
              </w:rPr>
              <w:t>留守营镇潘官营村</w:t>
            </w:r>
            <w:r>
              <w:rPr>
                <w:rFonts w:hint="default" w:ascii="Times New Roman" w:hAnsi="Times New Roman" w:cs="Times New Roman"/>
                <w:snapToGrid w:val="0"/>
                <w:color w:val="000000" w:themeColor="text1"/>
                <w:sz w:val="24"/>
                <w:highlight w:val="none"/>
                <w14:textFill>
                  <w14:solidFill>
                    <w14:schemeClr w14:val="tx1"/>
                  </w14:solidFill>
                </w14:textFill>
              </w:rPr>
              <w:t>，按照《秦皇岛市人民政府关于秦皇岛市"三线一单"生态环境分区管控的实施意见》（秦政字【2021】6号）文件中规定本项目属于重点管控区（ZH13030620063）；</w:t>
            </w:r>
          </w:p>
          <w:p>
            <w:pPr>
              <w:pStyle w:val="48"/>
              <w:pageBreakBefore w:val="0"/>
              <w:widowControl w:val="0"/>
              <w:kinsoku/>
              <w:wordWrap/>
              <w:topLinePunct w:val="0"/>
              <w:bidi w:val="0"/>
              <w:spacing w:line="240" w:lineRule="auto"/>
              <w:textAlignment w:val="auto"/>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t>表</w:t>
            </w: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1-</w:t>
            </w:r>
            <w:r>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t>3 本项目与秦皇岛市人民政府关于秦皇岛市"三线一单"生态环境分区管控的实施意见关系一览表</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6"/>
              <w:gridCol w:w="426"/>
              <w:gridCol w:w="3557"/>
              <w:gridCol w:w="2432"/>
              <w:gridCol w:w="9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22" w:type="pct"/>
                  <w:gridSpan w:val="3"/>
                  <w:vAlign w:val="center"/>
                </w:tcPr>
                <w:p>
                  <w:pPr>
                    <w:spacing w:line="240" w:lineRule="auto"/>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文件内容</w:t>
                  </w:r>
                </w:p>
              </w:tc>
              <w:tc>
                <w:tcPr>
                  <w:tcW w:w="1509" w:type="pct"/>
                  <w:vAlign w:val="center"/>
                </w:tcPr>
                <w:p>
                  <w:pPr>
                    <w:spacing w:line="240" w:lineRule="auto"/>
                    <w:jc w:val="center"/>
                    <w:rPr>
                      <w:rFonts w:hint="default" w:ascii="Times New Roman" w:hAnsi="Times New Roman" w:eastAsia="宋体" w:cs="Times New Roman"/>
                      <w:b/>
                      <w:bCs/>
                      <w:color w:val="000000" w:themeColor="text1"/>
                      <w:sz w:val="21"/>
                      <w:szCs w:val="21"/>
                      <w:highlight w:val="none"/>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14:textFill>
                        <w14:solidFill>
                          <w14:schemeClr w14:val="tx1"/>
                        </w14:solidFill>
                      </w14:textFill>
                    </w:rPr>
                    <w:t>本项目</w:t>
                  </w:r>
                </w:p>
              </w:tc>
              <w:tc>
                <w:tcPr>
                  <w:tcW w:w="568" w:type="pct"/>
                  <w:vAlign w:val="center"/>
                </w:tcPr>
                <w:p>
                  <w:pPr>
                    <w:spacing w:line="240" w:lineRule="auto"/>
                    <w:jc w:val="center"/>
                    <w:rPr>
                      <w:rFonts w:hint="eastAsia" w:ascii="Times New Roman" w:hAnsi="Times New Roman" w:eastAsia="宋体" w:cs="Times New Roman"/>
                      <w:b/>
                      <w:bCs/>
                      <w:color w:val="000000" w:themeColor="text1"/>
                      <w:sz w:val="21"/>
                      <w:szCs w:val="21"/>
                      <w:highlight w:val="none"/>
                      <w:lang w:val="en-US" w:eastAsia="zh-CN"/>
                      <w14:textFill>
                        <w14:solidFill>
                          <w14:schemeClr w14:val="tx1"/>
                        </w14:solidFill>
                      </w14:textFill>
                    </w:rPr>
                  </w:pPr>
                  <w:r>
                    <w:rPr>
                      <w:rFonts w:hint="eastAsia" w:cs="Times New Roman"/>
                      <w:b/>
                      <w:bCs/>
                      <w:color w:val="000000" w:themeColor="text1"/>
                      <w:sz w:val="21"/>
                      <w:szCs w:val="21"/>
                      <w:highlight w:val="none"/>
                      <w:lang w:val="en-US" w:eastAsia="zh-CN"/>
                      <w14:textFill>
                        <w14:solidFill>
                          <w14:schemeClr w14:val="tx1"/>
                        </w14:solidFill>
                      </w14:textFill>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1"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一般生态空间总体要求</w:t>
                  </w:r>
                </w:p>
              </w:tc>
              <w:tc>
                <w:tcPr>
                  <w:tcW w:w="2470" w:type="pct"/>
                  <w:gridSpan w:val="2"/>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1.禁止新建、扩建《环境保护综合名录（2017年版）及其最新名录所列“高污染、高风险”管控项目。</w:t>
                  </w:r>
                </w:p>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2.区域内要严格开发区管理，原则上不再新建各类开发区和扩大现有工业开发区的面积，已有的工业开发区要逐步改造造成低消耗、可循环、少排放、“零污染”的生态型工业区</w:t>
                  </w:r>
                </w:p>
              </w:tc>
              <w:tc>
                <w:tcPr>
                  <w:tcW w:w="1509"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本项目为</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C4220非金属废料和碎屑加工处理</w:t>
                  </w:r>
                  <w:r>
                    <w:rPr>
                      <w:rFonts w:hint="default" w:ascii="Times New Roman" w:hAnsi="Times New Roman" w:eastAsia="宋体" w:cs="Times New Roman"/>
                      <w:color w:val="000000" w:themeColor="text1"/>
                      <w:sz w:val="21"/>
                      <w:szCs w:val="21"/>
                      <w:highlight w:val="none"/>
                      <w14:textFill>
                        <w14:solidFill>
                          <w14:schemeClr w14:val="tx1"/>
                        </w14:solidFill>
                      </w14:textFill>
                    </w:rPr>
                    <w:t>，不在《环境保护综合名录（2017年版）</w:t>
                  </w:r>
                  <w:r>
                    <w:rPr>
                      <w:rFonts w:hint="eastAsia" w:cs="Times New Roman"/>
                      <w:color w:val="000000" w:themeColor="text1"/>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及其《环境保护综合名录（</w:t>
                  </w:r>
                  <w:r>
                    <w:rPr>
                      <w:rFonts w:hint="eastAsia" w:cs="Times New Roman"/>
                      <w:color w:val="000000" w:themeColor="text1"/>
                      <w:sz w:val="21"/>
                      <w:szCs w:val="21"/>
                      <w:highlight w:val="none"/>
                      <w:lang w:val="en-US" w:eastAsia="zh-CN"/>
                      <w14:textFill>
                        <w14:solidFill>
                          <w14:schemeClr w14:val="tx1"/>
                        </w14:solidFill>
                      </w14:textFill>
                    </w:rPr>
                    <w:t>2021</w:t>
                  </w:r>
                  <w:r>
                    <w:rPr>
                      <w:rFonts w:hint="default" w:ascii="Times New Roman" w:hAnsi="Times New Roman" w:eastAsia="宋体" w:cs="Times New Roman"/>
                      <w:color w:val="000000" w:themeColor="text1"/>
                      <w:sz w:val="21"/>
                      <w:szCs w:val="21"/>
                      <w:highlight w:val="none"/>
                      <w14:textFill>
                        <w14:solidFill>
                          <w14:schemeClr w14:val="tx1"/>
                        </w14:solidFill>
                      </w14:textFill>
                    </w:rPr>
                    <w:t>年版）</w:t>
                  </w:r>
                  <w:r>
                    <w:rPr>
                      <w:rFonts w:hint="eastAsia" w:cs="Times New Roman"/>
                      <w:color w:val="000000" w:themeColor="text1"/>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所列“高污染、高风险”管控项目内。本项目</w:t>
                  </w:r>
                  <w:r>
                    <w:rPr>
                      <w:rFonts w:hint="eastAsia" w:cs="Times New Roman"/>
                      <w:color w:val="000000" w:themeColor="text1"/>
                      <w:sz w:val="21"/>
                      <w:szCs w:val="21"/>
                      <w:highlight w:val="none"/>
                      <w:lang w:val="en-US" w:eastAsia="zh-CN"/>
                      <w14:textFill>
                        <w14:solidFill>
                          <w14:schemeClr w14:val="tx1"/>
                        </w14:solidFill>
                      </w14:textFill>
                    </w:rPr>
                    <w:t>在现有场地内建设，不新增抚宁区内</w:t>
                  </w:r>
                  <w:r>
                    <w:rPr>
                      <w:rFonts w:hint="default" w:ascii="Times New Roman" w:hAnsi="Times New Roman" w:eastAsia="宋体" w:cs="Times New Roman"/>
                      <w:color w:val="000000" w:themeColor="text1"/>
                      <w:sz w:val="21"/>
                      <w:szCs w:val="21"/>
                      <w:highlight w:val="none"/>
                      <w14:textFill>
                        <w14:solidFill>
                          <w14:schemeClr w14:val="tx1"/>
                        </w14:solidFill>
                      </w14:textFill>
                    </w:rPr>
                    <w:t>占地面积</w:t>
                  </w:r>
                </w:p>
              </w:tc>
              <w:tc>
                <w:tcPr>
                  <w:tcW w:w="568" w:type="pct"/>
                  <w:vAlign w:val="center"/>
                </w:tcPr>
                <w:p>
                  <w:pPr>
                    <w:spacing w:line="240" w:lineRule="auto"/>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1"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土壤及地下水风险防空总体管控要求</w:t>
                  </w:r>
                </w:p>
              </w:tc>
              <w:tc>
                <w:tcPr>
                  <w:tcW w:w="264"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环境风险防控</w:t>
                  </w:r>
                </w:p>
              </w:tc>
              <w:tc>
                <w:tcPr>
                  <w:tcW w:w="2206"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1.危险废物产生企业和利用处置企业要根据土壤污染防治相关要求，完善突发环境事件应急预案内容，并向所在地环保部门备案</w:t>
                  </w:r>
                </w:p>
              </w:tc>
              <w:tc>
                <w:tcPr>
                  <w:tcW w:w="1509"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在企业建设完成后编制突发环境事件应急预案并在相关部门备案</w:t>
                  </w:r>
                </w:p>
              </w:tc>
              <w:tc>
                <w:tcPr>
                  <w:tcW w:w="568"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1" w:type="pct"/>
                  <w:vAlign w:val="center"/>
                </w:tcPr>
                <w:p>
                  <w:pPr>
                    <w:spacing w:line="24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产业布局总体管控要求</w:t>
                  </w:r>
                </w:p>
              </w:tc>
              <w:tc>
                <w:tcPr>
                  <w:tcW w:w="264"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产业总体</w:t>
                  </w:r>
                </w:p>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布局要求</w:t>
                  </w:r>
                </w:p>
              </w:tc>
              <w:tc>
                <w:tcPr>
                  <w:tcW w:w="2206" w:type="pct"/>
                  <w:vAlign w:val="center"/>
                </w:tcPr>
                <w:p>
                  <w:pPr>
                    <w:numPr>
                      <w:ilvl w:val="0"/>
                      <w:numId w:val="1"/>
                    </w:numPr>
                    <w:spacing w:line="240" w:lineRule="auto"/>
                    <w:jc w:val="center"/>
                    <w:rPr>
                      <w:rFonts w:hint="eastAsia"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禁止新建国家《产业结构调整指导目录》中限制类、淘汰类产业项目，《市场准入负面清单》中禁止准入类及《河北省禁止投资的产业目录》、《河北省新增限制和淘汰类产业目录（2015 年版）》、《秦皇岛市限制和禁止投资的产业目录》（2020 年修订版）中的产业项目</w:t>
                  </w:r>
                  <w:r>
                    <w:rPr>
                      <w:rFonts w:hint="eastAsia" w:cs="Times New Roman"/>
                      <w:color w:val="000000" w:themeColor="text1"/>
                      <w:sz w:val="21"/>
                      <w:szCs w:val="21"/>
                      <w:highlight w:val="none"/>
                      <w:lang w:eastAsia="zh-CN"/>
                      <w14:textFill>
                        <w14:solidFill>
                          <w14:schemeClr w14:val="tx1"/>
                        </w14:solidFill>
                      </w14:textFill>
                    </w:rPr>
                    <w:t>。</w:t>
                  </w:r>
                </w:p>
                <w:p>
                  <w:pPr>
                    <w:numPr>
                      <w:ilvl w:val="0"/>
                      <w:numId w:val="1"/>
                    </w:numPr>
                    <w:spacing w:line="240" w:lineRule="auto"/>
                    <w:jc w:val="center"/>
                    <w:rPr>
                      <w:rFonts w:hint="eastAsia"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eastAsia" w:cs="Times New Roman"/>
                      <w:color w:val="000000" w:themeColor="text1"/>
                      <w:sz w:val="21"/>
                      <w:szCs w:val="21"/>
                      <w:highlight w:val="none"/>
                      <w:lang w:eastAsia="zh-CN"/>
                      <w14:textFill>
                        <w14:solidFill>
                          <w14:schemeClr w14:val="tx1"/>
                        </w14:solidFill>
                      </w14:textFill>
                    </w:rPr>
                    <w:t>禁止建设《环境保护综合名录（2017 年版）》中“高污染、高风险”产品加工项目。严格控制生态脆弱或环境敏感地区建设“两高”行业项目</w:t>
                  </w:r>
                </w:p>
              </w:tc>
              <w:tc>
                <w:tcPr>
                  <w:tcW w:w="1509" w:type="pct"/>
                  <w:vAlign w:val="center"/>
                </w:tcPr>
                <w:p>
                  <w:pPr>
                    <w:spacing w:line="240" w:lineRule="auto"/>
                    <w:jc w:val="cente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本项目为C4220非金属废料和碎屑加工处理，属于</w:t>
                  </w:r>
                  <w:r>
                    <w:rPr>
                      <w:rFonts w:hint="default" w:ascii="Times New Roman" w:hAnsi="Times New Roman" w:eastAsia="宋体" w:cs="Times New Roman"/>
                      <w:color w:val="000000" w:themeColor="text1"/>
                      <w:sz w:val="21"/>
                      <w:szCs w:val="21"/>
                      <w:highlight w:val="none"/>
                      <w14:textFill>
                        <w14:solidFill>
                          <w14:schemeClr w14:val="tx1"/>
                        </w14:solidFill>
                      </w14:textFill>
                    </w:rPr>
                    <w:t>《产业结构调整指导目录》</w:t>
                  </w:r>
                  <w:r>
                    <w:rPr>
                      <w:rFonts w:hint="eastAsia" w:eastAsia="宋体" w:cs="Times New Roman"/>
                      <w:color w:val="000000" w:themeColor="text1"/>
                      <w:sz w:val="21"/>
                      <w:szCs w:val="21"/>
                      <w:highlight w:val="none"/>
                      <w:lang w:val="en-US" w:eastAsia="zh-CN"/>
                      <w14:textFill>
                        <w14:solidFill>
                          <w14:schemeClr w14:val="tx1"/>
                        </w14:solidFill>
                      </w14:textFill>
                    </w:rPr>
                    <w:t>中鼓励类项目，不在</w:t>
                  </w:r>
                  <w:r>
                    <w:rPr>
                      <w:rFonts w:hint="default" w:ascii="Times New Roman" w:hAnsi="Times New Roman" w:eastAsia="宋体" w:cs="Times New Roman"/>
                      <w:color w:val="000000" w:themeColor="text1"/>
                      <w:sz w:val="21"/>
                      <w:szCs w:val="21"/>
                      <w:highlight w:val="none"/>
                      <w14:textFill>
                        <w14:solidFill>
                          <w14:schemeClr w14:val="tx1"/>
                        </w14:solidFill>
                      </w14:textFill>
                    </w:rPr>
                    <w:t>《市场准入负面清单</w:t>
                  </w:r>
                  <w:r>
                    <w:rPr>
                      <w:rFonts w:hint="eastAsia" w:cs="Times New Roman"/>
                      <w:color w:val="000000" w:themeColor="text1"/>
                      <w:sz w:val="21"/>
                      <w:szCs w:val="21"/>
                      <w:highlight w:val="none"/>
                      <w:lang w:eastAsia="zh-CN"/>
                      <w14:textFill>
                        <w14:solidFill>
                          <w14:schemeClr w14:val="tx1"/>
                        </w14:solidFill>
                      </w14:textFill>
                    </w:rPr>
                    <w:t>（</w:t>
                  </w:r>
                  <w:r>
                    <w:rPr>
                      <w:rFonts w:hint="eastAsia" w:cs="Times New Roman"/>
                      <w:color w:val="000000" w:themeColor="text1"/>
                      <w:sz w:val="21"/>
                      <w:szCs w:val="21"/>
                      <w:highlight w:val="none"/>
                      <w:lang w:val="en-US" w:eastAsia="zh-CN"/>
                      <w14:textFill>
                        <w14:solidFill>
                          <w14:schemeClr w14:val="tx1"/>
                        </w14:solidFill>
                      </w14:textFill>
                    </w:rPr>
                    <w:t>2022年版）</w:t>
                  </w:r>
                  <w:r>
                    <w:rPr>
                      <w:rFonts w:hint="default" w:ascii="Times New Roman" w:hAnsi="Times New Roman" w:eastAsia="宋体" w:cs="Times New Roman"/>
                      <w:color w:val="000000" w:themeColor="text1"/>
                      <w:sz w:val="21"/>
                      <w:szCs w:val="21"/>
                      <w:highlight w:val="none"/>
                      <w14:textFill>
                        <w14:solidFill>
                          <w14:schemeClr w14:val="tx1"/>
                        </w14:solidFill>
                      </w14:textFill>
                    </w:rPr>
                    <w:t>》中禁止准入类及《河北省禁止投资的产业目录》、《河北省新增限制和淘汰类产业目录（2015 年版）》、《秦皇岛市限制和禁止投资的产业目录》（2020 年修订版）中</w:t>
                  </w:r>
                  <w:r>
                    <w:rPr>
                      <w:rFonts w:hint="eastAsia" w:eastAsia="宋体" w:cs="Times New Roman"/>
                      <w:color w:val="000000" w:themeColor="text1"/>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不在《环境保护综合名录（2017年版）</w:t>
                  </w:r>
                  <w:r>
                    <w:rPr>
                      <w:rFonts w:hint="eastAsia" w:cs="Times New Roman"/>
                      <w:color w:val="000000" w:themeColor="text1"/>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及其《环境保护综合名录（</w:t>
                  </w:r>
                  <w:r>
                    <w:rPr>
                      <w:rFonts w:hint="eastAsia" w:cs="Times New Roman"/>
                      <w:color w:val="000000" w:themeColor="text1"/>
                      <w:sz w:val="21"/>
                      <w:szCs w:val="21"/>
                      <w:highlight w:val="none"/>
                      <w:lang w:val="en-US" w:eastAsia="zh-CN"/>
                      <w14:textFill>
                        <w14:solidFill>
                          <w14:schemeClr w14:val="tx1"/>
                        </w14:solidFill>
                      </w14:textFill>
                    </w:rPr>
                    <w:t>2021</w:t>
                  </w:r>
                  <w:r>
                    <w:rPr>
                      <w:rFonts w:hint="default" w:ascii="Times New Roman" w:hAnsi="Times New Roman" w:eastAsia="宋体" w:cs="Times New Roman"/>
                      <w:color w:val="000000" w:themeColor="text1"/>
                      <w:sz w:val="21"/>
                      <w:szCs w:val="21"/>
                      <w:highlight w:val="none"/>
                      <w14:textFill>
                        <w14:solidFill>
                          <w14:schemeClr w14:val="tx1"/>
                        </w14:solidFill>
                      </w14:textFill>
                    </w:rPr>
                    <w:t>年版）</w:t>
                  </w:r>
                  <w:r>
                    <w:rPr>
                      <w:rFonts w:hint="eastAsia" w:cs="Times New Roman"/>
                      <w:color w:val="000000" w:themeColor="text1"/>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所列“高污染、高风险”管控项目内</w:t>
                  </w:r>
                </w:p>
              </w:tc>
              <w:tc>
                <w:tcPr>
                  <w:tcW w:w="568" w:type="pct"/>
                  <w:vAlign w:val="center"/>
                </w:tcPr>
                <w:p>
                  <w:pPr>
                    <w:spacing w:line="240" w:lineRule="auto"/>
                    <w:jc w:val="center"/>
                    <w:rPr>
                      <w:rFonts w:hint="eastAsia"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31" w:type="pct"/>
                  <w:gridSpan w:val="4"/>
                  <w:vAlign w:val="center"/>
                </w:tcPr>
                <w:p>
                  <w:pPr>
                    <w:spacing w:line="240" w:lineRule="auto"/>
                    <w:jc w:val="center"/>
                    <w:rPr>
                      <w:rFonts w:hint="eastAsia"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留守营镇</w:t>
                  </w:r>
                  <w:r>
                    <w:rPr>
                      <w:rFonts w:hint="eastAsia" w:cs="Times New Roman"/>
                      <w:color w:val="000000" w:themeColor="text1"/>
                      <w:sz w:val="21"/>
                      <w:szCs w:val="21"/>
                      <w:highlight w:val="none"/>
                      <w:lang w:eastAsia="zh-CN"/>
                      <w14:textFill>
                        <w14:solidFill>
                          <w14:schemeClr w14:val="tx1"/>
                        </w14:solidFill>
                      </w14:textFill>
                    </w:rPr>
                    <w:t>（ZH13030620063）</w:t>
                  </w:r>
                </w:p>
              </w:tc>
              <w:tc>
                <w:tcPr>
                  <w:tcW w:w="568" w:type="pct"/>
                  <w:vAlign w:val="center"/>
                </w:tcPr>
                <w:p>
                  <w:pPr>
                    <w:spacing w:line="240" w:lineRule="auto"/>
                    <w:jc w:val="center"/>
                    <w:rPr>
                      <w:rFonts w:hint="eastAsia" w:cs="Times New Roman"/>
                      <w:color w:val="000000" w:themeColor="text1"/>
                      <w:sz w:val="21"/>
                      <w:szCs w:val="21"/>
                      <w:highlight w:val="none"/>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1"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维度</w:t>
                  </w:r>
                </w:p>
              </w:tc>
              <w:tc>
                <w:tcPr>
                  <w:tcW w:w="2470" w:type="pct"/>
                  <w:gridSpan w:val="2"/>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文件内容</w:t>
                  </w:r>
                </w:p>
              </w:tc>
              <w:tc>
                <w:tcPr>
                  <w:tcW w:w="1509"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本项目</w:t>
                  </w:r>
                </w:p>
              </w:tc>
              <w:tc>
                <w:tcPr>
                  <w:tcW w:w="568"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1"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空间布局约束</w:t>
                  </w:r>
                </w:p>
              </w:tc>
              <w:tc>
                <w:tcPr>
                  <w:tcW w:w="2470" w:type="pct"/>
                  <w:gridSpan w:val="2"/>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w:t>
                  </w:r>
                  <w:r>
                    <w:rPr>
                      <w:rFonts w:hint="eastAsia"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新建涉水工业项目须入园进区；全面摸底排查园区外涉水工业企业，确定入园时间表；确因不具备入园条件需原地保留涉水工业企业，须明确保留条件，实施尾水深度治理，排放废水主要污染物浓度必须达到受纳水体环境功能区标准，否则一律关停取缔。</w:t>
                  </w:r>
                </w:p>
              </w:tc>
              <w:tc>
                <w:tcPr>
                  <w:tcW w:w="1509" w:type="pct"/>
                  <w:vAlign w:val="center"/>
                </w:tcPr>
                <w:p>
                  <w:pPr>
                    <w:spacing w:line="24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不涉及</w:t>
                  </w:r>
                </w:p>
              </w:tc>
              <w:tc>
                <w:tcPr>
                  <w:tcW w:w="568" w:type="pct"/>
                  <w:vAlign w:val="center"/>
                </w:tcPr>
                <w:p>
                  <w:pPr>
                    <w:spacing w:line="240" w:lineRule="auto"/>
                    <w:jc w:val="center"/>
                    <w:rPr>
                      <w:rFonts w:hint="eastAsia"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1" w:type="pct"/>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污染物排放管控</w:t>
                  </w:r>
                </w:p>
              </w:tc>
              <w:tc>
                <w:tcPr>
                  <w:tcW w:w="2470" w:type="pct"/>
                  <w:gridSpan w:val="2"/>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w:t>
                  </w:r>
                  <w:r>
                    <w:rPr>
                      <w:rFonts w:hint="default" w:ascii="Times New Roman" w:hAnsi="Times New Roman" w:eastAsia="宋体" w:cs="Times New Roman"/>
                      <w:color w:val="000000" w:themeColor="text1"/>
                      <w:sz w:val="21"/>
                      <w:szCs w:val="21"/>
                      <w:highlight w:val="none"/>
                      <w14:textFill>
                        <w14:solidFill>
                          <w14:schemeClr w14:val="tx1"/>
                        </w14:solidFill>
                      </w14:textFill>
                    </w:rPr>
                    <w:t>涉 VOCs 企业全面完成整治任务，实现稳定达标排放。安装在线监测或超标报警装置。2、塑料行业执行《合成树脂工业污染物排放标准GB31572-2015）、《工业企业挥发性有机物排放控制标准》（DB13/2322-2016）及《挥发性有机物</w:t>
                  </w:r>
                </w:p>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无组织排放控制标准》（GB37822-2019）相关排放要求</w:t>
                  </w:r>
                </w:p>
              </w:tc>
              <w:tc>
                <w:tcPr>
                  <w:tcW w:w="1509" w:type="pct"/>
                  <w:vAlign w:val="center"/>
                </w:tcPr>
                <w:p>
                  <w:pPr>
                    <w:spacing w:line="24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不涉及</w:t>
                  </w:r>
                </w:p>
              </w:tc>
              <w:tc>
                <w:tcPr>
                  <w:tcW w:w="568" w:type="pct"/>
                  <w:vAlign w:val="center"/>
                </w:tcPr>
                <w:p>
                  <w:pPr>
                    <w:spacing w:line="24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1" w:type="pct"/>
                  <w:vAlign w:val="center"/>
                </w:tcPr>
                <w:p>
                  <w:pPr>
                    <w:spacing w:line="240" w:lineRule="auto"/>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环境风险防控</w:t>
                  </w:r>
                </w:p>
              </w:tc>
              <w:tc>
                <w:tcPr>
                  <w:tcW w:w="2470" w:type="pct"/>
                  <w:gridSpan w:val="2"/>
                  <w:vAlign w:val="center"/>
                </w:tcPr>
                <w:p>
                  <w:pPr>
                    <w:spacing w:line="240" w:lineRule="auto"/>
                    <w:jc w:val="center"/>
                    <w:rPr>
                      <w:rFonts w:hint="eastAsia" w:ascii="Times New Roman" w:hAnsi="Times New Roman" w:eastAsia="宋体" w:cs="Times New Roman"/>
                      <w:color w:val="000000" w:themeColor="text1"/>
                      <w:sz w:val="21"/>
                      <w:szCs w:val="21"/>
                      <w:highlight w:val="none"/>
                      <w14:textFill>
                        <w14:solidFill>
                          <w14:schemeClr w14:val="tx1"/>
                        </w14:solidFill>
                      </w14:textFill>
                    </w:rPr>
                  </w:pPr>
                  <w:r>
                    <w:rPr>
                      <w:rFonts w:hint="eastAsia" w:eastAsia="宋体" w:cs="Times New Roman"/>
                      <w:color w:val="000000" w:themeColor="text1"/>
                      <w:sz w:val="21"/>
                      <w:szCs w:val="21"/>
                      <w:highlight w:val="none"/>
                      <w:lang w:val="en-US" w:eastAsia="zh-CN"/>
                      <w14:textFill>
                        <w14:solidFill>
                          <w14:schemeClr w14:val="tx1"/>
                        </w14:solidFill>
                      </w14:textFill>
                    </w:rPr>
                    <w:t>1.</w:t>
                  </w:r>
                  <w:r>
                    <w:rPr>
                      <w:rFonts w:hint="eastAsia" w:ascii="Times New Roman" w:hAnsi="Times New Roman" w:eastAsia="宋体" w:cs="Times New Roman"/>
                      <w:color w:val="000000" w:themeColor="text1"/>
                      <w:sz w:val="21"/>
                      <w:szCs w:val="21"/>
                      <w:highlight w:val="none"/>
                      <w14:textFill>
                        <w14:solidFill>
                          <w14:schemeClr w14:val="tx1"/>
                        </w14:solidFill>
                      </w14:textFill>
                    </w:rPr>
                    <w:t>鼓励开展固体废弃物资源循环利用，定期对企业场地开展土壤及地下水监测。</w:t>
                  </w:r>
                </w:p>
                <w:p>
                  <w:pPr>
                    <w:spacing w:line="240" w:lineRule="auto"/>
                    <w:jc w:val="center"/>
                    <w:rPr>
                      <w:rFonts w:hint="eastAsia" w:ascii="Times New Roman" w:hAnsi="Times New Roman" w:eastAsia="宋体" w:cs="Times New Roman"/>
                      <w:color w:val="000000" w:themeColor="text1"/>
                      <w:sz w:val="21"/>
                      <w:szCs w:val="21"/>
                      <w:highlight w:val="none"/>
                      <w14:textFill>
                        <w14:solidFill>
                          <w14:schemeClr w14:val="tx1"/>
                        </w14:solidFill>
                      </w14:textFill>
                    </w:rPr>
                  </w:pPr>
                  <w:r>
                    <w:rPr>
                      <w:rFonts w:hint="eastAsia" w:eastAsia="宋体" w:cs="Times New Roman"/>
                      <w:color w:val="000000" w:themeColor="text1"/>
                      <w:sz w:val="21"/>
                      <w:szCs w:val="21"/>
                      <w:highlight w:val="none"/>
                      <w:lang w:val="en-US" w:eastAsia="zh-CN"/>
                      <w14:textFill>
                        <w14:solidFill>
                          <w14:schemeClr w14:val="tx1"/>
                        </w14:solidFill>
                      </w14:textFill>
                    </w:rPr>
                    <w:t>2.</w:t>
                  </w:r>
                  <w:r>
                    <w:rPr>
                      <w:rFonts w:hint="eastAsia" w:ascii="Times New Roman" w:hAnsi="Times New Roman" w:eastAsia="宋体" w:cs="Times New Roman"/>
                      <w:color w:val="000000" w:themeColor="text1"/>
                      <w:sz w:val="21"/>
                      <w:szCs w:val="21"/>
                      <w:highlight w:val="none"/>
                      <w14:textFill>
                        <w14:solidFill>
                          <w14:schemeClr w14:val="tx1"/>
                        </w14:solidFill>
                      </w14:textFill>
                    </w:rPr>
                    <w:t>对威胁地下水、饮用水水源安全的，有关县（区）要制定环境风险管控方案，落实管控措施。</w:t>
                  </w:r>
                </w:p>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eastAsia" w:ascii="Times New Roman" w:hAnsi="Times New Roman" w:eastAsia="宋体" w:cs="Times New Roman"/>
                      <w:color w:val="000000" w:themeColor="text1"/>
                      <w:sz w:val="21"/>
                      <w:szCs w:val="21"/>
                      <w:highlight w:val="none"/>
                      <w14:textFill>
                        <w14:solidFill>
                          <w14:schemeClr w14:val="tx1"/>
                        </w14:solidFill>
                      </w14:textFill>
                    </w:rPr>
                    <w:t>3</w:t>
                  </w:r>
                  <w:r>
                    <w:rPr>
                      <w:rFonts w:hint="eastAsia" w:eastAsia="宋体" w:cs="Times New Roman"/>
                      <w:color w:val="000000" w:themeColor="text1"/>
                      <w:sz w:val="21"/>
                      <w:szCs w:val="21"/>
                      <w:highlight w:val="none"/>
                      <w:lang w:val="en-US" w:eastAsia="zh-CN"/>
                      <w14:textFill>
                        <w14:solidFill>
                          <w14:schemeClr w14:val="tx1"/>
                        </w14:solidFill>
                      </w14:textFill>
                    </w:rPr>
                    <w:t>.</w:t>
                  </w:r>
                  <w:r>
                    <w:rPr>
                      <w:rFonts w:hint="eastAsia" w:ascii="Times New Roman" w:hAnsi="Times New Roman" w:eastAsia="宋体" w:cs="Times New Roman"/>
                      <w:color w:val="000000" w:themeColor="text1"/>
                      <w:sz w:val="21"/>
                      <w:szCs w:val="21"/>
                      <w:highlight w:val="none"/>
                      <w14:textFill>
                        <w14:solidFill>
                          <w14:schemeClr w14:val="tx1"/>
                        </w14:solidFill>
                      </w14:textFill>
                    </w:rPr>
                    <w:t>确定地下水污染来源和路径，进行污染风险评估，确定修复目标和风险管控目标，启动地下水污染修复工作</w:t>
                  </w:r>
                </w:p>
              </w:tc>
              <w:tc>
                <w:tcPr>
                  <w:tcW w:w="1509" w:type="pct"/>
                  <w:vAlign w:val="center"/>
                </w:tcPr>
                <w:p>
                  <w:pPr>
                    <w:spacing w:line="240" w:lineRule="auto"/>
                    <w:jc w:val="center"/>
                    <w:rPr>
                      <w:rFonts w:hint="default"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本项目属于</w:t>
                  </w:r>
                  <w:r>
                    <w:rPr>
                      <w:rFonts w:hint="eastAsia" w:ascii="Times New Roman" w:hAnsi="Times New Roman" w:eastAsia="宋体" w:cs="Times New Roman"/>
                      <w:color w:val="000000" w:themeColor="text1"/>
                      <w:sz w:val="21"/>
                      <w:szCs w:val="21"/>
                      <w:highlight w:val="none"/>
                      <w14:textFill>
                        <w14:solidFill>
                          <w14:schemeClr w14:val="tx1"/>
                        </w14:solidFill>
                      </w14:textFill>
                    </w:rPr>
                    <w:t>C4220非金属废料和碎屑加工处理</w:t>
                  </w:r>
                  <w:r>
                    <w:rPr>
                      <w:rFonts w:hint="eastAsia" w:eastAsia="宋体" w:cs="Times New Roman"/>
                      <w:color w:val="000000" w:themeColor="text1"/>
                      <w:sz w:val="21"/>
                      <w:szCs w:val="21"/>
                      <w:highlight w:val="none"/>
                      <w:lang w:eastAsia="zh-CN"/>
                      <w14:textFill>
                        <w14:solidFill>
                          <w14:schemeClr w14:val="tx1"/>
                        </w14:solidFill>
                      </w14:textFill>
                    </w:rPr>
                    <w:t>，</w:t>
                  </w:r>
                  <w:r>
                    <w:rPr>
                      <w:rFonts w:hint="eastAsia" w:cs="Times New Roman"/>
                      <w:color w:val="000000" w:themeColor="text1"/>
                      <w:sz w:val="21"/>
                      <w:szCs w:val="21"/>
                      <w:highlight w:val="none"/>
                      <w:lang w:val="en-US" w:eastAsia="zh-CN"/>
                      <w14:textFill>
                        <w14:solidFill>
                          <w14:schemeClr w14:val="tx1"/>
                        </w14:solidFill>
                      </w14:textFill>
                    </w:rPr>
                    <w:t>为</w:t>
                  </w:r>
                  <w:r>
                    <w:rPr>
                      <w:rFonts w:hint="eastAsia" w:eastAsia="宋体" w:cs="Times New Roman"/>
                      <w:color w:val="000000" w:themeColor="text1"/>
                      <w:sz w:val="21"/>
                      <w:szCs w:val="21"/>
                      <w:highlight w:val="none"/>
                      <w:lang w:val="en-US" w:eastAsia="zh-CN"/>
                      <w14:textFill>
                        <w14:solidFill>
                          <w14:schemeClr w14:val="tx1"/>
                        </w14:solidFill>
                      </w14:textFill>
                    </w:rPr>
                    <w:t>鼓励类</w:t>
                  </w:r>
                  <w:r>
                    <w:rPr>
                      <w:rFonts w:hint="eastAsia" w:cs="Times New Roman"/>
                      <w:color w:val="000000" w:themeColor="text1"/>
                      <w:sz w:val="21"/>
                      <w:szCs w:val="21"/>
                      <w:highlight w:val="none"/>
                      <w:lang w:val="en-US" w:eastAsia="zh-CN"/>
                      <w14:textFill>
                        <w14:solidFill>
                          <w14:schemeClr w14:val="tx1"/>
                        </w14:solidFill>
                      </w14:textFill>
                    </w:rPr>
                    <w:t>项目</w:t>
                  </w:r>
                  <w:r>
                    <w:rPr>
                      <w:rFonts w:hint="eastAsia" w:eastAsia="宋体" w:cs="Times New Roman"/>
                      <w:color w:val="000000" w:themeColor="text1"/>
                      <w:sz w:val="21"/>
                      <w:szCs w:val="21"/>
                      <w:highlight w:val="none"/>
                      <w:lang w:val="en-US" w:eastAsia="zh-CN"/>
                      <w14:textFill>
                        <w14:solidFill>
                          <w14:schemeClr w14:val="tx1"/>
                        </w14:solidFill>
                      </w14:textFill>
                    </w:rPr>
                    <w:t>；本项目用水不取自地下水不属于对地下水、饮用水源具有威胁项目；对地下水环境影响较小，针对报告中对地下水环境影响分析内容，本项目运营期间对地下水环境影响较小，不需进行地下水污染修复工作</w:t>
                  </w:r>
                </w:p>
              </w:tc>
              <w:tc>
                <w:tcPr>
                  <w:tcW w:w="568" w:type="pct"/>
                  <w:vAlign w:val="center"/>
                </w:tcPr>
                <w:p>
                  <w:pPr>
                    <w:spacing w:line="240" w:lineRule="auto"/>
                    <w:jc w:val="center"/>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51" w:type="pct"/>
                  <w:vAlign w:val="center"/>
                </w:tcPr>
                <w:p>
                  <w:pPr>
                    <w:spacing w:line="240" w:lineRule="auto"/>
                    <w:jc w:val="center"/>
                    <w:rPr>
                      <w:rFonts w:hint="eastAsia"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资源利用效率</w:t>
                  </w:r>
                </w:p>
              </w:tc>
              <w:tc>
                <w:tcPr>
                  <w:tcW w:w="2470" w:type="pct"/>
                  <w:gridSpan w:val="2"/>
                  <w:vAlign w:val="center"/>
                </w:tcPr>
                <w:p>
                  <w:pPr>
                    <w:spacing w:line="240" w:lineRule="auto"/>
                    <w:jc w:val="center"/>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w:t>
                  </w:r>
                  <w:r>
                    <w:rPr>
                      <w:rFonts w:hint="eastAsia"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14:textFill>
                        <w14:solidFill>
                          <w14:schemeClr w14:val="tx1"/>
                        </w14:solidFill>
                      </w14:textFill>
                    </w:rPr>
                    <w:t>严格控制深层承压水开采，开采矿泉水、地热水和建设地下水源热泵系统应当进行建设项目水资源论证，严格实行取水许可</w:t>
                  </w:r>
                </w:p>
              </w:tc>
              <w:tc>
                <w:tcPr>
                  <w:tcW w:w="1509" w:type="pct"/>
                  <w:vAlign w:val="center"/>
                </w:tcPr>
                <w:p>
                  <w:pPr>
                    <w:spacing w:line="240" w:lineRule="auto"/>
                    <w:jc w:val="center"/>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本项目用水取自管网</w:t>
                  </w:r>
                </w:p>
              </w:tc>
              <w:tc>
                <w:tcPr>
                  <w:tcW w:w="568" w:type="pct"/>
                  <w:vAlign w:val="center"/>
                </w:tcPr>
                <w:p>
                  <w:pPr>
                    <w:spacing w:line="240" w:lineRule="auto"/>
                    <w:jc w:val="center"/>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符合</w:t>
                  </w:r>
                </w:p>
              </w:tc>
            </w:tr>
          </w:tbl>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color w:val="000000" w:themeColor="text1"/>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imes New Roman" w:hAnsi="Times New Roman" w:eastAsia="宋体" w:cs="Times New Roman"/>
                <w:bCs/>
                <w:color w:val="000000" w:themeColor="text1"/>
                <w:sz w:val="24"/>
                <w:szCs w:val="24"/>
                <w:lang w:val="en-US" w:eastAsia="zh-CN"/>
                <w14:textFill>
                  <w14:solidFill>
                    <w14:schemeClr w14:val="tx1"/>
                  </w14:solidFill>
                </w14:textFill>
              </w:rPr>
            </w:pPr>
            <w:r>
              <w:rPr>
                <w:color w:val="000000" w:themeColor="text1"/>
                <w:sz w:val="24"/>
                <w14:textFill>
                  <w14:solidFill>
                    <w14:schemeClr w14:val="tx1"/>
                  </w14:solidFill>
                </w14:textFill>
              </w:rPr>
              <mc:AlternateContent>
                <mc:Choice Requires="wps">
                  <w:drawing>
                    <wp:anchor distT="0" distB="0" distL="114300" distR="114300" simplePos="0" relativeHeight="251666432" behindDoc="0" locked="0" layoutInCell="1" allowOverlap="1">
                      <wp:simplePos x="0" y="0"/>
                      <wp:positionH relativeFrom="column">
                        <wp:posOffset>2439035</wp:posOffset>
                      </wp:positionH>
                      <wp:positionV relativeFrom="paragraph">
                        <wp:posOffset>3279140</wp:posOffset>
                      </wp:positionV>
                      <wp:extent cx="878840" cy="285115"/>
                      <wp:effectExtent l="12700" t="12700" r="22860" b="140335"/>
                      <wp:wrapNone/>
                      <wp:docPr id="4" name="矩形标注 4"/>
                      <wp:cNvGraphicFramePr/>
                      <a:graphic xmlns:a="http://schemas.openxmlformats.org/drawingml/2006/main">
                        <a:graphicData uri="http://schemas.microsoft.com/office/word/2010/wordprocessingShape">
                          <wps:wsp>
                            <wps:cNvSpPr/>
                            <wps:spPr>
                              <a:xfrm>
                                <a:off x="4326255" y="5526405"/>
                                <a:ext cx="878840" cy="285115"/>
                              </a:xfrm>
                              <a:prstGeom prst="wedgeRectCallout">
                                <a:avLst>
                                  <a:gd name="adj1" fmla="val -32285"/>
                                  <a:gd name="adj2" fmla="val 94635"/>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both"/>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企业位置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61" type="#_x0000_t61" style="position:absolute;left:0pt;margin-left:192.05pt;margin-top:258.2pt;height:22.45pt;width:69.2pt;z-index:251666432;v-text-anchor:middle;mso-width-relative:page;mso-height-relative:page;" filled="f" stroked="t" coordsize="21600,21600" o:gfxdata="UEsDBAoAAAAAAIdO4kAAAAAAAAAAAAAAAAAEAAAAZHJzL1BLAwQUAAAACACHTuJAHPGRr9wAAAAL&#10;AQAADwAAAGRycy9kb3ducmV2LnhtbE2PwU7DMAyG70i8Q2QkbixNt1ZdaToJJA5ITIyBNHHzmtBW&#10;JE5p0q28PeEEN1v+9Pv7q81sDTvp0feOJIhFAkxT41RPrYS314ebApgPSAqNIy3hW3vY1JcXFZbK&#10;nelFn/ahZTGEfIkSuhCGknPfdNqiX7hBU7x9uNFiiOvYcjXiOYZbw9MkybnFnuKHDgd93+nmcz9Z&#10;CerpcDcNWzTP78XXrp1pjf3jVsrrK5HcAgt6Dn8w/OpHdaij09FNpDwzEpbFSkRUQibyFbBIZGma&#10;ATvGIRdL4HXF/3eofwBQSwMEFAAAAAgAh07iQBUjUzCkAgAALgUAAA4AAABkcnMvZTJvRG9jLnht&#10;bK1UzW4TMRC+I/EOlu/tJtvdNI26qaJERUgVrSiIs+O1d438h+1kU16AxwBxgjNnHofyGoy92zYU&#10;DhzIYTOT+fLNzDcze3q2UxJtmfPC6AqPD0cYMU1NLXRT4devzg+mGPlAdE2k0azCN8zjs/nTJ6ed&#10;nbHctEbWzCEg0X7W2Qq3IdhZlnnaMkX8obFMQ5Abp0gA1zVZ7UgH7Epm+Wg0yTrjausMZd7Dr6s+&#10;iAdG9y+EhnNB2crQjWI69KyOSRKgJd8K6/E8Vcs5o+GSc88CkhWGTkN6QhKw1/GZzU/JrHHEtoIO&#10;JZB/KeFRT4oIDUnvqVYkELRx4g8qJagz3vBwSI3K+kaSItDFePRIm+uWWJZ6Aam9vRfd/z9a+mJ7&#10;5ZCoK1xgpImCgf/8+PXH98+3nz7cfvuCiqhQZ/0MgNf2yg2eBzO2u+NOxW9oBO2A4yif5GWJ0U2F&#10;yzKfFKOyV5jtAqIAmB5PpwVoTwGQT8vxOMWzByLrfHjGjELRqHDH6oa9hCkuiZRmE5LGZHvhQxK7&#10;Hkom9dsxRlxJmN2WSHRwlAP7MNw9UL4POikmR3fpB0oo5K6AyK/NuZAyrYjUqIOSy2IUqyew9xz2&#10;DUxlQTuvG4yIbOCgaHCpSG+kqOPfI5F3zXopHYLaYOnSJxYH6X6Dxdwr4tsel0IDTGpAxzH0wkcr&#10;7Na7YRprU9/AFJ3p19tbei6A6oL4cEUcaAI1w8WHS3hwaaARM1gYtca9/9vvEQ9rBlGMOrgPaPLd&#10;hjiGkXyuYQFPxkUcZEhOUR7n4Lj9yHo/ojdqaaB3mBJUl8yID/LO5M6oN/BiWMSsECKaQu5ezsFZ&#10;hv5u4dVC2WKRYHBEloQLfW1pJO+HttgEw0WIAkehenUGB84o6T6cfLzTfT+hHl5z81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ZBQAAW0NvbnRl&#10;bnRfVHlwZXNdLnhtbFBLAQIUAAoAAAAAAIdO4kAAAAAAAAAAAAAAAAAGAAAAAAAAAAAAEAAAAPsD&#10;AABfcmVscy9QSwECFAAUAAAACACHTuJAihRmPNEAAACUAQAACwAAAAAAAAABACAAAAAfBAAAX3Jl&#10;bHMvLnJlbHNQSwECFAAKAAAAAACHTuJAAAAAAAAAAAAAAAAABAAAAAAAAAAAABAAAAAAAAAAZHJz&#10;L1BLAQIUABQAAAAIAIdO4kAc8ZGv3AAAAAsBAAAPAAAAAAAAAAEAIAAAACIAAABkcnMvZG93bnJl&#10;di54bWxQSwECFAAUAAAACACHTuJAFSNTMKQCAAAuBQAADgAAAAAAAAABACAAAAArAQAAZHJzL2Uy&#10;b0RvYy54bWxQSwUGAAAAAAYABgBZAQAAQQYAAAAA&#10;" adj="3826,31241">
                      <v:fill on="f" focussize="0,0"/>
                      <v:stroke weight="2pt" color="#000000 [3213]" joinstyle="round"/>
                      <v:imagedata o:title=""/>
                      <o:lock v:ext="edit" aspectratio="f"/>
                      <v:textbox>
                        <w:txbxContent>
                          <w:p>
                            <w:pPr>
                              <w:jc w:val="both"/>
                              <w:rPr>
                                <w:rFonts w:hint="default" w:eastAsia="宋体"/>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企业位置</w:t>
                            </w:r>
                          </w:p>
                        </w:txbxContent>
                      </v:textbox>
                    </v:shape>
                  </w:pict>
                </mc:Fallback>
              </mc:AlternateContent>
            </w:r>
            <w:r>
              <w:rPr>
                <w:color w:val="000000" w:themeColor="text1"/>
                <w14:textFill>
                  <w14:solidFill>
                    <w14:schemeClr w14:val="tx1"/>
                  </w14:solidFill>
                </w14:textFill>
              </w:rPr>
              <w:drawing>
                <wp:inline distT="0" distB="0" distL="114300" distR="114300">
                  <wp:extent cx="4944110" cy="6598920"/>
                  <wp:effectExtent l="0" t="0" r="8890" b="11430"/>
                  <wp:docPr id="16"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2"/>
                          <pic:cNvPicPr>
                            <a:picLocks noChangeAspect="1"/>
                          </pic:cNvPicPr>
                        </pic:nvPicPr>
                        <pic:blipFill>
                          <a:blip r:embed="rId11"/>
                          <a:stretch>
                            <a:fillRect/>
                          </a:stretch>
                        </pic:blipFill>
                        <pic:spPr>
                          <a:xfrm>
                            <a:off x="0" y="0"/>
                            <a:ext cx="4944110" cy="659892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left"/>
              <w:textAlignment w:val="auto"/>
              <w:rPr>
                <w:rFonts w:hint="default" w:ascii="Times New Roman" w:hAnsi="Times New Roman" w:eastAsia="宋体" w:cs="Times New Roman"/>
                <w:bCs/>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bCs/>
                <w:color w:val="000000" w:themeColor="text1"/>
                <w:sz w:val="24"/>
                <w:szCs w:val="24"/>
                <w:lang w:val="en-US" w:eastAsia="zh-CN"/>
                <w14:textFill>
                  <w14:solidFill>
                    <w14:schemeClr w14:val="tx1"/>
                  </w14:solidFill>
                </w14:textFill>
              </w:rPr>
              <w:t>5、其他文件符合性</w:t>
            </w:r>
          </w:p>
          <w:p>
            <w:pPr>
              <w:pStyle w:val="48"/>
              <w:pageBreakBefore w:val="0"/>
              <w:widowControl w:val="0"/>
              <w:kinsoku/>
              <w:wordWrap/>
              <w:topLinePunct w:val="0"/>
              <w:bidi w:val="0"/>
              <w:spacing w:line="240" w:lineRule="auto"/>
              <w:textAlignment w:val="auto"/>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表1-4  项目与其他文件符合性分析</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78"/>
              <w:gridCol w:w="4219"/>
              <w:gridCol w:w="1399"/>
              <w:gridCol w:w="7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1"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文件名称</w:t>
                  </w:r>
                </w:p>
              </w:tc>
              <w:tc>
                <w:tcPr>
                  <w:tcW w:w="2617"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文件内容</w:t>
                  </w:r>
                </w:p>
              </w:tc>
              <w:tc>
                <w:tcPr>
                  <w:tcW w:w="868"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本项目</w:t>
                  </w:r>
                </w:p>
              </w:tc>
              <w:tc>
                <w:tcPr>
                  <w:tcW w:w="472"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1"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《国务院关于印发大气污染防治行动计划的通知》（2013年9月10日）</w:t>
                  </w:r>
                </w:p>
              </w:tc>
              <w:tc>
                <w:tcPr>
                  <w:tcW w:w="2617"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1.建设工程施工现场应全封闭设置围挡墙，严禁敞开式作业，施工现场道路应进行地面硬化；2.严控“两高”行业新增产能；3.加快淘汰落后产能4.压缩过剩产能。</w:t>
                  </w:r>
                </w:p>
              </w:tc>
              <w:tc>
                <w:tcPr>
                  <w:tcW w:w="868"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1.本工程施工期落实“六个百分百”和“两个全覆盖”2.本项目不属于“两高”行业3.本项目不属于淘汰落后产能项目4.本项目不属于产能过剩项目</w:t>
                  </w:r>
                </w:p>
              </w:tc>
              <w:tc>
                <w:tcPr>
                  <w:tcW w:w="472"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1"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《河北省生态环境保护“十四五”规划》（冀政字〔2022〕2号）</w:t>
                  </w:r>
                </w:p>
              </w:tc>
              <w:tc>
                <w:tcPr>
                  <w:tcW w:w="2617"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强化区域大气污染综合治理。加强区域大气污染联防联控，探索建立交界区域大气环境管理共建共管机制，强化重大项目环境影响评价区域会商。石家庄、唐山、邢台、邯郸市重点开展PM</w:t>
                  </w:r>
                  <w:r>
                    <w:rPr>
                      <w:rFonts w:hint="default"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2.5</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和臭氧协同治理；沧州、衡水、廊坊、保定市和雄安新区重点开展挥发性有机物（VOCs）及氮氧化物协同治理；张家口、承德、秦皇岛市重点加强臭氧污染控制</w:t>
                  </w:r>
                </w:p>
              </w:tc>
              <w:tc>
                <w:tcPr>
                  <w:tcW w:w="868"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本项目废气排放污染物</w:t>
                  </w:r>
                  <w:r>
                    <w:rPr>
                      <w:rFonts w:hint="eastAsia" w:cs="Times New Roman" w:eastAsiaTheme="minorEastAsia"/>
                      <w:color w:val="000000" w:themeColor="text1"/>
                      <w:sz w:val="21"/>
                      <w:szCs w:val="21"/>
                      <w:highlight w:val="none"/>
                      <w:lang w:val="en-US" w:eastAsia="zh-CN"/>
                      <w14:textFill>
                        <w14:solidFill>
                          <w14:schemeClr w14:val="tx1"/>
                        </w14:solidFill>
                      </w14:textFill>
                    </w:rPr>
                    <w:t>仅</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为颗粒物</w:t>
                  </w:r>
                </w:p>
              </w:tc>
              <w:tc>
                <w:tcPr>
                  <w:tcW w:w="472"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1" w:type="pct"/>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《关于促进砂石行业健康有序发展的指导意见》（发改价格〔2020〕473号）</w:t>
                  </w:r>
                </w:p>
              </w:tc>
              <w:tc>
                <w:tcPr>
                  <w:tcW w:w="2617"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鼓励利用固废资源制造再生砂石</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：鼓励利用建筑拆除垃圾等固废资源生产砂石替代材料，清理不合理的区域限制措施，增加再生砂石供给</w:t>
                  </w:r>
                </w:p>
              </w:tc>
              <w:tc>
                <w:tcPr>
                  <w:tcW w:w="868"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本项目原料来源</w:t>
                  </w:r>
                  <w:r>
                    <w:rPr>
                      <w:rFonts w:hint="eastAsia" w:cs="Times New Roman" w:eastAsiaTheme="minorEastAsia"/>
                      <w:color w:val="000000" w:themeColor="text1"/>
                      <w:sz w:val="21"/>
                      <w:szCs w:val="21"/>
                      <w:highlight w:val="none"/>
                      <w:lang w:val="en-US" w:eastAsia="zh-CN"/>
                      <w14:textFill>
                        <w14:solidFill>
                          <w14:schemeClr w14:val="tx1"/>
                        </w14:solidFill>
                      </w14:textFill>
                    </w:rPr>
                    <w:t>生活垃圾焚烧发</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电厂炉渣</w:t>
                  </w:r>
                </w:p>
              </w:tc>
              <w:tc>
                <w:tcPr>
                  <w:tcW w:w="472"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1"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《建材行业碳达峰实施方案》（工信部联原【2022】149号）</w:t>
                  </w:r>
                </w:p>
              </w:tc>
              <w:tc>
                <w:tcPr>
                  <w:tcW w:w="2617"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鼓励以高炉炉渣、粉煤灰等对产品性能无害的工业固体废物废弃物为主要原料的超细粉生产利用。</w:t>
                  </w:r>
                </w:p>
              </w:tc>
              <w:tc>
                <w:tcPr>
                  <w:tcW w:w="868"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本项目原</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料来源</w:t>
                  </w:r>
                  <w:r>
                    <w:rPr>
                      <w:rFonts w:hint="eastAsia" w:cs="Times New Roman" w:eastAsiaTheme="minorEastAsia"/>
                      <w:color w:val="000000" w:themeColor="text1"/>
                      <w:sz w:val="21"/>
                      <w:szCs w:val="21"/>
                      <w:highlight w:val="none"/>
                      <w:lang w:val="en-US" w:eastAsia="zh-CN"/>
                      <w14:textFill>
                        <w14:solidFill>
                          <w14:schemeClr w14:val="tx1"/>
                        </w14:solidFill>
                      </w14:textFill>
                    </w:rPr>
                    <w:t>生活垃圾焚烧发</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电厂炉渣，产品有砂石以及</w:t>
                  </w:r>
                  <w:r>
                    <w:rPr>
                      <w:rFonts w:hint="eastAsia" w:cs="Times New Roman" w:eastAsiaTheme="minorEastAsia"/>
                      <w:color w:val="000000" w:themeColor="text1"/>
                      <w:sz w:val="21"/>
                      <w:szCs w:val="21"/>
                      <w:highlight w:val="none"/>
                      <w:lang w:val="en-US" w:eastAsia="zh-CN"/>
                      <w14:textFill>
                        <w14:solidFill>
                          <w14:schemeClr w14:val="tx1"/>
                        </w14:solidFill>
                      </w14:textFill>
                    </w:rPr>
                    <w:t>铝屑、铁屑</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等</w:t>
                  </w:r>
                </w:p>
              </w:tc>
              <w:tc>
                <w:tcPr>
                  <w:tcW w:w="472"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1" w:type="pct"/>
                  <w:vMerge w:val="restar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《秦皇岛市十四五规划》秦政字〔2022〕10号</w:t>
                  </w:r>
                </w:p>
              </w:tc>
              <w:tc>
                <w:tcPr>
                  <w:tcW w:w="2617"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深化建筑扬尘专项整治。严格落实建筑工程绿色施工规范，建立健全扬尘管控体系，对扬尘重点污染源实行清单化动态管理，将绿色施工纳入企业生态环境信用评价。压实企业主体责任，房屋建筑施工工地落实“六个百分百”和“两个全覆盖”；强化执法督查，对管控不到位，扬尘排放超标的，依法予以严惩，将不良信息纳入建筑市场信用管理体系，情节严重的，列入建筑市场主体“黑名单”。房屋建筑施工工地加装门禁系统，工程完工后，门禁系统可拆卸、可重复利用。县城及城市规划建设用地范围内房屋建筑工地全面做到围挡、物料堆放覆盖、土方开挖湿地作业、路面硬化、出入车辆清洗、渣土车辆密闭运输。建筑工地实现视频监控和PM</w:t>
                  </w:r>
                  <w:r>
                    <w:rPr>
                      <w:rFonts w:hint="eastAsia"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10</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在线监测联网全覆盖</w:t>
                  </w:r>
                </w:p>
              </w:tc>
              <w:tc>
                <w:tcPr>
                  <w:tcW w:w="868"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施工期落实“六个百分百”和“两个全覆盖”</w:t>
                  </w:r>
                </w:p>
              </w:tc>
              <w:tc>
                <w:tcPr>
                  <w:tcW w:w="472"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41" w:type="pct"/>
                  <w:vMerge w:val="continue"/>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2617"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加快构建废旧物资循环利用体系。开展“无废城市”创建，推动固体废物资源化利用，发展资源回用利用产业。发展秸秆固体成型燃料和秸秆生物气化等技术，促进农作物秸秆饲料化、基质化、肥料化、能源化利用，延长产业链条。健全强制报废制度和废旧家电、消费电子等耐用消费品回收处理体系。以电器电子产品、汽车产品、饮料纸基复合包装物为重点，加快落实生产者责任延伸制度。支持建立发动机、变速箱等汽车旧件回收、再制造加工体系。构建建筑垃圾管理和资源化利用体系，建立健全政策引导、市场推动、社会参与的长效推进机制</w:t>
                  </w:r>
                </w:p>
              </w:tc>
              <w:tc>
                <w:tcPr>
                  <w:tcW w:w="868"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本项目为</w:t>
                  </w:r>
                  <w:r>
                    <w:rPr>
                      <w:rFonts w:hint="eastAsia" w:cs="Times New Roman" w:eastAsiaTheme="minorEastAsia"/>
                      <w:color w:val="000000" w:themeColor="text1"/>
                      <w:sz w:val="21"/>
                      <w:szCs w:val="21"/>
                      <w:highlight w:val="none"/>
                      <w:lang w:val="en-US" w:eastAsia="zh-CN"/>
                      <w14:textFill>
                        <w14:solidFill>
                          <w14:schemeClr w14:val="tx1"/>
                        </w14:solidFill>
                      </w14:textFill>
                    </w:rPr>
                    <w:t>生活垃圾焚烧发</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电厂炉渣综合利用项目</w:t>
                  </w:r>
                </w:p>
              </w:tc>
              <w:tc>
                <w:tcPr>
                  <w:tcW w:w="472"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符合</w:t>
                  </w:r>
                </w:p>
              </w:tc>
            </w:tr>
          </w:tbl>
          <w:p>
            <w:pPr>
              <w:pStyle w:val="47"/>
              <w:bidi w:val="0"/>
              <w:ind w:left="0" w:leftChars="0" w:firstLine="0" w:firstLineChars="0"/>
              <w:rPr>
                <w:rFonts w:hint="default" w:ascii="Times New Roman" w:hAnsi="Times New Roman" w:cs="Times New Roman"/>
                <w:color w:val="000000" w:themeColor="text1"/>
                <w:highlight w:val="none"/>
                <w:lang w:val="en-US" w:eastAsia="zh-CN"/>
                <w14:textFill>
                  <w14:solidFill>
                    <w14:schemeClr w14:val="tx1"/>
                  </w14:solidFill>
                </w14:textFill>
              </w:rPr>
            </w:pPr>
          </w:p>
        </w:tc>
      </w:tr>
    </w:tbl>
    <w:p>
      <w:pPr>
        <w:spacing w:line="360" w:lineRule="auto"/>
        <w:outlineLvl w:val="0"/>
        <w:rPr>
          <w:rFonts w:hint="default" w:ascii="Times New Roman" w:hAnsi="Times New Roman" w:eastAsia="黑体" w:cs="Times New Roman"/>
          <w:color w:val="000000" w:themeColor="text1"/>
          <w:sz w:val="30"/>
          <w:highlight w:val="none"/>
          <w14:textFill>
            <w14:solidFill>
              <w14:schemeClr w14:val="tx1"/>
            </w14:solidFill>
          </w14:textFill>
        </w:rPr>
        <w:sectPr>
          <w:footerReference r:id="rId5" w:type="default"/>
          <w:pgSz w:w="11905" w:h="16838"/>
          <w:pgMar w:top="1440" w:right="1587" w:bottom="1440" w:left="1587" w:header="851" w:footer="850" w:gutter="0"/>
          <w:pgBorders>
            <w:top w:val="none" w:sz="0" w:space="0"/>
            <w:left w:val="none" w:sz="0" w:space="0"/>
            <w:bottom w:val="none" w:sz="0" w:space="0"/>
            <w:right w:val="none" w:sz="0" w:space="0"/>
          </w:pgBorders>
          <w:pgNumType w:fmt="decimal" w:start="1"/>
          <w:cols w:space="0" w:num="1"/>
          <w:rtlGutter w:val="0"/>
          <w:docGrid w:linePitch="312" w:charSpace="0"/>
        </w:sectPr>
      </w:pPr>
    </w:p>
    <w:p>
      <w:pPr>
        <w:pStyle w:val="2"/>
        <w:bidi w:val="0"/>
        <w:jc w:val="center"/>
        <w:rPr>
          <w:rFonts w:hint="eastAsia" w:ascii="黑体" w:hAnsi="黑体" w:eastAsia="黑体" w:cs="黑体"/>
          <w:b w:val="0"/>
          <w:bCs w:val="0"/>
          <w:color w:val="000000" w:themeColor="text1"/>
          <w:sz w:val="30"/>
          <w:szCs w:val="30"/>
          <w:highlight w:val="none"/>
          <w14:textFill>
            <w14:solidFill>
              <w14:schemeClr w14:val="tx1"/>
            </w14:solidFill>
          </w14:textFill>
        </w:rPr>
      </w:pPr>
      <w:r>
        <w:rPr>
          <w:rFonts w:hint="eastAsia" w:ascii="黑体" w:hAnsi="黑体" w:eastAsia="黑体" w:cs="黑体"/>
          <w:b w:val="0"/>
          <w:bCs w:val="0"/>
          <w:color w:val="000000" w:themeColor="text1"/>
          <w:sz w:val="30"/>
          <w:szCs w:val="30"/>
          <w:highlight w:val="none"/>
          <w14:textFill>
            <w14:solidFill>
              <w14:schemeClr w14:val="tx1"/>
            </w14:solidFill>
          </w14:textFill>
        </w:rPr>
        <w:t>二、建设项目工程分析</w:t>
      </w:r>
    </w:p>
    <w:tbl>
      <w:tblPr>
        <w:tblStyle w:val="31"/>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88"/>
        <w:gridCol w:w="858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447" w:hRule="atLeast"/>
          <w:jc w:val="center"/>
        </w:trPr>
        <w:tc>
          <w:tcPr>
            <w:tcW w:w="488" w:type="dxa"/>
            <w:noWrap w:val="0"/>
            <w:vAlign w:val="center"/>
          </w:tcPr>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建设内容</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color w:val="000000" w:themeColor="text1"/>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建设内容</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color w:val="000000" w:themeColor="text1"/>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建设内容</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Style w:val="25"/>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t>建设内容</w:t>
            </w: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p>
            <w:pPr>
              <w:pageBreakBefore w:val="0"/>
              <w:widowControl w:val="0"/>
              <w:kinsoku/>
              <w:wordWrap/>
              <w:topLinePunct w:val="0"/>
              <w:autoSpaceDE w:val="0"/>
              <w:autoSpaceDN w:val="0"/>
              <w:bidi w:val="0"/>
              <w:adjustRightInd w:val="0"/>
              <w:snapToGrid w:val="0"/>
              <w:spacing w:line="312" w:lineRule="auto"/>
              <w:jc w:val="both"/>
              <w:textAlignment w:val="auto"/>
              <w:rPr>
                <w:rFonts w:hint="default" w:ascii="Times New Roman" w:hAnsi="Times New Roman" w:eastAsia="宋体" w:cs="Times New Roman"/>
                <w:b/>
                <w:bCs/>
                <w:color w:val="000000" w:themeColor="text1"/>
                <w:kern w:val="0"/>
                <w:sz w:val="24"/>
                <w:szCs w:val="24"/>
                <w:highlight w:val="none"/>
                <w14:textFill>
                  <w14:solidFill>
                    <w14:schemeClr w14:val="tx1"/>
                  </w14:solidFill>
                </w14:textFill>
              </w:rPr>
            </w:pPr>
          </w:p>
        </w:tc>
        <w:tc>
          <w:tcPr>
            <w:tcW w:w="8583" w:type="dxa"/>
            <w:noWrap w:val="0"/>
            <w:vAlign w:val="top"/>
          </w:tcPr>
          <w:p>
            <w:pPr>
              <w:pStyle w:val="2"/>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1、项目简介</w:t>
            </w:r>
          </w:p>
          <w:p>
            <w:pPr>
              <w:pStyle w:val="47"/>
              <w:bidi w:val="0"/>
              <w:rPr>
                <w:rFonts w:hint="eastAsia"/>
                <w:color w:val="000000" w:themeColor="text1"/>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秦皇岛隆博环保科技有限公司成立于2022年7</w:t>
            </w:r>
            <w:r>
              <w:rPr>
                <w:rFonts w:hint="eastAsia" w:eastAsia="宋体"/>
                <w:color w:val="000000" w:themeColor="text1"/>
                <w:lang w:val="en-US" w:eastAsia="zh-CN"/>
                <w14:textFill>
                  <w14:solidFill>
                    <w14:schemeClr w14:val="tx1"/>
                  </w14:solidFill>
                </w14:textFill>
              </w:rPr>
              <w:t>月。</w:t>
            </w:r>
            <w:r>
              <w:rPr>
                <w:color w:val="000000" w:themeColor="text1"/>
                <w14:textFill>
                  <w14:solidFill>
                    <w14:schemeClr w14:val="tx1"/>
                  </w14:solidFill>
                </w14:textFill>
              </w:rPr>
              <w:t>目前国内垃圾焚烧炉渣的处置方式以进入垃圾卫生填埋场填埋为主，占用了大量的填埋库容</w:t>
            </w:r>
            <w:r>
              <w:rPr>
                <w:rFonts w:hint="eastAsia"/>
                <w:color w:val="000000" w:themeColor="text1"/>
                <w:lang w:val="en-US" w:eastAsia="zh-CN"/>
                <w14:textFill>
                  <w14:solidFill>
                    <w14:schemeClr w14:val="tx1"/>
                  </w14:solidFill>
                </w14:textFill>
              </w:rPr>
              <w:t>并对对环境具有一定污染性。国务院于2011年4月19日发出《关于进一步加强城市生活垃圾处理工作意见的通知》，对城市生活垃圾处理和资源化综合利用做出了部署，这一政策的制定为我国生活垃圾处理环保产业的发展带来了巨大的历史机遇。近年来，许多科研机构和生产企业，研究开发垃圾焚烧发电厂炉渣综合利用方法。根据《生活垃圾焚烧污染控制标准》（GB18485-2014）、《固体废物鉴别标准 通则（GB 34330—2017）》以及炉渣检验报告分析，生活垃圾焚烧炉渣属于一般工业固体废物，可以作为一般工业固废进行处理或利用，炉渣经过处理后可选出环保砂、废旧金属等外售利用。因此企业决定投资2322万元建设炉渣综合利用项目，来源为周边50km之内的生活垃圾焚烧发电厂。项目建成后年处理生活垃圾焚烧炉渣20万吨。</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根据《中华人民共和国环境影响评价法》、《国务院关于修改〈建设项目环境保护管理条例〉的决定》（中华人民共和国国务院令第682 号）及《建设项目环境影响评价分类管理名录》（2021 年版）中的有关规定，本项目属于“三十九、废弃资源综合利用业；非金属废料和碎屑加工处理422”中“废弃电器电子产品、废机动车、废电机、废电线电缆、废钢、废铁、金属和金属化合物矿灰及残渣、有色金属废料与碎屑、废塑料、废轮胎、废船、含水洗工艺的其他废料和碎屑加工处理（农业生产产生的废旧秧盘、薄膜破碎和清洗工艺的除外）”类项目，因此需编制环境影响报告表。</w:t>
            </w:r>
          </w:p>
          <w:p>
            <w:pPr>
              <w:pStyle w:val="2"/>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2、</w:t>
            </w:r>
            <w:r>
              <w:rPr>
                <w:rFonts w:hint="eastAsia" w:cs="Times New Roman"/>
                <w:color w:val="000000" w:themeColor="text1"/>
                <w:highlight w:val="none"/>
                <w:lang w:val="en-US" w:eastAsia="zh-CN"/>
                <w14:textFill>
                  <w14:solidFill>
                    <w14:schemeClr w14:val="tx1"/>
                  </w14:solidFill>
                </w14:textFill>
              </w:rPr>
              <w:t>工程简介</w:t>
            </w:r>
            <w:r>
              <w:rPr>
                <w:rFonts w:hint="default" w:ascii="Times New Roman" w:hAnsi="Times New Roman" w:cs="Times New Roman"/>
                <w:color w:val="000000" w:themeColor="text1"/>
                <w:highlight w:val="none"/>
                <w:lang w:val="en-US" w:eastAsia="zh-CN"/>
                <w14:textFill>
                  <w14:solidFill>
                    <w14:schemeClr w14:val="tx1"/>
                  </w14:solidFill>
                </w14:textFill>
              </w:rPr>
              <w:t xml:space="preserve"> </w:t>
            </w:r>
          </w:p>
          <w:p>
            <w:pPr>
              <w:pStyle w:val="8"/>
              <w:bidi w:val="0"/>
              <w:rPr>
                <w:rFonts w:hint="default" w:ascii="Times New Roman" w:hAnsi="Times New Roman" w:eastAsia="宋体" w:cs="Times New Roman"/>
                <w:b/>
                <w:bCs/>
                <w:color w:val="000000" w:themeColor="text1"/>
                <w:kern w:val="2"/>
                <w:sz w:val="24"/>
                <w:szCs w:val="24"/>
                <w:highlight w:val="none"/>
                <w:lang w:val="en-US" w:eastAsia="zh-CN" w:bidi="ar-SA"/>
                <w14:textFill>
                  <w14:solidFill>
                    <w14:schemeClr w14:val="tx1"/>
                  </w14:solidFill>
                </w14:textFill>
              </w:rPr>
            </w:pPr>
            <w:r>
              <w:rPr>
                <w:rFonts w:hint="eastAsia" w:cs="Times New Roman"/>
                <w:b/>
                <w:bCs/>
                <w:color w:val="000000" w:themeColor="text1"/>
                <w:kern w:val="2"/>
                <w:sz w:val="24"/>
                <w:szCs w:val="24"/>
                <w:highlight w:val="none"/>
                <w:lang w:val="en-US" w:eastAsia="zh-CN" w:bidi="ar-SA"/>
                <w14:textFill>
                  <w14:solidFill>
                    <w14:schemeClr w14:val="tx1"/>
                  </w14:solidFill>
                </w14:textFill>
              </w:rPr>
              <w:t>2.1工程概况</w:t>
            </w:r>
          </w:p>
          <w:p>
            <w:pPr>
              <w:pStyle w:val="8"/>
              <w:bidi w:val="0"/>
              <w:ind w:firstLine="480" w:firstLineChars="200"/>
              <w:rPr>
                <w:rFonts w:hint="default" w:ascii="Times New Roman" w:hAnsi="Times New Roman" w:eastAsia="宋体" w:cs="Times New Roman"/>
                <w:b w:val="0"/>
                <w:color w:val="000000" w:themeColor="text1"/>
                <w:kern w:val="2"/>
                <w:sz w:val="24"/>
                <w:szCs w:val="24"/>
                <w:highlight w:val="none"/>
                <w:lang w:val="en-US" w:eastAsia="zh-CN" w:bidi="ar-SA"/>
                <w14:textFill>
                  <w14:solidFill>
                    <w14:schemeClr w14:val="tx1"/>
                  </w14:solidFill>
                </w14:textFill>
              </w:rPr>
            </w:pPr>
            <w:r>
              <w:rPr>
                <w:rFonts w:hint="default" w:ascii="Times New Roman" w:hAnsi="Times New Roman" w:eastAsia="宋体" w:cs="Times New Roman"/>
                <w:b w:val="0"/>
                <w:color w:val="000000" w:themeColor="text1"/>
                <w:kern w:val="2"/>
                <w:sz w:val="24"/>
                <w:szCs w:val="24"/>
                <w:highlight w:val="none"/>
                <w:lang w:val="en-US" w:eastAsia="zh-CN" w:bidi="ar-SA"/>
                <w14:textFill>
                  <w14:solidFill>
                    <w14:schemeClr w14:val="tx1"/>
                  </w14:solidFill>
                </w14:textFill>
              </w:rPr>
              <w:t>（1）企业地理位置及周边关系</w:t>
            </w:r>
          </w:p>
          <w:p>
            <w:pPr>
              <w:bidi w:val="0"/>
              <w:ind w:firstLine="480"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b w:val="0"/>
                <w:color w:val="000000" w:themeColor="text1"/>
                <w:kern w:val="2"/>
                <w:sz w:val="24"/>
                <w:szCs w:val="24"/>
                <w:highlight w:val="none"/>
                <w:lang w:val="en-US" w:eastAsia="zh-CN" w:bidi="ar-SA"/>
                <w14:textFill>
                  <w14:solidFill>
                    <w14:schemeClr w14:val="tx1"/>
                  </w14:solidFill>
                </w14:textFill>
              </w:rPr>
              <w:t>秦皇岛隆博环保科技有限公司</w:t>
            </w:r>
            <w:r>
              <w:rPr>
                <w:rFonts w:hint="default" w:ascii="Times New Roman" w:hAnsi="Times New Roman" w:eastAsia="宋体" w:cs="Times New Roman"/>
                <w:b w:val="0"/>
                <w:color w:val="000000" w:themeColor="text1"/>
                <w:kern w:val="2"/>
                <w:sz w:val="24"/>
                <w:szCs w:val="24"/>
                <w:highlight w:val="none"/>
                <w:lang w:val="en-US" w:eastAsia="zh-CN" w:bidi="ar-SA"/>
                <w14:textFill>
                  <w14:solidFill>
                    <w14:schemeClr w14:val="tx1"/>
                  </w14:solidFill>
                </w14:textFill>
              </w:rPr>
              <w:t>位于</w:t>
            </w:r>
            <w:r>
              <w:rPr>
                <w:rFonts w:hint="default" w:ascii="Times New Roman" w:hAnsi="Times New Roman" w:cs="Times New Roman"/>
                <w:b w:val="0"/>
                <w:color w:val="000000" w:themeColor="text1"/>
                <w:kern w:val="2"/>
                <w:sz w:val="24"/>
                <w:szCs w:val="24"/>
                <w:highlight w:val="none"/>
                <w:lang w:val="en-US" w:eastAsia="zh-CN" w:bidi="ar-SA"/>
                <w14:textFill>
                  <w14:solidFill>
                    <w14:schemeClr w14:val="tx1"/>
                  </w14:solidFill>
                </w14:textFill>
              </w:rPr>
              <w:t>秦皇岛市抚宁区</w:t>
            </w:r>
            <w:r>
              <w:rPr>
                <w:rFonts w:hint="eastAsia" w:cs="Times New Roman"/>
                <w:b w:val="0"/>
                <w:color w:val="000000" w:themeColor="text1"/>
                <w:kern w:val="2"/>
                <w:sz w:val="24"/>
                <w:szCs w:val="24"/>
                <w:highlight w:val="none"/>
                <w:lang w:val="en-US" w:eastAsia="zh-CN" w:bidi="ar-SA"/>
                <w14:textFill>
                  <w14:solidFill>
                    <w14:schemeClr w14:val="tx1"/>
                  </w14:solidFill>
                </w14:textFill>
              </w:rPr>
              <w:t>留守营镇潘官营村南</w:t>
            </w:r>
            <w:r>
              <w:rPr>
                <w:rFonts w:hint="default" w:ascii="Times New Roman" w:hAnsi="Times New Roman" w:eastAsia="宋体" w:cs="Times New Roman"/>
                <w:b w:val="0"/>
                <w:color w:val="000000" w:themeColor="text1"/>
                <w:kern w:val="2"/>
                <w:sz w:val="24"/>
                <w:szCs w:val="24"/>
                <w:highlight w:val="none"/>
                <w:lang w:val="en-US" w:eastAsia="zh-CN" w:bidi="ar-SA"/>
                <w14:textFill>
                  <w14:solidFill>
                    <w14:schemeClr w14:val="tx1"/>
                  </w14:solidFill>
                </w14:textFill>
              </w:rPr>
              <w:t>。厂址中心坐标为：</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东经119°17'51.273"，北纬39°53'9.524"</w:t>
            </w:r>
            <w:r>
              <w:rPr>
                <w:rFonts w:hint="default" w:ascii="Times New Roman" w:hAnsi="Times New Roman" w:eastAsia="宋体" w:cs="Times New Roman"/>
                <w:b w:val="0"/>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项目东侧为</w:t>
            </w:r>
            <w:r>
              <w:rPr>
                <w:rFonts w:hint="eastAsia" w:cs="Times New Roman"/>
                <w:color w:val="000000" w:themeColor="text1"/>
                <w:sz w:val="24"/>
                <w:szCs w:val="24"/>
                <w:highlight w:val="none"/>
                <w:lang w:val="en-US" w:eastAsia="zh-CN"/>
                <w14:textFill>
                  <w14:solidFill>
                    <w14:schemeClr w14:val="tx1"/>
                  </w14:solidFill>
                </w14:textFill>
              </w:rPr>
              <w:t>空地</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，西侧为空地，南侧为</w:t>
            </w:r>
            <w:r>
              <w:rPr>
                <w:rFonts w:hint="eastAsia" w:cs="Times New Roman"/>
                <w:color w:val="000000" w:themeColor="text1"/>
                <w:sz w:val="24"/>
                <w:szCs w:val="24"/>
                <w:highlight w:val="none"/>
                <w:lang w:val="en-US" w:eastAsia="zh-CN"/>
                <w14:textFill>
                  <w14:solidFill>
                    <w14:schemeClr w14:val="tx1"/>
                  </w14:solidFill>
                </w14:textFill>
              </w:rPr>
              <w:t>闲置厂房</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，北侧为</w:t>
            </w:r>
            <w:r>
              <w:rPr>
                <w:rFonts w:hint="eastAsia" w:cs="Times New Roman"/>
                <w:color w:val="000000" w:themeColor="text1"/>
                <w:sz w:val="24"/>
                <w:szCs w:val="24"/>
                <w:highlight w:val="none"/>
                <w:lang w:val="en-US" w:eastAsia="zh-CN"/>
                <w14:textFill>
                  <w14:solidFill>
                    <w14:schemeClr w14:val="tx1"/>
                  </w14:solidFill>
                </w14:textFill>
              </w:rPr>
              <w:t>农田</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w:t>
            </w:r>
            <w:r>
              <w:rPr>
                <w:rFonts w:hint="eastAsia" w:cs="Times New Roman"/>
                <w:color w:val="000000" w:themeColor="text1"/>
                <w:sz w:val="24"/>
                <w:szCs w:val="24"/>
                <w:highlight w:val="none"/>
                <w:lang w:val="en-US" w:eastAsia="zh-CN"/>
                <w14:textFill>
                  <w14:solidFill>
                    <w14:schemeClr w14:val="tx1"/>
                  </w14:solidFill>
                </w14:textFill>
              </w:rPr>
              <w:t>项目距离最近敏感点为东北侧140m潘官营村</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w:t>
            </w:r>
          </w:p>
          <w:p>
            <w:pPr>
              <w:numPr>
                <w:ilvl w:val="0"/>
                <w:numId w:val="0"/>
              </w:numPr>
              <w:bidi w:val="0"/>
              <w:ind w:firstLine="480" w:firstLineChars="200"/>
              <w:rPr>
                <w:rFonts w:hint="default" w:ascii="Times New Roman" w:hAnsi="Times New Roman" w:eastAsia="宋体" w:cs="Times New Roman"/>
                <w:b w:val="0"/>
                <w:color w:val="000000" w:themeColor="text1"/>
                <w:kern w:val="2"/>
                <w:sz w:val="24"/>
                <w:szCs w:val="24"/>
                <w:highlight w:val="none"/>
                <w:lang w:val="en-US" w:eastAsia="zh-CN" w:bidi="ar-SA"/>
                <w14:textFill>
                  <w14:solidFill>
                    <w14:schemeClr w14:val="tx1"/>
                  </w14:solidFill>
                </w14:textFill>
              </w:rPr>
            </w:pPr>
            <w:r>
              <w:rPr>
                <w:rFonts w:hint="eastAsia" w:cs="Times New Roman"/>
                <w:b w:val="0"/>
                <w:color w:val="000000" w:themeColor="text1"/>
                <w:kern w:val="2"/>
                <w:sz w:val="24"/>
                <w:szCs w:val="24"/>
                <w:highlight w:val="none"/>
                <w:lang w:val="en-US" w:eastAsia="zh-CN" w:bidi="ar-SA"/>
                <w14:textFill>
                  <w14:solidFill>
                    <w14:schemeClr w14:val="tx1"/>
                  </w14:solidFill>
                </w14:textFill>
              </w:rPr>
              <w:t>（2）</w:t>
            </w:r>
            <w:r>
              <w:rPr>
                <w:rFonts w:hint="default" w:ascii="Times New Roman" w:hAnsi="Times New Roman" w:eastAsia="宋体" w:cs="Times New Roman"/>
                <w:b w:val="0"/>
                <w:color w:val="000000" w:themeColor="text1"/>
                <w:kern w:val="2"/>
                <w:sz w:val="24"/>
                <w:szCs w:val="24"/>
                <w:highlight w:val="none"/>
                <w:lang w:val="en-US" w:eastAsia="zh-CN" w:bidi="ar-SA"/>
                <w14:textFill>
                  <w14:solidFill>
                    <w14:schemeClr w14:val="tx1"/>
                  </w14:solidFill>
                </w14:textFill>
              </w:rPr>
              <w:t>用地情况：</w:t>
            </w:r>
            <w:r>
              <w:rPr>
                <w:rFonts w:hint="eastAsia" w:cs="Times New Roman"/>
                <w:b w:val="0"/>
                <w:color w:val="000000" w:themeColor="text1"/>
                <w:kern w:val="2"/>
                <w:sz w:val="24"/>
                <w:szCs w:val="24"/>
                <w:highlight w:val="none"/>
                <w:lang w:val="en-US" w:eastAsia="zh-CN" w:bidi="ar-SA"/>
                <w14:textFill>
                  <w14:solidFill>
                    <w14:schemeClr w14:val="tx1"/>
                  </w14:solidFill>
                </w14:textFill>
              </w:rPr>
              <w:t>企业用地性质为建设用地，占地</w:t>
            </w:r>
            <w:r>
              <w:rPr>
                <w:rFonts w:hint="eastAsia" w:ascii="Times New Roman" w:hAnsi="Times New Roman" w:cs="Times New Roman"/>
                <w:color w:val="000000" w:themeColor="text1"/>
                <w:highlight w:val="none"/>
                <w:lang w:val="en-US" w:eastAsia="zh-CN"/>
                <w14:textFill>
                  <w14:solidFill>
                    <w14:schemeClr w14:val="tx1"/>
                  </w14:solidFill>
                </w14:textFill>
              </w:rPr>
              <w:t>16.54亩（约11026.86平方米）</w:t>
            </w:r>
            <w:r>
              <w:rPr>
                <w:rFonts w:hint="eastAsia" w:cs="Times New Roman"/>
                <w:b w:val="0"/>
                <w:color w:val="000000" w:themeColor="text1"/>
                <w:kern w:val="2"/>
                <w:sz w:val="24"/>
                <w:szCs w:val="24"/>
                <w:highlight w:val="none"/>
                <w:lang w:val="en-US" w:eastAsia="zh-CN" w:bidi="ar-SA"/>
                <w14:textFill>
                  <w14:solidFill>
                    <w14:schemeClr w14:val="tx1"/>
                  </w14:solidFill>
                </w14:textFill>
              </w:rPr>
              <w:t>。符合抚宁区土地利用总体规划</w:t>
            </w:r>
            <w:r>
              <w:rPr>
                <w:rFonts w:hint="default" w:ascii="Times New Roman" w:hAnsi="Times New Roman" w:cs="Times New Roman"/>
                <w:b w:val="0"/>
                <w:color w:val="000000" w:themeColor="text1"/>
                <w:kern w:val="2"/>
                <w:sz w:val="24"/>
                <w:szCs w:val="24"/>
                <w:highlight w:val="none"/>
                <w:lang w:val="en-US" w:eastAsia="zh-CN" w:bidi="ar-SA"/>
                <w14:textFill>
                  <w14:solidFill>
                    <w14:schemeClr w14:val="tx1"/>
                  </w14:solidFill>
                </w14:textFill>
              </w:rPr>
              <w:t>。</w:t>
            </w:r>
          </w:p>
          <w:p>
            <w:pPr>
              <w:numPr>
                <w:ilvl w:val="0"/>
                <w:numId w:val="0"/>
              </w:numPr>
              <w:bidi w:val="0"/>
              <w:ind w:firstLine="480"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（3）平面布置：</w:t>
            </w:r>
            <w:r>
              <w:rPr>
                <w:rFonts w:hint="eastAsia" w:cs="Times New Roman"/>
                <w:color w:val="000000" w:themeColor="text1"/>
                <w:highlight w:val="none"/>
                <w:lang w:val="en-US" w:eastAsia="zh-CN"/>
                <w14:textFill>
                  <w14:solidFill>
                    <w14:schemeClr w14:val="tx1"/>
                  </w14:solidFill>
                </w14:textFill>
              </w:rPr>
              <w:t>厂区西侧为办公楼，生产车间位于厂区内北侧。</w:t>
            </w:r>
            <w:r>
              <w:rPr>
                <w:rFonts w:hint="default" w:ascii="Times New Roman" w:hAnsi="Times New Roman" w:eastAsia="宋体" w:cs="Times New Roman"/>
                <w:color w:val="000000" w:themeColor="text1"/>
                <w:highlight w:val="none"/>
                <w:lang w:val="en-US" w:eastAsia="zh-CN"/>
                <w14:textFill>
                  <w14:solidFill>
                    <w14:schemeClr w14:val="tx1"/>
                  </w14:solidFill>
                </w14:textFill>
              </w:rPr>
              <w:t>具体见附图</w:t>
            </w:r>
            <w:r>
              <w:rPr>
                <w:rFonts w:hint="eastAsia" w:cs="Times New Roman"/>
                <w:color w:val="000000" w:themeColor="text1"/>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highlight w:val="none"/>
                <w:lang w:val="en-US" w:eastAsia="zh-CN"/>
                <w14:textFill>
                  <w14:solidFill>
                    <w14:schemeClr w14:val="tx1"/>
                  </w14:solidFill>
                </w14:textFill>
              </w:rPr>
              <w:t>。</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（4）劳动定员及工作制度：工程劳动定员</w:t>
            </w:r>
            <w:r>
              <w:rPr>
                <w:rFonts w:hint="eastAsia" w:ascii="Times New Roman" w:hAnsi="Times New Roman" w:cs="Times New Roman"/>
                <w:color w:val="000000" w:themeColor="text1"/>
                <w:highlight w:val="none"/>
                <w:lang w:val="en-US" w:eastAsia="zh-CN"/>
                <w14:textFill>
                  <w14:solidFill>
                    <w14:schemeClr w14:val="tx1"/>
                  </w14:solidFill>
                </w14:textFill>
              </w:rPr>
              <w:t>16</w:t>
            </w:r>
            <w:r>
              <w:rPr>
                <w:rFonts w:hint="default" w:ascii="Times New Roman" w:hAnsi="Times New Roman" w:cs="Times New Roman"/>
                <w:color w:val="000000" w:themeColor="text1"/>
                <w:highlight w:val="none"/>
                <w:lang w:val="en-US" w:eastAsia="zh-CN"/>
                <w14:textFill>
                  <w14:solidFill>
                    <w14:schemeClr w14:val="tx1"/>
                  </w14:solidFill>
                </w14:textFill>
              </w:rPr>
              <w:t>人，</w:t>
            </w:r>
            <w:r>
              <w:rPr>
                <w:rFonts w:hint="default" w:ascii="Times New Roman" w:hAnsi="Times New Roman" w:cs="Times New Roman"/>
                <w:color w:val="000000" w:themeColor="text1"/>
                <w:highlight w:val="none"/>
                <w14:textFill>
                  <w14:solidFill>
                    <w14:schemeClr w14:val="tx1"/>
                  </w14:solidFill>
                </w14:textFill>
              </w:rPr>
              <w:t>年生产</w:t>
            </w:r>
            <w:r>
              <w:rPr>
                <w:rFonts w:hint="eastAsia" w:ascii="Times New Roman" w:hAnsi="Times New Roman" w:cs="Times New Roman"/>
                <w:color w:val="000000" w:themeColor="text1"/>
                <w:highlight w:val="none"/>
                <w:lang w:val="en-US" w:eastAsia="zh-CN"/>
                <w14:textFill>
                  <w14:solidFill>
                    <w14:schemeClr w14:val="tx1"/>
                  </w14:solidFill>
                </w14:textFill>
              </w:rPr>
              <w:t>350</w:t>
            </w:r>
            <w:r>
              <w:rPr>
                <w:rFonts w:hint="default" w:ascii="Times New Roman" w:hAnsi="Times New Roman" w:cs="Times New Roman"/>
                <w:color w:val="000000" w:themeColor="text1"/>
                <w:highlight w:val="none"/>
                <w14:textFill>
                  <w14:solidFill>
                    <w14:schemeClr w14:val="tx1"/>
                  </w14:solidFill>
                </w14:textFill>
              </w:rPr>
              <w:t>天</w:t>
            </w:r>
            <w:r>
              <w:rPr>
                <w:rFonts w:hint="default" w:ascii="Times New Roman" w:hAnsi="Times New Roman" w:cs="Times New Roman"/>
                <w:color w:val="000000" w:themeColor="text1"/>
                <w:highlight w:val="none"/>
                <w:lang w:eastAsia="zh-CN"/>
                <w14:textFill>
                  <w14:solidFill>
                    <w14:schemeClr w14:val="tx1"/>
                  </w14:solidFill>
                </w14:textFill>
              </w:rPr>
              <w:t>，</w:t>
            </w:r>
            <w:r>
              <w:rPr>
                <w:rFonts w:hint="default" w:ascii="Times New Roman" w:hAnsi="Times New Roman" w:cs="Times New Roman"/>
                <w:color w:val="000000" w:themeColor="text1"/>
                <w:highlight w:val="none"/>
                <w:lang w:val="en-US" w:eastAsia="zh-CN"/>
                <w14:textFill>
                  <w14:solidFill>
                    <w14:schemeClr w14:val="tx1"/>
                  </w14:solidFill>
                </w14:textFill>
              </w:rPr>
              <w:t>一班制，每班8小时</w:t>
            </w:r>
            <w:r>
              <w:rPr>
                <w:rFonts w:hint="eastAsia" w:ascii="Times New Roman" w:hAnsi="Times New Roman" w:cs="Times New Roman"/>
                <w:color w:val="000000" w:themeColor="text1"/>
                <w:highlight w:val="none"/>
                <w:lang w:val="en-US" w:eastAsia="zh-CN"/>
                <w14:textFill>
                  <w14:solidFill>
                    <w14:schemeClr w14:val="tx1"/>
                  </w14:solidFill>
                </w14:textFill>
              </w:rPr>
              <w:t>，夜间不生产</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pStyle w:val="8"/>
              <w:bidi w:val="0"/>
              <w:rPr>
                <w:rFonts w:hint="default" w:cs="Times New Roman"/>
                <w:b/>
                <w:bCs/>
                <w:color w:val="000000" w:themeColor="text1"/>
                <w:kern w:val="2"/>
                <w:sz w:val="24"/>
                <w:szCs w:val="24"/>
                <w:highlight w:val="none"/>
                <w:lang w:val="en-US" w:eastAsia="zh-CN" w:bidi="ar-SA"/>
                <w14:textFill>
                  <w14:solidFill>
                    <w14:schemeClr w14:val="tx1"/>
                  </w14:solidFill>
                </w14:textFill>
              </w:rPr>
            </w:pPr>
            <w:r>
              <w:rPr>
                <w:rFonts w:hint="eastAsia" w:cs="Times New Roman"/>
                <w:b/>
                <w:bCs/>
                <w:color w:val="000000" w:themeColor="text1"/>
                <w:kern w:val="2"/>
                <w:sz w:val="24"/>
                <w:szCs w:val="24"/>
                <w:highlight w:val="none"/>
                <w:lang w:val="en-US" w:eastAsia="zh-CN" w:bidi="ar-SA"/>
                <w14:textFill>
                  <w14:solidFill>
                    <w14:schemeClr w14:val="tx1"/>
                  </w14:solidFill>
                </w14:textFill>
              </w:rPr>
              <w:t>2.2</w:t>
            </w:r>
            <w:r>
              <w:rPr>
                <w:rFonts w:hint="default" w:cs="Times New Roman"/>
                <w:b/>
                <w:bCs/>
                <w:color w:val="000000" w:themeColor="text1"/>
                <w:kern w:val="2"/>
                <w:sz w:val="24"/>
                <w:szCs w:val="24"/>
                <w:highlight w:val="none"/>
                <w:lang w:val="en-US" w:eastAsia="zh-CN" w:bidi="ar-SA"/>
                <w14:textFill>
                  <w14:solidFill>
                    <w14:schemeClr w14:val="tx1"/>
                  </w14:solidFill>
                </w14:textFill>
              </w:rPr>
              <w:t>、工程规模及工程内容</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租用抚宁区留守营镇潘官营村委会所建厂房，新上一条炉渣综合利用生产线，本项目占地16.54亩（约11026.86平方米），购置投料系统、皮带输送机、除铁器、滚筒筛、破碎机、跳汰机、摇床等设备，建设完成后年处理炉渣20万吨。</w:t>
            </w:r>
            <w:r>
              <w:rPr>
                <w:rFonts w:hint="default" w:ascii="Times New Roman" w:hAnsi="Times New Roman" w:cs="Times New Roman"/>
                <w:color w:val="000000" w:themeColor="text1"/>
                <w:highlight w:val="none"/>
                <w:lang w:val="en-US" w:eastAsia="zh-CN"/>
                <w14:textFill>
                  <w14:solidFill>
                    <w14:schemeClr w14:val="tx1"/>
                  </w14:solidFill>
                </w14:textFill>
              </w:rPr>
              <w:t>具体</w:t>
            </w:r>
            <w:r>
              <w:rPr>
                <w:rFonts w:hint="eastAsia" w:ascii="Times New Roman" w:hAnsi="Times New Roman" w:cs="Times New Roman"/>
                <w:color w:val="000000" w:themeColor="text1"/>
                <w:highlight w:val="none"/>
                <w:lang w:val="en-US" w:eastAsia="zh-CN"/>
                <w14:textFill>
                  <w14:solidFill>
                    <w14:schemeClr w14:val="tx1"/>
                  </w14:solidFill>
                </w14:textFill>
              </w:rPr>
              <w:t>工程</w:t>
            </w:r>
            <w:r>
              <w:rPr>
                <w:rFonts w:hint="default" w:ascii="Times New Roman" w:hAnsi="Times New Roman" w:cs="Times New Roman"/>
                <w:color w:val="000000" w:themeColor="text1"/>
                <w:highlight w:val="none"/>
                <w:lang w:val="en-US" w:eastAsia="zh-CN"/>
                <w14:textFill>
                  <w14:solidFill>
                    <w14:schemeClr w14:val="tx1"/>
                  </w14:solidFill>
                </w14:textFill>
              </w:rPr>
              <w:t>情况如下：</w:t>
            </w:r>
          </w:p>
          <w:p>
            <w:pPr>
              <w:pStyle w:val="48"/>
              <w:pageBreakBefore w:val="0"/>
              <w:widowControl w:val="0"/>
              <w:kinsoku/>
              <w:wordWrap/>
              <w:topLinePunct w:val="0"/>
              <w:bidi w:val="0"/>
              <w:spacing w:line="240" w:lineRule="auto"/>
              <w:textAlignment w:val="auto"/>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t>表2</w:t>
            </w: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-1</w:t>
            </w:r>
            <w:r>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t xml:space="preserve">  项目组成一览表</w:t>
            </w:r>
          </w:p>
          <w:tbl>
            <w:tblPr>
              <w:tblStyle w:val="31"/>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2"/>
              <w:gridCol w:w="426"/>
              <w:gridCol w:w="1218"/>
              <w:gridCol w:w="59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444"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工程分类</w:t>
                  </w:r>
                </w:p>
              </w:tc>
              <w:tc>
                <w:tcPr>
                  <w:tcW w:w="984" w:type="pct"/>
                  <w:gridSpan w:val="2"/>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项目名称</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工程</w:t>
                  </w:r>
                  <w:r>
                    <w:rPr>
                      <w:rFonts w:hint="eastAsia" w:cs="Times New Roman" w:eastAsiaTheme="minorEastAsia"/>
                      <w:color w:val="000000" w:themeColor="text1"/>
                      <w:sz w:val="21"/>
                      <w:szCs w:val="21"/>
                      <w:highlight w:val="none"/>
                      <w:lang w:val="en-US" w:eastAsia="zh-CN"/>
                      <w14:textFill>
                        <w14:solidFill>
                          <w14:schemeClr w14:val="tx1"/>
                        </w14:solidFill>
                      </w14:textFill>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主体工程</w:t>
                  </w:r>
                </w:p>
              </w:tc>
              <w:tc>
                <w:tcPr>
                  <w:tcW w:w="984" w:type="pct"/>
                  <w:gridSpan w:val="2"/>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生产车间</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建筑面积为</w:t>
                  </w:r>
                  <w:r>
                    <w:rPr>
                      <w:rFonts w:hint="eastAsia" w:cs="Times New Roman" w:eastAsiaTheme="minorEastAsia"/>
                      <w:color w:val="000000" w:themeColor="text1"/>
                      <w:sz w:val="21"/>
                      <w:szCs w:val="21"/>
                      <w:highlight w:val="none"/>
                      <w:lang w:val="en-US" w:eastAsia="zh-CN"/>
                      <w14:textFill>
                        <w14:solidFill>
                          <w14:schemeClr w14:val="tx1"/>
                        </w14:solidFill>
                      </w14:textFill>
                    </w:rPr>
                    <w:t>5000</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w:t>
                  </w:r>
                  <w:r>
                    <w:rPr>
                      <w:rFonts w:hint="eastAsia" w:cs="Times New Roman" w:eastAsiaTheme="minorEastAsia"/>
                      <w:color w:val="000000" w:themeColor="text1"/>
                      <w:sz w:val="21"/>
                      <w:szCs w:val="21"/>
                      <w:highlight w:val="none"/>
                      <w:lang w:val="en-US" w:eastAsia="zh-CN"/>
                      <w14:textFill>
                        <w14:solidFill>
                          <w14:schemeClr w14:val="tx1"/>
                        </w14:solidFill>
                      </w14:textFill>
                    </w:rPr>
                    <w:t>目前已搭建完成，</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一层，钢结构，建设有1条炉渣处理生产线，</w:t>
                  </w:r>
                  <w:r>
                    <w:rPr>
                      <w:rFonts w:hint="eastAsia" w:cs="Times New Roman" w:eastAsiaTheme="minorEastAsia"/>
                      <w:color w:val="000000" w:themeColor="text1"/>
                      <w:sz w:val="21"/>
                      <w:szCs w:val="21"/>
                      <w:highlight w:val="none"/>
                      <w:lang w:val="en-US" w:eastAsia="zh-CN"/>
                      <w14:textFill>
                        <w14:solidFill>
                          <w14:schemeClr w14:val="tx1"/>
                        </w14:solidFill>
                      </w14:textFill>
                    </w:rPr>
                    <w:t>车间</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内设置球磨机、破碎机、跳汰机等设备，年处理生活垃圾焚烧炉渣20万吨；主要包括炉渣处理区、炉渣原料堆放区、未燃尽物料暂存区、废旧金属区</w:t>
                  </w:r>
                  <w:r>
                    <w:rPr>
                      <w:rFonts w:hint="eastAsia" w:cs="Times New Roman" w:eastAsiaTheme="minorEastAsia"/>
                      <w:color w:val="000000" w:themeColor="text1"/>
                      <w:sz w:val="21"/>
                      <w:szCs w:val="21"/>
                      <w:highlight w:val="none"/>
                      <w:lang w:val="en-US" w:eastAsia="zh-CN"/>
                      <w14:textFill>
                        <w14:solidFill>
                          <w14:schemeClr w14:val="tx1"/>
                        </w14:solidFill>
                      </w14:textFill>
                    </w:rPr>
                    <w:t>、产品堆放区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44" w:type="pct"/>
                  <w:vMerge w:val="restar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辅助工程</w:t>
                  </w:r>
                </w:p>
              </w:tc>
              <w:tc>
                <w:tcPr>
                  <w:tcW w:w="984" w:type="pct"/>
                  <w:gridSpan w:val="2"/>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宿舍</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建筑面积为500㎡，</w:t>
                  </w:r>
                  <w:r>
                    <w:rPr>
                      <w:rFonts w:hint="eastAsia" w:cs="Times New Roman" w:eastAsiaTheme="minorEastAsia"/>
                      <w:color w:val="000000" w:themeColor="text1"/>
                      <w:sz w:val="21"/>
                      <w:szCs w:val="21"/>
                      <w:highlight w:val="none"/>
                      <w:lang w:val="en-US" w:eastAsia="zh-CN"/>
                      <w14:textFill>
                        <w14:solidFill>
                          <w14:schemeClr w14:val="tx1"/>
                        </w14:solidFill>
                      </w14:textFill>
                    </w:rPr>
                    <w:t>2处，</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 xml:space="preserve"> </w:t>
                  </w:r>
                  <w:r>
                    <w:rPr>
                      <w:rFonts w:hint="eastAsia" w:cs="Times New Roman" w:eastAsiaTheme="minorEastAsia"/>
                      <w:color w:val="000000" w:themeColor="text1"/>
                      <w:sz w:val="21"/>
                      <w:szCs w:val="21"/>
                      <w:highlight w:val="none"/>
                      <w:lang w:val="en-US" w:eastAsia="zh-CN"/>
                      <w14:textFill>
                        <w14:solidFill>
                          <w14:schemeClr w14:val="tx1"/>
                        </w14:solidFill>
                      </w14:textFill>
                    </w:rPr>
                    <w:t>均为</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一层，主要用于员工休息</w:t>
                  </w:r>
                  <w:r>
                    <w:rPr>
                      <w:rFonts w:hint="eastAsia" w:cs="Times New Roman" w:eastAsiaTheme="minorEastAsia"/>
                      <w:color w:val="000000" w:themeColor="text1"/>
                      <w:sz w:val="21"/>
                      <w:szCs w:val="21"/>
                      <w:highlight w:val="none"/>
                      <w:lang w:val="en-US" w:eastAsia="zh-CN"/>
                      <w14:textFill>
                        <w14:solidFill>
                          <w14:schemeClr w14:val="tx1"/>
                        </w14:solidFill>
                      </w14:textFill>
                    </w:rPr>
                    <w:t>，不提供洗浴，不提供食堂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tcBorders>
                    <w:tl2br w:val="nil"/>
                    <w:tr2bl w:val="nil"/>
                  </w:tcBorders>
                  <w:noWrap w:val="0"/>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984" w:type="pct"/>
                  <w:gridSpan w:val="2"/>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办公楼</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建筑面积500㎡， 2层，砖瓦结构，主要用于员工办公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tcBorders>
                    <w:tl2br w:val="nil"/>
                    <w:tr2bl w:val="nil"/>
                  </w:tcBorders>
                  <w:noWrap w:val="0"/>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984" w:type="pct"/>
                  <w:gridSpan w:val="2"/>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厕所</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设置水冲厕所，并配备化粪池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restar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储运工程</w:t>
                  </w:r>
                </w:p>
              </w:tc>
              <w:tc>
                <w:tcPr>
                  <w:tcW w:w="984" w:type="pct"/>
                  <w:gridSpan w:val="2"/>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炉渣原料堆放区</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位于生产车间内东侧，占地面积为1200m</w:t>
                  </w:r>
                  <w:r>
                    <w:rPr>
                      <w:rFonts w:hint="default" w:ascii="Times New Roman" w:hAnsi="Times New Roman" w:cs="Times New Roman" w:eastAsiaTheme="minorEastAsia"/>
                      <w:color w:val="000000" w:themeColor="text1"/>
                      <w:sz w:val="21"/>
                      <w:szCs w:val="21"/>
                      <w:highlight w:val="none"/>
                      <w:vertAlign w:val="superscript"/>
                      <w:lang w:val="en-US" w:eastAsia="zh-CN"/>
                      <w14:textFill>
                        <w14:solidFill>
                          <w14:schemeClr w14:val="tx1"/>
                        </w14:solidFill>
                      </w14:textFill>
                    </w:rPr>
                    <w:t>2</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，用于堆放原料炉渣，</w:t>
                  </w:r>
                  <w:r>
                    <w:rPr>
                      <w:rFonts w:hint="eastAsia" w:cs="Times New Roman" w:eastAsiaTheme="minorEastAsia"/>
                      <w:color w:val="000000" w:themeColor="text1"/>
                      <w:sz w:val="21"/>
                      <w:szCs w:val="21"/>
                      <w:highlight w:val="none"/>
                      <w:lang w:val="en-US" w:eastAsia="zh-CN"/>
                      <w14:textFill>
                        <w14:solidFill>
                          <w14:schemeClr w14:val="tx1"/>
                        </w14:solidFill>
                      </w14:textFill>
                    </w:rPr>
                    <w:t>设置水喷淋（冬季设置保温措施），</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地面设置有导流水渠，少量渗沥废水进入沉淀池（防渗系数≤10</w:t>
                  </w:r>
                  <w:r>
                    <w:rPr>
                      <w:rFonts w:hint="default" w:ascii="Times New Roman" w:hAnsi="Times New Roman" w:cs="Times New Roman" w:eastAsiaTheme="minorEastAsia"/>
                      <w:color w:val="000000" w:themeColor="text1"/>
                      <w:sz w:val="21"/>
                      <w:szCs w:val="21"/>
                      <w:highlight w:val="none"/>
                      <w:vertAlign w:val="superscript"/>
                      <w:lang w:val="en-US" w:eastAsia="zh-CN"/>
                      <w14:textFill>
                        <w14:solidFill>
                          <w14:schemeClr w14:val="tx1"/>
                        </w14:solidFill>
                      </w14:textFill>
                    </w:rPr>
                    <w:t>-10</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cm/s，容积45m³）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tcBorders>
                    <w:tl2br w:val="nil"/>
                    <w:tr2bl w:val="nil"/>
                  </w:tcBorders>
                  <w:noWrap w:val="0"/>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984" w:type="pct"/>
                  <w:gridSpan w:val="2"/>
                  <w:tcBorders>
                    <w:tl2br w:val="nil"/>
                    <w:tr2bl w:val="nil"/>
                  </w:tcBorders>
                  <w:noWrap w:val="0"/>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未燃尽物料暂存区</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位于炉渣处理车间内生产线北侧，占地面积为50m</w:t>
                  </w:r>
                  <w:r>
                    <w:rPr>
                      <w:rFonts w:hint="eastAsia" w:ascii="Times New Roman" w:hAnsi="Times New Roman" w:cs="Times New Roman" w:eastAsiaTheme="minorEastAsia"/>
                      <w:color w:val="000000" w:themeColor="text1"/>
                      <w:sz w:val="21"/>
                      <w:szCs w:val="21"/>
                      <w:highlight w:val="none"/>
                      <w:vertAlign w:val="superscript"/>
                      <w:lang w:val="en-US" w:eastAsia="zh-CN"/>
                      <w14:textFill>
                        <w14:solidFill>
                          <w14:schemeClr w14:val="tx1"/>
                        </w14:solidFill>
                      </w14:textFill>
                    </w:rPr>
                    <w:t>2</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，用于堆放未燃尽物区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tcBorders>
                    <w:tl2br w:val="nil"/>
                    <w:tr2bl w:val="nil"/>
                  </w:tcBorders>
                  <w:noWrap w:val="0"/>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984" w:type="pct"/>
                  <w:gridSpan w:val="2"/>
                  <w:tcBorders>
                    <w:tl2br w:val="nil"/>
                    <w:tr2bl w:val="nil"/>
                  </w:tcBorders>
                  <w:noWrap w:val="0"/>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废旧金属区</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位于炉渣处理车间内生产线下方，占地面积为 210m</w:t>
                  </w:r>
                  <w:r>
                    <w:rPr>
                      <w:rFonts w:hint="eastAsia" w:ascii="Times New Roman" w:hAnsi="Times New Roman" w:cs="Times New Roman" w:eastAsiaTheme="minorEastAsia"/>
                      <w:color w:val="000000" w:themeColor="text1"/>
                      <w:sz w:val="21"/>
                      <w:szCs w:val="21"/>
                      <w:highlight w:val="none"/>
                      <w:vertAlign w:val="superscript"/>
                      <w:lang w:val="en-US" w:eastAsia="zh-CN"/>
                      <w14:textFill>
                        <w14:solidFill>
                          <w14:schemeClr w14:val="tx1"/>
                        </w14:solidFill>
                      </w14:textFill>
                    </w:rPr>
                    <w:t>2</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，用于堆放炉渣处理分选出的各类金属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tcBorders>
                    <w:tl2br w:val="nil"/>
                    <w:tr2bl w:val="nil"/>
                  </w:tcBorders>
                  <w:noWrap w:val="0"/>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984" w:type="pct"/>
                  <w:gridSpan w:val="2"/>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成品堆放区</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位于炉渣处理车间内</w:t>
                  </w:r>
                  <w:r>
                    <w:rPr>
                      <w:rFonts w:hint="eastAsia" w:cs="Times New Roman" w:eastAsiaTheme="minorEastAsia"/>
                      <w:color w:val="000000" w:themeColor="text1"/>
                      <w:sz w:val="21"/>
                      <w:szCs w:val="21"/>
                      <w:highlight w:val="none"/>
                      <w:lang w:val="en-US" w:eastAsia="zh-CN"/>
                      <w14:textFill>
                        <w14:solidFill>
                          <w14:schemeClr w14:val="tx1"/>
                        </w14:solidFill>
                      </w14:textFill>
                    </w:rPr>
                    <w:t>，占地面积为1000㎡，</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用于堆放</w:t>
                  </w:r>
                  <w:r>
                    <w:rPr>
                      <w:rFonts w:hint="eastAsia" w:cs="Times New Roman" w:eastAsiaTheme="minorEastAsia"/>
                      <w:color w:val="000000" w:themeColor="text1"/>
                      <w:sz w:val="21"/>
                      <w:szCs w:val="21"/>
                      <w:highlight w:val="none"/>
                      <w:lang w:val="en-US" w:eastAsia="zh-CN"/>
                      <w14:textFill>
                        <w14:solidFill>
                          <w14:schemeClr w14:val="tx1"/>
                        </w14:solidFill>
                      </w14:textFill>
                    </w:rPr>
                    <w:t>成品砂，设置水喷淋（冬季设置保温措施）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restar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公用工程</w:t>
                  </w:r>
                </w:p>
              </w:tc>
              <w:tc>
                <w:tcPr>
                  <w:tcW w:w="984" w:type="pct"/>
                  <w:gridSpan w:val="2"/>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供水</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外购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984" w:type="pct"/>
                  <w:gridSpan w:val="2"/>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供热</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车间不用热；</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办公</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楼、宿舍</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空调供暖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44"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984" w:type="pct"/>
                  <w:gridSpan w:val="2"/>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供电</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厂区自备变压器（干式）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restar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环保工程</w:t>
                  </w:r>
                </w:p>
              </w:tc>
              <w:tc>
                <w:tcPr>
                  <w:tcW w:w="255" w:type="pct"/>
                  <w:vMerge w:val="restar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废气</w:t>
                  </w:r>
                </w:p>
              </w:tc>
              <w:tc>
                <w:tcPr>
                  <w:tcW w:w="72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原料暂存</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全封闭车间+水喷淋（冬季设置保温措施）</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处理后</w:t>
                  </w:r>
                  <w:r>
                    <w:rPr>
                      <w:rFonts w:hint="eastAsia" w:cs="Times New Roman" w:eastAsiaTheme="minorEastAsia"/>
                      <w:color w:val="000000" w:themeColor="text1"/>
                      <w:sz w:val="21"/>
                      <w:szCs w:val="21"/>
                      <w:highlight w:val="none"/>
                      <w:lang w:val="en-US" w:eastAsia="zh-CN"/>
                      <w14:textFill>
                        <w14:solidFill>
                          <w14:schemeClr w14:val="tx1"/>
                        </w14:solidFill>
                      </w14:textFill>
                    </w:rPr>
                    <w:t>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255"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72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运输扬尘</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采取车辆苫盖措施；厂外运输委托第三方运输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255" w:type="pct"/>
                  <w:vMerge w:val="restar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废水</w:t>
                  </w:r>
                </w:p>
              </w:tc>
              <w:tc>
                <w:tcPr>
                  <w:tcW w:w="72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生产废水</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生产废水经沉淀池</w:t>
                  </w:r>
                  <w:r>
                    <w:rPr>
                      <w:rFonts w:hint="eastAsia" w:cs="Times New Roman" w:eastAsiaTheme="minorEastAsia"/>
                      <w:color w:val="000000" w:themeColor="text1"/>
                      <w:sz w:val="21"/>
                      <w:szCs w:val="21"/>
                      <w:highlight w:val="none"/>
                      <w:lang w:val="en-US" w:eastAsia="zh-CN"/>
                      <w14:textFill>
                        <w14:solidFill>
                          <w14:schemeClr w14:val="tx1"/>
                        </w14:solidFill>
                      </w14:textFill>
                    </w:rPr>
                    <w:t>（1座，45m³）</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处理后回用不外排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444"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255"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72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生活污水</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生活废水进化粪池处理后定期</w:t>
                  </w:r>
                  <w:r>
                    <w:rPr>
                      <w:rFonts w:hint="eastAsia" w:cs="Times New Roman" w:eastAsiaTheme="minorEastAsia"/>
                      <w:color w:val="000000" w:themeColor="text1"/>
                      <w:sz w:val="21"/>
                      <w:szCs w:val="21"/>
                      <w:highlight w:val="none"/>
                      <w:lang w:val="en-US" w:eastAsia="zh-CN"/>
                      <w14:textFill>
                        <w14:solidFill>
                          <w14:schemeClr w14:val="tx1"/>
                        </w14:solidFill>
                      </w14:textFill>
                    </w:rPr>
                    <w:t>由清污车清运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255"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噪声</w:t>
                  </w:r>
                </w:p>
              </w:tc>
              <w:tc>
                <w:tcPr>
                  <w:tcW w:w="72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设备噪声</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选用低噪声设备，建筑隔声，距离衰减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255" w:type="pct"/>
                  <w:vMerge w:val="restar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固废</w:t>
                  </w:r>
                </w:p>
              </w:tc>
              <w:tc>
                <w:tcPr>
                  <w:tcW w:w="72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沉淀池泥沙</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压滤成泥饼后</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暂存固废暂存区，统一外售</w:t>
                  </w:r>
                  <w:r>
                    <w:rPr>
                      <w:rFonts w:hint="eastAsia" w:cs="Times New Roman" w:eastAsiaTheme="minorEastAsia"/>
                      <w:color w:val="000000" w:themeColor="text1"/>
                      <w:sz w:val="21"/>
                      <w:szCs w:val="21"/>
                      <w:highlight w:val="none"/>
                      <w:lang w:val="en-US" w:eastAsia="zh-CN"/>
                      <w14:textFill>
                        <w14:solidFill>
                          <w14:schemeClr w14:val="tx1"/>
                        </w14:solidFill>
                      </w14:textFill>
                    </w:rPr>
                    <w:t>做建筑材料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255"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72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未燃尽垃圾</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集中收集后，电厂回收利用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444"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255"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72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废润滑油桶</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暂存于危废暂存间内，定期由有资质单位运输处理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444"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255"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72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生活垃圾</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定点收集后委托环卫部门清运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44"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984" w:type="pct"/>
                  <w:gridSpan w:val="2"/>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危废间</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建筑面积</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5</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m</w:t>
                  </w:r>
                  <w:r>
                    <w:rPr>
                      <w:rFonts w:hint="default" w:ascii="Times New Roman" w:hAnsi="Times New Roman" w:cs="Times New Roman" w:eastAsiaTheme="minorEastAsia"/>
                      <w:color w:val="000000" w:themeColor="text1"/>
                      <w:sz w:val="21"/>
                      <w:szCs w:val="21"/>
                      <w:highlight w:val="none"/>
                      <w:vertAlign w:val="superscript"/>
                      <w:lang w:val="en-US" w:eastAsia="zh-CN"/>
                      <w14:textFill>
                        <w14:solidFill>
                          <w14:schemeClr w14:val="tx1"/>
                        </w14:solidFill>
                      </w14:textFill>
                    </w:rPr>
                    <w:t>2</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，用于暂时存放</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危废</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。危废间为重点防渗区，重点防渗区域地面及裙墙采取防渗措施，室内底部铺设1m粘土层(保护层，同时作为辅助防渗层)压实平整，粘土层上铺设双层HDPE——GCL复合防渗系统(2×2mm厚的高密度聚乙烯膜、300g/m</w:t>
                  </w:r>
                  <w:r>
                    <w:rPr>
                      <w:rFonts w:hint="default" w:ascii="Times New Roman" w:hAnsi="Times New Roman" w:cs="Times New Roman" w:eastAsiaTheme="minorEastAsia"/>
                      <w:color w:val="000000" w:themeColor="text1"/>
                      <w:sz w:val="21"/>
                      <w:szCs w:val="21"/>
                      <w:highlight w:val="none"/>
                      <w:vertAlign w:val="superscript"/>
                      <w:lang w:val="en-US" w:eastAsia="zh-CN"/>
                      <w14:textFill>
                        <w14:solidFill>
                          <w14:schemeClr w14:val="tx1"/>
                        </w14:solidFill>
                      </w14:textFill>
                    </w:rPr>
                    <w:t>2</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土工织物膨润土垫)，上部外加耐腐蚀混凝土15cm(保护层)等防渗，渗透系数≤10</w:t>
                  </w:r>
                  <w:r>
                    <w:rPr>
                      <w:rFonts w:hint="default" w:ascii="Times New Roman" w:hAnsi="Times New Roman" w:cs="Times New Roman" w:eastAsiaTheme="minorEastAsia"/>
                      <w:color w:val="000000" w:themeColor="text1"/>
                      <w:sz w:val="21"/>
                      <w:szCs w:val="21"/>
                      <w:highlight w:val="none"/>
                      <w:vertAlign w:val="superscript"/>
                      <w:lang w:val="en-US" w:eastAsia="zh-CN"/>
                      <w14:textFill>
                        <w14:solidFill>
                          <w14:schemeClr w14:val="tx1"/>
                        </w14:solidFill>
                      </w14:textFill>
                    </w:rPr>
                    <w:t>-10</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cm/s（或采取同等有效防渗措施）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jc w:val="center"/>
              </w:trPr>
              <w:tc>
                <w:tcPr>
                  <w:tcW w:w="444" w:type="pct"/>
                  <w:vMerge w:val="continue"/>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984" w:type="pct"/>
                  <w:gridSpan w:val="2"/>
                  <w:tcBorders>
                    <w:tl2br w:val="nil"/>
                    <w:tr2bl w:val="nil"/>
                  </w:tcBorders>
                  <w:noWrap w:val="0"/>
                  <w:vAlign w:val="center"/>
                </w:tcPr>
                <w:p>
                  <w:pPr>
                    <w:spacing w:line="240" w:lineRule="auto"/>
                    <w:jc w:val="center"/>
                    <w:rPr>
                      <w:rFonts w:hint="eastAsia"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非道路移动机械</w:t>
                  </w:r>
                </w:p>
              </w:tc>
              <w:tc>
                <w:tcPr>
                  <w:tcW w:w="3571"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按相关要求对非道路移动机械进行管理，并做好台账工作</w:t>
                  </w:r>
                </w:p>
              </w:tc>
            </w:tr>
          </w:tbl>
          <w:p>
            <w:pPr>
              <w:pStyle w:val="47"/>
              <w:numPr>
                <w:ilvl w:val="0"/>
                <w:numId w:val="0"/>
              </w:numPr>
              <w:bidi w:val="0"/>
              <w:ind w:leftChars="0"/>
              <w:rPr>
                <w:rFonts w:hint="eastAsia" w:ascii="Times New Roman" w:hAnsi="Times New Roman" w:eastAsia="宋体" w:cs="Times New Roman"/>
                <w:b/>
                <w:bCs/>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cs="Times New Roman"/>
                <w:b/>
                <w:bCs/>
                <w:color w:val="000000" w:themeColor="text1"/>
                <w:kern w:val="2"/>
                <w:sz w:val="24"/>
                <w:szCs w:val="24"/>
                <w:highlight w:val="none"/>
                <w:lang w:val="en-US" w:eastAsia="zh-CN" w:bidi="ar-SA"/>
                <w14:textFill>
                  <w14:solidFill>
                    <w14:schemeClr w14:val="tx1"/>
                  </w14:solidFill>
                </w14:textFill>
              </w:rPr>
              <w:t>2.3</w:t>
            </w:r>
            <w:r>
              <w:rPr>
                <w:rFonts w:hint="eastAsia" w:ascii="Times New Roman" w:hAnsi="Times New Roman" w:eastAsia="宋体" w:cs="Times New Roman"/>
                <w:b/>
                <w:bCs/>
                <w:color w:val="000000" w:themeColor="text1"/>
                <w:kern w:val="2"/>
                <w:sz w:val="24"/>
                <w:szCs w:val="24"/>
                <w:highlight w:val="none"/>
                <w:lang w:val="en-US" w:eastAsia="zh-CN" w:bidi="ar-SA"/>
                <w14:textFill>
                  <w14:solidFill>
                    <w14:schemeClr w14:val="tx1"/>
                  </w14:solidFill>
                </w14:textFill>
              </w:rPr>
              <w:t>、工程主要生产设备</w:t>
            </w:r>
          </w:p>
          <w:p>
            <w:pPr>
              <w:pStyle w:val="47"/>
              <w:bidi w:val="0"/>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生产设备一览表如下表：</w:t>
            </w:r>
          </w:p>
          <w:p>
            <w:pPr>
              <w:pStyle w:val="48"/>
              <w:pageBreakBefore w:val="0"/>
              <w:widowControl w:val="0"/>
              <w:kinsoku/>
              <w:wordWrap/>
              <w:topLinePunct w:val="0"/>
              <w:bidi w:val="0"/>
              <w:spacing w:line="240" w:lineRule="auto"/>
              <w:textAlignment w:val="auto"/>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t>表</w:t>
            </w: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 xml:space="preserve">2-2 </w:t>
            </w:r>
            <w:r>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t xml:space="preserve"> 生产设备一览表</w:t>
            </w:r>
          </w:p>
          <w:tbl>
            <w:tblPr>
              <w:tblStyle w:val="31"/>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2705"/>
              <w:gridCol w:w="3258"/>
              <w:gridCol w:w="14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序号</w:t>
                  </w:r>
                </w:p>
              </w:tc>
              <w:tc>
                <w:tcPr>
                  <w:tcW w:w="1619"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设备名称</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规格型号</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数量（台套）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存料斗</w:t>
                  </w:r>
                </w:p>
              </w:tc>
              <w:tc>
                <w:tcPr>
                  <w:tcW w:w="1950"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3.5m×3m</w:t>
                  </w:r>
                </w:p>
              </w:tc>
              <w:tc>
                <w:tcPr>
                  <w:tcW w:w="845" w:type="pct"/>
                  <w:shd w:val="clear" w:color="000000" w:fill="FFFFFF"/>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震动给料机</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SGZG80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3</w:t>
                  </w:r>
                </w:p>
              </w:tc>
              <w:tc>
                <w:tcPr>
                  <w:tcW w:w="1619" w:type="pct"/>
                  <w:vMerge w:val="restar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皮带输送机</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800型</w:t>
                  </w:r>
                </w:p>
              </w:tc>
              <w:tc>
                <w:tcPr>
                  <w:tcW w:w="845" w:type="pct"/>
                  <w:vMerge w:val="restar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4</w:t>
                  </w:r>
                </w:p>
              </w:tc>
              <w:tc>
                <w:tcPr>
                  <w:tcW w:w="1619" w:type="pct"/>
                  <w:vMerge w:val="continue"/>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650型</w:t>
                  </w:r>
                </w:p>
              </w:tc>
              <w:tc>
                <w:tcPr>
                  <w:tcW w:w="845" w:type="pct"/>
                  <w:vMerge w:val="continue"/>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5</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挂式电磁除铁器</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RCDD-8T</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6</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湿式顺流磁选机</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CTS-80/2200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7</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逆转磁选机</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8</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摇床自卸除铁器</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RCYC-3</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9</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炉渣初分选滚笼</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GT1300/3500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10</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水选单层分级滚笼</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GT1300/6000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11</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生料滚笼</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GT1300/6000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12</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选碎铁滚笼</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GT1200/3500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13</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选破碎金属滚笼</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GT600/1500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14</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脱水筛</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1800/6000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15</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废铁破碎机</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JSPCD800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16</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炉渣破碎机</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JSPCD800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17</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渣头破碎机</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400型</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18</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跳汰机</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JT4-2A</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19</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摇床</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大槽钢6S</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20</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涡电流分选机</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SES-150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21</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细沙沉淀斗</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4000*12000*3500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22</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洗砂机</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XL915</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23</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板框压滤机</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XMZS500/2000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24</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卧式渣浆泵</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6/4D-G</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25</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卧式离心泵</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 xml:space="preserve"> ISW200-250(I)</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26</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地下池集水泵</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 xml:space="preserve"> 100ZJ-IA42</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27</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摇床水泵</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 xml:space="preserve"> 100WL80</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28</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清洗地面水泵</w:t>
                  </w:r>
                </w:p>
              </w:tc>
              <w:tc>
                <w:tcPr>
                  <w:tcW w:w="1950"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29</w:t>
                  </w:r>
                </w:p>
              </w:tc>
              <w:tc>
                <w:tcPr>
                  <w:tcW w:w="1619" w:type="pct"/>
                  <w:shd w:val="clear" w:color="auto" w:fill="auto"/>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循环水池</w:t>
                  </w:r>
                </w:p>
              </w:tc>
              <w:tc>
                <w:tcPr>
                  <w:tcW w:w="1950" w:type="pct"/>
                  <w:vAlign w:val="center"/>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容积240m³</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30</w:t>
                  </w:r>
                </w:p>
              </w:tc>
              <w:tc>
                <w:tcPr>
                  <w:tcW w:w="1619" w:type="pct"/>
                  <w:shd w:val="clear" w:color="auto" w:fill="auto"/>
                  <w:vAlign w:val="center"/>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沉淀池</w:t>
                  </w:r>
                </w:p>
              </w:tc>
              <w:tc>
                <w:tcPr>
                  <w:tcW w:w="1950" w:type="pct"/>
                  <w:vAlign w:val="center"/>
                </w:tcPr>
                <w:p>
                  <w:pPr>
                    <w:spacing w:line="240" w:lineRule="auto"/>
                    <w:jc w:val="center"/>
                    <w:rPr>
                      <w:rFonts w:hint="eastAsia"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容积45m³</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31</w:t>
                  </w:r>
                </w:p>
              </w:tc>
              <w:tc>
                <w:tcPr>
                  <w:tcW w:w="1619" w:type="pct"/>
                  <w:shd w:val="clear" w:color="auto" w:fill="auto"/>
                  <w:vAlign w:val="center"/>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沉砂池</w:t>
                  </w:r>
                </w:p>
              </w:tc>
              <w:tc>
                <w:tcPr>
                  <w:tcW w:w="1950" w:type="pct"/>
                  <w:vAlign w:val="center"/>
                </w:tcPr>
                <w:p>
                  <w:pPr>
                    <w:spacing w:line="240" w:lineRule="auto"/>
                    <w:jc w:val="center"/>
                    <w:rPr>
                      <w:rFonts w:hint="eastAsia"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容积45m³</w:t>
                  </w:r>
                </w:p>
              </w:tc>
              <w:tc>
                <w:tcPr>
                  <w:tcW w:w="845" w:type="pct"/>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jc w:val="center"/>
              </w:trPr>
              <w:tc>
                <w:tcPr>
                  <w:tcW w:w="584" w:type="pct"/>
                  <w:vAlign w:val="center"/>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32</w:t>
                  </w:r>
                </w:p>
              </w:tc>
              <w:tc>
                <w:tcPr>
                  <w:tcW w:w="1619" w:type="pct"/>
                  <w:shd w:val="clear" w:color="auto" w:fill="auto"/>
                  <w:vAlign w:val="center"/>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球磨机</w:t>
                  </w:r>
                </w:p>
              </w:tc>
              <w:tc>
                <w:tcPr>
                  <w:tcW w:w="1950" w:type="pct"/>
                  <w:vAlign w:val="center"/>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w:t>
                  </w:r>
                </w:p>
              </w:tc>
              <w:tc>
                <w:tcPr>
                  <w:tcW w:w="845" w:type="pct"/>
                  <w:vAlign w:val="center"/>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w:t>
                  </w:r>
                </w:p>
              </w:tc>
            </w:tr>
          </w:tbl>
          <w:p>
            <w:pPr>
              <w:pStyle w:val="47"/>
              <w:numPr>
                <w:ilvl w:val="0"/>
                <w:numId w:val="0"/>
              </w:numPr>
              <w:bidi w:val="0"/>
              <w:ind w:leftChars="0"/>
              <w:rPr>
                <w:rFonts w:hint="default" w:ascii="Times New Roman" w:hAnsi="Times New Roman" w:cs="Times New Roman"/>
                <w:b/>
                <w:bCs/>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cs="Times New Roman"/>
                <w:b/>
                <w:bCs/>
                <w:color w:val="000000" w:themeColor="text1"/>
                <w:kern w:val="2"/>
                <w:sz w:val="24"/>
                <w:szCs w:val="24"/>
                <w:highlight w:val="none"/>
                <w:lang w:val="en-US" w:eastAsia="zh-CN" w:bidi="ar-SA"/>
                <w14:textFill>
                  <w14:solidFill>
                    <w14:schemeClr w14:val="tx1"/>
                  </w14:solidFill>
                </w14:textFill>
              </w:rPr>
              <w:t>2.4工程原辅材料</w:t>
            </w:r>
          </w:p>
          <w:p>
            <w:pPr>
              <w:pStyle w:val="48"/>
              <w:pageBreakBefore w:val="0"/>
              <w:widowControl w:val="0"/>
              <w:kinsoku/>
              <w:wordWrap/>
              <w:topLinePunct w:val="0"/>
              <w:bidi w:val="0"/>
              <w:spacing w:line="240" w:lineRule="auto"/>
              <w:textAlignment w:val="auto"/>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表2-3</w:t>
            </w:r>
            <w:r>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t xml:space="preserve">  主要原辅材料消耗一览表</w:t>
            </w:r>
          </w:p>
          <w:tbl>
            <w:tblPr>
              <w:tblStyle w:val="31"/>
              <w:tblW w:w="498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92"/>
              <w:gridCol w:w="1107"/>
              <w:gridCol w:w="1234"/>
              <w:gridCol w:w="1317"/>
              <w:gridCol w:w="36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595"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序号</w:t>
                  </w:r>
                </w:p>
              </w:tc>
              <w:tc>
                <w:tcPr>
                  <w:tcW w:w="664"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名称</w:t>
                  </w:r>
                </w:p>
              </w:tc>
              <w:tc>
                <w:tcPr>
                  <w:tcW w:w="7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单位</w:t>
                  </w:r>
                </w:p>
              </w:tc>
              <w:tc>
                <w:tcPr>
                  <w:tcW w:w="79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用量</w:t>
                  </w:r>
                </w:p>
              </w:tc>
              <w:tc>
                <w:tcPr>
                  <w:tcW w:w="220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595"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c>
                <w:tcPr>
                  <w:tcW w:w="664"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炉渣</w:t>
                  </w:r>
                </w:p>
              </w:tc>
              <w:tc>
                <w:tcPr>
                  <w:tcW w:w="7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万t</w:t>
                  </w:r>
                </w:p>
              </w:tc>
              <w:tc>
                <w:tcPr>
                  <w:tcW w:w="79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20</w:t>
                  </w:r>
                </w:p>
              </w:tc>
              <w:tc>
                <w:tcPr>
                  <w:tcW w:w="220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来源于生活垃圾焚烧发电厂，含水率约30%</w:t>
                  </w:r>
                  <w:r>
                    <w:rPr>
                      <w:rFonts w:hint="eastAsia" w:cs="Times New Roman" w:eastAsiaTheme="minorEastAsia"/>
                      <w:color w:val="000000" w:themeColor="text1"/>
                      <w:sz w:val="21"/>
                      <w:szCs w:val="21"/>
                      <w:highlight w:val="none"/>
                      <w:lang w:val="en-US" w:eastAsia="zh-CN"/>
                      <w14:textFill>
                        <w14:solidFill>
                          <w14:schemeClr w14:val="tx1"/>
                        </w14:solidFill>
                      </w14:textFill>
                    </w:rPr>
                    <w:t>，粒径在0.1-300mm，每天设计消耗约571t。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595"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3</w:t>
                  </w:r>
                </w:p>
              </w:tc>
              <w:tc>
                <w:tcPr>
                  <w:tcW w:w="664"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润滑油</w:t>
                  </w:r>
                </w:p>
              </w:tc>
              <w:tc>
                <w:tcPr>
                  <w:tcW w:w="7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t</w:t>
                  </w:r>
                </w:p>
              </w:tc>
              <w:tc>
                <w:tcPr>
                  <w:tcW w:w="79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c>
                <w:tcPr>
                  <w:tcW w:w="220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外购，</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规格为160kg/桶，最大存储量为1桶</w:t>
                  </w:r>
                  <w:r>
                    <w:rPr>
                      <w:rFonts w:hint="eastAsia" w:cs="Times New Roman" w:eastAsiaTheme="minorEastAsia"/>
                      <w:color w:val="000000" w:themeColor="text1"/>
                      <w:sz w:val="21"/>
                      <w:szCs w:val="21"/>
                      <w:highlight w:val="none"/>
                      <w:lang w:val="en-US" w:eastAsia="zh-CN"/>
                      <w14:textFill>
                        <w14:solidFill>
                          <w14:schemeClr w14:val="tx1"/>
                        </w14:solidFill>
                      </w14:textFill>
                    </w:rPr>
                    <w:t>，设备使用过程中全部消耗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595"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4</w:t>
                  </w:r>
                </w:p>
              </w:tc>
              <w:tc>
                <w:tcPr>
                  <w:tcW w:w="664"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水</w:t>
                  </w:r>
                </w:p>
              </w:tc>
              <w:tc>
                <w:tcPr>
                  <w:tcW w:w="7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m³/a</w:t>
                  </w:r>
                </w:p>
              </w:tc>
              <w:tc>
                <w:tcPr>
                  <w:tcW w:w="79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2.28万</w:t>
                  </w:r>
                </w:p>
              </w:tc>
              <w:tc>
                <w:tcPr>
                  <w:tcW w:w="220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外购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5" w:hRule="atLeast"/>
                <w:jc w:val="center"/>
              </w:trPr>
              <w:tc>
                <w:tcPr>
                  <w:tcW w:w="595"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5</w:t>
                  </w:r>
                </w:p>
              </w:tc>
              <w:tc>
                <w:tcPr>
                  <w:tcW w:w="664"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柴油</w:t>
                  </w:r>
                </w:p>
              </w:tc>
              <w:tc>
                <w:tcPr>
                  <w:tcW w:w="7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t</w:t>
                  </w:r>
                </w:p>
              </w:tc>
              <w:tc>
                <w:tcPr>
                  <w:tcW w:w="790" w:type="pct"/>
                  <w:tcBorders>
                    <w:tl2br w:val="nil"/>
                    <w:tr2bl w:val="nil"/>
                  </w:tcBorders>
                  <w:noWrap w:val="0"/>
                  <w:vAlign w:val="center"/>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17.5</w:t>
                  </w:r>
                </w:p>
              </w:tc>
              <w:tc>
                <w:tcPr>
                  <w:tcW w:w="2209" w:type="pct"/>
                  <w:tcBorders>
                    <w:tl2br w:val="nil"/>
                    <w:tr2bl w:val="nil"/>
                  </w:tcBorders>
                  <w:noWrap w:val="0"/>
                  <w:vAlign w:val="center"/>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铲车用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0" w:hRule="atLeast"/>
                <w:jc w:val="center"/>
              </w:trPr>
              <w:tc>
                <w:tcPr>
                  <w:tcW w:w="595"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6</w:t>
                  </w:r>
                </w:p>
              </w:tc>
              <w:tc>
                <w:tcPr>
                  <w:tcW w:w="664"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电</w:t>
                  </w:r>
                </w:p>
              </w:tc>
              <w:tc>
                <w:tcPr>
                  <w:tcW w:w="74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万kw·h</w:t>
                  </w:r>
                </w:p>
              </w:tc>
              <w:tc>
                <w:tcPr>
                  <w:tcW w:w="790"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300</w:t>
                  </w:r>
                </w:p>
              </w:tc>
              <w:tc>
                <w:tcPr>
                  <w:tcW w:w="2209" w:type="pct"/>
                  <w:tcBorders>
                    <w:tl2br w:val="nil"/>
                    <w:tr2bl w:val="nil"/>
                  </w:tcBorders>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厂区自备变压器（干式）</w:t>
                  </w:r>
                </w:p>
              </w:tc>
            </w:tr>
          </w:tbl>
          <w:p>
            <w:pPr>
              <w:pStyle w:val="47"/>
              <w:bidi w:val="0"/>
              <w:rPr>
                <w:rFonts w:hint="eastAsia"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炉渣成分和理化性质：</w:t>
            </w:r>
            <w:r>
              <w:rPr>
                <w:rFonts w:hint="eastAsia"/>
                <w:color w:val="000000" w:themeColor="text1"/>
                <w:lang w:val="en-US" w:eastAsia="zh-CN"/>
                <w14:textFill>
                  <w14:solidFill>
                    <w14:schemeClr w14:val="tx1"/>
                  </w14:solidFill>
                </w14:textFill>
              </w:rPr>
              <w:t>根据《生活垃圾焚烧污染控制标准》（GB18485-2014）中炉渣分析，炉渣属于一般工业固体废物，可以作为一般工业固废进行处理处置</w:t>
            </w:r>
            <w:r>
              <w:rPr>
                <w:rFonts w:hint="eastAsia" w:ascii="Times New Roman" w:hAnsi="Times New Roman" w:eastAsia="宋体" w:cs="Times New Roman"/>
                <w:color w:val="000000" w:themeColor="text1"/>
                <w:highlight w:val="none"/>
                <w:lang w:val="en-US" w:eastAsia="zh-CN"/>
                <w14:textFill>
                  <w14:solidFill>
                    <w14:schemeClr w14:val="tx1"/>
                  </w14:solidFill>
                </w14:textFill>
              </w:rPr>
              <w:t>，不属于危险废物，主要成分为氧化锰、氧化硅、氧化钙、氧化铝、氧化铁以及少量未燃尽的有机物、废金属等。类比同类垃圾焚烧厂的数据，炉渣中的主要成分见下表</w:t>
            </w:r>
            <w:r>
              <w:rPr>
                <w:rFonts w:hint="eastAsia" w:ascii="Times New Roman" w:hAnsi="Times New Roman" w:cs="Times New Roman"/>
                <w:color w:val="000000" w:themeColor="text1"/>
                <w:highlight w:val="none"/>
                <w:lang w:val="en-US" w:eastAsia="zh-CN"/>
                <w14:textFill>
                  <w14:solidFill>
                    <w14:schemeClr w14:val="tx1"/>
                  </w14:solidFill>
                </w14:textFill>
              </w:rPr>
              <w:t>。</w:t>
            </w:r>
          </w:p>
          <w:p>
            <w:pPr>
              <w:pStyle w:val="48"/>
              <w:pageBreakBefore w:val="0"/>
              <w:widowControl w:val="0"/>
              <w:kinsoku/>
              <w:wordWrap/>
              <w:topLinePunct w:val="0"/>
              <w:bidi w:val="0"/>
              <w:spacing w:line="240" w:lineRule="auto"/>
              <w:textAlignment w:val="auto"/>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表2-4  炉渣成分一览表</w:t>
            </w:r>
            <w:r>
              <w:rPr>
                <w:rFonts w:hint="eastAsia" w:cs="Times New Roman"/>
                <w:color w:val="000000" w:themeColor="text1"/>
                <w:sz w:val="21"/>
                <w:szCs w:val="16"/>
                <w:highlight w:val="none"/>
                <w:lang w:val="en-US" w:eastAsia="zh-CN"/>
                <w14:textFill>
                  <w14:solidFill>
                    <w14:schemeClr w14:val="tx1"/>
                  </w14:solidFill>
                </w14:textFill>
              </w:rPr>
              <w:t>（%）</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93"/>
              <w:gridCol w:w="1193"/>
              <w:gridCol w:w="1194"/>
              <w:gridCol w:w="1193"/>
              <w:gridCol w:w="1195"/>
              <w:gridCol w:w="1195"/>
              <w:gridCol w:w="11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SiO</w:t>
                  </w:r>
                  <w:r>
                    <w:rPr>
                      <w:rFonts w:hint="eastAsia"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2</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Al</w:t>
                  </w:r>
                  <w:r>
                    <w:rPr>
                      <w:rFonts w:hint="eastAsia"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2</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O</w:t>
                  </w:r>
                  <w:r>
                    <w:rPr>
                      <w:rFonts w:hint="eastAsia"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3</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CaO</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Fe</w:t>
                  </w:r>
                  <w:r>
                    <w:rPr>
                      <w:rFonts w:hint="eastAsia"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2</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O</w:t>
                  </w:r>
                  <w:r>
                    <w:rPr>
                      <w:rFonts w:hint="eastAsia"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3</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MgO</w:t>
                  </w:r>
                </w:p>
              </w:tc>
              <w:tc>
                <w:tcPr>
                  <w:tcW w:w="1196"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Na</w:t>
                  </w:r>
                  <w:r>
                    <w:rPr>
                      <w:rFonts w:hint="eastAsia"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2</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O</w:t>
                  </w:r>
                </w:p>
              </w:tc>
              <w:tc>
                <w:tcPr>
                  <w:tcW w:w="1196"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K</w:t>
                  </w:r>
                  <w:r>
                    <w:rPr>
                      <w:rFonts w:hint="eastAsia"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2</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O</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45</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16</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10</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5</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w:t>
                  </w:r>
                </w:p>
              </w:tc>
              <w:tc>
                <w:tcPr>
                  <w:tcW w:w="1196"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w:t>
                  </w:r>
                </w:p>
              </w:tc>
              <w:tc>
                <w:tcPr>
                  <w:tcW w:w="1196"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CaCO</w:t>
                  </w:r>
                  <w:r>
                    <w:rPr>
                      <w:rFonts w:hint="eastAsia"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3</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CaSO</w:t>
                  </w:r>
                  <w:r>
                    <w:rPr>
                      <w:rFonts w:hint="eastAsia"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4</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Ca(OH)</w:t>
                  </w:r>
                  <w:r>
                    <w:rPr>
                      <w:rFonts w:hint="eastAsia"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2</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CaCl</w:t>
                  </w:r>
                  <w:r>
                    <w:rPr>
                      <w:rFonts w:hint="eastAsia" w:ascii="Times New Roman" w:hAnsi="Times New Roman" w:cs="Times New Roman" w:eastAsiaTheme="minorEastAsia"/>
                      <w:color w:val="000000" w:themeColor="text1"/>
                      <w:sz w:val="21"/>
                      <w:szCs w:val="21"/>
                      <w:highlight w:val="none"/>
                      <w:vertAlign w:val="subscript"/>
                      <w:lang w:val="en-US" w:eastAsia="zh-CN"/>
                      <w14:textFill>
                        <w14:solidFill>
                          <w14:schemeClr w14:val="tx1"/>
                        </w14:solidFill>
                      </w14:textFill>
                    </w:rPr>
                    <w:t>2</w:t>
                  </w:r>
                </w:p>
              </w:tc>
              <w:tc>
                <w:tcPr>
                  <w:tcW w:w="1195" w:type="dxa"/>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KCl+NaCl</w:t>
                  </w:r>
                </w:p>
              </w:tc>
              <w:tc>
                <w:tcPr>
                  <w:tcW w:w="1196"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重金属</w:t>
                  </w:r>
                  <w:r>
                    <w:rPr>
                      <w:rFonts w:hint="eastAsia" w:cs="Times New Roman" w:eastAsiaTheme="minorEastAsia"/>
                      <w:color w:val="000000" w:themeColor="text1"/>
                      <w:sz w:val="21"/>
                      <w:szCs w:val="21"/>
                      <w:highlight w:val="none"/>
                      <w:lang w:val="en-US" w:eastAsia="zh-CN"/>
                      <w14:textFill>
                        <w14:solidFill>
                          <w14:schemeClr w14:val="tx1"/>
                        </w14:solidFill>
                      </w14:textFill>
                    </w:rPr>
                    <w:t>（铜、铝、铁）</w:t>
                  </w:r>
                </w:p>
              </w:tc>
              <w:tc>
                <w:tcPr>
                  <w:tcW w:w="1196" w:type="dxa"/>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5</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5</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4</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0</w:t>
                  </w:r>
                </w:p>
              </w:tc>
              <w:tc>
                <w:tcPr>
                  <w:tcW w:w="1195"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c>
                <w:tcPr>
                  <w:tcW w:w="1196" w:type="dxa"/>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c>
                <w:tcPr>
                  <w:tcW w:w="1196" w:type="dxa"/>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p>
              </w:tc>
            </w:tr>
          </w:tbl>
          <w:p>
            <w:pPr>
              <w:pStyle w:val="47"/>
              <w:bidi w:val="0"/>
              <w:rPr>
                <w:rFonts w:hint="eastAsia"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炉渣在去除铁器后主要含熔渣、陶瓷碎片、砖石和玻璃等，可燃物的总量小于1%，炉渣是通过高温焚烧形成的产物，其颗粒粗细分布较均匀，物质组成复杂，具有较高的强度；金属和有机质含量较低，坚固性好，符合国家标准《生活垃圾焚烧炉渣集料》（GB/T25032-2010）中对集料原料的要求，可用于外售做建材。炉渣含水率约为15%-30%，本项目取</w:t>
            </w:r>
            <w:r>
              <w:rPr>
                <w:rFonts w:hint="eastAsia" w:ascii="Times New Roman" w:hAnsi="Times New Roman" w:cs="Times New Roman"/>
                <w:color w:val="000000" w:themeColor="text1"/>
                <w:highlight w:val="none"/>
                <w:lang w:val="en-US" w:eastAsia="zh-CN"/>
                <w14:textFill>
                  <w14:solidFill>
                    <w14:schemeClr w14:val="tx1"/>
                  </w14:solidFill>
                </w14:textFill>
              </w:rPr>
              <w:t>30</w:t>
            </w:r>
            <w:r>
              <w:rPr>
                <w:rFonts w:hint="eastAsia" w:ascii="Times New Roman" w:hAnsi="Times New Roman" w:eastAsia="宋体" w:cs="Times New Roman"/>
                <w:color w:val="000000" w:themeColor="text1"/>
                <w:highlight w:val="none"/>
                <w:lang w:val="en-US" w:eastAsia="zh-CN"/>
                <w14:textFill>
                  <w14:solidFill>
                    <w14:schemeClr w14:val="tx1"/>
                  </w14:solidFill>
                </w14:textFill>
              </w:rPr>
              <w:t>%。</w:t>
            </w:r>
          </w:p>
          <w:p>
            <w:pPr>
              <w:pStyle w:val="47"/>
              <w:numPr>
                <w:ilvl w:val="0"/>
                <w:numId w:val="0"/>
              </w:numPr>
              <w:bidi w:val="0"/>
              <w:ind w:leftChars="0"/>
              <w:rPr>
                <w:rFonts w:hint="default" w:ascii="Times New Roman" w:hAnsi="Times New Roman" w:cs="Times New Roman"/>
                <w:b/>
                <w:bCs/>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cs="Times New Roman"/>
                <w:b/>
                <w:bCs/>
                <w:color w:val="000000" w:themeColor="text1"/>
                <w:kern w:val="2"/>
                <w:sz w:val="24"/>
                <w:szCs w:val="24"/>
                <w:highlight w:val="none"/>
                <w:lang w:val="en-US" w:eastAsia="zh-CN" w:bidi="ar-SA"/>
                <w14:textFill>
                  <w14:solidFill>
                    <w14:schemeClr w14:val="tx1"/>
                  </w14:solidFill>
                </w14:textFill>
              </w:rPr>
              <w:t>2.5、</w:t>
            </w:r>
            <w:r>
              <w:rPr>
                <w:rFonts w:hint="default" w:ascii="Times New Roman" w:hAnsi="Times New Roman" w:cs="Times New Roman"/>
                <w:b/>
                <w:bCs/>
                <w:color w:val="000000" w:themeColor="text1"/>
                <w:kern w:val="2"/>
                <w:sz w:val="24"/>
                <w:szCs w:val="24"/>
                <w:highlight w:val="none"/>
                <w:lang w:val="en-US" w:eastAsia="zh-CN" w:bidi="ar-SA"/>
                <w14:textFill>
                  <w14:solidFill>
                    <w14:schemeClr w14:val="tx1"/>
                  </w14:solidFill>
                </w14:textFill>
              </w:rPr>
              <w:t>产品规模</w:t>
            </w:r>
          </w:p>
          <w:p>
            <w:pPr>
              <w:pStyle w:val="47"/>
              <w:bidi w:val="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本项目</w:t>
            </w:r>
            <w:r>
              <w:rPr>
                <w:rFonts w:hint="eastAsia" w:ascii="Times New Roman" w:hAnsi="Times New Roman" w:cs="Times New Roman"/>
                <w:color w:val="000000" w:themeColor="text1"/>
                <w:highlight w:val="none"/>
                <w:lang w:val="en-US" w:eastAsia="zh-CN"/>
                <w14:textFill>
                  <w14:solidFill>
                    <w14:schemeClr w14:val="tx1"/>
                  </w14:solidFill>
                </w14:textFill>
              </w:rPr>
              <w:t>设计规模</w:t>
            </w:r>
            <w:r>
              <w:rPr>
                <w:rFonts w:hint="eastAsia" w:ascii="Times New Roman" w:hAnsi="Times New Roman" w:eastAsia="宋体" w:cs="Times New Roman"/>
                <w:color w:val="000000" w:themeColor="text1"/>
                <w:highlight w:val="none"/>
                <w:lang w:val="en-US" w:eastAsia="zh-CN"/>
                <w14:textFill>
                  <w14:solidFill>
                    <w14:schemeClr w14:val="tx1"/>
                  </w14:solidFill>
                </w14:textFill>
              </w:rPr>
              <w:t>年处理炉渣20万t。</w:t>
            </w:r>
          </w:p>
          <w:p>
            <w:pPr>
              <w:pStyle w:val="48"/>
              <w:pageBreakBefore w:val="0"/>
              <w:widowControl w:val="0"/>
              <w:kinsoku/>
              <w:wordWrap/>
              <w:topLinePunct w:val="0"/>
              <w:bidi w:val="0"/>
              <w:spacing w:line="240" w:lineRule="auto"/>
              <w:textAlignment w:val="auto"/>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表2-</w:t>
            </w:r>
            <w:r>
              <w:rPr>
                <w:rFonts w:hint="eastAsia" w:cs="Times New Roman"/>
                <w:color w:val="000000" w:themeColor="text1"/>
                <w:sz w:val="21"/>
                <w:szCs w:val="16"/>
                <w:highlight w:val="none"/>
                <w:lang w:val="en-US" w:eastAsia="zh-CN"/>
                <w14:textFill>
                  <w14:solidFill>
                    <w14:schemeClr w14:val="tx1"/>
                  </w14:solidFill>
                </w14:textFill>
              </w:rPr>
              <w:t>5</w:t>
            </w: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 xml:space="preserve">  产品规模一览表</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02"/>
              <w:gridCol w:w="38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694" w:type="pct"/>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产品名称</w:t>
                  </w:r>
                </w:p>
              </w:tc>
              <w:tc>
                <w:tcPr>
                  <w:tcW w:w="2305" w:type="pct"/>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年产生量（t）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trPr>
              <w:tc>
                <w:tcPr>
                  <w:tcW w:w="2694" w:type="pct"/>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废旧金属（含铝、铁、铜）</w:t>
                  </w:r>
                </w:p>
              </w:tc>
              <w:tc>
                <w:tcPr>
                  <w:tcW w:w="2305" w:type="pct"/>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694" w:type="pct"/>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砂石</w:t>
                  </w:r>
                </w:p>
              </w:tc>
              <w:tc>
                <w:tcPr>
                  <w:tcW w:w="2305" w:type="pct"/>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12万</w:t>
                  </w:r>
                </w:p>
              </w:tc>
            </w:tr>
          </w:tbl>
          <w:p>
            <w:pPr>
              <w:pStyle w:val="48"/>
              <w:pageBreakBefore w:val="0"/>
              <w:widowControl w:val="0"/>
              <w:kinsoku/>
              <w:wordWrap/>
              <w:topLinePunct w:val="0"/>
              <w:bidi w:val="0"/>
              <w:spacing w:line="240" w:lineRule="auto"/>
              <w:jc w:val="both"/>
              <w:textAlignment w:val="auto"/>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pPr>
            <w:r>
              <w:rPr>
                <w:rFonts w:hint="eastAsia" w:cs="Times New Roman"/>
                <w:color w:val="000000" w:themeColor="text1"/>
                <w:sz w:val="21"/>
                <w:szCs w:val="16"/>
                <w:highlight w:val="none"/>
                <w:lang w:val="en-US" w:eastAsia="zh-CN"/>
                <w14:textFill>
                  <w14:solidFill>
                    <w14:schemeClr w14:val="tx1"/>
                  </w14:solidFill>
                </w14:textFill>
              </w:rPr>
              <w:t>注：</w:t>
            </w: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砂石执行《建设用砂》（GB/T 14684-2011）和《建设用卵石、碎石》（GB/T 14685-2011）</w:t>
            </w:r>
          </w:p>
          <w:p>
            <w:pPr>
              <w:pStyle w:val="48"/>
              <w:pageBreakBefore w:val="0"/>
              <w:widowControl w:val="0"/>
              <w:kinsoku/>
              <w:wordWrap/>
              <w:topLinePunct w:val="0"/>
              <w:bidi w:val="0"/>
              <w:spacing w:line="240" w:lineRule="auto"/>
              <w:textAlignment w:val="auto"/>
              <w:rPr>
                <w:rFonts w:hint="default" w:ascii="Times New Roman" w:hAnsi="Times New Roman" w:eastAsia="宋体" w:cs="Times New Roman"/>
                <w:color w:val="000000" w:themeColor="text1"/>
                <w:sz w:val="21"/>
                <w:szCs w:val="16"/>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表2-</w:t>
            </w:r>
            <w:r>
              <w:rPr>
                <w:rFonts w:hint="eastAsia" w:cs="Times New Roman"/>
                <w:color w:val="000000" w:themeColor="text1"/>
                <w:sz w:val="21"/>
                <w:szCs w:val="16"/>
                <w:highlight w:val="none"/>
                <w:lang w:val="en-US" w:eastAsia="zh-CN"/>
                <w14:textFill>
                  <w14:solidFill>
                    <w14:schemeClr w14:val="tx1"/>
                  </w14:solidFill>
                </w14:textFill>
              </w:rPr>
              <w:t>6</w:t>
            </w: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 xml:space="preserve">  物料平衡一览表</w:t>
            </w:r>
            <w:r>
              <w:rPr>
                <w:rFonts w:hint="eastAsia" w:cs="Times New Roman"/>
                <w:color w:val="000000" w:themeColor="text1"/>
                <w:sz w:val="21"/>
                <w:szCs w:val="16"/>
                <w:highlight w:val="none"/>
                <w:lang w:val="en-US" w:eastAsia="zh-CN"/>
                <w14:textFill>
                  <w14:solidFill>
                    <w14:schemeClr w14:val="tx1"/>
                  </w14:solidFill>
                </w14:textFill>
              </w:rPr>
              <w:t>（不含水）</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41"/>
              <w:gridCol w:w="1466"/>
              <w:gridCol w:w="2540"/>
              <w:gridCol w:w="20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278" w:type="pct"/>
                  <w:gridSpan w:val="2"/>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物料投入</w:t>
                  </w:r>
                  <w:r>
                    <w:rPr>
                      <w:rFonts w:hint="eastAsia" w:cs="Times New Roman" w:eastAsiaTheme="minorEastAsia"/>
                      <w:color w:val="000000" w:themeColor="text1"/>
                      <w:sz w:val="21"/>
                      <w:szCs w:val="21"/>
                      <w:highlight w:val="none"/>
                      <w:lang w:val="en-US" w:eastAsia="zh-CN"/>
                      <w14:textFill>
                        <w14:solidFill>
                          <w14:schemeClr w14:val="tx1"/>
                        </w14:solidFill>
                      </w14:textFill>
                    </w:rPr>
                    <w:t>（t）</w:t>
                  </w:r>
                </w:p>
              </w:tc>
              <w:tc>
                <w:tcPr>
                  <w:tcW w:w="2721" w:type="pct"/>
                  <w:gridSpan w:val="2"/>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物料</w:t>
                  </w:r>
                  <w:r>
                    <w:rPr>
                      <w:rFonts w:hint="eastAsia" w:cs="Times New Roman" w:eastAsiaTheme="minorEastAsia"/>
                      <w:color w:val="000000" w:themeColor="text1"/>
                      <w:sz w:val="21"/>
                      <w:szCs w:val="21"/>
                      <w:highlight w:val="none"/>
                      <w:lang w:val="en-US" w:eastAsia="zh-CN"/>
                      <w14:textFill>
                        <w14:solidFill>
                          <w14:schemeClr w14:val="tx1"/>
                        </w14:solidFill>
                      </w14:textFill>
                    </w:rPr>
                    <w:t>产出（t）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1" w:type="pct"/>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炉渣</w:t>
                  </w:r>
                </w:p>
              </w:tc>
              <w:tc>
                <w:tcPr>
                  <w:tcW w:w="877" w:type="pct"/>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14万</w:t>
                  </w:r>
                </w:p>
              </w:tc>
              <w:tc>
                <w:tcPr>
                  <w:tcW w:w="1520" w:type="pct"/>
                  <w:vAlign w:val="top"/>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废旧金属（含铝、铁、铜）</w:t>
                  </w:r>
                </w:p>
              </w:tc>
              <w:tc>
                <w:tcPr>
                  <w:tcW w:w="1201" w:type="pct"/>
                  <w:vAlign w:val="top"/>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trPr>
              <w:tc>
                <w:tcPr>
                  <w:tcW w:w="1401" w:type="pct"/>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p>
              </w:tc>
              <w:tc>
                <w:tcPr>
                  <w:tcW w:w="877" w:type="pct"/>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p>
              </w:tc>
              <w:tc>
                <w:tcPr>
                  <w:tcW w:w="1520" w:type="pct"/>
                  <w:vAlign w:val="top"/>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砂石</w:t>
                  </w:r>
                </w:p>
              </w:tc>
              <w:tc>
                <w:tcPr>
                  <w:tcW w:w="1201" w:type="pct"/>
                  <w:vAlign w:val="top"/>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83740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1" w:type="pct"/>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p>
              </w:tc>
              <w:tc>
                <w:tcPr>
                  <w:tcW w:w="877" w:type="pct"/>
                </w:tcPr>
                <w:p>
                  <w:pPr>
                    <w:spacing w:line="240" w:lineRule="auto"/>
                    <w:jc w:val="center"/>
                    <w:rPr>
                      <w:rFonts w:hint="eastAsia" w:cs="Times New Roman" w:eastAsiaTheme="minorEastAsia"/>
                      <w:color w:val="000000" w:themeColor="text1"/>
                      <w:sz w:val="21"/>
                      <w:szCs w:val="21"/>
                      <w:highlight w:val="none"/>
                      <w:lang w:val="en-US" w:eastAsia="zh-CN"/>
                      <w14:textFill>
                        <w14:solidFill>
                          <w14:schemeClr w14:val="tx1"/>
                        </w14:solidFill>
                      </w14:textFill>
                    </w:rPr>
                  </w:pPr>
                </w:p>
              </w:tc>
              <w:tc>
                <w:tcPr>
                  <w:tcW w:w="1520" w:type="pct"/>
                  <w:vAlign w:val="top"/>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粉尘</w:t>
                  </w:r>
                </w:p>
              </w:tc>
              <w:tc>
                <w:tcPr>
                  <w:tcW w:w="1201" w:type="pct"/>
                  <w:vAlign w:val="top"/>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cs="Times New Roman" w:eastAsiaTheme="minorEastAsia"/>
                      <w:color w:val="000000" w:themeColor="text1"/>
                      <w:kern w:val="2"/>
                      <w:sz w:val="21"/>
                      <w:szCs w:val="21"/>
                      <w:highlight w:val="none"/>
                      <w:lang w:val="en-US" w:eastAsia="zh-CN" w:bidi="ar-SA"/>
                      <w14:textFill>
                        <w14:solidFill>
                          <w14:schemeClr w14:val="tx1"/>
                        </w14:solidFill>
                      </w14:textFill>
                    </w:rPr>
                    <w:t>0.0294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1" w:type="pct"/>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p>
              </w:tc>
              <w:tc>
                <w:tcPr>
                  <w:tcW w:w="877" w:type="pct"/>
                </w:tcPr>
                <w:p>
                  <w:pPr>
                    <w:spacing w:line="240" w:lineRule="auto"/>
                    <w:jc w:val="center"/>
                    <w:rPr>
                      <w:rFonts w:hint="eastAsia" w:cs="Times New Roman" w:eastAsiaTheme="minorEastAsia"/>
                      <w:color w:val="000000" w:themeColor="text1"/>
                      <w:sz w:val="21"/>
                      <w:szCs w:val="21"/>
                      <w:highlight w:val="none"/>
                      <w:lang w:val="en-US" w:eastAsia="zh-CN"/>
                      <w14:textFill>
                        <w14:solidFill>
                          <w14:schemeClr w14:val="tx1"/>
                        </w14:solidFill>
                      </w14:textFill>
                    </w:rPr>
                  </w:pPr>
                </w:p>
              </w:tc>
              <w:tc>
                <w:tcPr>
                  <w:tcW w:w="1520" w:type="pct"/>
                  <w:vAlign w:val="top"/>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未燃尽垃圾</w:t>
                  </w:r>
                </w:p>
              </w:tc>
              <w:tc>
                <w:tcPr>
                  <w:tcW w:w="1201" w:type="pct"/>
                  <w:vAlign w:val="top"/>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t>30263.9706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1" w:type="pct"/>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p>
              </w:tc>
              <w:tc>
                <w:tcPr>
                  <w:tcW w:w="877" w:type="pct"/>
                </w:tcPr>
                <w:p>
                  <w:pPr>
                    <w:spacing w:line="240" w:lineRule="auto"/>
                    <w:jc w:val="center"/>
                    <w:rPr>
                      <w:rFonts w:hint="eastAsia" w:cs="Times New Roman" w:eastAsiaTheme="minorEastAsia"/>
                      <w:color w:val="000000" w:themeColor="text1"/>
                      <w:sz w:val="21"/>
                      <w:szCs w:val="21"/>
                      <w:highlight w:val="none"/>
                      <w:lang w:val="en-US" w:eastAsia="zh-CN"/>
                      <w14:textFill>
                        <w14:solidFill>
                          <w14:schemeClr w14:val="tx1"/>
                        </w14:solidFill>
                      </w14:textFill>
                    </w:rPr>
                  </w:pPr>
                </w:p>
              </w:tc>
              <w:tc>
                <w:tcPr>
                  <w:tcW w:w="1520" w:type="pct"/>
                  <w:vAlign w:val="top"/>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沉淀池泥沙</w:t>
                  </w:r>
                </w:p>
              </w:tc>
              <w:tc>
                <w:tcPr>
                  <w:tcW w:w="1201" w:type="pct"/>
                  <w:vAlign w:val="top"/>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23996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1" w:type="pct"/>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合计</w:t>
                  </w:r>
                </w:p>
              </w:tc>
              <w:tc>
                <w:tcPr>
                  <w:tcW w:w="877" w:type="pct"/>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14万</w:t>
                  </w:r>
                </w:p>
              </w:tc>
              <w:tc>
                <w:tcPr>
                  <w:tcW w:w="1520" w:type="pct"/>
                  <w:vAlign w:val="top"/>
                </w:tcPr>
                <w:p>
                  <w:pPr>
                    <w:spacing w:line="240" w:lineRule="auto"/>
                    <w:jc w:val="center"/>
                    <w:rPr>
                      <w:rFonts w:hint="eastAsia" w:cs="Times New Roman" w:eastAsiaTheme="minorEastAsia"/>
                      <w:color w:val="000000" w:themeColor="text1"/>
                      <w:sz w:val="21"/>
                      <w:szCs w:val="21"/>
                      <w:highlight w:val="none"/>
                      <w:lang w:val="en-US" w:eastAsia="zh-CN"/>
                      <w14:textFill>
                        <w14:solidFill>
                          <w14:schemeClr w14:val="tx1"/>
                        </w14:solidFill>
                      </w14:textFill>
                    </w:rPr>
                  </w:pPr>
                </w:p>
              </w:tc>
              <w:tc>
                <w:tcPr>
                  <w:tcW w:w="1201" w:type="pct"/>
                  <w:vAlign w:val="top"/>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14万</w:t>
                  </w:r>
                </w:p>
              </w:tc>
            </w:tr>
          </w:tbl>
          <w:p>
            <w:pPr>
              <w:pStyle w:val="47"/>
              <w:numPr>
                <w:ilvl w:val="0"/>
                <w:numId w:val="0"/>
              </w:numPr>
              <w:bidi w:val="0"/>
              <w:ind w:leftChars="0"/>
              <w:rPr>
                <w:rFonts w:hint="default" w:ascii="Times New Roman" w:hAnsi="Times New Roman" w:cs="Times New Roman"/>
                <w:b/>
                <w:bCs/>
                <w:color w:val="000000" w:themeColor="text1"/>
                <w:kern w:val="2"/>
                <w:sz w:val="24"/>
                <w:szCs w:val="24"/>
                <w:highlight w:val="none"/>
                <w:lang w:val="en-US" w:eastAsia="zh-CN" w:bidi="ar-SA"/>
                <w14:textFill>
                  <w14:solidFill>
                    <w14:schemeClr w14:val="tx1"/>
                  </w14:solidFill>
                </w14:textFill>
              </w:rPr>
            </w:pPr>
            <w:r>
              <w:rPr>
                <w:rFonts w:hint="eastAsia" w:ascii="Times New Roman" w:hAnsi="Times New Roman" w:cs="Times New Roman"/>
                <w:b/>
                <w:bCs/>
                <w:color w:val="000000" w:themeColor="text1"/>
                <w:kern w:val="2"/>
                <w:sz w:val="24"/>
                <w:szCs w:val="24"/>
                <w:highlight w:val="none"/>
                <w:lang w:val="en-US" w:eastAsia="zh-CN" w:bidi="ar-SA"/>
                <w14:textFill>
                  <w14:solidFill>
                    <w14:schemeClr w14:val="tx1"/>
                  </w14:solidFill>
                </w14:textFill>
              </w:rPr>
              <w:t>2.6</w:t>
            </w:r>
            <w:r>
              <w:rPr>
                <w:rFonts w:hint="default" w:ascii="Times New Roman" w:hAnsi="Times New Roman" w:cs="Times New Roman"/>
                <w:b/>
                <w:bCs/>
                <w:color w:val="000000" w:themeColor="text1"/>
                <w:kern w:val="2"/>
                <w:sz w:val="24"/>
                <w:szCs w:val="24"/>
                <w:highlight w:val="none"/>
                <w:lang w:val="en-US" w:eastAsia="zh-CN" w:bidi="ar-SA"/>
                <w14:textFill>
                  <w14:solidFill>
                    <w14:schemeClr w14:val="tx1"/>
                  </w14:solidFill>
                </w14:textFill>
              </w:rPr>
              <w:t>水资源及能源消耗情况</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2.6.1给排水</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生活用水：</w:t>
            </w:r>
            <w:r>
              <w:rPr>
                <w:rFonts w:hint="eastAsia" w:ascii="Times New Roman" w:hAnsi="Times New Roman" w:cs="Times New Roman"/>
                <w:color w:val="000000" w:themeColor="text1"/>
                <w:highlight w:val="none"/>
                <w:lang w:val="en-US" w:eastAsia="zh-CN"/>
                <w14:textFill>
                  <w14:solidFill>
                    <w14:schemeClr w14:val="tx1"/>
                  </w14:solidFill>
                </w14:textFill>
              </w:rPr>
              <w:t>厂区职工16人，按照《河北省地方标准用水定额》（DB13/T1161.3-2021），并结合企业提供资料，员工生活用水量按照40L/人•天，则项目生活用水量为0.64m</w:t>
            </w:r>
            <w:r>
              <w:rPr>
                <w:rFonts w:hint="eastAsia" w:ascii="Times New Roman" w:hAnsi="Times New Roman" w:cs="Times New Roman"/>
                <w:color w:val="000000" w:themeColor="text1"/>
                <w:highlight w:val="none"/>
                <w:vertAlign w:val="superscript"/>
                <w:lang w:val="en-US" w:eastAsia="zh-CN"/>
                <w14:textFill>
                  <w14:solidFill>
                    <w14:schemeClr w14:val="tx1"/>
                  </w14:solidFill>
                </w14:textFill>
              </w:rPr>
              <w:t>3</w:t>
            </w:r>
            <w:r>
              <w:rPr>
                <w:rFonts w:hint="eastAsia" w:ascii="Times New Roman" w:hAnsi="Times New Roman" w:cs="Times New Roman"/>
                <w:color w:val="000000" w:themeColor="text1"/>
                <w:highlight w:val="none"/>
                <w:lang w:val="en-US" w:eastAsia="zh-CN"/>
                <w14:textFill>
                  <w14:solidFill>
                    <w14:schemeClr w14:val="tx1"/>
                  </w14:solidFill>
                </w14:textFill>
              </w:rPr>
              <w:t>/d（224m</w:t>
            </w:r>
            <w:r>
              <w:rPr>
                <w:rFonts w:hint="eastAsia" w:ascii="Times New Roman" w:hAnsi="Times New Roman" w:cs="Times New Roman"/>
                <w:color w:val="000000" w:themeColor="text1"/>
                <w:highlight w:val="none"/>
                <w:vertAlign w:val="superscript"/>
                <w:lang w:val="en-US" w:eastAsia="zh-CN"/>
                <w14:textFill>
                  <w14:solidFill>
                    <w14:schemeClr w14:val="tx1"/>
                  </w14:solidFill>
                </w14:textFill>
              </w:rPr>
              <w:t>3</w:t>
            </w:r>
            <w:r>
              <w:rPr>
                <w:rFonts w:hint="eastAsia" w:ascii="Times New Roman" w:hAnsi="Times New Roman" w:cs="Times New Roman"/>
                <w:color w:val="000000" w:themeColor="text1"/>
                <w:highlight w:val="none"/>
                <w:lang w:val="en-US" w:eastAsia="zh-CN"/>
                <w14:textFill>
                  <w14:solidFill>
                    <w14:schemeClr w14:val="tx1"/>
                  </w14:solidFill>
                </w14:textFill>
              </w:rPr>
              <w:t>/a），生活废水按照80%计算，产生量为0.512m</w:t>
            </w:r>
            <w:r>
              <w:rPr>
                <w:rFonts w:hint="eastAsia" w:ascii="Times New Roman" w:hAnsi="Times New Roman" w:cs="Times New Roman"/>
                <w:color w:val="000000" w:themeColor="text1"/>
                <w:highlight w:val="none"/>
                <w:vertAlign w:val="superscript"/>
                <w:lang w:val="en-US" w:eastAsia="zh-CN"/>
                <w14:textFill>
                  <w14:solidFill>
                    <w14:schemeClr w14:val="tx1"/>
                  </w14:solidFill>
                </w14:textFill>
              </w:rPr>
              <w:t>3</w:t>
            </w:r>
            <w:r>
              <w:rPr>
                <w:rFonts w:hint="eastAsia" w:ascii="Times New Roman" w:hAnsi="Times New Roman" w:cs="Times New Roman"/>
                <w:color w:val="000000" w:themeColor="text1"/>
                <w:highlight w:val="none"/>
                <w:lang w:val="en-US" w:eastAsia="zh-CN"/>
                <w14:textFill>
                  <w14:solidFill>
                    <w14:schemeClr w14:val="tx1"/>
                  </w14:solidFill>
                </w14:textFill>
              </w:rPr>
              <w:t>/d（179.2m</w:t>
            </w:r>
            <w:r>
              <w:rPr>
                <w:rFonts w:hint="eastAsia" w:ascii="Times New Roman" w:hAnsi="Times New Roman" w:cs="Times New Roman"/>
                <w:color w:val="000000" w:themeColor="text1"/>
                <w:highlight w:val="none"/>
                <w:vertAlign w:val="superscript"/>
                <w:lang w:val="en-US" w:eastAsia="zh-CN"/>
                <w14:textFill>
                  <w14:solidFill>
                    <w14:schemeClr w14:val="tx1"/>
                  </w14:solidFill>
                </w14:textFill>
              </w:rPr>
              <w:t>3</w:t>
            </w:r>
            <w:r>
              <w:rPr>
                <w:rFonts w:hint="eastAsia" w:ascii="Times New Roman" w:hAnsi="Times New Roman" w:cs="Times New Roman"/>
                <w:color w:val="000000" w:themeColor="text1"/>
                <w:highlight w:val="none"/>
                <w:lang w:val="en-US" w:eastAsia="zh-CN"/>
                <w14:textFill>
                  <w14:solidFill>
                    <w14:schemeClr w14:val="tx1"/>
                  </w14:solidFill>
                </w14:textFill>
              </w:rPr>
              <w:t>/a），排入化粪池后定期由清污车清运。</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生产用水：生产用水主要为炉渣工序用水（跳汰、滚轮等）、清洗地面以及喷淋用水。炉渣工序新鲜水量为60m³/d（21000m³），炉渣工序损耗水量136.87m³/d（47904.5m³/a），循环水量为240m³/d（84000m³/a），砂料蒸发96.87m³/d（33904.5m³/a），随砂料成品带走103.6m³/d（36260m³/a），进入沉淀池230.96m³/d（80836m³/a）；清洗地面用水量为12m³/d（3600m³/a），其中蒸发量为2.4m³/d（720m³/a），循环水量为9.6m³/d（2880m³/a）；水喷淋系统用水量为10m³/d（3000m³/a），其中蒸发量为2m³/d（600m³/a），循环水量为8m³/d（2400m³/a）。</w:t>
            </w:r>
          </w:p>
          <w:p>
            <w:pPr>
              <w:pStyle w:val="48"/>
              <w:pageBreakBefore w:val="0"/>
              <w:widowControl w:val="0"/>
              <w:kinsoku/>
              <w:wordWrap/>
              <w:topLinePunct w:val="0"/>
              <w:bidi w:val="0"/>
              <w:spacing w:line="240" w:lineRule="auto"/>
              <w:textAlignment w:val="auto"/>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表2-</w:t>
            </w:r>
            <w:r>
              <w:rPr>
                <w:rFonts w:hint="eastAsia" w:cs="Times New Roman"/>
                <w:color w:val="000000" w:themeColor="text1"/>
                <w:sz w:val="21"/>
                <w:szCs w:val="16"/>
                <w:highlight w:val="none"/>
                <w:lang w:val="en-US" w:eastAsia="zh-CN"/>
                <w14:textFill>
                  <w14:solidFill>
                    <w14:schemeClr w14:val="tx1"/>
                  </w14:solidFill>
                </w14:textFill>
              </w:rPr>
              <w:t>7</w:t>
            </w: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 xml:space="preserve">  项目给排水水量平衡表    单位：m</w:t>
            </w:r>
            <w:r>
              <w:rPr>
                <w:rFonts w:hint="eastAsia" w:ascii="Times New Roman" w:hAnsi="Times New Roman" w:eastAsia="宋体" w:cs="Times New Roman"/>
                <w:color w:val="000000" w:themeColor="text1"/>
                <w:sz w:val="21"/>
                <w:szCs w:val="16"/>
                <w:highlight w:val="none"/>
                <w:vertAlign w:val="superscript"/>
                <w:lang w:val="en-US" w:eastAsia="zh-CN"/>
                <w14:textFill>
                  <w14:solidFill>
                    <w14:schemeClr w14:val="tx1"/>
                  </w14:solidFill>
                </w14:textFill>
              </w:rPr>
              <w:t>3</w:t>
            </w:r>
            <w:r>
              <w:rPr>
                <w:rFonts w:hint="eastAsia" w:ascii="Times New Roman" w:hAnsi="Times New Roman" w:eastAsia="宋体" w:cs="Times New Roman"/>
                <w:color w:val="000000" w:themeColor="text1"/>
                <w:sz w:val="21"/>
                <w:szCs w:val="16"/>
                <w:highlight w:val="none"/>
                <w:lang w:val="en-US" w:eastAsia="zh-CN"/>
                <w14:textFill>
                  <w14:solidFill>
                    <w14:schemeClr w14:val="tx1"/>
                  </w14:solidFill>
                </w14:textFill>
              </w:rPr>
              <w:t>/d</w:t>
            </w:r>
          </w:p>
          <w:tbl>
            <w:tblPr>
              <w:tblStyle w:val="31"/>
              <w:tblW w:w="829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71"/>
              <w:gridCol w:w="1388"/>
              <w:gridCol w:w="955"/>
              <w:gridCol w:w="1501"/>
              <w:gridCol w:w="1814"/>
              <w:gridCol w:w="904"/>
              <w:gridCol w:w="11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71"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序号</w:t>
                  </w:r>
                </w:p>
              </w:tc>
              <w:tc>
                <w:tcPr>
                  <w:tcW w:w="1388"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用水环节</w:t>
                  </w:r>
                </w:p>
              </w:tc>
              <w:tc>
                <w:tcPr>
                  <w:tcW w:w="955"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总用水量</w:t>
                  </w:r>
                </w:p>
              </w:tc>
              <w:tc>
                <w:tcPr>
                  <w:tcW w:w="1501"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补充新鲜水量</w:t>
                  </w:r>
                </w:p>
              </w:tc>
              <w:tc>
                <w:tcPr>
                  <w:tcW w:w="1814"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循环（重复）水量</w:t>
                  </w:r>
                </w:p>
              </w:tc>
              <w:tc>
                <w:tcPr>
                  <w:tcW w:w="904" w:type="dxa"/>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损耗量</w:t>
                  </w:r>
                </w:p>
              </w:tc>
              <w:tc>
                <w:tcPr>
                  <w:tcW w:w="1157"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排放水量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571"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1</w:t>
                  </w:r>
                </w:p>
              </w:tc>
              <w:tc>
                <w:tcPr>
                  <w:tcW w:w="1388" w:type="dxa"/>
                  <w:noWrap w:val="0"/>
                  <w:tcMar>
                    <w:left w:w="57" w:type="dxa"/>
                    <w:right w:w="57" w:type="dxa"/>
                  </w:tcMar>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炉渣</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用水</w:t>
                  </w:r>
                </w:p>
              </w:tc>
              <w:tc>
                <w:tcPr>
                  <w:tcW w:w="955"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300</w:t>
                  </w:r>
                </w:p>
              </w:tc>
              <w:tc>
                <w:tcPr>
                  <w:tcW w:w="1501"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60</w:t>
                  </w:r>
                </w:p>
              </w:tc>
              <w:tc>
                <w:tcPr>
                  <w:tcW w:w="1814"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240</w:t>
                  </w:r>
                </w:p>
              </w:tc>
              <w:tc>
                <w:tcPr>
                  <w:tcW w:w="904" w:type="dxa"/>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136.87</w:t>
                  </w:r>
                </w:p>
              </w:tc>
              <w:tc>
                <w:tcPr>
                  <w:tcW w:w="1157"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71"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2</w:t>
                  </w:r>
                </w:p>
              </w:tc>
              <w:tc>
                <w:tcPr>
                  <w:tcW w:w="1388" w:type="dxa"/>
                  <w:noWrap w:val="0"/>
                  <w:tcMar>
                    <w:left w:w="57" w:type="dxa"/>
                    <w:right w:w="57" w:type="dxa"/>
                  </w:tcMar>
                  <w:vAlign w:val="center"/>
                </w:tcPr>
                <w:p>
                  <w:pPr>
                    <w:spacing w:line="240" w:lineRule="auto"/>
                    <w:jc w:val="cente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清洗地面</w:t>
                  </w:r>
                </w:p>
              </w:tc>
              <w:tc>
                <w:tcPr>
                  <w:tcW w:w="955"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12</w:t>
                  </w:r>
                </w:p>
              </w:tc>
              <w:tc>
                <w:tcPr>
                  <w:tcW w:w="1501"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2.4</w:t>
                  </w:r>
                </w:p>
              </w:tc>
              <w:tc>
                <w:tcPr>
                  <w:tcW w:w="1814"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9.6</w:t>
                  </w:r>
                </w:p>
              </w:tc>
              <w:tc>
                <w:tcPr>
                  <w:tcW w:w="904" w:type="dxa"/>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2.4</w:t>
                  </w:r>
                </w:p>
              </w:tc>
              <w:tc>
                <w:tcPr>
                  <w:tcW w:w="1157"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571"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3</w:t>
                  </w:r>
                </w:p>
              </w:tc>
              <w:tc>
                <w:tcPr>
                  <w:tcW w:w="1388"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水喷淋系统</w:t>
                  </w:r>
                </w:p>
              </w:tc>
              <w:tc>
                <w:tcPr>
                  <w:tcW w:w="955"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10</w:t>
                  </w:r>
                </w:p>
              </w:tc>
              <w:tc>
                <w:tcPr>
                  <w:tcW w:w="1501"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w:t>
                  </w:r>
                </w:p>
              </w:tc>
              <w:tc>
                <w:tcPr>
                  <w:tcW w:w="1814"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8</w:t>
                  </w:r>
                </w:p>
              </w:tc>
              <w:tc>
                <w:tcPr>
                  <w:tcW w:w="904" w:type="dxa"/>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w:t>
                  </w:r>
                </w:p>
              </w:tc>
              <w:tc>
                <w:tcPr>
                  <w:tcW w:w="1157"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 w:hRule="atLeast"/>
                <w:jc w:val="center"/>
              </w:trPr>
              <w:tc>
                <w:tcPr>
                  <w:tcW w:w="571"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4</w:t>
                  </w:r>
                </w:p>
              </w:tc>
              <w:tc>
                <w:tcPr>
                  <w:tcW w:w="1388"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生活用水</w:t>
                  </w:r>
                </w:p>
              </w:tc>
              <w:tc>
                <w:tcPr>
                  <w:tcW w:w="955"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0.64</w:t>
                  </w:r>
                </w:p>
              </w:tc>
              <w:tc>
                <w:tcPr>
                  <w:tcW w:w="1501"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0.64</w:t>
                  </w:r>
                </w:p>
              </w:tc>
              <w:tc>
                <w:tcPr>
                  <w:tcW w:w="1814"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0</w:t>
                  </w:r>
                </w:p>
              </w:tc>
              <w:tc>
                <w:tcPr>
                  <w:tcW w:w="904" w:type="dxa"/>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0.128</w:t>
                  </w:r>
                </w:p>
              </w:tc>
              <w:tc>
                <w:tcPr>
                  <w:tcW w:w="1157"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0.512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959" w:type="dxa"/>
                  <w:gridSpan w:val="2"/>
                  <w:noWrap w:val="0"/>
                  <w:tcMar>
                    <w:left w:w="57" w:type="dxa"/>
                    <w:right w:w="57" w:type="dxa"/>
                  </w:tcMar>
                  <w:vAlign w:val="center"/>
                </w:tcPr>
                <w:p>
                  <w:pPr>
                    <w:spacing w:line="240" w:lineRule="auto"/>
                    <w:jc w:val="center"/>
                    <w:rPr>
                      <w:rFonts w:hint="default"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合计</w:t>
                  </w:r>
                </w:p>
              </w:tc>
              <w:tc>
                <w:tcPr>
                  <w:tcW w:w="955"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322.64</w:t>
                  </w:r>
                </w:p>
              </w:tc>
              <w:tc>
                <w:tcPr>
                  <w:tcW w:w="1501"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65.04</w:t>
                  </w:r>
                </w:p>
              </w:tc>
              <w:tc>
                <w:tcPr>
                  <w:tcW w:w="1814"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257.6</w:t>
                  </w:r>
                </w:p>
              </w:tc>
              <w:tc>
                <w:tcPr>
                  <w:tcW w:w="904" w:type="dxa"/>
                  <w:noWrap w:val="0"/>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141.398</w:t>
                  </w:r>
                </w:p>
              </w:tc>
              <w:tc>
                <w:tcPr>
                  <w:tcW w:w="1157" w:type="dxa"/>
                  <w:noWrap w:val="0"/>
                  <w:tcMar>
                    <w:left w:w="57" w:type="dxa"/>
                    <w:right w:w="57" w:type="dxa"/>
                  </w:tcMar>
                  <w:vAlign w:val="center"/>
                </w:tcPr>
                <w:p>
                  <w:pPr>
                    <w:spacing w:line="240" w:lineRule="auto"/>
                    <w:jc w:val="cente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0.512</w:t>
                  </w:r>
                </w:p>
              </w:tc>
            </w:tr>
          </w:tbl>
          <w:p>
            <w:pPr>
              <w:pStyle w:val="47"/>
              <w:bidi w:val="0"/>
              <w:jc w:val="center"/>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drawing>
                <wp:inline distT="0" distB="0" distL="114300" distR="114300">
                  <wp:extent cx="3707765" cy="2890520"/>
                  <wp:effectExtent l="0" t="0" r="6985" b="5080"/>
                  <wp:docPr id="7" name="ECB019B1-382A-4266-B25C-5B523AA43C14-1" descr="C:/Users/Administrator/AppData/Local/Temp/wps.iDNBnV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ECB019B1-382A-4266-B25C-5B523AA43C14-1" descr="C:/Users/Administrator/AppData/Local/Temp/wps.iDNBnVwps"/>
                          <pic:cNvPicPr>
                            <a:picLocks noChangeAspect="1"/>
                          </pic:cNvPicPr>
                        </pic:nvPicPr>
                        <pic:blipFill>
                          <a:blip r:embed="rId12"/>
                          <a:srcRect l="5977" t="5354" r="2410" b="3500"/>
                          <a:stretch>
                            <a:fillRect/>
                          </a:stretch>
                        </pic:blipFill>
                        <pic:spPr>
                          <a:xfrm>
                            <a:off x="0" y="0"/>
                            <a:ext cx="3707765" cy="2890520"/>
                          </a:xfrm>
                          <a:prstGeom prst="rect">
                            <a:avLst/>
                          </a:prstGeom>
                        </pic:spPr>
                      </pic:pic>
                    </a:graphicData>
                  </a:graphic>
                </wp:inline>
              </w:drawing>
            </w:r>
          </w:p>
          <w:p>
            <w:pPr>
              <w:pStyle w:val="48"/>
              <w:bidi w:val="0"/>
              <w:rPr>
                <w:rFonts w:hint="default"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pPr>
            <w:r>
              <w:rPr>
                <w:rFonts w:hint="eastAsia"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t xml:space="preserve">图2-1  </w:t>
            </w:r>
            <w:r>
              <w:rPr>
                <w:rFonts w:hint="eastAsia" w:cs="Times New Roman"/>
                <w:b/>
                <w:color w:val="000000" w:themeColor="text1"/>
                <w:kern w:val="21"/>
                <w:sz w:val="21"/>
                <w:szCs w:val="16"/>
                <w:highlight w:val="none"/>
                <w:lang w:val="en-US" w:eastAsia="zh-CN" w:bidi="ar-SA"/>
                <w14:textFill>
                  <w14:solidFill>
                    <w14:schemeClr w14:val="tx1"/>
                  </w14:solidFill>
                </w14:textFill>
              </w:rPr>
              <w:t>本</w:t>
            </w:r>
            <w:r>
              <w:rPr>
                <w:rFonts w:hint="eastAsia"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t>工程水平衡图  单位：m³/d</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2.6.2</w:t>
            </w:r>
            <w:r>
              <w:rPr>
                <w:rFonts w:hint="default" w:ascii="Times New Roman" w:hAnsi="Times New Roman" w:cs="Times New Roman"/>
                <w:color w:val="000000" w:themeColor="text1"/>
                <w:highlight w:val="none"/>
                <w:lang w:val="en-US" w:eastAsia="zh-CN"/>
                <w14:textFill>
                  <w14:solidFill>
                    <w14:schemeClr w14:val="tx1"/>
                  </w14:solidFill>
                </w14:textFill>
              </w:rPr>
              <w:t>供电</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本项目用电由</w:t>
            </w:r>
            <w:r>
              <w:rPr>
                <w:rFonts w:hint="eastAsia" w:ascii="Times New Roman" w:hAnsi="Times New Roman" w:cs="Times New Roman"/>
                <w:color w:val="000000" w:themeColor="text1"/>
                <w:highlight w:val="none"/>
                <w:lang w:val="en-US" w:eastAsia="zh-CN"/>
                <w14:textFill>
                  <w14:solidFill>
                    <w14:schemeClr w14:val="tx1"/>
                  </w14:solidFill>
                </w14:textFill>
              </w:rPr>
              <w:t>厂区变压器</w:t>
            </w:r>
            <w:r>
              <w:rPr>
                <w:rFonts w:hint="default" w:ascii="Times New Roman" w:hAnsi="Times New Roman" w:cs="Times New Roman"/>
                <w:color w:val="000000" w:themeColor="text1"/>
                <w:highlight w:val="none"/>
                <w:lang w:val="en-US" w:eastAsia="zh-CN"/>
                <w14:textFill>
                  <w14:solidFill>
                    <w14:schemeClr w14:val="tx1"/>
                  </w14:solidFill>
                </w14:textFill>
              </w:rPr>
              <w:t>提供，</w:t>
            </w:r>
            <w:r>
              <w:rPr>
                <w:rFonts w:hint="eastAsia" w:ascii="Times New Roman" w:hAnsi="Times New Roman" w:cs="Times New Roman"/>
                <w:color w:val="000000" w:themeColor="text1"/>
                <w:highlight w:val="none"/>
                <w:lang w:val="en-US" w:eastAsia="zh-CN"/>
                <w14:textFill>
                  <w14:solidFill>
                    <w14:schemeClr w14:val="tx1"/>
                  </w14:solidFill>
                </w14:textFill>
              </w:rPr>
              <w:t>可满足厂区内用电需求</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2.6.3供</w:t>
            </w:r>
            <w:r>
              <w:rPr>
                <w:rFonts w:hint="default" w:ascii="Times New Roman" w:hAnsi="Times New Roman" w:cs="Times New Roman"/>
                <w:color w:val="000000" w:themeColor="text1"/>
                <w:highlight w:val="none"/>
                <w:lang w:val="en-US" w:eastAsia="zh-CN"/>
                <w14:textFill>
                  <w14:solidFill>
                    <w14:schemeClr w14:val="tx1"/>
                  </w14:solidFill>
                </w14:textFill>
              </w:rPr>
              <w:t>热</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冬季办公室用空调供</w:t>
            </w:r>
            <w:r>
              <w:rPr>
                <w:rFonts w:hint="eastAsia" w:ascii="Times New Roman" w:hAnsi="Times New Roman" w:cs="Times New Roman"/>
                <w:color w:val="000000" w:themeColor="text1"/>
                <w:highlight w:val="none"/>
                <w:lang w:val="en-US" w:eastAsia="zh-CN"/>
                <w14:textFill>
                  <w14:solidFill>
                    <w14:schemeClr w14:val="tx1"/>
                  </w14:solidFill>
                </w14:textFill>
              </w:rPr>
              <w:t>暖</w:t>
            </w:r>
            <w:r>
              <w:rPr>
                <w:rFonts w:hint="default" w:ascii="Times New Roman" w:hAnsi="Times New Roman" w:cs="Times New Roman"/>
                <w:color w:val="000000" w:themeColor="text1"/>
                <w:highlight w:val="none"/>
                <w:lang w:val="en-US" w:eastAsia="zh-CN"/>
                <w14:textFill>
                  <w14:solidFill>
                    <w14:schemeClr w14:val="tx1"/>
                  </w14:solidFill>
                </w14:textFill>
              </w:rPr>
              <w:t>，生产车间不用热</w:t>
            </w:r>
            <w:r>
              <w:rPr>
                <w:rFonts w:hint="eastAsia" w:ascii="Times New Roman" w:hAnsi="Times New Roman" w:cs="Times New Roman"/>
                <w:color w:val="000000" w:themeColor="text1"/>
                <w:highlight w:val="none"/>
                <w:lang w:val="en-US" w:eastAsia="zh-CN"/>
                <w14:textFill>
                  <w14:solidFill>
                    <w14:schemeClr w14:val="tx1"/>
                  </w14:solidFill>
                </w14:textFill>
              </w:rPr>
              <w:t>。</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p>
          <w:p>
            <w:pPr>
              <w:pStyle w:val="47"/>
              <w:bidi w:val="0"/>
              <w:ind w:left="0" w:leftChars="0" w:firstLine="0" w:firstLineChars="0"/>
              <w:rPr>
                <w:rFonts w:hint="default" w:ascii="Times New Roman" w:hAnsi="Times New Roman" w:cs="Times New Roman"/>
                <w:color w:val="000000" w:themeColor="text1"/>
                <w:highlight w:val="none"/>
                <w:lang w:val="en-US" w:eastAsia="zh-CN"/>
                <w14:textFill>
                  <w14:solidFill>
                    <w14:schemeClr w14:val="tx1"/>
                  </w14:solidFill>
                </w14:textFill>
              </w:rPr>
            </w:pPr>
          </w:p>
        </w:tc>
      </w:tr>
    </w:tbl>
    <w:p>
      <w:pPr>
        <w:pStyle w:val="3"/>
        <w:bidi w:val="0"/>
        <w:rPr>
          <w:rFonts w:hint="default" w:ascii="Times New Roman" w:hAnsi="Times New Roman" w:cs="Times New Roman"/>
          <w:color w:val="000000" w:themeColor="text1"/>
          <w:highlight w:val="none"/>
          <w:vertAlign w:val="baseline"/>
          <w14:textFill>
            <w14:solidFill>
              <w14:schemeClr w14:val="tx1"/>
            </w14:solidFill>
          </w14:textFill>
        </w:rPr>
        <w:sectPr>
          <w:pgSz w:w="11905" w:h="16838"/>
          <w:pgMar w:top="1440" w:right="1587" w:bottom="1440" w:left="1587" w:header="851" w:footer="850"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32"/>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
        <w:gridCol w:w="85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85" w:type="dxa"/>
            <w:noWrap w:val="0"/>
            <w:vAlign w:val="center"/>
          </w:tcPr>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工艺流程和产排污环节</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30"/>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30"/>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30"/>
              <w:ind w:left="0" w:leftChars="0" w:firstLine="0" w:firstLineChars="0"/>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工艺流程和产排污环节</w:t>
            </w:r>
          </w:p>
        </w:tc>
        <w:tc>
          <w:tcPr>
            <w:tcW w:w="8586" w:type="dxa"/>
            <w:noWrap w:val="0"/>
            <w:vAlign w:val="center"/>
          </w:tcPr>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主要工艺环节说明：</w:t>
            </w:r>
          </w:p>
          <w:p>
            <w:pPr>
              <w:pStyle w:val="47"/>
              <w:bidi w:val="0"/>
              <w:ind w:left="0" w:leftChars="0" w:firstLine="0" w:firstLineChars="0"/>
              <w:jc w:val="center"/>
              <w:rPr>
                <w:rFonts w:hint="default" w:ascii="Times New Roman" w:hAnsi="Times New Roman" w:cs="Times New Roman"/>
                <w:color w:val="000000" w:themeColor="text1"/>
                <w:highlight w:val="none"/>
                <w:lang w:val="en-US" w:eastAsia="zh-CN"/>
                <w14:textFill>
                  <w14:solidFill>
                    <w14:schemeClr w14:val="tx1"/>
                  </w14:solidFill>
                </w14:textFill>
              </w:rPr>
            </w:pPr>
            <w:r>
              <w:rPr>
                <w:color w:val="000000" w:themeColor="text1"/>
                <w14:textFill>
                  <w14:solidFill>
                    <w14:schemeClr w14:val="tx1"/>
                  </w14:solidFill>
                </w14:textFill>
              </w:rPr>
              <w:drawing>
                <wp:inline distT="0" distB="0" distL="114300" distR="114300">
                  <wp:extent cx="5314950" cy="2936875"/>
                  <wp:effectExtent l="0" t="0" r="0" b="15875"/>
                  <wp:docPr id="6"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1"/>
                          <pic:cNvPicPr>
                            <a:picLocks noChangeAspect="1"/>
                          </pic:cNvPicPr>
                        </pic:nvPicPr>
                        <pic:blipFill>
                          <a:blip r:embed="rId13"/>
                          <a:stretch>
                            <a:fillRect/>
                          </a:stretch>
                        </pic:blipFill>
                        <pic:spPr>
                          <a:xfrm>
                            <a:off x="0" y="0"/>
                            <a:ext cx="5314950" cy="2936875"/>
                          </a:xfrm>
                          <a:prstGeom prst="rect">
                            <a:avLst/>
                          </a:prstGeom>
                          <a:noFill/>
                          <a:ln>
                            <a:noFill/>
                          </a:ln>
                        </pic:spPr>
                      </pic:pic>
                    </a:graphicData>
                  </a:graphic>
                </wp:inline>
              </w:drawing>
            </w:r>
          </w:p>
          <w:p>
            <w:pPr>
              <w:pStyle w:val="48"/>
              <w:bidi w:val="0"/>
              <w:rPr>
                <w:rFonts w:hint="default"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pPr>
            <w:r>
              <w:rPr>
                <w:rFonts w:hint="eastAsia"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t>图2-</w:t>
            </w:r>
            <w:r>
              <w:rPr>
                <w:rFonts w:hint="eastAsia" w:cs="Times New Roman"/>
                <w:b/>
                <w:color w:val="000000" w:themeColor="text1"/>
                <w:kern w:val="21"/>
                <w:sz w:val="21"/>
                <w:szCs w:val="16"/>
                <w:highlight w:val="none"/>
                <w:lang w:val="en-US" w:eastAsia="zh-CN" w:bidi="ar-SA"/>
                <w14:textFill>
                  <w14:solidFill>
                    <w14:schemeClr w14:val="tx1"/>
                  </w14:solidFill>
                </w14:textFill>
              </w:rPr>
              <w:t>2</w:t>
            </w:r>
            <w:r>
              <w:rPr>
                <w:rFonts w:hint="default"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t xml:space="preserve"> 工艺流程及排污节点图</w:t>
            </w:r>
            <w:r>
              <w:rPr>
                <w:rFonts w:hint="eastAsia"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t xml:space="preserve"> </w:t>
            </w:r>
          </w:p>
          <w:p>
            <w:pPr>
              <w:pStyle w:val="48"/>
              <w:bidi w:val="0"/>
              <w:jc w:val="left"/>
              <w:rPr>
                <w:rFonts w:hint="default" w:ascii="Times New Roman" w:hAnsi="Times New Roman" w:cs="Times New Roman"/>
                <w:color w:val="000000" w:themeColor="text1"/>
                <w:highlight w:val="none"/>
                <w:lang w:eastAsia="zh-CN"/>
                <w14:textFill>
                  <w14:solidFill>
                    <w14:schemeClr w14:val="tx1"/>
                  </w14:solidFill>
                </w14:textFill>
              </w:rPr>
            </w:pPr>
            <w:r>
              <w:rPr>
                <w:rFonts w:hint="default" w:ascii="Times New Roman" w:hAnsi="Times New Roman" w:cs="Times New Roman"/>
                <w:color w:val="000000" w:themeColor="text1"/>
                <w:highlight w:val="none"/>
                <w:lang w:eastAsia="zh-CN"/>
                <w14:textFill>
                  <w14:solidFill>
                    <w14:schemeClr w14:val="tx1"/>
                  </w14:solidFill>
                </w14:textFill>
              </w:rPr>
              <w:t>工艺简介：</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①炉渣运输：</w:t>
            </w:r>
            <w:r>
              <w:rPr>
                <w:rFonts w:hint="eastAsia" w:eastAsia="宋体"/>
                <w:color w:val="000000" w:themeColor="text1"/>
                <w14:textFill>
                  <w14:solidFill>
                    <w14:schemeClr w14:val="tx1"/>
                  </w14:solidFill>
                </w14:textFill>
              </w:rPr>
              <w:t>生活垃圾焚烧发电厂</w:t>
            </w:r>
            <w:r>
              <w:rPr>
                <w:rFonts w:hint="default" w:ascii="Times New Roman" w:hAnsi="Times New Roman" w:cs="Times New Roman"/>
                <w:color w:val="000000" w:themeColor="text1"/>
                <w:highlight w:val="none"/>
                <w:lang w:val="en-US" w:eastAsia="zh-CN"/>
                <w14:textFill>
                  <w14:solidFill>
                    <w14:schemeClr w14:val="tx1"/>
                  </w14:solidFill>
                </w14:textFill>
              </w:rPr>
              <w:t>的炉渣出炉后洒水冷却（含水率约为</w:t>
            </w:r>
            <w:r>
              <w:rPr>
                <w:rFonts w:hint="eastAsia" w:ascii="Times New Roman" w:hAnsi="Times New Roman" w:cs="Times New Roman"/>
                <w:color w:val="000000" w:themeColor="text1"/>
                <w:highlight w:val="none"/>
                <w:lang w:val="en-US" w:eastAsia="zh-CN"/>
                <w14:textFill>
                  <w14:solidFill>
                    <w14:schemeClr w14:val="tx1"/>
                  </w14:solidFill>
                </w14:textFill>
              </w:rPr>
              <w:t>30</w:t>
            </w:r>
            <w:r>
              <w:rPr>
                <w:rFonts w:hint="default" w:ascii="Times New Roman" w:hAnsi="Times New Roman" w:cs="Times New Roman"/>
                <w:color w:val="000000" w:themeColor="text1"/>
                <w:highlight w:val="none"/>
                <w:lang w:val="en-US" w:eastAsia="zh-CN"/>
                <w14:textFill>
                  <w14:solidFill>
                    <w14:schemeClr w14:val="tx1"/>
                  </w14:solidFill>
                </w14:textFill>
              </w:rPr>
              <w:t>%），通过专用的密封运输车运至本项目炉渣处理车间炉渣堆放区，</w:t>
            </w:r>
            <w:r>
              <w:rPr>
                <w:rFonts w:hint="eastAsia" w:ascii="Times New Roman" w:hAnsi="Times New Roman" w:cs="Times New Roman"/>
                <w:color w:val="000000" w:themeColor="text1"/>
                <w:highlight w:val="none"/>
                <w:lang w:val="en-US" w:eastAsia="zh-CN"/>
                <w14:textFill>
                  <w14:solidFill>
                    <w14:schemeClr w14:val="tx1"/>
                  </w14:solidFill>
                </w14:textFill>
              </w:rPr>
              <w:t>避免长时间堆存物料产生扬尘，堆放区设置水喷淋措施抑尘；</w:t>
            </w:r>
            <w:r>
              <w:rPr>
                <w:rFonts w:hint="default" w:ascii="Times New Roman" w:hAnsi="Times New Roman" w:cs="Times New Roman"/>
                <w:color w:val="000000" w:themeColor="text1"/>
                <w:highlight w:val="none"/>
                <w:lang w:val="en-US" w:eastAsia="zh-CN"/>
                <w14:textFill>
                  <w14:solidFill>
                    <w14:schemeClr w14:val="tx1"/>
                  </w14:solidFill>
                </w14:textFill>
              </w:rPr>
              <w:t>地面设置有导流水渠，少量渗沥废水进入沉淀池</w:t>
            </w:r>
            <w:r>
              <w:rPr>
                <w:rFonts w:hint="eastAsia" w:ascii="Times New Roman" w:hAnsi="Times New Roman" w:cs="Times New Roman"/>
                <w:color w:val="000000" w:themeColor="text1"/>
                <w:highlight w:val="none"/>
                <w:lang w:val="en-US" w:eastAsia="zh-CN"/>
                <w14:textFill>
                  <w14:solidFill>
                    <w14:schemeClr w14:val="tx1"/>
                  </w14:solidFill>
                </w14:textFill>
              </w:rPr>
              <w:t>。</w:t>
            </w:r>
          </w:p>
          <w:p>
            <w:pPr>
              <w:pStyle w:val="47"/>
              <w:bidi w:val="0"/>
              <w:rPr>
                <w:rFonts w:hint="default" w:ascii="Times New Roman" w:hAnsi="Times New Roman"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此工艺产污节点主要为：炉渣堆放产生的颗粒物</w:t>
            </w:r>
            <w:r>
              <w:rPr>
                <w:rFonts w:hint="default" w:ascii="Times New Roman" w:hAnsi="Times New Roman" w:cs="Times New Roman"/>
                <w:b/>
                <w:bCs/>
                <w:color w:val="000000" w:themeColor="text1"/>
                <w:highlight w:val="none"/>
                <w:lang w:val="en-US" w:eastAsia="zh-CN"/>
                <w14:textFill>
                  <w14:solidFill>
                    <w14:schemeClr w14:val="tx1"/>
                  </w14:solidFill>
                </w14:textFill>
              </w:rPr>
              <w:t>。</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②</w:t>
            </w:r>
            <w:r>
              <w:rPr>
                <w:rFonts w:hint="eastAsia" w:ascii="Times New Roman" w:hAnsi="Times New Roman" w:cs="Times New Roman"/>
                <w:color w:val="000000" w:themeColor="text1"/>
                <w:highlight w:val="none"/>
                <w:lang w:val="en-US" w:eastAsia="zh-CN"/>
                <w14:textFill>
                  <w14:solidFill>
                    <w14:schemeClr w14:val="tx1"/>
                  </w14:solidFill>
                </w14:textFill>
              </w:rPr>
              <w:t>铲车</w:t>
            </w:r>
            <w:r>
              <w:rPr>
                <w:rFonts w:hint="default" w:ascii="Times New Roman" w:hAnsi="Times New Roman" w:cs="Times New Roman"/>
                <w:color w:val="000000" w:themeColor="text1"/>
                <w:highlight w:val="none"/>
                <w:lang w:val="en-US" w:eastAsia="zh-CN"/>
                <w14:textFill>
                  <w14:solidFill>
                    <w14:schemeClr w14:val="tx1"/>
                  </w14:solidFill>
                </w14:textFill>
              </w:rPr>
              <w:t>：炉渣由</w:t>
            </w:r>
            <w:r>
              <w:rPr>
                <w:rFonts w:hint="eastAsia" w:ascii="Times New Roman" w:hAnsi="Times New Roman" w:cs="Times New Roman"/>
                <w:color w:val="000000" w:themeColor="text1"/>
                <w:highlight w:val="none"/>
                <w:lang w:val="en-US" w:eastAsia="zh-CN"/>
                <w14:textFill>
                  <w14:solidFill>
                    <w14:schemeClr w14:val="tx1"/>
                  </w14:solidFill>
                </w14:textFill>
              </w:rPr>
              <w:t>铲车从炉渣堆放区</w:t>
            </w:r>
            <w:r>
              <w:rPr>
                <w:rFonts w:hint="default" w:ascii="Times New Roman" w:hAnsi="Times New Roman" w:cs="Times New Roman"/>
                <w:color w:val="000000" w:themeColor="text1"/>
                <w:highlight w:val="none"/>
                <w:lang w:val="en-US" w:eastAsia="zh-CN"/>
                <w14:textFill>
                  <w14:solidFill>
                    <w14:schemeClr w14:val="tx1"/>
                  </w14:solidFill>
                </w14:textFill>
              </w:rPr>
              <w:t>送入</w:t>
            </w:r>
            <w:r>
              <w:rPr>
                <w:rFonts w:hint="eastAsia" w:ascii="Times New Roman" w:hAnsi="Times New Roman" w:cs="Times New Roman"/>
                <w:color w:val="000000" w:themeColor="text1"/>
                <w:highlight w:val="none"/>
                <w:lang w:val="en-US" w:eastAsia="zh-CN"/>
                <w14:textFill>
                  <w14:solidFill>
                    <w14:schemeClr w14:val="tx1"/>
                  </w14:solidFill>
                </w14:textFill>
              </w:rPr>
              <w:t>皮带，炉渣含水率30%，含水率较大，不易起尘。</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③</w:t>
            </w:r>
            <w:r>
              <w:rPr>
                <w:rFonts w:hint="eastAsia" w:ascii="Times New Roman" w:hAnsi="Times New Roman" w:cs="Times New Roman"/>
                <w:color w:val="000000" w:themeColor="text1"/>
                <w:highlight w:val="none"/>
                <w:lang w:val="en-US" w:eastAsia="zh-CN"/>
                <w14:textFill>
                  <w14:solidFill>
                    <w14:schemeClr w14:val="tx1"/>
                  </w14:solidFill>
                </w14:textFill>
              </w:rPr>
              <w:t>除铁器</w:t>
            </w:r>
            <w:r>
              <w:rPr>
                <w:rFonts w:hint="default" w:ascii="Times New Roman" w:hAnsi="Times New Roman" w:cs="Times New Roman"/>
                <w:color w:val="000000" w:themeColor="text1"/>
                <w:highlight w:val="none"/>
                <w:lang w:val="en-US" w:eastAsia="zh-CN"/>
                <w14:textFill>
                  <w14:solidFill>
                    <w14:schemeClr w14:val="tx1"/>
                  </w14:solidFill>
                </w14:textFill>
              </w:rPr>
              <w:t>：炉渣进入</w:t>
            </w:r>
            <w:r>
              <w:rPr>
                <w:rFonts w:hint="eastAsia" w:ascii="Times New Roman" w:hAnsi="Times New Roman" w:cs="Times New Roman"/>
                <w:color w:val="000000" w:themeColor="text1"/>
                <w:highlight w:val="none"/>
                <w:lang w:val="en-US" w:eastAsia="zh-CN"/>
                <w14:textFill>
                  <w14:solidFill>
                    <w14:schemeClr w14:val="tx1"/>
                  </w14:solidFill>
                </w14:textFill>
              </w:rPr>
              <w:t>上</w:t>
            </w:r>
            <w:r>
              <w:rPr>
                <w:rFonts w:hint="default" w:ascii="Times New Roman" w:hAnsi="Times New Roman" w:cs="Times New Roman"/>
                <w:color w:val="000000" w:themeColor="text1"/>
                <w:highlight w:val="none"/>
                <w:lang w:val="en-US" w:eastAsia="zh-CN"/>
                <w14:textFill>
                  <w14:solidFill>
                    <w14:schemeClr w14:val="tx1"/>
                  </w14:solidFill>
                </w14:textFill>
              </w:rPr>
              <w:t>料斗后通过皮带进入</w:t>
            </w:r>
            <w:r>
              <w:rPr>
                <w:rFonts w:hint="eastAsia" w:ascii="Times New Roman" w:hAnsi="Times New Roman" w:cs="Times New Roman"/>
                <w:color w:val="000000" w:themeColor="text1"/>
                <w:highlight w:val="none"/>
                <w:lang w:val="en-US" w:eastAsia="zh-CN"/>
                <w14:textFill>
                  <w14:solidFill>
                    <w14:schemeClr w14:val="tx1"/>
                  </w14:solidFill>
                </w14:textFill>
              </w:rPr>
              <w:t>除铁器</w:t>
            </w:r>
            <w:r>
              <w:rPr>
                <w:rFonts w:hint="default" w:ascii="Times New Roman" w:hAnsi="Times New Roman" w:cs="Times New Roman"/>
                <w:color w:val="000000" w:themeColor="text1"/>
                <w:highlight w:val="none"/>
                <w:lang w:val="en-US" w:eastAsia="zh-CN"/>
                <w14:textFill>
                  <w14:solidFill>
                    <w14:schemeClr w14:val="tx1"/>
                  </w14:solidFill>
                </w14:textFill>
              </w:rPr>
              <w:t>，</w:t>
            </w:r>
            <w:r>
              <w:rPr>
                <w:rFonts w:hint="eastAsia" w:ascii="Times New Roman" w:hAnsi="Times New Roman" w:cs="Times New Roman"/>
                <w:color w:val="000000" w:themeColor="text1"/>
                <w:highlight w:val="none"/>
                <w:lang w:val="en-US" w:eastAsia="zh-CN"/>
                <w14:textFill>
                  <w14:solidFill>
                    <w14:schemeClr w14:val="tx1"/>
                  </w14:solidFill>
                </w14:textFill>
              </w:rPr>
              <w:t>含铁物料直接进入打铁机，剩余不含铁物料进入一级滚筒筛。</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④一级滚筒筛：不含铁物料</w:t>
            </w:r>
            <w:r>
              <w:rPr>
                <w:rFonts w:hint="default" w:ascii="Times New Roman" w:hAnsi="Times New Roman" w:cs="Times New Roman"/>
                <w:color w:val="000000" w:themeColor="text1"/>
                <w:highlight w:val="none"/>
                <w:lang w:val="en-US" w:eastAsia="zh-CN"/>
                <w14:textFill>
                  <w14:solidFill>
                    <w14:schemeClr w14:val="tx1"/>
                  </w14:solidFill>
                </w14:textFill>
              </w:rPr>
              <w:t>经过旋转的滚笼后，直径≤</w:t>
            </w:r>
            <w:r>
              <w:rPr>
                <w:rFonts w:hint="eastAsia" w:ascii="Times New Roman" w:hAnsi="Times New Roman" w:cs="Times New Roman"/>
                <w:color w:val="000000" w:themeColor="text1"/>
                <w:highlight w:val="none"/>
                <w:lang w:val="en-US" w:eastAsia="zh-CN"/>
                <w14:textFill>
                  <w14:solidFill>
                    <w14:schemeClr w14:val="tx1"/>
                  </w14:solidFill>
                </w14:textFill>
              </w:rPr>
              <w:t>120</w:t>
            </w:r>
            <w:r>
              <w:rPr>
                <w:rFonts w:hint="default" w:ascii="Times New Roman" w:hAnsi="Times New Roman" w:cs="Times New Roman"/>
                <w:color w:val="000000" w:themeColor="text1"/>
                <w:highlight w:val="none"/>
                <w:lang w:val="en-US" w:eastAsia="zh-CN"/>
                <w14:textFill>
                  <w14:solidFill>
                    <w14:schemeClr w14:val="tx1"/>
                  </w14:solidFill>
                </w14:textFill>
              </w:rPr>
              <w:t>mm的炉渣颗粒透过滚笼侧面网孔流出，进入下一道工序；而体积较大的渣块（＞</w:t>
            </w:r>
            <w:r>
              <w:rPr>
                <w:rFonts w:hint="eastAsia" w:ascii="Times New Roman" w:hAnsi="Times New Roman" w:cs="Times New Roman"/>
                <w:color w:val="000000" w:themeColor="text1"/>
                <w:highlight w:val="none"/>
                <w:lang w:val="en-US" w:eastAsia="zh-CN"/>
                <w14:textFill>
                  <w14:solidFill>
                    <w14:schemeClr w14:val="tx1"/>
                  </w14:solidFill>
                </w14:textFill>
              </w:rPr>
              <w:t>12</w:t>
            </w:r>
            <w:r>
              <w:rPr>
                <w:rFonts w:hint="default" w:ascii="Times New Roman" w:hAnsi="Times New Roman" w:cs="Times New Roman"/>
                <w:color w:val="000000" w:themeColor="text1"/>
                <w:highlight w:val="none"/>
                <w:lang w:val="en-US" w:eastAsia="zh-CN"/>
                <w14:textFill>
                  <w14:solidFill>
                    <w14:schemeClr w14:val="tx1"/>
                  </w14:solidFill>
                </w14:textFill>
              </w:rPr>
              <w:t>0mm）则通过喇叭状</w:t>
            </w:r>
            <w:r>
              <w:rPr>
                <w:rFonts w:hint="eastAsia" w:ascii="Times New Roman" w:hAnsi="Times New Roman" w:cs="Times New Roman"/>
                <w:color w:val="000000" w:themeColor="text1"/>
                <w:highlight w:val="none"/>
                <w:lang w:val="en-US" w:eastAsia="zh-CN"/>
                <w14:textFill>
                  <w14:solidFill>
                    <w14:schemeClr w14:val="tx1"/>
                  </w14:solidFill>
                </w14:textFill>
              </w:rPr>
              <w:t>滚筛</w:t>
            </w:r>
            <w:r>
              <w:rPr>
                <w:rFonts w:hint="default" w:ascii="Times New Roman" w:hAnsi="Times New Roman" w:cs="Times New Roman"/>
                <w:color w:val="000000" w:themeColor="text1"/>
                <w:highlight w:val="none"/>
                <w:lang w:val="en-US" w:eastAsia="zh-CN"/>
                <w14:textFill>
                  <w14:solidFill>
                    <w14:schemeClr w14:val="tx1"/>
                  </w14:solidFill>
                </w14:textFill>
              </w:rPr>
              <w:t>的大口端流出，通过</w:t>
            </w:r>
            <w:r>
              <w:rPr>
                <w:rFonts w:hint="eastAsia" w:ascii="Times New Roman" w:hAnsi="Times New Roman" w:cs="Times New Roman"/>
                <w:color w:val="000000" w:themeColor="text1"/>
                <w:highlight w:val="none"/>
                <w:lang w:val="en-US" w:eastAsia="zh-CN"/>
                <w14:textFill>
                  <w14:solidFill>
                    <w14:schemeClr w14:val="tx1"/>
                  </w14:solidFill>
                </w14:textFill>
              </w:rPr>
              <w:t>输送带</w:t>
            </w:r>
            <w:r>
              <w:rPr>
                <w:rFonts w:hint="default" w:ascii="Times New Roman" w:hAnsi="Times New Roman" w:cs="Times New Roman"/>
                <w:color w:val="000000" w:themeColor="text1"/>
                <w:highlight w:val="none"/>
                <w:lang w:val="en-US" w:eastAsia="zh-CN"/>
                <w14:textFill>
                  <w14:solidFill>
                    <w14:schemeClr w14:val="tx1"/>
                  </w14:solidFill>
                </w14:textFill>
              </w:rPr>
              <w:t>送入</w:t>
            </w:r>
            <w:r>
              <w:rPr>
                <w:rFonts w:hint="eastAsia" w:ascii="Times New Roman" w:hAnsi="Times New Roman" w:cs="Times New Roman"/>
                <w:color w:val="000000" w:themeColor="text1"/>
                <w:highlight w:val="none"/>
                <w:lang w:val="en-US" w:eastAsia="zh-CN"/>
                <w14:textFill>
                  <w14:solidFill>
                    <w14:schemeClr w14:val="tx1"/>
                  </w14:solidFill>
                </w14:textFill>
              </w:rPr>
              <w:t>打砂</w:t>
            </w:r>
            <w:r>
              <w:rPr>
                <w:rFonts w:hint="default" w:ascii="Times New Roman" w:hAnsi="Times New Roman" w:cs="Times New Roman"/>
                <w:color w:val="000000" w:themeColor="text1"/>
                <w:highlight w:val="none"/>
                <w:lang w:val="en-US" w:eastAsia="zh-CN"/>
                <w14:textFill>
                  <w14:solidFill>
                    <w14:schemeClr w14:val="tx1"/>
                  </w14:solidFill>
                </w14:textFill>
              </w:rPr>
              <w:t>破碎机进行一级破碎。未燃尽物料在传送带上被人工拣出和滚笼筛分出，集中堆放在未燃尽</w:t>
            </w:r>
            <w:r>
              <w:rPr>
                <w:rFonts w:hint="eastAsia" w:ascii="Times New Roman" w:hAnsi="Times New Roman" w:cs="Times New Roman"/>
                <w:color w:val="000000" w:themeColor="text1"/>
                <w:highlight w:val="none"/>
                <w:lang w:val="en-US" w:eastAsia="zh-CN"/>
                <w14:textFill>
                  <w14:solidFill>
                    <w14:schemeClr w14:val="tx1"/>
                  </w14:solidFill>
                </w14:textFill>
              </w:rPr>
              <w:t>垃圾</w:t>
            </w:r>
            <w:r>
              <w:rPr>
                <w:rFonts w:hint="default" w:ascii="Times New Roman" w:hAnsi="Times New Roman" w:cs="Times New Roman"/>
                <w:color w:val="000000" w:themeColor="text1"/>
                <w:highlight w:val="none"/>
                <w:lang w:val="en-US" w:eastAsia="zh-CN"/>
                <w14:textFill>
                  <w14:solidFill>
                    <w14:schemeClr w14:val="tx1"/>
                  </w14:solidFill>
                </w14:textFill>
              </w:rPr>
              <w:t>堆放区，送回垃圾焚烧发电厂重新焚烧</w:t>
            </w:r>
            <w:r>
              <w:rPr>
                <w:rFonts w:hint="eastAsia" w:ascii="Times New Roman" w:hAnsi="Times New Roman" w:cs="Times New Roman"/>
                <w:color w:val="000000" w:themeColor="text1"/>
                <w:highlight w:val="none"/>
                <w:lang w:val="en-US" w:eastAsia="zh-CN"/>
                <w14:textFill>
                  <w14:solidFill>
                    <w14:schemeClr w14:val="tx1"/>
                  </w14:solidFill>
                </w14:textFill>
              </w:rPr>
              <w:t>。</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此工艺产污节点主要为：滚筒筛产生的未燃尽物料</w:t>
            </w:r>
            <w:r>
              <w:rPr>
                <w:rFonts w:hint="eastAsia" w:ascii="Times New Roman" w:hAnsi="Times New Roman" w:cs="Times New Roman"/>
                <w:color w:val="000000" w:themeColor="text1"/>
                <w:highlight w:val="none"/>
                <w:lang w:val="en-US" w:eastAsia="zh-CN"/>
                <w14:textFill>
                  <w14:solidFill>
                    <w14:schemeClr w14:val="tx1"/>
                  </w14:solidFill>
                </w14:textFill>
              </w:rPr>
              <w:t>。</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④废铁破碎：直径小于120mm的物料经输送带进入废铁破碎机与除铁器内含铁物料经高速旋转的转子迅速加速，物料在破碎腔内受到若干次撞击、磨擦和研磨破碎</w:t>
            </w:r>
            <w:r>
              <w:rPr>
                <w:rFonts w:hint="default" w:ascii="Times New Roman" w:hAnsi="Times New Roman" w:cs="Times New Roman"/>
                <w:color w:val="000000" w:themeColor="text1"/>
                <w:highlight w:val="none"/>
                <w:lang w:val="en-US" w:eastAsia="zh-CN"/>
                <w14:textFill>
                  <w14:solidFill>
                    <w14:schemeClr w14:val="tx1"/>
                  </w14:solidFill>
                </w14:textFill>
              </w:rPr>
              <w:t>。</w:t>
            </w:r>
            <w:r>
              <w:rPr>
                <w:rFonts w:hint="eastAsia" w:ascii="Times New Roman" w:hAnsi="Times New Roman" w:cs="Times New Roman"/>
                <w:color w:val="000000" w:themeColor="text1"/>
                <w:highlight w:val="none"/>
                <w:lang w:val="en-US" w:eastAsia="zh-CN"/>
                <w14:textFill>
                  <w14:solidFill>
                    <w14:schemeClr w14:val="tx1"/>
                  </w14:solidFill>
                </w14:textFill>
              </w:rPr>
              <w:t>废铁破碎机工作时加水。</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此工艺产污节点主要为：废铁破碎机工作产生的噪声</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⑤除铁器：废铁破碎机处理后的炉渣进入除铁器，此设备利用矿物之间存在的磁性差异，将铁磁性杂质去除，由弃铁胶带将铁磁杂物拽至二级滚筒筛卸下，达到自动除铁的目的，除铁器工作时加水。</w:t>
            </w:r>
          </w:p>
          <w:p>
            <w:pPr>
              <w:pStyle w:val="47"/>
              <w:bidi w:val="0"/>
              <w:rPr>
                <w:rFonts w:hint="eastAsia" w:ascii="Times New Roman" w:hAnsi="Times New Roman" w:cs="Times New Roman"/>
                <w:b/>
                <w:bCs/>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此工艺产污节点主要为：除铁器工作产生的噪声。</w:t>
            </w:r>
          </w:p>
          <w:p>
            <w:pPr>
              <w:pStyle w:val="47"/>
              <w:bidi w:val="0"/>
              <w:ind w:left="0" w:leftChars="0" w:firstLine="480" w:firstLineChars="20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⑥二级滚筒筛：铁磁杂物经滚筒筛（直径≥60mm）筛分出铁件，＜60mm筛分出铁屑外售</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⑦</w:t>
            </w:r>
            <w:r>
              <w:rPr>
                <w:rFonts w:hint="default" w:ascii="Times New Roman" w:hAnsi="Times New Roman" w:cs="Times New Roman"/>
                <w:color w:val="000000" w:themeColor="text1"/>
                <w:highlight w:val="none"/>
                <w:lang w:val="en-US" w:eastAsia="zh-CN"/>
                <w14:textFill>
                  <w14:solidFill>
                    <w14:schemeClr w14:val="tx1"/>
                  </w14:solidFill>
                </w14:textFill>
              </w:rPr>
              <w:t>一级破碎：</w:t>
            </w:r>
            <w:r>
              <w:rPr>
                <w:rFonts w:hint="eastAsia" w:ascii="Times New Roman" w:hAnsi="Times New Roman" w:cs="Times New Roman"/>
                <w:color w:val="000000" w:themeColor="text1"/>
                <w:highlight w:val="none"/>
                <w:lang w:val="en-US" w:eastAsia="zh-CN"/>
                <w14:textFill>
                  <w14:solidFill>
                    <w14:schemeClr w14:val="tx1"/>
                  </w14:solidFill>
                </w14:textFill>
              </w:rPr>
              <w:t>滚筒筛</w:t>
            </w:r>
            <w:r>
              <w:rPr>
                <w:rFonts w:hint="default" w:ascii="Times New Roman" w:hAnsi="Times New Roman" w:cs="Times New Roman"/>
                <w:color w:val="000000" w:themeColor="text1"/>
                <w:highlight w:val="none"/>
                <w:lang w:val="en-US" w:eastAsia="zh-CN"/>
                <w14:textFill>
                  <w14:solidFill>
                    <w14:schemeClr w14:val="tx1"/>
                  </w14:solidFill>
                </w14:textFill>
              </w:rPr>
              <w:t>分出的体积较大的渣块（＞</w:t>
            </w:r>
            <w:r>
              <w:rPr>
                <w:rFonts w:hint="eastAsia" w:ascii="Times New Roman" w:hAnsi="Times New Roman" w:cs="Times New Roman"/>
                <w:color w:val="000000" w:themeColor="text1"/>
                <w:highlight w:val="none"/>
                <w:lang w:val="en-US" w:eastAsia="zh-CN"/>
                <w14:textFill>
                  <w14:solidFill>
                    <w14:schemeClr w14:val="tx1"/>
                  </w14:solidFill>
                </w14:textFill>
              </w:rPr>
              <w:t>120</w:t>
            </w:r>
            <w:r>
              <w:rPr>
                <w:rFonts w:hint="default" w:ascii="Times New Roman" w:hAnsi="Times New Roman" w:cs="Times New Roman"/>
                <w:color w:val="000000" w:themeColor="text1"/>
                <w:highlight w:val="none"/>
                <w:lang w:val="en-US" w:eastAsia="zh-CN"/>
                <w14:textFill>
                  <w14:solidFill>
                    <w14:schemeClr w14:val="tx1"/>
                  </w14:solidFill>
                </w14:textFill>
              </w:rPr>
              <w:t>mm）送入一级破碎机进行一级破碎后，破碎完成后落入</w:t>
            </w:r>
            <w:r>
              <w:rPr>
                <w:rFonts w:hint="eastAsia" w:ascii="Times New Roman" w:hAnsi="Times New Roman" w:cs="Times New Roman"/>
                <w:color w:val="000000" w:themeColor="text1"/>
                <w:highlight w:val="none"/>
                <w:lang w:val="en-US" w:eastAsia="zh-CN"/>
                <w14:textFill>
                  <w14:solidFill>
                    <w14:schemeClr w14:val="tx1"/>
                  </w14:solidFill>
                </w14:textFill>
              </w:rPr>
              <w:t>磁选机</w:t>
            </w:r>
            <w:r>
              <w:rPr>
                <w:rFonts w:hint="default" w:ascii="Times New Roman" w:hAnsi="Times New Roman" w:cs="Times New Roman"/>
                <w:color w:val="000000" w:themeColor="text1"/>
                <w:highlight w:val="none"/>
                <w:lang w:val="en-US" w:eastAsia="zh-CN"/>
                <w14:textFill>
                  <w14:solidFill>
                    <w14:schemeClr w14:val="tx1"/>
                  </w14:solidFill>
                </w14:textFill>
              </w:rPr>
              <w:t>。</w:t>
            </w:r>
            <w:r>
              <w:rPr>
                <w:rFonts w:hint="eastAsia" w:ascii="Times New Roman" w:hAnsi="Times New Roman" w:cs="Times New Roman"/>
                <w:color w:val="000000" w:themeColor="text1"/>
                <w:highlight w:val="none"/>
                <w:lang w:val="en-US" w:eastAsia="zh-CN"/>
                <w14:textFill>
                  <w14:solidFill>
                    <w14:schemeClr w14:val="tx1"/>
                  </w14:solidFill>
                </w14:textFill>
              </w:rPr>
              <w:t>破碎时加水，为湿法作业。</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此工艺产污节点主要为：破碎机工作产生的噪声</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⑧</w:t>
            </w:r>
            <w:r>
              <w:rPr>
                <w:rFonts w:hint="default" w:ascii="Times New Roman" w:hAnsi="Times New Roman" w:cs="Times New Roman"/>
                <w:color w:val="000000" w:themeColor="text1"/>
                <w:highlight w:val="none"/>
                <w:lang w:val="en-US" w:eastAsia="zh-CN"/>
                <w14:textFill>
                  <w14:solidFill>
                    <w14:schemeClr w14:val="tx1"/>
                  </w14:solidFill>
                </w14:textFill>
              </w:rPr>
              <w:t>磁选：破碎机出口设置湿式磁选机，由破碎机出口流出的炉渣及冲洗水混合物，流经湿式磁选机下方，炉渣中所含有铁及铁粉等磁性金属被磁选出来。</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⑨一级</w:t>
            </w:r>
            <w:r>
              <w:rPr>
                <w:rFonts w:hint="default" w:ascii="Times New Roman" w:hAnsi="Times New Roman" w:cs="Times New Roman"/>
                <w:color w:val="000000" w:themeColor="text1"/>
                <w:highlight w:val="none"/>
                <w:lang w:val="en-US" w:eastAsia="zh-CN"/>
                <w14:textFill>
                  <w14:solidFill>
                    <w14:schemeClr w14:val="tx1"/>
                  </w14:solidFill>
                </w14:textFill>
              </w:rPr>
              <w:t>跳汰：经磁选后的炉渣和水混合物，流入锯齿波跳汰机。锯齿波跳汰机根据跳汰床层理论分层规律，其跳汰脉动曲线呈锯齿形，上升水流快于下降水流，使炉渣中的重颗粒物质得到充分沉降，</w:t>
            </w:r>
            <w:r>
              <w:rPr>
                <w:rFonts w:hint="eastAsia" w:ascii="Times New Roman" w:hAnsi="Times New Roman" w:cs="Times New Roman"/>
                <w:color w:val="000000" w:themeColor="text1"/>
                <w:highlight w:val="none"/>
                <w:lang w:val="en-US" w:eastAsia="zh-CN"/>
                <w14:textFill>
                  <w14:solidFill>
                    <w14:schemeClr w14:val="tx1"/>
                  </w14:solidFill>
                </w14:textFill>
              </w:rPr>
              <w:t>较轻比重的金属颗粒物进入洗砂器滚筛跳铝机进行金属的分类回收。比重较重的重金属进入二级跳汰机。</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此工艺产污节点主要为：跳汰机工作产生的噪声</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⑩二级跳汰、摇床：</w:t>
            </w:r>
            <w:r>
              <w:rPr>
                <w:rFonts w:hint="default" w:ascii="Times New Roman" w:hAnsi="Times New Roman" w:cs="Times New Roman"/>
                <w:color w:val="000000" w:themeColor="text1"/>
                <w:highlight w:val="none"/>
                <w:lang w:val="en-US" w:eastAsia="zh-CN"/>
                <w14:textFill>
                  <w14:solidFill>
                    <w14:schemeClr w14:val="tx1"/>
                  </w14:solidFill>
                </w14:textFill>
              </w:rPr>
              <w:t>比重较重的金属颗粒随着下降水流沉降到</w:t>
            </w:r>
            <w:r>
              <w:rPr>
                <w:rFonts w:hint="eastAsia" w:ascii="Times New Roman" w:hAnsi="Times New Roman" w:cs="Times New Roman"/>
                <w:color w:val="000000" w:themeColor="text1"/>
                <w:highlight w:val="none"/>
                <w:lang w:val="en-US" w:eastAsia="zh-CN"/>
                <w14:textFill>
                  <w14:solidFill>
                    <w14:schemeClr w14:val="tx1"/>
                  </w14:solidFill>
                </w14:textFill>
              </w:rPr>
              <w:t>二级</w:t>
            </w:r>
            <w:r>
              <w:rPr>
                <w:rFonts w:hint="default" w:ascii="Times New Roman" w:hAnsi="Times New Roman" w:cs="Times New Roman"/>
                <w:color w:val="000000" w:themeColor="text1"/>
                <w:highlight w:val="none"/>
                <w:lang w:val="en-US" w:eastAsia="zh-CN"/>
                <w14:textFill>
                  <w14:solidFill>
                    <w14:schemeClr w14:val="tx1"/>
                  </w14:solidFill>
                </w14:textFill>
              </w:rPr>
              <w:t>跳汰机最后进入摇床</w:t>
            </w:r>
            <w:r>
              <w:rPr>
                <w:rFonts w:hint="eastAsia" w:ascii="Times New Roman" w:hAnsi="Times New Roman" w:cs="Times New Roman"/>
                <w:color w:val="000000" w:themeColor="text1"/>
                <w:highlight w:val="none"/>
                <w:lang w:val="en-US" w:eastAsia="zh-CN"/>
                <w14:textFill>
                  <w14:solidFill>
                    <w14:schemeClr w14:val="tx1"/>
                  </w14:solidFill>
                </w14:textFill>
              </w:rPr>
              <w:t>、破碎机、</w:t>
            </w:r>
            <w:r>
              <w:rPr>
                <w:rFonts w:hint="default" w:ascii="Times New Roman" w:hAnsi="Times New Roman" w:cs="Times New Roman"/>
                <w:color w:val="000000" w:themeColor="text1"/>
                <w:highlight w:val="none"/>
                <w:lang w:val="en-US" w:eastAsia="zh-CN"/>
                <w14:textFill>
                  <w14:solidFill>
                    <w14:schemeClr w14:val="tx1"/>
                  </w14:solidFill>
                </w14:textFill>
              </w:rPr>
              <w:t>除铁器进行金属的分类回收；而</w:t>
            </w:r>
            <w:r>
              <w:rPr>
                <w:rFonts w:hint="eastAsia" w:ascii="Times New Roman" w:hAnsi="Times New Roman" w:cs="Times New Roman"/>
                <w:color w:val="000000" w:themeColor="text1"/>
                <w:highlight w:val="none"/>
                <w:lang w:val="en-US" w:eastAsia="zh-CN"/>
                <w14:textFill>
                  <w14:solidFill>
                    <w14:schemeClr w14:val="tx1"/>
                  </w14:solidFill>
                </w14:textFill>
              </w:rPr>
              <w:t>其中</w:t>
            </w:r>
            <w:r>
              <w:rPr>
                <w:rFonts w:hint="default" w:ascii="Times New Roman" w:hAnsi="Times New Roman" w:cs="Times New Roman"/>
                <w:color w:val="000000" w:themeColor="text1"/>
                <w:highlight w:val="none"/>
                <w:lang w:val="en-US" w:eastAsia="zh-CN"/>
                <w14:textFill>
                  <w14:solidFill>
                    <w14:schemeClr w14:val="tx1"/>
                  </w14:solidFill>
                </w14:textFill>
              </w:rPr>
              <w:t>比重较轻的物质（基本上已经去除了所有金属物质）则</w:t>
            </w:r>
            <w:r>
              <w:rPr>
                <w:rFonts w:hint="eastAsia" w:ascii="Times New Roman" w:hAnsi="Times New Roman" w:cs="Times New Roman"/>
                <w:color w:val="000000" w:themeColor="text1"/>
                <w:highlight w:val="none"/>
                <w:lang w:val="en-US" w:eastAsia="zh-CN"/>
                <w14:textFill>
                  <w14:solidFill>
                    <w14:schemeClr w14:val="tx1"/>
                  </w14:solidFill>
                </w14:textFill>
              </w:rPr>
              <w:t>直接进入摇床进行重金属颗粒物回收，剩余砂、水混合物进入沉砂池。</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此工艺产污节点主要为：跳汰机工作产生的噪声</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pStyle w:val="47"/>
              <w:bidi w:val="0"/>
              <w:rPr>
                <w:rFonts w:hint="eastAsia"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⑪洗砂器、滚筒筛、跳铝机：一级</w:t>
            </w:r>
            <w:r>
              <w:rPr>
                <w:rFonts w:hint="default" w:ascii="Times New Roman" w:hAnsi="Times New Roman" w:cs="Times New Roman"/>
                <w:color w:val="000000" w:themeColor="text1"/>
                <w:highlight w:val="none"/>
                <w:lang w:val="en-US" w:eastAsia="zh-CN"/>
                <w14:textFill>
                  <w14:solidFill>
                    <w14:schemeClr w14:val="tx1"/>
                  </w14:solidFill>
                </w14:textFill>
              </w:rPr>
              <w:t>跳汰炉渣（轻）进入洗砂</w:t>
            </w:r>
            <w:r>
              <w:rPr>
                <w:rFonts w:hint="eastAsia" w:ascii="Times New Roman" w:hAnsi="Times New Roman" w:cs="Times New Roman"/>
                <w:color w:val="000000" w:themeColor="text1"/>
                <w:highlight w:val="none"/>
                <w:lang w:val="en-US" w:eastAsia="zh-CN"/>
                <w14:textFill>
                  <w14:solidFill>
                    <w14:schemeClr w14:val="tx1"/>
                  </w14:solidFill>
                </w14:textFill>
              </w:rPr>
              <w:t>器</w:t>
            </w:r>
            <w:r>
              <w:rPr>
                <w:rFonts w:hint="default" w:ascii="Times New Roman" w:hAnsi="Times New Roman" w:cs="Times New Roman"/>
                <w:color w:val="000000" w:themeColor="text1"/>
                <w:highlight w:val="none"/>
                <w:lang w:val="en-US" w:eastAsia="zh-CN"/>
                <w14:textFill>
                  <w14:solidFill>
                    <w14:schemeClr w14:val="tx1"/>
                  </w14:solidFill>
                </w14:textFill>
              </w:rPr>
              <w:t>，经过洗砂机的砂进入</w:t>
            </w:r>
            <w:r>
              <w:rPr>
                <w:rFonts w:hint="eastAsia" w:ascii="Times New Roman" w:hAnsi="Times New Roman" w:cs="Times New Roman"/>
                <w:color w:val="000000" w:themeColor="text1"/>
                <w:highlight w:val="none"/>
                <w:lang w:val="en-US" w:eastAsia="zh-CN"/>
                <w14:textFill>
                  <w14:solidFill>
                    <w14:schemeClr w14:val="tx1"/>
                  </w14:solidFill>
                </w14:textFill>
              </w:rPr>
              <w:t>滚筒筛，直径≥10mm的砂进入1号跳铝机其中粗砂回破碎机重新破碎磁选</w:t>
            </w:r>
            <w:r>
              <w:rPr>
                <w:rFonts w:hint="default" w:ascii="Times New Roman" w:hAnsi="Times New Roman" w:cs="Times New Roman"/>
                <w:color w:val="000000" w:themeColor="text1"/>
                <w:highlight w:val="none"/>
                <w:lang w:val="en-US" w:eastAsia="zh-CN"/>
                <w14:textFill>
                  <w14:solidFill>
                    <w14:schemeClr w14:val="tx1"/>
                  </w14:solidFill>
                </w14:textFill>
              </w:rPr>
              <w:t>，</w:t>
            </w:r>
            <w:r>
              <w:rPr>
                <w:rFonts w:hint="eastAsia" w:ascii="Times New Roman" w:hAnsi="Times New Roman" w:cs="Times New Roman"/>
                <w:color w:val="000000" w:themeColor="text1"/>
                <w:highlight w:val="none"/>
                <w:lang w:val="en-US" w:eastAsia="zh-CN"/>
                <w14:textFill>
                  <w14:solidFill>
                    <w14:schemeClr w14:val="tx1"/>
                  </w14:solidFill>
                </w14:textFill>
              </w:rPr>
              <w:t>重金属（铝）外售；＜10mm的金属颗粒物进入2号跳铝机其中砂进入脱水筛后外售制砖，重金属（铝）外售。脱水筛剩余水进入沉砂池。</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b/>
                <w:bCs/>
                <w:color w:val="000000" w:themeColor="text1"/>
                <w:highlight w:val="none"/>
                <w:lang w:val="en-US" w:eastAsia="zh-CN"/>
                <w14:textFill>
                  <w14:solidFill>
                    <w14:schemeClr w14:val="tx1"/>
                  </w14:solidFill>
                </w14:textFill>
              </w:rPr>
              <w:t>此工艺产污节点主要为：滚筒筛工作时产生的噪声</w:t>
            </w:r>
            <w:r>
              <w:rPr>
                <w:rFonts w:hint="eastAsia" w:ascii="Times New Roman" w:hAnsi="Times New Roman" w:cs="Times New Roman"/>
                <w:color w:val="000000" w:themeColor="text1"/>
                <w:highlight w:val="none"/>
                <w:lang w:val="en-US" w:eastAsia="zh-CN"/>
                <w14:textFill>
                  <w14:solidFill>
                    <w14:schemeClr w14:val="tx1"/>
                  </w14:solidFill>
                </w14:textFill>
              </w:rPr>
              <w:t>。</w:t>
            </w:r>
          </w:p>
          <w:p>
            <w:pPr>
              <w:pStyle w:val="47"/>
              <w:bidi w:val="0"/>
              <w:spacing w:line="360" w:lineRule="auto"/>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⑫</w:t>
            </w:r>
            <w:r>
              <w:rPr>
                <w:rFonts w:hint="default" w:ascii="Times New Roman" w:hAnsi="Times New Roman" w:cs="Times New Roman"/>
                <w:color w:val="000000" w:themeColor="text1"/>
                <w:highlight w:val="none"/>
                <w:lang w:val="en-US" w:eastAsia="zh-CN"/>
                <w14:textFill>
                  <w14:solidFill>
                    <w14:schemeClr w14:val="tx1"/>
                  </w14:solidFill>
                </w14:textFill>
              </w:rPr>
              <w:t>沉砂</w:t>
            </w:r>
            <w:r>
              <w:rPr>
                <w:rFonts w:hint="eastAsia" w:ascii="Times New Roman" w:hAnsi="Times New Roman" w:cs="Times New Roman"/>
                <w:color w:val="000000" w:themeColor="text1"/>
                <w:highlight w:val="none"/>
                <w:lang w:val="en-US" w:eastAsia="zh-CN"/>
                <w14:textFill>
                  <w14:solidFill>
                    <w14:schemeClr w14:val="tx1"/>
                  </w14:solidFill>
                </w14:textFill>
              </w:rPr>
              <w:t>池</w:t>
            </w:r>
            <w:r>
              <w:rPr>
                <w:rFonts w:hint="default" w:ascii="Times New Roman" w:hAnsi="Times New Roman" w:cs="Times New Roman"/>
                <w:color w:val="000000" w:themeColor="text1"/>
                <w:highlight w:val="none"/>
                <w:lang w:val="en-US" w:eastAsia="zh-CN"/>
                <w14:textFill>
                  <w14:solidFill>
                    <w14:schemeClr w14:val="tx1"/>
                  </w14:solidFill>
                </w14:textFill>
              </w:rPr>
              <w:t>、</w:t>
            </w:r>
            <w:r>
              <w:rPr>
                <w:rFonts w:hint="eastAsia" w:ascii="Times New Roman" w:hAnsi="Times New Roman" w:cs="Times New Roman"/>
                <w:color w:val="000000" w:themeColor="text1"/>
                <w:highlight w:val="none"/>
                <w:lang w:val="en-US" w:eastAsia="zh-CN"/>
                <w14:textFill>
                  <w14:solidFill>
                    <w14:schemeClr w14:val="tx1"/>
                  </w14:solidFill>
                </w14:textFill>
              </w:rPr>
              <w:t>沉淀池</w:t>
            </w:r>
            <w:r>
              <w:rPr>
                <w:rFonts w:hint="default" w:ascii="Times New Roman" w:hAnsi="Times New Roman" w:cs="Times New Roman"/>
                <w:color w:val="000000" w:themeColor="text1"/>
                <w:highlight w:val="none"/>
                <w:lang w:val="en-US" w:eastAsia="zh-CN"/>
                <w14:textFill>
                  <w14:solidFill>
                    <w14:schemeClr w14:val="tx1"/>
                  </w14:solidFill>
                </w14:textFill>
              </w:rPr>
              <w:t>：</w:t>
            </w:r>
            <w:r>
              <w:rPr>
                <w:rFonts w:hint="eastAsia" w:ascii="Times New Roman" w:hAnsi="Times New Roman" w:cs="Times New Roman"/>
                <w:color w:val="000000" w:themeColor="text1"/>
                <w:highlight w:val="none"/>
                <w:lang w:val="en-US" w:eastAsia="zh-CN"/>
                <w14:textFill>
                  <w14:solidFill>
                    <w14:schemeClr w14:val="tx1"/>
                  </w14:solidFill>
                </w14:textFill>
              </w:rPr>
              <w:t>摇床的砂、水混合物以及尾砂进入沉砂池后上层水进入沉淀池，底砂回洗砂器进行脱水后外售给制砖厂；沉淀池上清液进循环清水池后回用于生产，沉淀池底泥进行压滤后外售制砖，压滤过程产生的水进循环清水池</w:t>
            </w:r>
            <w:r>
              <w:rPr>
                <w:rFonts w:hint="default" w:ascii="Times New Roman" w:hAnsi="Times New Roman" w:cs="Times New Roman"/>
                <w:color w:val="000000" w:themeColor="text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85" w:type="dxa"/>
            <w:noWrap w:val="0"/>
            <w:vAlign w:val="center"/>
          </w:tcPr>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与项目有关的原有环境污染问题</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both"/>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tc>
        <w:tc>
          <w:tcPr>
            <w:tcW w:w="8586" w:type="dxa"/>
            <w:noWrap w:val="0"/>
            <w:vAlign w:val="center"/>
          </w:tcPr>
          <w:p>
            <w:pPr>
              <w:pStyle w:val="47"/>
              <w:bidi w:val="0"/>
              <w:ind w:left="0" w:leftChars="0" w:firstLine="480" w:firstLineChars="20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本项目为新建项目，不存在原有环境污染问题。</w:t>
            </w:r>
          </w:p>
          <w:p>
            <w:pPr>
              <w:pStyle w:val="47"/>
              <w:bidi w:val="0"/>
              <w:ind w:left="0" w:leftChars="0" w:firstLine="0" w:firstLineChars="0"/>
              <w:rPr>
                <w:rFonts w:hint="default" w:ascii="Times New Roman" w:hAnsi="Times New Roman" w:cs="Times New Roman"/>
                <w:color w:val="000000" w:themeColor="text1"/>
                <w:highlight w:val="none"/>
                <w:lang w:val="en-US" w:eastAsia="zh-CN"/>
                <w14:textFill>
                  <w14:solidFill>
                    <w14:schemeClr w14:val="tx1"/>
                  </w14:solidFill>
                </w14:textFill>
              </w:rPr>
            </w:pPr>
          </w:p>
        </w:tc>
      </w:tr>
    </w:tbl>
    <w:p>
      <w:pPr>
        <w:rPr>
          <w:rFonts w:hint="default" w:ascii="Times New Roman" w:hAnsi="Times New Roman" w:cs="Times New Roman"/>
          <w:color w:val="000000" w:themeColor="text1"/>
          <w:highlight w:val="none"/>
          <w14:textFill>
            <w14:solidFill>
              <w14:schemeClr w14:val="tx1"/>
            </w14:solidFill>
          </w14:textFill>
        </w:rPr>
        <w:sectPr>
          <w:pgSz w:w="11905" w:h="16838"/>
          <w:pgMar w:top="1440" w:right="1587" w:bottom="1440" w:left="1587" w:header="851" w:footer="850" w:gutter="0"/>
          <w:pgBorders>
            <w:top w:val="none" w:sz="0" w:space="0"/>
            <w:left w:val="none" w:sz="0" w:space="0"/>
            <w:bottom w:val="none" w:sz="0" w:space="0"/>
            <w:right w:val="none" w:sz="0" w:space="0"/>
          </w:pgBorders>
          <w:pgNumType w:fmt="decimal"/>
          <w:cols w:space="0" w:num="1"/>
          <w:rtlGutter w:val="0"/>
          <w:docGrid w:linePitch="312" w:charSpace="0"/>
        </w:sectPr>
      </w:pPr>
    </w:p>
    <w:p>
      <w:pPr>
        <w:pStyle w:val="2"/>
        <w:bidi w:val="0"/>
        <w:jc w:val="center"/>
        <w:rPr>
          <w:rFonts w:hint="default" w:ascii="黑体" w:hAnsi="黑体" w:eastAsia="黑体" w:cs="黑体"/>
          <w:b w:val="0"/>
          <w:bCs w:val="0"/>
          <w:color w:val="000000" w:themeColor="text1"/>
          <w:sz w:val="30"/>
          <w:szCs w:val="30"/>
          <w:highlight w:val="none"/>
          <w14:textFill>
            <w14:solidFill>
              <w14:schemeClr w14:val="tx1"/>
            </w14:solidFill>
          </w14:textFill>
        </w:rPr>
      </w:pPr>
      <w:r>
        <w:rPr>
          <w:rFonts w:hint="default" w:ascii="黑体" w:hAnsi="黑体" w:eastAsia="黑体" w:cs="黑体"/>
          <w:b w:val="0"/>
          <w:bCs w:val="0"/>
          <w:color w:val="000000" w:themeColor="text1"/>
          <w:sz w:val="30"/>
          <w:szCs w:val="30"/>
          <w:highlight w:val="none"/>
          <w14:textFill>
            <w14:solidFill>
              <w14:schemeClr w14:val="tx1"/>
            </w14:solidFill>
          </w14:textFill>
        </w:rPr>
        <w:t>三、区域环境质量现状、环境保护目标及评价标准</w:t>
      </w:r>
    </w:p>
    <w:tbl>
      <w:tblPr>
        <w:tblStyle w:val="31"/>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87"/>
        <w:gridCol w:w="858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44" w:hRule="atLeast"/>
          <w:jc w:val="center"/>
        </w:trPr>
        <w:tc>
          <w:tcPr>
            <w:tcW w:w="487" w:type="dxa"/>
            <w:noWrap w:val="0"/>
            <w:vAlign w:val="center"/>
          </w:tcPr>
          <w:p>
            <w:pPr>
              <w:pStyle w:val="3"/>
              <w:bidi w:val="0"/>
              <w:spacing w:line="240" w:lineRule="auto"/>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14:textFill>
                  <w14:solidFill>
                    <w14:schemeClr w14:val="tx1"/>
                  </w14:solidFill>
                </w14:textFill>
              </w:rPr>
              <w:t>区域</w:t>
            </w:r>
          </w:p>
          <w:p>
            <w:pPr>
              <w:pStyle w:val="3"/>
              <w:bidi w:val="0"/>
              <w:spacing w:line="240" w:lineRule="auto"/>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14:textFill>
                  <w14:solidFill>
                    <w14:schemeClr w14:val="tx1"/>
                  </w14:solidFill>
                </w14:textFill>
              </w:rPr>
              <w:t>环境</w:t>
            </w:r>
          </w:p>
          <w:p>
            <w:pPr>
              <w:pStyle w:val="3"/>
              <w:bidi w:val="0"/>
              <w:spacing w:line="240" w:lineRule="auto"/>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14:textFill>
                  <w14:solidFill>
                    <w14:schemeClr w14:val="tx1"/>
                  </w14:solidFill>
                </w14:textFill>
              </w:rPr>
              <w:t>质量</w:t>
            </w:r>
          </w:p>
          <w:p>
            <w:pPr>
              <w:pStyle w:val="3"/>
              <w:bidi w:val="0"/>
              <w:spacing w:line="240" w:lineRule="auto"/>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14:textFill>
                  <w14:solidFill>
                    <w14:schemeClr w14:val="tx1"/>
                  </w14:solidFill>
                </w14:textFill>
              </w:rPr>
              <w:t>现状</w:t>
            </w:r>
          </w:p>
        </w:tc>
        <w:tc>
          <w:tcPr>
            <w:tcW w:w="8584" w:type="dxa"/>
            <w:noWrap w:val="0"/>
            <w:vAlign w:val="center"/>
          </w:tcPr>
          <w:p>
            <w:pPr>
              <w:pStyle w:val="2"/>
              <w:bidi w:val="0"/>
              <w:rPr>
                <w:rFonts w:hint="default" w:ascii="Times New Roman" w:hAnsi="Times New Roman" w:cs="Times New Roman"/>
                <w:color w:val="000000" w:themeColor="text1"/>
                <w:sz w:val="24"/>
                <w:szCs w:val="28"/>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8"/>
                <w:highlight w:val="none"/>
                <w:lang w:val="en-US" w:eastAsia="zh-CN"/>
                <w14:textFill>
                  <w14:solidFill>
                    <w14:schemeClr w14:val="tx1"/>
                  </w14:solidFill>
                </w14:textFill>
              </w:rPr>
              <w:t>1 环境空气质量现状</w:t>
            </w:r>
          </w:p>
          <w:p>
            <w:pPr>
              <w:spacing w:line="360" w:lineRule="auto"/>
              <w:ind w:firstLine="480" w:firstLineChars="200"/>
              <w:jc w:val="both"/>
              <w:rPr>
                <w:rFonts w:hint="default" w:ascii="Times New Roman" w:hAnsi="Times New Roman" w:cs="Times New Roman"/>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根据《秦皇岛市大气污染防治工作领导小组办公室关于2022年12月份环境空气质量情况的通报》（秦气防领办〔2023〕4号）可知，2022年抚宁区臭氧（O</w:t>
            </w:r>
            <w:r>
              <w:rPr>
                <w:rFonts w:hint="eastAsia"/>
                <w:color w:val="000000" w:themeColor="text1"/>
                <w:sz w:val="24"/>
                <w:szCs w:val="24"/>
                <w:highlight w:val="none"/>
                <w:vertAlign w:val="subscript"/>
                <w14:textFill>
                  <w14:solidFill>
                    <w14:schemeClr w14:val="tx1"/>
                  </w14:solidFill>
                </w14:textFill>
              </w:rPr>
              <w:t>3</w:t>
            </w:r>
            <w:r>
              <w:rPr>
                <w:rFonts w:hint="eastAsia"/>
                <w:color w:val="000000" w:themeColor="text1"/>
                <w:sz w:val="24"/>
                <w:szCs w:val="24"/>
                <w:highlight w:val="none"/>
                <w14:textFill>
                  <w14:solidFill>
                    <w14:schemeClr w14:val="tx1"/>
                  </w14:solidFill>
                </w14:textFill>
              </w:rPr>
              <w:t>）浓度不达标，超标倍数为0.075，其他指标均达到《环境空气质量标准》(GB3095-2012)二级标准要求</w:t>
            </w:r>
            <w:r>
              <w:rPr>
                <w:rFonts w:hint="default" w:ascii="Times New Roman" w:hAnsi="Times New Roman" w:cs="Times New Roman"/>
                <w:color w:val="000000" w:themeColor="text1"/>
                <w:sz w:val="24"/>
                <w:szCs w:val="24"/>
                <w:highlight w:val="none"/>
                <w14:textFill>
                  <w14:solidFill>
                    <w14:schemeClr w14:val="tx1"/>
                  </w14:solidFill>
                </w14:textFill>
              </w:rPr>
              <w:t>。</w:t>
            </w:r>
          </w:p>
          <w:p>
            <w:pPr>
              <w:adjustRightInd w:val="0"/>
              <w:snapToGrid w:val="0"/>
              <w:spacing w:line="240" w:lineRule="auto"/>
              <w:jc w:val="center"/>
              <w:rPr>
                <w:rFonts w:hint="default"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bCs/>
                <w:color w:val="000000" w:themeColor="text1"/>
                <w:sz w:val="21"/>
                <w:szCs w:val="21"/>
                <w:highlight w:val="none"/>
                <w:lang w:val="en-US" w:eastAsia="zh-CN"/>
                <w14:textFill>
                  <w14:solidFill>
                    <w14:schemeClr w14:val="tx1"/>
                  </w14:solidFill>
                </w14:textFill>
              </w:rPr>
              <w:t xml:space="preserve">表3-1  </w:t>
            </w:r>
            <w:r>
              <w:rPr>
                <w:rFonts w:hint="eastAsia" w:cs="Times New Roman"/>
                <w:b/>
                <w:bCs/>
                <w:color w:val="000000" w:themeColor="text1"/>
                <w:sz w:val="21"/>
                <w:szCs w:val="21"/>
                <w:highlight w:val="none"/>
                <w:lang w:val="en-US" w:eastAsia="zh-CN"/>
                <w14:textFill>
                  <w14:solidFill>
                    <w14:schemeClr w14:val="tx1"/>
                  </w14:solidFill>
                </w14:textFill>
              </w:rPr>
              <w:t>抚宁区</w:t>
            </w:r>
            <w:r>
              <w:rPr>
                <w:rFonts w:hint="default" w:ascii="Times New Roman" w:hAnsi="Times New Roman" w:cs="Times New Roman"/>
                <w:b/>
                <w:bCs/>
                <w:color w:val="000000" w:themeColor="text1"/>
                <w:sz w:val="21"/>
                <w:szCs w:val="21"/>
                <w:highlight w:val="none"/>
                <w:lang w:val="en-US" w:eastAsia="zh-CN"/>
                <w14:textFill>
                  <w14:solidFill>
                    <w14:schemeClr w14:val="tx1"/>
                  </w14:solidFill>
                </w14:textFill>
              </w:rPr>
              <w:t>环境空气质量情况</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0"/>
              <w:gridCol w:w="3216"/>
              <w:gridCol w:w="1367"/>
              <w:gridCol w:w="1367"/>
              <w:gridCol w:w="13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2"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污染物</w:t>
                  </w:r>
                </w:p>
              </w:tc>
              <w:tc>
                <w:tcPr>
                  <w:tcW w:w="1923"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年评价指标</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现状浓度</w:t>
                  </w:r>
                </w:p>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μg/m</w:t>
                  </w:r>
                  <w:r>
                    <w:rPr>
                      <w:rFonts w:hint="eastAsia"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3</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标准值</w:t>
                  </w:r>
                </w:p>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μg/m</w:t>
                  </w:r>
                  <w:r>
                    <w:rPr>
                      <w:rFonts w:hint="eastAsia" w:ascii="Times New Roman" w:hAnsi="Times New Roman" w:eastAsia="宋体" w:cs="Times New Roman"/>
                      <w:color w:val="000000" w:themeColor="text1"/>
                      <w:sz w:val="21"/>
                      <w:szCs w:val="21"/>
                      <w:highlight w:val="none"/>
                      <w:vertAlign w:val="superscript"/>
                      <w:lang w:val="en-US" w:eastAsia="zh-CN"/>
                      <w14:textFill>
                        <w14:solidFill>
                          <w14:schemeClr w14:val="tx1"/>
                        </w14:solidFill>
                      </w14:textFill>
                    </w:rPr>
                    <w:t>3</w:t>
                  </w:r>
                </w:p>
              </w:tc>
              <w:tc>
                <w:tcPr>
                  <w:tcW w:w="818"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超标倍数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2"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SO</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2</w:t>
                  </w:r>
                </w:p>
              </w:tc>
              <w:tc>
                <w:tcPr>
                  <w:tcW w:w="1923"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年平均质量浓度</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12</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60</w:t>
                  </w:r>
                </w:p>
              </w:tc>
              <w:tc>
                <w:tcPr>
                  <w:tcW w:w="818"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 w:hRule="atLeast"/>
                <w:jc w:val="center"/>
              </w:trPr>
              <w:tc>
                <w:tcPr>
                  <w:tcW w:w="622"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NO</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2</w:t>
                  </w:r>
                </w:p>
              </w:tc>
              <w:tc>
                <w:tcPr>
                  <w:tcW w:w="1923"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年平均质量浓度</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28</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40</w:t>
                  </w:r>
                </w:p>
              </w:tc>
              <w:tc>
                <w:tcPr>
                  <w:tcW w:w="818"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2"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PM</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10</w:t>
                  </w:r>
                </w:p>
              </w:tc>
              <w:tc>
                <w:tcPr>
                  <w:tcW w:w="1923"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年平均质量浓度</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60</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70</w:t>
                  </w:r>
                </w:p>
              </w:tc>
              <w:tc>
                <w:tcPr>
                  <w:tcW w:w="818"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2"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PM</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2.5</w:t>
                  </w:r>
                </w:p>
              </w:tc>
              <w:tc>
                <w:tcPr>
                  <w:tcW w:w="1923"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年平均质量浓度</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29</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35</w:t>
                  </w:r>
                </w:p>
              </w:tc>
              <w:tc>
                <w:tcPr>
                  <w:tcW w:w="818"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2"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CO</w:t>
                  </w:r>
                </w:p>
              </w:tc>
              <w:tc>
                <w:tcPr>
                  <w:tcW w:w="1923"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24小时平均第95位百分位数</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1.4</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4.0</w:t>
                  </w:r>
                </w:p>
              </w:tc>
              <w:tc>
                <w:tcPr>
                  <w:tcW w:w="818"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2"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O</w:t>
                  </w:r>
                  <w:r>
                    <w:rPr>
                      <w:rFonts w:hint="eastAsia"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3</w:t>
                  </w:r>
                </w:p>
              </w:tc>
              <w:tc>
                <w:tcPr>
                  <w:tcW w:w="1923"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8小时平均第90位百分位数</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172</w:t>
                  </w:r>
                </w:p>
              </w:tc>
              <w:tc>
                <w:tcPr>
                  <w:tcW w:w="817"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160</w:t>
                  </w:r>
                </w:p>
              </w:tc>
              <w:tc>
                <w:tcPr>
                  <w:tcW w:w="818" w:type="pct"/>
                  <w:tcBorders>
                    <w:top w:val="single" w:color="auto" w:sz="4" w:space="0"/>
                    <w:left w:val="single" w:color="auto" w:sz="4" w:space="0"/>
                    <w:bottom w:val="single" w:color="auto" w:sz="4" w:space="0"/>
                    <w:right w:val="single" w:color="auto" w:sz="4" w:space="0"/>
                  </w:tcBorders>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0.075</w:t>
                  </w:r>
                </w:p>
              </w:tc>
            </w:tr>
          </w:tbl>
          <w:p>
            <w:pPr>
              <w:spacing w:line="360" w:lineRule="auto"/>
              <w:ind w:firstLine="480" w:firstLineChars="200"/>
              <w:rPr>
                <w:rFonts w:hint="eastAsia"/>
                <w:color w:val="000000" w:themeColor="text1"/>
                <w:sz w:val="24"/>
                <w:szCs w:val="24"/>
                <w:highlight w:val="none"/>
                <w:lang w:val="en-US" w:eastAsia="zh-CN"/>
                <w14:textFill>
                  <w14:solidFill>
                    <w14:schemeClr w14:val="tx1"/>
                  </w14:solidFill>
                </w14:textFill>
              </w:rPr>
            </w:pPr>
            <w:r>
              <w:rPr>
                <w:rFonts w:hint="default"/>
                <w:color w:val="000000" w:themeColor="text1"/>
                <w:sz w:val="24"/>
                <w:szCs w:val="24"/>
                <w:highlight w:val="none"/>
                <w:lang w:val="en-US" w:eastAsia="zh-CN"/>
                <w14:textFill>
                  <w14:solidFill>
                    <w14:schemeClr w14:val="tx1"/>
                  </w14:solidFill>
                </w14:textFill>
              </w:rPr>
              <w:t>《秦皇岛市生态环境保护“十四五”规划（2021-2025年）》中指出，实施“协同开展PM</w:t>
            </w:r>
            <w:r>
              <w:rPr>
                <w:rFonts w:hint="default"/>
                <w:color w:val="000000" w:themeColor="text1"/>
                <w:sz w:val="24"/>
                <w:szCs w:val="24"/>
                <w:highlight w:val="none"/>
                <w:vertAlign w:val="subscript"/>
                <w:lang w:val="en-US" w:eastAsia="zh-CN"/>
                <w14:textFill>
                  <w14:solidFill>
                    <w14:schemeClr w14:val="tx1"/>
                  </w14:solidFill>
                </w14:textFill>
              </w:rPr>
              <w:t>2.5</w:t>
            </w:r>
            <w:r>
              <w:rPr>
                <w:rFonts w:hint="default"/>
                <w:color w:val="000000" w:themeColor="text1"/>
                <w:sz w:val="24"/>
                <w:szCs w:val="24"/>
                <w:highlight w:val="none"/>
                <w:lang w:val="en-US" w:eastAsia="zh-CN"/>
                <w14:textFill>
                  <w14:solidFill>
                    <w14:schemeClr w14:val="tx1"/>
                  </w14:solidFill>
                </w14:textFill>
              </w:rPr>
              <w:t>与臭氧污染防治、完善PM</w:t>
            </w:r>
            <w:r>
              <w:rPr>
                <w:rFonts w:hint="default"/>
                <w:color w:val="000000" w:themeColor="text1"/>
                <w:sz w:val="24"/>
                <w:szCs w:val="24"/>
                <w:highlight w:val="none"/>
                <w:vertAlign w:val="subscript"/>
                <w:lang w:val="en-US" w:eastAsia="zh-CN"/>
                <w14:textFill>
                  <w14:solidFill>
                    <w14:schemeClr w14:val="tx1"/>
                  </w14:solidFill>
                </w14:textFill>
              </w:rPr>
              <w:t>2.5</w:t>
            </w:r>
            <w:r>
              <w:rPr>
                <w:rFonts w:hint="default"/>
                <w:color w:val="000000" w:themeColor="text1"/>
                <w:sz w:val="24"/>
                <w:szCs w:val="24"/>
                <w:highlight w:val="none"/>
                <w:lang w:val="en-US" w:eastAsia="zh-CN"/>
                <w14:textFill>
                  <w14:solidFill>
                    <w14:schemeClr w14:val="tx1"/>
                  </w14:solidFill>
                </w14:textFill>
              </w:rPr>
              <w:t>与臭氧预测预报体系、强化区域大气污染综合治理”等措施，如此区域大气环境将逐步改善</w:t>
            </w:r>
            <w:r>
              <w:rPr>
                <w:rFonts w:hint="eastAsia"/>
                <w:color w:val="000000" w:themeColor="text1"/>
                <w:sz w:val="24"/>
                <w:szCs w:val="24"/>
                <w:highlight w:val="none"/>
                <w:lang w:val="en-US" w:eastAsia="zh-CN"/>
                <w14:textFill>
                  <w14:solidFill>
                    <w14:schemeClr w14:val="tx1"/>
                  </w14:solidFill>
                </w14:textFill>
              </w:rPr>
              <w:t>。</w:t>
            </w:r>
          </w:p>
          <w:p>
            <w:pPr>
              <w:pStyle w:val="2"/>
              <w:bidi w:val="0"/>
              <w:rPr>
                <w:rFonts w:hint="default" w:ascii="Times New Roman" w:hAnsi="Times New Roman" w:cs="Times New Roman"/>
                <w:color w:val="000000" w:themeColor="text1"/>
                <w:sz w:val="24"/>
                <w:szCs w:val="28"/>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8"/>
                <w:highlight w:val="none"/>
                <w:lang w:val="en-US" w:eastAsia="zh-CN"/>
                <w14:textFill>
                  <w14:solidFill>
                    <w14:schemeClr w14:val="tx1"/>
                  </w14:solidFill>
                </w14:textFill>
              </w:rPr>
              <w:t xml:space="preserve">2 声环境质量现状  </w:t>
            </w:r>
          </w:p>
          <w:p>
            <w:pPr>
              <w:bidi w:val="0"/>
              <w:ind w:firstLine="480"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本项目区域声环境质量符合《声环境质量标准》（GB3096-2008）</w:t>
            </w:r>
            <w:r>
              <w:rPr>
                <w:rFonts w:hint="eastAsia" w:cs="Times New Roman"/>
                <w:color w:val="000000" w:themeColor="text1"/>
                <w:highlight w:val="none"/>
                <w:lang w:val="en-US" w:eastAsia="zh-CN"/>
                <w14:textFill>
                  <w14:solidFill>
                    <w14:schemeClr w14:val="tx1"/>
                  </w14:solidFill>
                </w14:textFill>
              </w:rPr>
              <w:t>2</w:t>
            </w:r>
            <w:r>
              <w:rPr>
                <w:rFonts w:hint="default" w:ascii="Times New Roman" w:hAnsi="Times New Roman" w:cs="Times New Roman"/>
                <w:color w:val="000000" w:themeColor="text1"/>
                <w:highlight w:val="none"/>
                <w:lang w:val="en-US" w:eastAsia="zh-CN"/>
                <w14:textFill>
                  <w14:solidFill>
                    <w14:schemeClr w14:val="tx1"/>
                  </w14:solidFill>
                </w14:textFill>
              </w:rPr>
              <w:t>类标准。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87" w:type="dxa"/>
            <w:noWrap w:val="0"/>
            <w:vAlign w:val="center"/>
          </w:tcPr>
          <w:p>
            <w:pPr>
              <w:pStyle w:val="3"/>
              <w:bidi w:val="0"/>
              <w:spacing w:line="240" w:lineRule="auto"/>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14:textFill>
                  <w14:solidFill>
                    <w14:schemeClr w14:val="tx1"/>
                  </w14:solidFill>
                </w14:textFill>
              </w:rPr>
              <w:t>环境</w:t>
            </w:r>
          </w:p>
          <w:p>
            <w:pPr>
              <w:pStyle w:val="3"/>
              <w:bidi w:val="0"/>
              <w:spacing w:line="240" w:lineRule="auto"/>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14:textFill>
                  <w14:solidFill>
                    <w14:schemeClr w14:val="tx1"/>
                  </w14:solidFill>
                </w14:textFill>
              </w:rPr>
              <w:t>保护</w:t>
            </w:r>
          </w:p>
          <w:p>
            <w:pPr>
              <w:pStyle w:val="3"/>
              <w:bidi w:val="0"/>
              <w:spacing w:line="240" w:lineRule="auto"/>
              <w:rPr>
                <w:rFonts w:hint="default" w:ascii="Times New Roman" w:hAnsi="Times New Roman" w:eastAsia="宋体" w:cs="Times New Roman"/>
                <w:color w:val="000000" w:themeColor="text1"/>
                <w:highlight w:val="none"/>
                <w14:textFill>
                  <w14:solidFill>
                    <w14:schemeClr w14:val="tx1"/>
                  </w14:solidFill>
                </w14:textFill>
              </w:rPr>
            </w:pPr>
            <w:r>
              <w:rPr>
                <w:rFonts w:hint="default" w:ascii="Times New Roman" w:hAnsi="Times New Roman" w:eastAsia="宋体" w:cs="Times New Roman"/>
                <w:color w:val="000000" w:themeColor="text1"/>
                <w:highlight w:val="none"/>
                <w14:textFill>
                  <w14:solidFill>
                    <w14:schemeClr w14:val="tx1"/>
                  </w14:solidFill>
                </w14:textFill>
              </w:rPr>
              <w:t>目标</w:t>
            </w:r>
          </w:p>
        </w:tc>
        <w:tc>
          <w:tcPr>
            <w:tcW w:w="8584" w:type="dxa"/>
            <w:noWrap w:val="0"/>
            <w:vAlign w:val="center"/>
          </w:tcPr>
          <w:p>
            <w:pPr>
              <w:pStyle w:val="2"/>
              <w:bidi w:val="0"/>
              <w:spacing w:line="360" w:lineRule="auto"/>
              <w:rPr>
                <w:rFonts w:hint="default" w:ascii="Times New Roman" w:hAnsi="Times New Roman" w:cs="Times New Roman"/>
                <w:color w:val="000000" w:themeColor="text1"/>
                <w:sz w:val="24"/>
                <w:szCs w:val="28"/>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8"/>
                <w:highlight w:val="none"/>
                <w:lang w:val="en-US" w:eastAsia="zh-CN"/>
                <w14:textFill>
                  <w14:solidFill>
                    <w14:schemeClr w14:val="tx1"/>
                  </w14:solidFill>
                </w14:textFill>
              </w:rPr>
              <w:t>1大气环境</w:t>
            </w:r>
          </w:p>
          <w:p>
            <w:pPr>
              <w:adjustRightInd w:val="0"/>
              <w:snapToGrid w:val="0"/>
              <w:spacing w:line="360" w:lineRule="auto"/>
              <w:ind w:firstLine="480" w:firstLineChars="200"/>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highlight w:val="none"/>
                <w:lang w:eastAsia="zh-CN"/>
                <w14:textFill>
                  <w14:solidFill>
                    <w14:schemeClr w14:val="tx1"/>
                  </w14:solidFill>
                </w14:textFill>
              </w:rPr>
              <w:t>项目位于</w:t>
            </w:r>
            <w:r>
              <w:rPr>
                <w:rFonts w:hint="default" w:ascii="Times New Roman" w:hAnsi="Times New Roman" w:cs="Times New Roman"/>
                <w:b w:val="0"/>
                <w:color w:val="000000" w:themeColor="text1"/>
                <w:kern w:val="2"/>
                <w:sz w:val="24"/>
                <w:szCs w:val="24"/>
                <w:highlight w:val="none"/>
                <w:lang w:val="en-US" w:eastAsia="zh-CN" w:bidi="ar-SA"/>
                <w14:textFill>
                  <w14:solidFill>
                    <w14:schemeClr w14:val="tx1"/>
                  </w14:solidFill>
                </w14:textFill>
              </w:rPr>
              <w:t>秦皇岛市抚宁区</w:t>
            </w:r>
            <w:r>
              <w:rPr>
                <w:rFonts w:hint="eastAsia" w:cs="Times New Roman"/>
                <w:b w:val="0"/>
                <w:color w:val="000000" w:themeColor="text1"/>
                <w:kern w:val="2"/>
                <w:sz w:val="24"/>
                <w:szCs w:val="24"/>
                <w:highlight w:val="none"/>
                <w:lang w:val="en-US" w:eastAsia="zh-CN" w:bidi="ar-SA"/>
                <w14:textFill>
                  <w14:solidFill>
                    <w14:schemeClr w14:val="tx1"/>
                  </w14:solidFill>
                </w14:textFill>
              </w:rPr>
              <w:t>留守营镇潘官营村南</w:t>
            </w:r>
            <w:r>
              <w:rPr>
                <w:rFonts w:hint="default" w:ascii="Times New Roman" w:hAnsi="Times New Roman" w:cs="Times New Roman"/>
                <w:color w:val="000000" w:themeColor="text1"/>
                <w:highlight w:val="none"/>
                <w:lang w:eastAsia="zh-CN"/>
                <w14:textFill>
                  <w14:solidFill>
                    <w14:schemeClr w14:val="tx1"/>
                  </w14:solidFill>
                </w14:textFill>
              </w:rPr>
              <w:t>，厂界500m范围</w:t>
            </w:r>
            <w:r>
              <w:rPr>
                <w:rFonts w:hint="default" w:ascii="Times New Roman" w:hAnsi="Times New Roman" w:cs="Times New Roman"/>
                <w:color w:val="000000" w:themeColor="text1"/>
                <w:sz w:val="24"/>
                <w:szCs w:val="24"/>
                <w:highlight w:val="none"/>
                <w14:textFill>
                  <w14:solidFill>
                    <w14:schemeClr w14:val="tx1"/>
                  </w14:solidFill>
                </w14:textFill>
              </w:rPr>
              <w:t>内无自然保护区、风景名胜区、文化区。主要保护目标为</w:t>
            </w:r>
            <w:r>
              <w:rPr>
                <w:rFonts w:hint="eastAsia" w:cs="Times New Roman"/>
                <w:color w:val="000000" w:themeColor="text1"/>
                <w:sz w:val="24"/>
                <w:szCs w:val="24"/>
                <w:highlight w:val="none"/>
                <w:lang w:val="en-US" w:eastAsia="zh-CN"/>
                <w14:textFill>
                  <w14:solidFill>
                    <w14:schemeClr w14:val="tx1"/>
                  </w14:solidFill>
                </w14:textFill>
              </w:rPr>
              <w:t>东北侧140m潘官营村</w:t>
            </w:r>
            <w:r>
              <w:rPr>
                <w:rFonts w:hint="default" w:ascii="Times New Roman" w:hAnsi="Times New Roman" w:eastAsia="宋体" w:cs="Times New Roman"/>
                <w:color w:val="000000" w:themeColor="text1"/>
                <w:kern w:val="0"/>
                <w:sz w:val="24"/>
                <w:szCs w:val="24"/>
                <w:highlight w:val="none"/>
                <w:lang w:val="en-US" w:eastAsia="zh-CN"/>
                <w14:textFill>
                  <w14:solidFill>
                    <w14:schemeClr w14:val="tx1"/>
                  </w14:solidFill>
                </w14:textFill>
              </w:rPr>
              <w:t>。</w:t>
            </w:r>
          </w:p>
          <w:p>
            <w:pPr>
              <w:pStyle w:val="2"/>
              <w:bidi w:val="0"/>
              <w:spacing w:line="360" w:lineRule="auto"/>
              <w:rPr>
                <w:rFonts w:hint="default" w:ascii="Times New Roman" w:hAnsi="Times New Roman" w:cs="Times New Roman"/>
                <w:color w:val="000000" w:themeColor="text1"/>
                <w:sz w:val="24"/>
                <w:szCs w:val="28"/>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8"/>
                <w:highlight w:val="none"/>
                <w:lang w:val="en-US" w:eastAsia="zh-CN"/>
                <w14:textFill>
                  <w14:solidFill>
                    <w14:schemeClr w14:val="tx1"/>
                  </w14:solidFill>
                </w14:textFill>
              </w:rPr>
              <w:t>2声环境</w:t>
            </w:r>
          </w:p>
          <w:p>
            <w:pPr>
              <w:adjustRightInd w:val="0"/>
              <w:snapToGrid w:val="0"/>
              <w:spacing w:line="360" w:lineRule="auto"/>
              <w:ind w:firstLine="480" w:firstLineChars="200"/>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本项目厂界外50米范围内无声环境保护目标。</w:t>
            </w:r>
          </w:p>
          <w:p>
            <w:pPr>
              <w:pStyle w:val="2"/>
              <w:bidi w:val="0"/>
              <w:spacing w:line="360" w:lineRule="auto"/>
              <w:rPr>
                <w:rFonts w:hint="default" w:ascii="Times New Roman" w:hAnsi="Times New Roman" w:cs="Times New Roman"/>
                <w:color w:val="000000" w:themeColor="text1"/>
                <w:sz w:val="24"/>
                <w:szCs w:val="28"/>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8"/>
                <w:highlight w:val="none"/>
                <w:lang w:val="en-US" w:eastAsia="zh-CN"/>
                <w14:textFill>
                  <w14:solidFill>
                    <w14:schemeClr w14:val="tx1"/>
                  </w14:solidFill>
                </w14:textFill>
              </w:rPr>
              <w:t>3地下水环境</w:t>
            </w:r>
          </w:p>
          <w:p>
            <w:pPr>
              <w:adjustRightInd w:val="0"/>
              <w:snapToGrid w:val="0"/>
              <w:spacing w:line="360" w:lineRule="auto"/>
              <w:ind w:firstLine="480" w:firstLineChars="200"/>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本项目厂界外500米范围内无热水、矿泉水、温泉等特殊地下水资源</w:t>
            </w:r>
            <w:r>
              <w:rPr>
                <w:rFonts w:hint="eastAsia" w:cs="Times New Roman"/>
                <w:color w:val="000000" w:themeColor="text1"/>
                <w:sz w:val="24"/>
                <w:szCs w:val="24"/>
                <w:highlight w:val="none"/>
                <w:lang w:eastAsia="zh-CN"/>
                <w14:textFill>
                  <w14:solidFill>
                    <w14:schemeClr w14:val="tx1"/>
                  </w14:solidFill>
                </w14:textFill>
              </w:rPr>
              <w:t>，</w:t>
            </w:r>
            <w:r>
              <w:rPr>
                <w:rFonts w:hint="eastAsia" w:cs="Times New Roman"/>
                <w:color w:val="000000" w:themeColor="text1"/>
                <w:sz w:val="24"/>
                <w:szCs w:val="24"/>
                <w:highlight w:val="none"/>
                <w:lang w:val="en-US" w:eastAsia="zh-CN"/>
                <w14:textFill>
                  <w14:solidFill>
                    <w14:schemeClr w14:val="tx1"/>
                  </w14:solidFill>
                </w14:textFill>
              </w:rPr>
              <w:t>潘官营村存在</w:t>
            </w:r>
            <w:r>
              <w:rPr>
                <w:rFonts w:hint="default" w:ascii="Times New Roman" w:hAnsi="Times New Roman" w:cs="Times New Roman"/>
                <w:color w:val="000000" w:themeColor="text1"/>
                <w:sz w:val="24"/>
                <w:szCs w:val="24"/>
                <w:highlight w:val="none"/>
                <w14:textFill>
                  <w14:solidFill>
                    <w14:schemeClr w14:val="tx1"/>
                  </w14:solidFill>
                </w14:textFill>
              </w:rPr>
              <w:t>地下水集中式饮用水水源</w:t>
            </w:r>
            <w:r>
              <w:rPr>
                <w:rFonts w:hint="eastAsia" w:cs="Times New Roman"/>
                <w:color w:val="000000" w:themeColor="text1"/>
                <w:sz w:val="24"/>
                <w:szCs w:val="24"/>
                <w:highlight w:val="none"/>
                <w:lang w:eastAsia="zh-CN"/>
                <w14:textFill>
                  <w14:solidFill>
                    <w14:schemeClr w14:val="tx1"/>
                  </w14:solidFill>
                </w14:textFill>
              </w:rPr>
              <w:t>，</w:t>
            </w:r>
            <w:r>
              <w:rPr>
                <w:rFonts w:hint="eastAsia" w:cs="Times New Roman"/>
                <w:color w:val="000000" w:themeColor="text1"/>
                <w:sz w:val="24"/>
                <w:szCs w:val="24"/>
                <w:highlight w:val="none"/>
                <w:lang w:val="en-US" w:eastAsia="zh-CN"/>
                <w14:textFill>
                  <w14:solidFill>
                    <w14:schemeClr w14:val="tx1"/>
                  </w14:solidFill>
                </w14:textFill>
              </w:rPr>
              <w:t>主要保护目标为东北侧140m潘官营村范围地下水源</w:t>
            </w:r>
            <w:r>
              <w:rPr>
                <w:rFonts w:hint="default" w:ascii="Times New Roman" w:hAnsi="Times New Roman" w:cs="Times New Roman"/>
                <w:color w:val="000000" w:themeColor="text1"/>
                <w:sz w:val="24"/>
                <w:szCs w:val="24"/>
                <w:highlight w:val="none"/>
                <w14:textFill>
                  <w14:solidFill>
                    <w14:schemeClr w14:val="tx1"/>
                  </w14:solidFill>
                </w14:textFill>
              </w:rPr>
              <w:t>。</w:t>
            </w:r>
          </w:p>
          <w:p>
            <w:pPr>
              <w:spacing w:line="360" w:lineRule="auto"/>
              <w:ind w:firstLine="480" w:firstLineChars="200"/>
              <w:jc w:val="both"/>
              <w:rPr>
                <w:rFonts w:hint="default" w:ascii="Times New Roman" w:hAnsi="Times New Roman" w:cs="Times New Roman"/>
                <w:color w:val="000000" w:themeColor="text1"/>
                <w:sz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主要环境保护对象为附近的居民区该项目的主要环境保护目标及保护级别见下表</w:t>
            </w:r>
            <w:r>
              <w:rPr>
                <w:rFonts w:hint="default" w:ascii="Times New Roman" w:hAnsi="Times New Roman" w:cs="Times New Roman"/>
                <w:color w:val="000000" w:themeColor="text1"/>
                <w:sz w:val="24"/>
                <w:highlight w:val="none"/>
                <w14:textFill>
                  <w14:solidFill>
                    <w14:schemeClr w14:val="tx1"/>
                  </w14:solidFill>
                </w14:textFill>
              </w:rPr>
              <w:t>。</w:t>
            </w:r>
          </w:p>
          <w:p>
            <w:pPr>
              <w:pStyle w:val="48"/>
              <w:bidi w:val="0"/>
              <w:rPr>
                <w:rFonts w:hint="default"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pPr>
          </w:p>
          <w:p>
            <w:pPr>
              <w:pStyle w:val="48"/>
              <w:bidi w:val="0"/>
              <w:rPr>
                <w:rFonts w:hint="default"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pPr>
          </w:p>
          <w:p>
            <w:pPr>
              <w:pStyle w:val="48"/>
              <w:bidi w:val="0"/>
              <w:rPr>
                <w:rFonts w:hint="default"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pPr>
          </w:p>
          <w:p>
            <w:pPr>
              <w:pStyle w:val="48"/>
              <w:bidi w:val="0"/>
              <w:rPr>
                <w:rFonts w:hint="default"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pPr>
            <w:r>
              <w:rPr>
                <w:rFonts w:hint="default"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t>表</w:t>
            </w:r>
            <w:r>
              <w:rPr>
                <w:rFonts w:hint="eastAsia"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t xml:space="preserve">3-2  </w:t>
            </w:r>
            <w:r>
              <w:rPr>
                <w:rFonts w:hint="default"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t>项目主要环境保护目标和保护级别</w:t>
            </w:r>
          </w:p>
          <w:tbl>
            <w:tblPr>
              <w:tblStyle w:val="31"/>
              <w:tblW w:w="5000" w:type="pct"/>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autofit"/>
              <w:tblCellMar>
                <w:top w:w="0" w:type="dxa"/>
                <w:left w:w="108" w:type="dxa"/>
                <w:bottom w:w="0" w:type="dxa"/>
                <w:right w:w="108" w:type="dxa"/>
              </w:tblCellMar>
            </w:tblPr>
            <w:tblGrid>
              <w:gridCol w:w="1229"/>
              <w:gridCol w:w="2799"/>
              <w:gridCol w:w="1057"/>
              <w:gridCol w:w="1475"/>
              <w:gridCol w:w="890"/>
              <w:gridCol w:w="8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978" w:hRule="atLeast"/>
                <w:tblHeader/>
                <w:jc w:val="center"/>
              </w:trPr>
              <w:tc>
                <w:tcPr>
                  <w:tcW w:w="736" w:type="pc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名称</w:t>
                  </w:r>
                </w:p>
              </w:tc>
              <w:tc>
                <w:tcPr>
                  <w:tcW w:w="1676" w:type="pc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坐标</w:t>
                  </w:r>
                </w:p>
              </w:tc>
              <w:tc>
                <w:tcPr>
                  <w:tcW w:w="633" w:type="pc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保护</w:t>
                  </w:r>
                </w:p>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对象</w:t>
                  </w:r>
                </w:p>
              </w:tc>
              <w:tc>
                <w:tcPr>
                  <w:tcW w:w="883" w:type="pc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环境功能区</w:t>
                  </w:r>
                </w:p>
              </w:tc>
              <w:tc>
                <w:tcPr>
                  <w:tcW w:w="533" w:type="pc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相对厂址方位</w:t>
                  </w:r>
                </w:p>
              </w:tc>
              <w:tc>
                <w:tcPr>
                  <w:tcW w:w="537" w:type="pc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相对厂界距离/m</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736" w:type="pc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潘官营村</w:t>
                  </w:r>
                </w:p>
              </w:tc>
              <w:tc>
                <w:tcPr>
                  <w:tcW w:w="1676" w:type="pct"/>
                  <w:noWrap w:val="0"/>
                  <w:vAlign w:val="center"/>
                </w:tcPr>
                <w:p>
                  <w:pPr>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s="Times New Roman"/>
                      <w:color w:val="000000" w:themeColor="text1"/>
                      <w:kern w:val="2"/>
                      <w:sz w:val="21"/>
                      <w:szCs w:val="21"/>
                      <w:highlight w:val="none"/>
                      <w:lang w:val="en-US" w:eastAsia="zh-CN" w:bidi="ar-SA"/>
                      <w14:textFill>
                        <w14:solidFill>
                          <w14:schemeClr w14:val="tx1"/>
                        </w14:solidFill>
                      </w14:textFill>
                    </w:rPr>
                    <w:t>E119.277279°N39.824830°</w:t>
                  </w:r>
                </w:p>
              </w:tc>
              <w:tc>
                <w:tcPr>
                  <w:tcW w:w="633" w:type="pc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kern w:val="44"/>
                      <w:sz w:val="21"/>
                      <w:szCs w:val="21"/>
                      <w:highlight w:val="none"/>
                      <w:lang w:val="en-US" w:eastAsia="zh-CN" w:bidi="ar-SA"/>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村民</w:t>
                  </w:r>
                </w:p>
              </w:tc>
              <w:tc>
                <w:tcPr>
                  <w:tcW w:w="883" w:type="pc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二类区</w:t>
                  </w:r>
                </w:p>
              </w:tc>
              <w:tc>
                <w:tcPr>
                  <w:tcW w:w="533" w:type="pc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东北侧</w:t>
                  </w:r>
                </w:p>
              </w:tc>
              <w:tc>
                <w:tcPr>
                  <w:tcW w:w="537" w:type="pc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140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736" w:type="pc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default"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潘官营村</w:t>
                  </w:r>
                </w:p>
              </w:tc>
              <w:tc>
                <w:tcPr>
                  <w:tcW w:w="1676" w:type="pct"/>
                  <w:noWrap w:val="0"/>
                  <w:vAlign w:val="center"/>
                </w:tcPr>
                <w:p>
                  <w:pPr>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cs="Times New Roman"/>
                      <w:color w:val="000000" w:themeColor="text1"/>
                      <w:kern w:val="2"/>
                      <w:sz w:val="21"/>
                      <w:szCs w:val="21"/>
                      <w:highlight w:val="none"/>
                      <w:lang w:val="en-US" w:eastAsia="zh-CN" w:bidi="ar-SA"/>
                      <w14:textFill>
                        <w14:solidFill>
                          <w14:schemeClr w14:val="tx1"/>
                        </w14:solidFill>
                      </w14:textFill>
                    </w:rPr>
                  </w:pPr>
                  <w:r>
                    <w:rPr>
                      <w:rFonts w:hint="eastAsia" w:cs="Times New Roman"/>
                      <w:color w:val="000000" w:themeColor="text1"/>
                      <w:kern w:val="2"/>
                      <w:sz w:val="21"/>
                      <w:szCs w:val="21"/>
                      <w:highlight w:val="none"/>
                      <w:lang w:val="en-US" w:eastAsia="zh-CN" w:bidi="ar-SA"/>
                      <w14:textFill>
                        <w14:solidFill>
                          <w14:schemeClr w14:val="tx1"/>
                        </w14:solidFill>
                      </w14:textFill>
                    </w:rPr>
                    <w:t>E119.277279°N39.824830°</w:t>
                  </w:r>
                </w:p>
              </w:tc>
              <w:tc>
                <w:tcPr>
                  <w:tcW w:w="633" w:type="pc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地下水源</w:t>
                  </w:r>
                </w:p>
              </w:tc>
              <w:tc>
                <w:tcPr>
                  <w:tcW w:w="883" w:type="pc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III类</w:t>
                  </w:r>
                </w:p>
              </w:tc>
              <w:tc>
                <w:tcPr>
                  <w:tcW w:w="533" w:type="pc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东北侧</w:t>
                  </w:r>
                </w:p>
              </w:tc>
              <w:tc>
                <w:tcPr>
                  <w:tcW w:w="537" w:type="pct"/>
                  <w:noWrap w:val="0"/>
                  <w:vAlign w:val="center"/>
                </w:tcPr>
                <w:p>
                  <w:pPr>
                    <w:keepNext w:val="0"/>
                    <w:keepLines w:val="0"/>
                    <w:pageBreakBefore w:val="0"/>
                    <w:widowControl w:val="0"/>
                    <w:kinsoku/>
                    <w:wordWrap/>
                    <w:overflowPunct/>
                    <w:topLinePunct w:val="0"/>
                    <w:autoSpaceDE/>
                    <w:autoSpaceDN/>
                    <w:bidi w:val="0"/>
                    <w:adjustRightInd/>
                    <w:snapToGrid w:val="0"/>
                    <w:spacing w:line="240" w:lineRule="auto"/>
                    <w:ind w:firstLine="0" w:firstLineChars="0"/>
                    <w:jc w:val="center"/>
                    <w:textAlignment w:val="auto"/>
                    <w:rPr>
                      <w:rFonts w:hint="eastAsia"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140</w:t>
                  </w:r>
                </w:p>
              </w:tc>
            </w:tr>
          </w:tbl>
          <w:p>
            <w:pPr>
              <w:bidi w:val="0"/>
              <w:rPr>
                <w:rFonts w:hint="default" w:ascii="Times New Roman" w:hAnsi="Times New Roman" w:eastAsia="宋体" w:cs="Times New Roman"/>
                <w:color w:val="000000" w:themeColor="text1"/>
                <w:highlight w:val="none"/>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8" w:hRule="atLeast"/>
          <w:jc w:val="center"/>
        </w:trPr>
        <w:tc>
          <w:tcPr>
            <w:tcW w:w="487" w:type="dxa"/>
            <w:noWrap w:val="0"/>
            <w:tcMar>
              <w:left w:w="28" w:type="dxa"/>
              <w:right w:w="28" w:type="dxa"/>
            </w:tcMar>
            <w:vAlign w:val="center"/>
          </w:tcPr>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污染</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物排</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放控</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制标</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准</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eastAsia"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tc>
        <w:tc>
          <w:tcPr>
            <w:tcW w:w="8584" w:type="dxa"/>
            <w:noWrap w:val="0"/>
            <w:vAlign w:val="center"/>
          </w:tcPr>
          <w:p>
            <w:pPr>
              <w:pStyle w:val="2"/>
              <w:bidi w:val="0"/>
              <w:spacing w:line="360" w:lineRule="auto"/>
              <w:jc w:val="both"/>
              <w:rPr>
                <w:rFonts w:hint="default" w:ascii="Times New Roman" w:hAnsi="Times New Roman" w:cs="Times New Roman"/>
                <w:color w:val="000000" w:themeColor="text1"/>
                <w:sz w:val="24"/>
                <w:szCs w:val="28"/>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8"/>
                <w:highlight w:val="none"/>
                <w:lang w:val="en-US" w:eastAsia="zh-CN"/>
                <w14:textFill>
                  <w14:solidFill>
                    <w14:schemeClr w14:val="tx1"/>
                  </w14:solidFill>
                </w14:textFill>
              </w:rPr>
              <w:t>1 施工期</w:t>
            </w:r>
          </w:p>
          <w:p>
            <w:pPr>
              <w:bidi w:val="0"/>
              <w:spacing w:line="360" w:lineRule="auto"/>
              <w:ind w:firstLine="480" w:firstLineChars="200"/>
              <w:jc w:val="both"/>
              <w:rPr>
                <w:rFonts w:hint="eastAsia"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1.噪声</w:t>
            </w:r>
          </w:p>
          <w:p>
            <w:pPr>
              <w:bidi w:val="0"/>
              <w:spacing w:line="360" w:lineRule="auto"/>
              <w:ind w:firstLine="480" w:firstLineChars="200"/>
              <w:jc w:val="both"/>
              <w:rPr>
                <w:rFonts w:hint="eastAsia" w:cs="Times New Roman"/>
                <w:color w:val="000000" w:themeColor="text1"/>
                <w:lang w:val="en-US" w:eastAsia="zh-CN"/>
                <w14:textFill>
                  <w14:solidFill>
                    <w14:schemeClr w14:val="tx1"/>
                  </w14:solidFill>
                </w14:textFill>
              </w:rPr>
            </w:pPr>
            <w:r>
              <w:rPr>
                <w:rFonts w:hint="default" w:cs="Times New Roman"/>
                <w:color w:val="000000" w:themeColor="text1"/>
                <w:lang w:val="en-US" w:eastAsia="zh-CN"/>
                <w14:textFill>
                  <w14:solidFill>
                    <w14:schemeClr w14:val="tx1"/>
                  </w14:solidFill>
                </w14:textFill>
              </w:rPr>
              <w:t>施工期噪声执行《建筑施工场界环境噪声排放标准》（GB12523-2011）：昼间70dB(A)</w:t>
            </w:r>
            <w:r>
              <w:rPr>
                <w:rFonts w:hint="eastAsia" w:cs="Times New Roman"/>
                <w:color w:val="000000" w:themeColor="text1"/>
                <w:lang w:val="en-US" w:eastAsia="zh-CN"/>
                <w14:textFill>
                  <w14:solidFill>
                    <w14:schemeClr w14:val="tx1"/>
                  </w14:solidFill>
                </w14:textFill>
              </w:rPr>
              <w:t>。</w:t>
            </w:r>
          </w:p>
          <w:p>
            <w:pPr>
              <w:bidi w:val="0"/>
              <w:spacing w:line="360" w:lineRule="auto"/>
              <w:ind w:firstLine="480" w:firstLineChars="200"/>
              <w:jc w:val="both"/>
              <w:rPr>
                <w:rFonts w:hint="eastAsia"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2.废气</w:t>
            </w:r>
          </w:p>
          <w:p>
            <w:pPr>
              <w:bidi w:val="0"/>
              <w:spacing w:line="360" w:lineRule="auto"/>
              <w:ind w:firstLine="480" w:firstLineChars="200"/>
              <w:jc w:val="both"/>
              <w:rPr>
                <w:rFonts w:hint="default" w:cs="Times New Roman"/>
                <w:color w:val="000000" w:themeColor="text1"/>
                <w:lang w:val="en-US" w:eastAsia="zh-CN"/>
                <w14:textFill>
                  <w14:solidFill>
                    <w14:schemeClr w14:val="tx1"/>
                  </w14:solidFill>
                </w14:textFill>
              </w:rPr>
            </w:pPr>
            <w:r>
              <w:rPr>
                <w:rFonts w:hint="default" w:cs="Times New Roman"/>
                <w:color w:val="000000" w:themeColor="text1"/>
                <w:lang w:val="en-US" w:eastAsia="zh-CN"/>
                <w14:textFill>
                  <w14:solidFill>
                    <w14:schemeClr w14:val="tx1"/>
                  </w14:solidFill>
                </w14:textFill>
              </w:rPr>
              <w:t>扬尘执行《施工场地扬尘排放标准》（DB13/2934-2019）：监测点颗粒物浓度限值为80µg/m</w:t>
            </w:r>
            <w:r>
              <w:rPr>
                <w:rFonts w:hint="default" w:cs="Times New Roman"/>
                <w:color w:val="000000" w:themeColor="text1"/>
                <w:vertAlign w:val="superscript"/>
                <w:lang w:val="en-US" w:eastAsia="zh-CN"/>
                <w14:textFill>
                  <w14:solidFill>
                    <w14:schemeClr w14:val="tx1"/>
                  </w14:solidFill>
                </w14:textFill>
              </w:rPr>
              <w:t>3</w:t>
            </w:r>
            <w:r>
              <w:rPr>
                <w:rFonts w:hint="default" w:cs="Times New Roman"/>
                <w:color w:val="000000" w:themeColor="text1"/>
                <w:lang w:val="en-US" w:eastAsia="zh-CN"/>
                <w14:textFill>
                  <w14:solidFill>
                    <w14:schemeClr w14:val="tx1"/>
                  </w14:solidFill>
                </w14:textFill>
              </w:rPr>
              <w:t>，监测点数量执行《施工场地扬尘排放标准》表3相关要求。</w:t>
            </w:r>
          </w:p>
          <w:p>
            <w:pPr>
              <w:pStyle w:val="2"/>
              <w:bidi w:val="0"/>
              <w:spacing w:line="360" w:lineRule="auto"/>
              <w:jc w:val="both"/>
              <w:rPr>
                <w:rFonts w:hint="default" w:ascii="Times New Roman" w:hAnsi="Times New Roman" w:eastAsia="宋体" w:cs="Times New Roman"/>
                <w:color w:val="000000" w:themeColor="text1"/>
                <w:sz w:val="24"/>
                <w:szCs w:val="28"/>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8"/>
                <w:highlight w:val="none"/>
                <w:lang w:val="en-US" w:eastAsia="zh-CN"/>
                <w14:textFill>
                  <w14:solidFill>
                    <w14:schemeClr w14:val="tx1"/>
                  </w14:solidFill>
                </w14:textFill>
              </w:rPr>
              <w:t>2 运营期</w:t>
            </w:r>
          </w:p>
          <w:p>
            <w:pPr>
              <w:pStyle w:val="3"/>
              <w:bidi w:val="0"/>
              <w:spacing w:line="360" w:lineRule="auto"/>
              <w:jc w:val="both"/>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2.1废气</w:t>
            </w:r>
          </w:p>
          <w:p>
            <w:pPr>
              <w:spacing w:line="360" w:lineRule="auto"/>
              <w:ind w:firstLine="480" w:firstLineChars="200"/>
              <w:jc w:val="both"/>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本项目炉渣堆放区无组织颗粒物执行《大气污染物综合排放标准》（GB16297-1996）中表2无组织排放监控浓度限值以及《秦皇岛市人民政府办公室关于执行钢铁等行业大气污染物排放特别要求的通知》（2021-10）中无组织排放浓度特别管控要求，即0.3mg/m³</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spacing w:line="240" w:lineRule="auto"/>
              <w:ind w:firstLine="422" w:firstLineChars="200"/>
              <w:jc w:val="center"/>
              <w:rPr>
                <w:rFonts w:hint="default" w:ascii="Times New Roman" w:hAnsi="Times New Roman"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b/>
                <w:bCs/>
                <w:color w:val="000000" w:themeColor="text1"/>
                <w:sz w:val="21"/>
                <w:szCs w:val="21"/>
                <w:highlight w:val="none"/>
                <w:lang w:val="en-US" w:eastAsia="zh-CN"/>
                <w14:textFill>
                  <w14:solidFill>
                    <w14:schemeClr w14:val="tx1"/>
                  </w14:solidFill>
                </w14:textFill>
              </w:rPr>
              <w:t>表3-3  大气污染物排放浓度一览表</w:t>
            </w:r>
          </w:p>
          <w:tbl>
            <w:tblPr>
              <w:tblStyle w:val="31"/>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87"/>
              <w:gridCol w:w="1837"/>
              <w:gridCol w:w="1374"/>
              <w:gridCol w:w="39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1809" w:type="pct"/>
                  <w:gridSpan w:val="2"/>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污染物名称</w:t>
                  </w:r>
                </w:p>
              </w:tc>
              <w:tc>
                <w:tcPr>
                  <w:tcW w:w="822" w:type="pc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排放限值</w:t>
                  </w:r>
                </w:p>
              </w:tc>
              <w:tc>
                <w:tcPr>
                  <w:tcW w:w="2368" w:type="pc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标准来源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10" w:type="pct"/>
                  <w:vMerge w:val="restar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颗粒物</w:t>
                  </w:r>
                </w:p>
              </w:tc>
              <w:tc>
                <w:tcPr>
                  <w:tcW w:w="1098" w:type="pct"/>
                  <w:vMerge w:val="restar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无组织（企业边界）</w:t>
                  </w:r>
                </w:p>
              </w:tc>
              <w:tc>
                <w:tcPr>
                  <w:tcW w:w="822" w:type="pct"/>
                  <w:vMerge w:val="restar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0.3mg/m³</w:t>
                  </w:r>
                </w:p>
              </w:tc>
              <w:tc>
                <w:tcPr>
                  <w:tcW w:w="2368" w:type="pct"/>
                  <w:vMerge w:val="restart"/>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《大气污染物综合排放标准》（GB16297-1996）中表2无组织排放监控浓度限值以及《秦皇岛市人民政府办公室关于执行钢铁等行业大气污染物排放特别要求的通知》（2021-10）中无组织排放浓度特别管控要求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710" w:type="pct"/>
                  <w:vMerge w:val="continue"/>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1098" w:type="pct"/>
                  <w:vMerge w:val="continue"/>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822" w:type="pct"/>
                  <w:vMerge w:val="continue"/>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c>
                <w:tcPr>
                  <w:tcW w:w="2368" w:type="pct"/>
                  <w:vMerge w:val="continue"/>
                  <w:noWrap w:val="0"/>
                  <w:vAlign w:val="center"/>
                </w:tcPr>
                <w:p>
                  <w:pPr>
                    <w:pStyle w:val="93"/>
                    <w:keepNext w:val="0"/>
                    <w:keepLines w:val="0"/>
                    <w:pageBreakBefore w:val="0"/>
                    <w:widowControl w:val="0"/>
                    <w:kinsoku/>
                    <w:wordWrap/>
                    <w:overflowPunct/>
                    <w:topLinePunct w:val="0"/>
                    <w:autoSpaceDE/>
                    <w:autoSpaceDN/>
                    <w:bidi w:val="0"/>
                    <w:adjustRightInd/>
                    <w:spacing w:line="240" w:lineRule="auto"/>
                    <w:ind w:firstLine="0" w:firstLineChars="0"/>
                    <w:jc w:val="center"/>
                    <w:textAlignment w:val="auto"/>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pPr>
                </w:p>
              </w:tc>
            </w:tr>
          </w:tbl>
          <w:p>
            <w:pPr>
              <w:pStyle w:val="3"/>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2.2噪声</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设备噪声排放执行《工业企业厂界环境噪声排放标准》(GB12348—2008)中的</w:t>
            </w:r>
            <w:r>
              <w:rPr>
                <w:rFonts w:hint="eastAsia" w:ascii="Times New Roman" w:hAnsi="Times New Roman" w:cs="Times New Roman"/>
                <w:color w:val="000000" w:themeColor="text1"/>
                <w:highlight w:val="none"/>
                <w:lang w:val="en-US" w:eastAsia="zh-CN"/>
                <w14:textFill>
                  <w14:solidFill>
                    <w14:schemeClr w14:val="tx1"/>
                  </w14:solidFill>
                </w14:textFill>
              </w:rPr>
              <w:t>2</w:t>
            </w:r>
            <w:r>
              <w:rPr>
                <w:rFonts w:hint="default" w:ascii="Times New Roman" w:hAnsi="Times New Roman" w:cs="Times New Roman"/>
                <w:color w:val="000000" w:themeColor="text1"/>
                <w:highlight w:val="none"/>
                <w:lang w:val="en-US" w:eastAsia="zh-CN"/>
                <w14:textFill>
                  <w14:solidFill>
                    <w14:schemeClr w14:val="tx1"/>
                  </w14:solidFill>
                </w14:textFill>
              </w:rPr>
              <w:t>类标准，昼间≤</w:t>
            </w:r>
            <w:r>
              <w:rPr>
                <w:rFonts w:hint="eastAsia" w:ascii="Times New Roman" w:hAnsi="Times New Roman" w:cs="Times New Roman"/>
                <w:color w:val="000000" w:themeColor="text1"/>
                <w:highlight w:val="none"/>
                <w:lang w:val="en-US" w:eastAsia="zh-CN"/>
                <w14:textFill>
                  <w14:solidFill>
                    <w14:schemeClr w14:val="tx1"/>
                  </w14:solidFill>
                </w14:textFill>
              </w:rPr>
              <w:t>65</w:t>
            </w:r>
            <w:r>
              <w:rPr>
                <w:rFonts w:hint="default" w:ascii="Times New Roman" w:hAnsi="Times New Roman" w:cs="Times New Roman"/>
                <w:color w:val="000000" w:themeColor="text1"/>
                <w:highlight w:val="none"/>
                <w:lang w:val="en-US" w:eastAsia="zh-CN"/>
                <w14:textFill>
                  <w14:solidFill>
                    <w14:schemeClr w14:val="tx1"/>
                  </w14:solidFill>
                </w14:textFill>
              </w:rPr>
              <w:t>dB(A)</w:t>
            </w:r>
            <w:r>
              <w:rPr>
                <w:rFonts w:hint="eastAsia" w:ascii="Times New Roman" w:hAnsi="Times New Roman" w:cs="Times New Roman"/>
                <w:color w:val="000000" w:themeColor="text1"/>
                <w:highlight w:val="none"/>
                <w:lang w:val="en-US" w:eastAsia="zh-CN"/>
                <w14:textFill>
                  <w14:solidFill>
                    <w14:schemeClr w14:val="tx1"/>
                  </w14:solidFill>
                </w14:textFill>
              </w:rPr>
              <w:t>，夜间不生产</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pStyle w:val="3"/>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2.3 固体废物</w:t>
            </w:r>
          </w:p>
          <w:p>
            <w:pPr>
              <w:pStyle w:val="47"/>
              <w:bidi w:val="0"/>
              <w:rPr>
                <w:rFonts w:hint="eastAsia" w:ascii="Times New Roman" w:hAnsi="Times New Roman" w:eastAsia="宋体" w:cs="Times New Roman"/>
                <w:color w:val="000000" w:themeColor="text1"/>
                <w:highlight w:val="none"/>
                <w:lang w:eastAsia="zh-CN"/>
                <w14:textFill>
                  <w14:solidFill>
                    <w14:schemeClr w14:val="tx1"/>
                  </w14:solidFill>
                </w14:textFill>
              </w:rPr>
            </w:pPr>
            <w:r>
              <w:rPr>
                <w:color w:val="000000" w:themeColor="text1"/>
                <w14:textFill>
                  <w14:solidFill>
                    <w14:schemeClr w14:val="tx1"/>
                  </w14:solidFill>
                </w14:textFill>
              </w:rPr>
              <w:t>一般工业固体废物</w:t>
            </w:r>
            <w:r>
              <w:rPr>
                <w:rFonts w:hint="eastAsia"/>
                <w:color w:val="000000" w:themeColor="text1"/>
                <w:lang w:val="en-US" w:eastAsia="zh-CN"/>
                <w14:textFill>
                  <w14:solidFill>
                    <w14:schemeClr w14:val="tx1"/>
                  </w14:solidFill>
                </w14:textFill>
              </w:rPr>
              <w:t>满足防渗漏、防扬散、防雨淋要求</w:t>
            </w:r>
            <w:r>
              <w:rPr>
                <w:color w:val="000000" w:themeColor="text1"/>
                <w14:textFill>
                  <w14:solidFill>
                    <w14:schemeClr w14:val="tx1"/>
                  </w14:solidFill>
                </w14:textFill>
              </w:rPr>
              <w:t>；危险废物执行《危险废物贮存污染控制标准》（GB18597-2001）及其修改单要求</w:t>
            </w:r>
            <w:r>
              <w:rPr>
                <w:rFonts w:hint="eastAsia"/>
                <w:color w:val="000000" w:themeColor="text1"/>
                <w:lang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760" w:hRule="atLeast"/>
          <w:jc w:val="center"/>
        </w:trPr>
        <w:tc>
          <w:tcPr>
            <w:tcW w:w="487" w:type="dxa"/>
            <w:noWrap w:val="0"/>
            <w:vAlign w:val="center"/>
          </w:tcPr>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总量</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控制</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指标</w:t>
            </w:r>
          </w:p>
        </w:tc>
        <w:tc>
          <w:tcPr>
            <w:tcW w:w="8584" w:type="dxa"/>
            <w:noWrap w:val="0"/>
            <w:vAlign w:val="center"/>
          </w:tcPr>
          <w:p>
            <w:pPr>
              <w:pStyle w:val="47"/>
              <w:bidi w:val="0"/>
              <w:rPr>
                <w:rFonts w:hint="default" w:ascii="Times New Roman" w:hAnsi="Times New Roman" w:cs="Times New Roman"/>
                <w:b w:val="0"/>
                <w:color w:val="000000" w:themeColor="text1"/>
                <w:kern w:val="2"/>
                <w:position w:val="-52"/>
                <w:szCs w:val="24"/>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4"/>
                <w:szCs w:val="24"/>
                <w:lang w:val="en-US" w:eastAsia="zh-CN"/>
                <w14:textFill>
                  <w14:solidFill>
                    <w14:schemeClr w14:val="tx1"/>
                  </w14:solidFill>
                </w14:textFill>
              </w:rPr>
              <w:t>根据环境保护十三五计划实施总量控制的污染物种类，结合当地的环境质量现状及建设项目污染物排放特征，按照最大限度减少污染物排放量及区域污染物排放总量原则，该项目实行总量控制的污染物为COD、氨氮、SO</w:t>
            </w:r>
            <w:r>
              <w:rPr>
                <w:rFonts w:hint="default" w:ascii="Times New Roman" w:hAnsi="Times New Roman" w:eastAsia="宋体" w:cs="Times New Roman"/>
                <w:color w:val="000000" w:themeColor="text1"/>
                <w:sz w:val="24"/>
                <w:szCs w:val="24"/>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、NO</w:t>
            </w:r>
            <w:r>
              <w:rPr>
                <w:rFonts w:hint="default" w:ascii="Times New Roman" w:hAnsi="Times New Roman" w:eastAsia="宋体" w:cs="Times New Roman"/>
                <w:color w:val="000000" w:themeColor="text1"/>
                <w:sz w:val="24"/>
                <w:szCs w:val="24"/>
                <w:vertAlign w:val="subscript"/>
                <w:lang w:val="en-US" w:eastAsia="zh-CN"/>
                <w14:textFill>
                  <w14:solidFill>
                    <w14:schemeClr w14:val="tx1"/>
                  </w14:solidFill>
                </w14:textFill>
              </w:rPr>
              <w:t>X</w:t>
            </w:r>
            <w:r>
              <w:rPr>
                <w:rFonts w:hint="eastAsia" w:ascii="Times New Roman" w:hAnsi="Times New Roman" w:cs="Times New Roman"/>
                <w:color w:val="000000" w:themeColor="text1"/>
                <w:sz w:val="24"/>
                <w:szCs w:val="24"/>
                <w:vertAlign w:val="baseline"/>
                <w:lang w:val="en-US" w:eastAsia="zh-CN"/>
                <w14:textFill>
                  <w14:solidFill>
                    <w14:schemeClr w14:val="tx1"/>
                  </w14:solidFill>
                </w14:textFill>
              </w:rPr>
              <w:t>、VOC。本项目</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COD、氨氮、SO</w:t>
            </w:r>
            <w:r>
              <w:rPr>
                <w:rFonts w:hint="default" w:ascii="Times New Roman" w:hAnsi="Times New Roman" w:eastAsia="宋体" w:cs="Times New Roman"/>
                <w:color w:val="000000" w:themeColor="text1"/>
                <w:sz w:val="24"/>
                <w:szCs w:val="24"/>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、NO</w:t>
            </w:r>
            <w:r>
              <w:rPr>
                <w:rFonts w:hint="default" w:ascii="Times New Roman" w:hAnsi="Times New Roman" w:eastAsia="宋体" w:cs="Times New Roman"/>
                <w:color w:val="000000" w:themeColor="text1"/>
                <w:sz w:val="24"/>
                <w:szCs w:val="24"/>
                <w:vertAlign w:val="subscript"/>
                <w:lang w:val="en-US" w:eastAsia="zh-CN"/>
                <w14:textFill>
                  <w14:solidFill>
                    <w14:schemeClr w14:val="tx1"/>
                  </w14:solidFill>
                </w14:textFill>
              </w:rPr>
              <w:t>X</w:t>
            </w:r>
            <w:r>
              <w:rPr>
                <w:rFonts w:hint="eastAsia" w:ascii="Times New Roman" w:hAnsi="Times New Roman" w:cs="Times New Roman"/>
                <w:color w:val="000000" w:themeColor="text1"/>
                <w:sz w:val="24"/>
                <w:szCs w:val="24"/>
                <w:vertAlign w:val="baseline"/>
                <w:lang w:val="en-US" w:eastAsia="zh-CN"/>
                <w14:textFill>
                  <w14:solidFill>
                    <w14:schemeClr w14:val="tx1"/>
                  </w14:solidFill>
                </w14:textFill>
              </w:rPr>
              <w:t>、VOC</w:t>
            </w:r>
            <w:r>
              <w:rPr>
                <w:rFonts w:hint="eastAsia" w:ascii="Times New Roman" w:hAnsi="Times New Roman" w:eastAsia="宋体" w:cs="Times New Roman"/>
                <w:color w:val="000000" w:themeColor="text1"/>
                <w:sz w:val="24"/>
                <w:szCs w:val="24"/>
                <w:vertAlign w:val="baseline"/>
                <w:lang w:val="en-US" w:eastAsia="zh-CN"/>
                <w14:textFill>
                  <w14:solidFill>
                    <w14:schemeClr w14:val="tx1"/>
                  </w14:solidFill>
                </w14:textFill>
              </w:rPr>
              <w:t>均为0。</w:t>
            </w:r>
          </w:p>
        </w:tc>
      </w:tr>
    </w:tbl>
    <w:p>
      <w:pPr>
        <w:pStyle w:val="2"/>
        <w:bidi w:val="0"/>
        <w:jc w:val="center"/>
        <w:rPr>
          <w:rFonts w:hint="default" w:ascii="黑体" w:hAnsi="黑体" w:eastAsia="黑体" w:cs="黑体"/>
          <w:b w:val="0"/>
          <w:bCs w:val="0"/>
          <w:color w:val="000000" w:themeColor="text1"/>
          <w:sz w:val="30"/>
          <w:szCs w:val="30"/>
          <w:highlight w:val="none"/>
          <w14:textFill>
            <w14:solidFill>
              <w14:schemeClr w14:val="tx1"/>
            </w14:solidFill>
          </w14:textFill>
        </w:rPr>
      </w:pPr>
      <w:r>
        <w:rPr>
          <w:rFonts w:hint="default" w:ascii="Times New Roman" w:hAnsi="Times New Roman" w:eastAsia="黑体" w:cs="Times New Roman"/>
          <w:snapToGrid w:val="0"/>
          <w:color w:val="000000" w:themeColor="text1"/>
          <w:sz w:val="36"/>
          <w:szCs w:val="36"/>
          <w:highlight w:val="none"/>
          <w14:textFill>
            <w14:solidFill>
              <w14:schemeClr w14:val="tx1"/>
            </w14:solidFill>
          </w14:textFill>
        </w:rPr>
        <w:br w:type="page"/>
      </w:r>
      <w:r>
        <w:rPr>
          <w:rFonts w:hint="default" w:ascii="黑体" w:hAnsi="黑体" w:eastAsia="黑体" w:cs="黑体"/>
          <w:b w:val="0"/>
          <w:bCs w:val="0"/>
          <w:color w:val="000000" w:themeColor="text1"/>
          <w:sz w:val="30"/>
          <w:szCs w:val="30"/>
          <w:highlight w:val="none"/>
          <w14:textFill>
            <w14:solidFill>
              <w14:schemeClr w14:val="tx1"/>
            </w14:solidFill>
          </w14:textFill>
        </w:rPr>
        <w:t>四、主要环境影响和保护措施</w:t>
      </w:r>
    </w:p>
    <w:tbl>
      <w:tblPr>
        <w:tblStyle w:val="31"/>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42"/>
        <w:gridCol w:w="862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07" w:hRule="atLeast"/>
          <w:jc w:val="center"/>
        </w:trPr>
        <w:tc>
          <w:tcPr>
            <w:tcW w:w="442" w:type="dxa"/>
            <w:noWrap w:val="0"/>
            <w:tcMar>
              <w:left w:w="28" w:type="dxa"/>
              <w:right w:w="28" w:type="dxa"/>
            </w:tcMar>
            <w:vAlign w:val="center"/>
          </w:tcPr>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施</w:t>
            </w:r>
          </w:p>
        </w:tc>
        <w:tc>
          <w:tcPr>
            <w:tcW w:w="8629" w:type="dxa"/>
            <w:noWrap w:val="0"/>
            <w:vAlign w:val="center"/>
          </w:tcPr>
          <w:p>
            <w:pPr>
              <w:adjustRightInd w:val="0"/>
              <w:snapToGrid w:val="0"/>
              <w:spacing w:line="360" w:lineRule="auto"/>
              <w:ind w:firstLine="480" w:firstLineChars="200"/>
              <w:rPr>
                <w:rFonts w:hint="eastAsia"/>
                <w:color w:val="000000" w:themeColor="text1"/>
                <w:kern w:val="0"/>
                <w:sz w:val="24"/>
                <w:szCs w:val="24"/>
                <w:highlight w:val="none"/>
                <w14:textFill>
                  <w14:solidFill>
                    <w14:schemeClr w14:val="tx1"/>
                  </w14:solidFill>
                </w14:textFill>
              </w:rPr>
            </w:pPr>
            <w:r>
              <w:rPr>
                <w:rFonts w:hint="eastAsia"/>
                <w:color w:val="000000" w:themeColor="text1"/>
                <w:sz w:val="24"/>
                <w:szCs w:val="24"/>
                <w:highlight w:val="none"/>
                <w:lang w:val="en-US" w:eastAsia="zh-CN"/>
                <w14:textFill>
                  <w14:solidFill>
                    <w14:schemeClr w14:val="tx1"/>
                  </w14:solidFill>
                </w14:textFill>
              </w:rPr>
              <w:t>目前企业钢结构厂房已完成搭建，仅涉及后续的车间内地面硬化以及生产设备安装</w:t>
            </w:r>
            <w:r>
              <w:rPr>
                <w:color w:val="000000" w:themeColor="text1"/>
                <w:sz w:val="24"/>
                <w:szCs w:val="24"/>
                <w:highlight w:val="none"/>
                <w14:textFill>
                  <w14:solidFill>
                    <w14:schemeClr w14:val="tx1"/>
                  </w14:solidFill>
                </w14:textFill>
              </w:rPr>
              <w:t>。</w:t>
            </w:r>
            <w:r>
              <w:rPr>
                <w:rFonts w:hint="eastAsia"/>
                <w:color w:val="000000" w:themeColor="text1"/>
                <w:sz w:val="24"/>
                <w:szCs w:val="24"/>
                <w:highlight w:val="none"/>
                <w:lang w:val="en-US" w:eastAsia="zh-CN"/>
                <w14:textFill>
                  <w14:solidFill>
                    <w14:schemeClr w14:val="tx1"/>
                  </w14:solidFill>
                </w14:textFill>
              </w:rPr>
              <w:t>施工期的影响是暂时的，企业不涉及土建等施工，对于周围环境影响较小，不在此进行分析</w:t>
            </w:r>
            <w:r>
              <w:rPr>
                <w:rFonts w:hint="eastAsia"/>
                <w:color w:val="000000" w:themeColor="text1"/>
                <w:sz w:val="24"/>
                <w:szCs w:val="24"/>
                <w:highlight w:val="none"/>
                <w14:textFill>
                  <w14:solidFill>
                    <w14:schemeClr w14:val="tx1"/>
                  </w14:solidFill>
                </w14:textFill>
              </w:rPr>
              <w:t>。</w:t>
            </w:r>
          </w:p>
          <w:p>
            <w:pPr>
              <w:adjustRightInd w:val="0"/>
              <w:snapToGrid w:val="0"/>
              <w:spacing w:line="360" w:lineRule="auto"/>
              <w:ind w:firstLine="480" w:firstLineChars="200"/>
              <w:rPr>
                <w:rFonts w:hint="default" w:ascii="Times New Roman" w:hAnsi="Times New Roman" w:eastAsia="宋体" w:cs="Times New Roman"/>
                <w:color w:val="000000" w:themeColor="text1"/>
                <w:highlight w:val="none"/>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645" w:hRule="atLeast"/>
          <w:jc w:val="center"/>
        </w:trPr>
        <w:tc>
          <w:tcPr>
            <w:tcW w:w="442" w:type="dxa"/>
            <w:noWrap w:val="0"/>
            <w:tcMar>
              <w:left w:w="28" w:type="dxa"/>
              <w:right w:w="28" w:type="dxa"/>
            </w:tcMar>
            <w:vAlign w:val="center"/>
          </w:tcPr>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5"/>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5"/>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5"/>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5"/>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5"/>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both"/>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color w:val="000000" w:themeColor="text1"/>
                <w:lang w:val="en-US" w:eastAsia="zh-CN"/>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both"/>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color w:val="000000" w:themeColor="text1"/>
                <w:lang w:val="en-US" w:eastAsia="zh-CN"/>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rPr>
                <w:rFonts w:hint="default"/>
                <w:color w:val="000000" w:themeColor="text1"/>
                <w:lang w:val="en-US" w:eastAsia="zh-CN"/>
                <w14:textFill>
                  <w14:solidFill>
                    <w14:schemeClr w14:val="tx1"/>
                  </w14:solidFill>
                </w14:textFill>
              </w:rPr>
            </w:pPr>
          </w:p>
          <w:p>
            <w:pPr>
              <w:pStyle w:val="2"/>
              <w:spacing w:line="240" w:lineRule="auto"/>
              <w:ind w:left="0" w:leftChars="0" w:firstLine="0" w:firstLineChars="0"/>
              <w:jc w:val="both"/>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运营</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期环</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境影</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响和</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保护</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t>措施</w:t>
            </w: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p>
            <w:pPr>
              <w:pStyle w:val="2"/>
              <w:spacing w:line="240" w:lineRule="auto"/>
              <w:ind w:left="0" w:leftChars="0" w:firstLine="0" w:firstLineChars="0"/>
              <w:jc w:val="center"/>
              <w:rPr>
                <w:rFonts w:hint="default" w:ascii="Times New Roman" w:hAnsi="Times New Roman" w:eastAsia="宋体" w:cs="Times New Roman"/>
                <w:b/>
                <w:bCs w:val="0"/>
                <w:color w:val="000000" w:themeColor="text1"/>
                <w:kern w:val="2"/>
                <w:sz w:val="24"/>
                <w:szCs w:val="21"/>
                <w:highlight w:val="none"/>
                <w:lang w:val="en-US" w:eastAsia="zh-CN" w:bidi="ar-SA"/>
                <w14:textFill>
                  <w14:solidFill>
                    <w14:schemeClr w14:val="tx1"/>
                  </w14:solidFill>
                </w14:textFill>
              </w:rPr>
            </w:pPr>
          </w:p>
        </w:tc>
        <w:tc>
          <w:tcPr>
            <w:tcW w:w="8629" w:type="dxa"/>
            <w:noWrap w:val="0"/>
            <w:vAlign w:val="center"/>
          </w:tcPr>
          <w:p>
            <w:pPr>
              <w:pStyle w:val="2"/>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 xml:space="preserve">1 </w:t>
            </w:r>
            <w:r>
              <w:rPr>
                <w:rFonts w:hint="default" w:ascii="Times New Roman" w:hAnsi="Times New Roman" w:cs="Times New Roman"/>
                <w:color w:val="000000" w:themeColor="text1"/>
                <w14:textFill>
                  <w14:solidFill>
                    <w14:schemeClr w14:val="tx1"/>
                  </w14:solidFill>
                </w14:textFill>
              </w:rPr>
              <w:t>大气环境影响分析</w: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本项目使用的炉渣</w:t>
            </w:r>
            <w:r>
              <w:rPr>
                <w:rFonts w:hint="eastAsia" w:ascii="宋体" w:hAnsi="宋体" w:cs="宋体"/>
                <w:color w:val="000000" w:themeColor="text1"/>
                <w:sz w:val="24"/>
                <w:szCs w:val="24"/>
                <w:lang w:val="en-US" w:eastAsia="zh-CN"/>
                <w14:textFill>
                  <w14:solidFill>
                    <w14:schemeClr w14:val="tx1"/>
                  </w14:solidFill>
                </w14:textFill>
              </w:rPr>
              <w:t>为</w:t>
            </w:r>
            <w:r>
              <w:rPr>
                <w:rFonts w:hint="eastAsia" w:eastAsia="宋体"/>
                <w:color w:val="000000" w:themeColor="text1"/>
                <w14:textFill>
                  <w14:solidFill>
                    <w14:schemeClr w14:val="tx1"/>
                  </w14:solidFill>
                </w14:textFill>
              </w:rPr>
              <w:t>生活垃圾焚烧发电厂</w:t>
            </w:r>
            <w:r>
              <w:rPr>
                <w:rFonts w:eastAsia="宋体"/>
                <w:color w:val="000000" w:themeColor="text1"/>
                <w14:textFill>
                  <w14:solidFill>
                    <w14:schemeClr w14:val="tx1"/>
                  </w14:solidFill>
                </w14:textFill>
              </w:rPr>
              <w:t>垃圾焚烧炉渣</w:t>
            </w:r>
            <w:r>
              <w:rPr>
                <w:rFonts w:ascii="宋体" w:hAnsi="宋体" w:eastAsia="宋体" w:cs="宋体"/>
                <w:color w:val="000000" w:themeColor="text1"/>
                <w:sz w:val="24"/>
                <w:szCs w:val="24"/>
                <w14:textFill>
                  <w14:solidFill>
                    <w14:schemeClr w14:val="tx1"/>
                  </w14:solidFill>
                </w14:textFill>
              </w:rPr>
              <w:t>，炉渣含水率约为</w:t>
            </w:r>
            <w:r>
              <w:rPr>
                <w:rFonts w:hint="eastAsia" w:ascii="宋体" w:hAnsi="宋体" w:eastAsia="宋体" w:cs="宋体"/>
                <w:color w:val="000000" w:themeColor="text1"/>
                <w:sz w:val="24"/>
                <w:szCs w:val="24"/>
                <w:lang w:val="en-US" w:eastAsia="zh-CN"/>
                <w14:textFill>
                  <w14:solidFill>
                    <w14:schemeClr w14:val="tx1"/>
                  </w14:solidFill>
                </w14:textFill>
              </w:rPr>
              <w:t>30</w:t>
            </w:r>
            <w:r>
              <w:rPr>
                <w:rFonts w:ascii="宋体" w:hAnsi="宋体" w:eastAsia="宋体" w:cs="宋体"/>
                <w:color w:val="000000" w:themeColor="text1"/>
                <w:sz w:val="24"/>
                <w:szCs w:val="24"/>
                <w14:textFill>
                  <w14:solidFill>
                    <w14:schemeClr w14:val="tx1"/>
                  </w14:solidFill>
                </w14:textFill>
              </w:rPr>
              <w:t>%，厂外道路运输过程采用密闭车辆运输</w:t>
            </w:r>
            <w:r>
              <w:rPr>
                <w:rFonts w:hint="eastAsia" w:ascii="宋体" w:hAnsi="宋体" w:cs="宋体"/>
                <w:color w:val="000000" w:themeColor="text1"/>
                <w:sz w:val="24"/>
                <w:szCs w:val="24"/>
                <w:lang w:eastAsia="zh-CN"/>
                <w14:textFill>
                  <w14:solidFill>
                    <w14:schemeClr w14:val="tx1"/>
                  </w14:solidFill>
                </w14:textFill>
              </w:rPr>
              <w:t>，</w:t>
            </w:r>
            <w:r>
              <w:rPr>
                <w:rFonts w:hint="eastAsia" w:ascii="宋体" w:hAnsi="宋体" w:cs="宋体"/>
                <w:color w:val="000000" w:themeColor="text1"/>
                <w:sz w:val="24"/>
                <w:szCs w:val="24"/>
                <w:lang w:val="en-US" w:eastAsia="zh-CN"/>
                <w14:textFill>
                  <w14:solidFill>
                    <w14:schemeClr w14:val="tx1"/>
                  </w14:solidFill>
                </w14:textFill>
              </w:rPr>
              <w:t>并采取苫布加盖措施</w:t>
            </w:r>
            <w:r>
              <w:rPr>
                <w:rFonts w:ascii="宋体" w:hAnsi="宋体" w:eastAsia="宋体" w:cs="宋体"/>
                <w:color w:val="000000" w:themeColor="text1"/>
                <w:sz w:val="24"/>
                <w:szCs w:val="24"/>
                <w14:textFill>
                  <w14:solidFill>
                    <w14:schemeClr w14:val="tx1"/>
                  </w14:solidFill>
                </w14:textFill>
              </w:rPr>
              <w:t>，车间内炉渣输送也采用皮带运输，</w:t>
            </w:r>
            <w:r>
              <w:rPr>
                <w:rFonts w:hint="eastAsia" w:ascii="宋体" w:hAnsi="宋体" w:cs="宋体"/>
                <w:color w:val="000000" w:themeColor="text1"/>
                <w:sz w:val="24"/>
                <w:szCs w:val="24"/>
                <w:lang w:val="en-US" w:eastAsia="zh-CN"/>
                <w14:textFill>
                  <w14:solidFill>
                    <w14:schemeClr w14:val="tx1"/>
                  </w14:solidFill>
                </w14:textFill>
              </w:rPr>
              <w:t>给料采用铲车上料，考虑原料含水率较大，</w:t>
            </w:r>
            <w:r>
              <w:rPr>
                <w:rFonts w:ascii="宋体" w:hAnsi="宋体" w:eastAsia="宋体" w:cs="宋体"/>
                <w:color w:val="000000" w:themeColor="text1"/>
                <w:sz w:val="24"/>
                <w:szCs w:val="24"/>
                <w14:textFill>
                  <w14:solidFill>
                    <w14:schemeClr w14:val="tx1"/>
                  </w14:solidFill>
                </w14:textFill>
              </w:rPr>
              <w:t>不易起尘。分选出的成品砂在</w:t>
            </w:r>
            <w:r>
              <w:rPr>
                <w:rFonts w:hint="eastAsia" w:ascii="宋体" w:hAnsi="宋体" w:eastAsia="宋体" w:cs="宋体"/>
                <w:color w:val="000000" w:themeColor="text1"/>
                <w:sz w:val="24"/>
                <w:szCs w:val="24"/>
                <w:lang w:val="en-US" w:eastAsia="zh-CN"/>
                <w14:textFill>
                  <w14:solidFill>
                    <w14:schemeClr w14:val="tx1"/>
                  </w14:solidFill>
                </w14:textFill>
              </w:rPr>
              <w:t>成品</w:t>
            </w:r>
            <w:r>
              <w:rPr>
                <w:rFonts w:ascii="宋体" w:hAnsi="宋体" w:eastAsia="宋体" w:cs="宋体"/>
                <w:color w:val="000000" w:themeColor="text1"/>
                <w:sz w:val="24"/>
                <w:szCs w:val="24"/>
                <w14:textFill>
                  <w14:solidFill>
                    <w14:schemeClr w14:val="tx1"/>
                  </w14:solidFill>
                </w14:textFill>
              </w:rPr>
              <w:t>砂堆存区沥干水分，此时</w:t>
            </w:r>
            <w:r>
              <w:rPr>
                <w:rFonts w:hint="eastAsia" w:ascii="宋体" w:hAnsi="宋体" w:eastAsia="宋体" w:cs="宋体"/>
                <w:color w:val="000000" w:themeColor="text1"/>
                <w:sz w:val="24"/>
                <w:szCs w:val="24"/>
                <w:lang w:val="en-US" w:eastAsia="zh-CN"/>
                <w14:textFill>
                  <w14:solidFill>
                    <w14:schemeClr w14:val="tx1"/>
                  </w14:solidFill>
                </w14:textFill>
              </w:rPr>
              <w:t>成品</w:t>
            </w:r>
            <w:r>
              <w:rPr>
                <w:rFonts w:ascii="宋体" w:hAnsi="宋体" w:eastAsia="宋体" w:cs="宋体"/>
                <w:color w:val="000000" w:themeColor="text1"/>
                <w:sz w:val="24"/>
                <w:szCs w:val="24"/>
                <w14:textFill>
                  <w14:solidFill>
                    <w14:schemeClr w14:val="tx1"/>
                  </w14:solidFill>
                </w14:textFill>
              </w:rPr>
              <w:t>砂含水率约为</w:t>
            </w:r>
            <w:r>
              <w:rPr>
                <w:rFonts w:hint="eastAsia" w:ascii="宋体" w:hAnsi="宋体" w:cs="宋体"/>
                <w:color w:val="000000" w:themeColor="text1"/>
                <w:sz w:val="24"/>
                <w:szCs w:val="24"/>
                <w:lang w:val="en-US" w:eastAsia="zh-CN"/>
                <w14:textFill>
                  <w14:solidFill>
                    <w14:schemeClr w14:val="tx1"/>
                  </w14:solidFill>
                </w14:textFill>
              </w:rPr>
              <w:t>15</w:t>
            </w:r>
            <w:r>
              <w:rPr>
                <w:rFonts w:ascii="宋体" w:hAnsi="宋体" w:eastAsia="宋体" w:cs="宋体"/>
                <w:color w:val="000000" w:themeColor="text1"/>
                <w:sz w:val="24"/>
                <w:szCs w:val="24"/>
                <w14:textFill>
                  <w14:solidFill>
                    <w14:schemeClr w14:val="tx1"/>
                  </w14:solidFill>
                </w14:textFill>
              </w:rPr>
              <w:t>%，堆存过程不易起尘。原料炉渣在筛分及破碎</w:t>
            </w:r>
            <w:r>
              <w:rPr>
                <w:rFonts w:hint="eastAsia" w:ascii="宋体" w:hAnsi="宋体" w:eastAsia="宋体" w:cs="宋体"/>
                <w:color w:val="000000" w:themeColor="text1"/>
                <w:sz w:val="24"/>
                <w:szCs w:val="24"/>
                <w:lang w:val="en-US" w:eastAsia="zh-CN"/>
                <w14:textFill>
                  <w14:solidFill>
                    <w14:schemeClr w14:val="tx1"/>
                  </w14:solidFill>
                </w14:textFill>
              </w:rPr>
              <w:t>等</w:t>
            </w:r>
            <w:r>
              <w:rPr>
                <w:rFonts w:ascii="宋体" w:hAnsi="宋体" w:eastAsia="宋体" w:cs="宋体"/>
                <w:color w:val="000000" w:themeColor="text1"/>
                <w:sz w:val="24"/>
                <w:szCs w:val="24"/>
                <w14:textFill>
                  <w14:solidFill>
                    <w14:schemeClr w14:val="tx1"/>
                  </w14:solidFill>
                </w14:textFill>
              </w:rPr>
              <w:t>过程</w:t>
            </w:r>
            <w:r>
              <w:rPr>
                <w:rFonts w:hint="eastAsia" w:ascii="宋体" w:hAnsi="宋体" w:eastAsia="宋体" w:cs="宋体"/>
                <w:color w:val="000000" w:themeColor="text1"/>
                <w:sz w:val="24"/>
                <w:szCs w:val="24"/>
                <w:lang w:val="en-US" w:eastAsia="zh-CN"/>
                <w14:textFill>
                  <w14:solidFill>
                    <w14:schemeClr w14:val="tx1"/>
                  </w14:solidFill>
                </w14:textFill>
              </w:rPr>
              <w:t>均为湿法作业</w:t>
            </w:r>
            <w:r>
              <w:rPr>
                <w:rFonts w:ascii="宋体" w:hAnsi="宋体" w:eastAsia="宋体" w:cs="宋体"/>
                <w:color w:val="000000" w:themeColor="text1"/>
                <w:sz w:val="24"/>
                <w:szCs w:val="24"/>
                <w14:textFill>
                  <w14:solidFill>
                    <w14:schemeClr w14:val="tx1"/>
                  </w14:solidFill>
                </w14:textFill>
              </w:rPr>
              <w:t>，炉渣相当于泡在水里</w:t>
            </w:r>
            <w:r>
              <w:rPr>
                <w:rFonts w:hint="eastAsia" w:ascii="宋体" w:hAnsi="宋体" w:eastAsia="宋体" w:cs="宋体"/>
                <w:color w:val="000000" w:themeColor="text1"/>
                <w:sz w:val="24"/>
                <w:szCs w:val="24"/>
                <w:lang w:val="en-US" w:eastAsia="zh-CN"/>
                <w14:textFill>
                  <w14:solidFill>
                    <w14:schemeClr w14:val="tx1"/>
                  </w14:solidFill>
                </w14:textFill>
              </w:rPr>
              <w:t>进行加工利用</w:t>
            </w:r>
            <w:r>
              <w:rPr>
                <w:rFonts w:ascii="宋体" w:hAnsi="宋体" w:eastAsia="宋体" w:cs="宋体"/>
                <w:color w:val="000000" w:themeColor="text1"/>
                <w:sz w:val="24"/>
                <w:szCs w:val="24"/>
                <w14:textFill>
                  <w14:solidFill>
                    <w14:schemeClr w14:val="tx1"/>
                  </w14:solidFill>
                </w14:textFill>
              </w:rPr>
              <w:t>，生产过程中可以看到有明显的水流，无粉尘产生。综上，项目营运期废气污染源主要是</w:t>
            </w:r>
            <w:r>
              <w:rPr>
                <w:rFonts w:hint="eastAsia" w:ascii="宋体" w:hAnsi="宋体" w:eastAsia="宋体" w:cs="宋体"/>
                <w:color w:val="000000" w:themeColor="text1"/>
                <w:sz w:val="24"/>
                <w:szCs w:val="24"/>
                <w:lang w:val="en-US" w:eastAsia="zh-CN"/>
                <w14:textFill>
                  <w14:solidFill>
                    <w14:schemeClr w14:val="tx1"/>
                  </w14:solidFill>
                </w14:textFill>
              </w:rPr>
              <w:t>炉渣堆放</w:t>
            </w:r>
            <w:r>
              <w:rPr>
                <w:rFonts w:hint="eastAsia" w:ascii="宋体" w:hAnsi="宋体" w:cs="宋体"/>
                <w:color w:val="000000" w:themeColor="text1"/>
                <w:sz w:val="24"/>
                <w:szCs w:val="24"/>
                <w:lang w:val="en-US" w:eastAsia="zh-CN"/>
                <w14:textFill>
                  <w14:solidFill>
                    <w14:schemeClr w14:val="tx1"/>
                  </w14:solidFill>
                </w14:textFill>
              </w:rPr>
              <w:t>粉尘</w:t>
            </w:r>
            <w:r>
              <w:rPr>
                <w:rFonts w:hint="default" w:ascii="Times New Roman" w:hAnsi="Times New Roman" w:cs="Times New Roman"/>
                <w:color w:val="000000" w:themeColor="text1"/>
                <w:lang w:val="en-US" w:eastAsia="zh-CN"/>
                <w14:textFill>
                  <w14:solidFill>
                    <w14:schemeClr w14:val="tx1"/>
                  </w14:solidFill>
                </w14:textFill>
              </w:rPr>
              <w:t>。</w:t>
            </w:r>
          </w:p>
          <w:p>
            <w:pPr>
              <w:pStyle w:val="26"/>
              <w:spacing w:line="360" w:lineRule="auto"/>
              <w:ind w:left="0" w:leftChars="0" w:firstLine="0" w:firstLineChars="0"/>
              <w:rPr>
                <w:rFonts w:hint="default" w:ascii="Times New Roman" w:hAnsi="Times New Roman" w:eastAsia="宋体" w:cs="Times New Roman"/>
                <w:b/>
                <w:bCs/>
                <w:color w:val="000000" w:themeColor="text1"/>
                <w:kern w:val="2"/>
                <w:sz w:val="24"/>
                <w:szCs w:val="32"/>
                <w:lang w:val="en-US" w:eastAsia="zh-CN" w:bidi="ar-SA"/>
                <w14:textFill>
                  <w14:solidFill>
                    <w14:schemeClr w14:val="tx1"/>
                  </w14:solidFill>
                </w14:textFill>
              </w:rPr>
            </w:pPr>
            <w:r>
              <w:rPr>
                <w:rFonts w:hint="default" w:eastAsia="宋体" w:cs="Times New Roman"/>
                <w:b/>
                <w:bCs/>
                <w:color w:val="000000" w:themeColor="text1"/>
                <w:kern w:val="2"/>
                <w:sz w:val="24"/>
                <w:szCs w:val="32"/>
                <w:lang w:val="en-US" w:eastAsia="zh-CN" w:bidi="ar-SA"/>
                <w14:textFill>
                  <w14:solidFill>
                    <w14:schemeClr w14:val="tx1"/>
                  </w14:solidFill>
                </w14:textFill>
              </w:rPr>
              <w:t>1.</w:t>
            </w:r>
            <w:r>
              <w:rPr>
                <w:rFonts w:hint="default" w:ascii="Times New Roman" w:hAnsi="Times New Roman" w:eastAsia="宋体" w:cs="Times New Roman"/>
                <w:b/>
                <w:bCs/>
                <w:color w:val="000000" w:themeColor="text1"/>
                <w:kern w:val="2"/>
                <w:sz w:val="24"/>
                <w:szCs w:val="32"/>
                <w:lang w:val="en-US" w:eastAsia="zh-CN" w:bidi="ar-SA"/>
                <w14:textFill>
                  <w14:solidFill>
                    <w14:schemeClr w14:val="tx1"/>
                  </w14:solidFill>
                </w14:textFill>
              </w:rPr>
              <w:t>1污染源强核算</w:t>
            </w:r>
          </w:p>
          <w:p>
            <w:pPr>
              <w:spacing w:line="360" w:lineRule="auto"/>
              <w:ind w:firstLine="480" w:firstLineChars="200"/>
              <w:jc w:val="both"/>
              <w:rPr>
                <w:rFonts w:hint="eastAsia" w:ascii="Times New Roman" w:hAnsi="Times New Roman" w:eastAsia="宋体" w:cs="Times New Roman"/>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14:textFill>
                  <w14:solidFill>
                    <w14:schemeClr w14:val="tx1"/>
                  </w14:solidFill>
                </w14:textFill>
              </w:rPr>
              <w:t>炉渣堆放</w:t>
            </w:r>
            <w:r>
              <w:rPr>
                <w:rFonts w:hint="default" w:ascii="Times New Roman" w:hAnsi="Times New Roman" w:eastAsia="宋体" w:cs="Times New Roman"/>
                <w:color w:val="000000" w:themeColor="text1"/>
                <w:sz w:val="24"/>
                <w:szCs w:val="24"/>
                <w:lang w:eastAsia="zh-CN"/>
                <w14:textFill>
                  <w14:solidFill>
                    <w14:schemeClr w14:val="tx1"/>
                  </w14:solidFill>
                </w14:textFill>
              </w:rPr>
              <w:t>：</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炉渣堆放区</w:t>
            </w:r>
            <w:r>
              <w:rPr>
                <w:rFonts w:hint="default" w:ascii="Times New Roman" w:hAnsi="Times New Roman" w:eastAsia="宋体" w:cs="Times New Roman"/>
                <w:color w:val="000000" w:themeColor="text1"/>
                <w:sz w:val="24"/>
                <w:szCs w:val="24"/>
                <w14:textFill>
                  <w14:solidFill>
                    <w14:schemeClr w14:val="tx1"/>
                  </w14:solidFill>
                </w14:textFill>
              </w:rPr>
              <w:t>设置在炉渣处理车间</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内</w:t>
            </w:r>
            <w:r>
              <w:rPr>
                <w:rFonts w:hint="default" w:ascii="Times New Roman" w:hAnsi="Times New Roman" w:eastAsia="宋体" w:cs="Times New Roman"/>
                <w:color w:val="000000" w:themeColor="text1"/>
                <w:sz w:val="24"/>
                <w:szCs w:val="24"/>
                <w14:textFill>
                  <w14:solidFill>
                    <w14:schemeClr w14:val="tx1"/>
                  </w14:solidFill>
                </w14:textFill>
              </w:rPr>
              <w:t>。运输车进厂到炉渣堆放区，炉渣卸料过程中会产生卸料粉尘。</w:t>
            </w:r>
            <w:r>
              <w:rPr>
                <w:rFonts w:hint="eastAsia" w:cs="Times New Roman"/>
                <w:color w:val="000000" w:themeColor="text1"/>
                <w:sz w:val="24"/>
                <w:szCs w:val="24"/>
                <w:lang w:val="en-US" w:eastAsia="zh-CN"/>
                <w14:textFill>
                  <w14:solidFill>
                    <w14:schemeClr w14:val="tx1"/>
                  </w14:solidFill>
                </w14:textFill>
              </w:rPr>
              <w:t>炉渣原料含水率30%，不易起尘</w:t>
            </w:r>
            <w:r>
              <w:rPr>
                <w:rFonts w:hint="default" w:ascii="Times New Roman" w:hAnsi="Times New Roman" w:eastAsia="宋体" w:cs="Times New Roman"/>
                <w:color w:val="000000" w:themeColor="text1"/>
                <w:sz w:val="24"/>
                <w:szCs w:val="24"/>
                <w14:textFill>
                  <w14:solidFill>
                    <w14:schemeClr w14:val="tx1"/>
                  </w14:solidFill>
                </w14:textFill>
              </w:rPr>
              <w:t>，</w:t>
            </w:r>
            <w:r>
              <w:rPr>
                <w:rFonts w:hint="eastAsia" w:cs="Times New Roman"/>
                <w:color w:val="000000" w:themeColor="text1"/>
                <w:sz w:val="24"/>
                <w:szCs w:val="24"/>
                <w:lang w:val="en-US" w:eastAsia="zh-CN"/>
                <w14:textFill>
                  <w14:solidFill>
                    <w14:schemeClr w14:val="tx1"/>
                  </w14:solidFill>
                </w14:textFill>
              </w:rPr>
              <w:t>但考虑堆存时间过长会产生少量粉尘，</w:t>
            </w:r>
            <w:r>
              <w:rPr>
                <w:rFonts w:hint="default" w:ascii="Times New Roman" w:hAnsi="Times New Roman" w:eastAsia="宋体" w:cs="Times New Roman"/>
                <w:color w:val="000000" w:themeColor="text1"/>
                <w:sz w:val="24"/>
                <w:szCs w:val="24"/>
                <w14:textFill>
                  <w14:solidFill>
                    <w14:schemeClr w14:val="tx1"/>
                  </w14:solidFill>
                </w14:textFill>
              </w:rPr>
              <w:t>卸料粉尘产生量</w:t>
            </w:r>
            <w:r>
              <w:rPr>
                <w:rFonts w:hint="eastAsia" w:cs="Times New Roman"/>
                <w:color w:val="000000" w:themeColor="text1"/>
                <w:sz w:val="24"/>
                <w:szCs w:val="24"/>
                <w:lang w:val="en-US" w:eastAsia="zh-CN"/>
                <w14:textFill>
                  <w14:solidFill>
                    <w14:schemeClr w14:val="tx1"/>
                  </w14:solidFill>
                </w14:textFill>
              </w:rPr>
              <w:t>按照0.0007</w:t>
            </w:r>
            <w:r>
              <w:rPr>
                <w:rFonts w:hint="default" w:ascii="Times New Roman" w:hAnsi="Times New Roman" w:eastAsia="宋体" w:cs="Times New Roman"/>
                <w:color w:val="000000" w:themeColor="text1"/>
                <w:sz w:val="24"/>
                <w:szCs w:val="24"/>
                <w14:textFill>
                  <w14:solidFill>
                    <w14:schemeClr w14:val="tx1"/>
                  </w14:solidFill>
                </w14:textFill>
              </w:rPr>
              <w:t>kg/t</w:t>
            </w:r>
            <w:r>
              <w:rPr>
                <w:rFonts w:hint="eastAsia" w:cs="Times New Roman"/>
                <w:color w:val="000000" w:themeColor="text1"/>
                <w:sz w:val="24"/>
                <w:szCs w:val="24"/>
                <w:lang w:val="en-US" w:eastAsia="zh-CN"/>
                <w14:textFill>
                  <w14:solidFill>
                    <w14:schemeClr w14:val="tx1"/>
                  </w14:solidFill>
                </w14:textFill>
              </w:rPr>
              <w:t>计算</w:t>
            </w:r>
            <w:r>
              <w:rPr>
                <w:rFonts w:hint="default" w:ascii="Times New Roman" w:hAnsi="Times New Roman" w:eastAsia="宋体" w:cs="Times New Roman"/>
                <w:color w:val="000000" w:themeColor="text1"/>
                <w:sz w:val="24"/>
                <w:szCs w:val="24"/>
                <w14:textFill>
                  <w14:solidFill>
                    <w14:schemeClr w14:val="tx1"/>
                  </w14:solidFill>
                </w14:textFill>
              </w:rPr>
              <w:t>，</w:t>
            </w:r>
            <w:r>
              <w:rPr>
                <w:rFonts w:hint="eastAsia" w:cs="Times New Roman"/>
                <w:color w:val="000000" w:themeColor="text1"/>
                <w:sz w:val="24"/>
                <w:szCs w:val="24"/>
                <w:lang w:val="en-US" w:eastAsia="zh-CN"/>
                <w14:textFill>
                  <w14:solidFill>
                    <w14:schemeClr w14:val="tx1"/>
                  </w14:solidFill>
                </w14:textFill>
              </w:rPr>
              <w:t>按照</w:t>
            </w:r>
            <w:r>
              <w:rPr>
                <w:rFonts w:hint="default" w:ascii="Times New Roman" w:hAnsi="Times New Roman" w:eastAsia="宋体" w:cs="Times New Roman"/>
                <w:color w:val="000000" w:themeColor="text1"/>
                <w:sz w:val="24"/>
                <w:szCs w:val="24"/>
                <w14:textFill>
                  <w14:solidFill>
                    <w14:schemeClr w14:val="tx1"/>
                  </w14:solidFill>
                </w14:textFill>
              </w:rPr>
              <w:t>项目年卸炉渣</w:t>
            </w:r>
            <w:r>
              <w:rPr>
                <w:rFonts w:hint="eastAsia" w:cs="Times New Roman"/>
                <w:color w:val="000000" w:themeColor="text1"/>
                <w:sz w:val="24"/>
                <w:szCs w:val="24"/>
                <w:lang w:val="en-US" w:eastAsia="zh-CN"/>
                <w14:textFill>
                  <w14:solidFill>
                    <w14:schemeClr w14:val="tx1"/>
                  </w14:solidFill>
                </w14:textFill>
              </w:rPr>
              <w:t>14</w:t>
            </w:r>
            <w:r>
              <w:rPr>
                <w:rFonts w:hint="default" w:ascii="Times New Roman" w:hAnsi="Times New Roman" w:eastAsia="宋体" w:cs="Times New Roman"/>
                <w:color w:val="000000" w:themeColor="text1"/>
                <w:sz w:val="24"/>
                <w:szCs w:val="24"/>
                <w14:textFill>
                  <w14:solidFill>
                    <w14:schemeClr w14:val="tx1"/>
                  </w14:solidFill>
                </w14:textFill>
              </w:rPr>
              <w:t>万吨，则卸料过程中粉尘产生量为</w:t>
            </w:r>
            <w:r>
              <w:rPr>
                <w:rFonts w:hint="eastAsia" w:cs="Times New Roman"/>
                <w:color w:val="000000" w:themeColor="text1"/>
                <w:sz w:val="24"/>
                <w:szCs w:val="24"/>
                <w:lang w:val="en-US" w:eastAsia="zh-CN"/>
                <w14:textFill>
                  <w14:solidFill>
                    <w14:schemeClr w14:val="tx1"/>
                  </w14:solidFill>
                </w14:textFill>
              </w:rPr>
              <w:t>0.098</w:t>
            </w:r>
            <w:r>
              <w:rPr>
                <w:rFonts w:hint="default" w:ascii="Times New Roman" w:hAnsi="Times New Roman" w:eastAsia="宋体" w:cs="Times New Roman"/>
                <w:color w:val="000000" w:themeColor="text1"/>
                <w:sz w:val="24"/>
                <w:szCs w:val="24"/>
                <w14:textFill>
                  <w14:solidFill>
                    <w14:schemeClr w14:val="tx1"/>
                  </w14:solidFill>
                </w14:textFill>
              </w:rPr>
              <w:t>t/a</w:t>
            </w:r>
            <w:r>
              <w:rPr>
                <w:rFonts w:hint="eastAsia" w:ascii="Times New Roman" w:hAnsi="Times New Roman" w:eastAsia="宋体" w:cs="Times New Roman"/>
                <w:color w:val="000000" w:themeColor="text1"/>
                <w:sz w:val="24"/>
                <w:szCs w:val="24"/>
                <w:lang w:eastAsia="zh-CN"/>
                <w14:textFill>
                  <w14:solidFill>
                    <w14:schemeClr w14:val="tx1"/>
                  </w14:solidFill>
                </w14:textFill>
              </w:rPr>
              <w:t>。</w:t>
            </w:r>
          </w:p>
          <w:p>
            <w:pPr>
              <w:spacing w:line="360" w:lineRule="auto"/>
              <w:ind w:firstLine="480" w:firstLineChars="200"/>
              <w:jc w:val="both"/>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lang w:val="en-US" w:eastAsia="zh-CN"/>
                <w14:textFill>
                  <w14:solidFill>
                    <w14:schemeClr w14:val="tx1"/>
                  </w14:solidFill>
                </w14:textFill>
              </w:rPr>
              <w:t>以上</w:t>
            </w:r>
            <w:r>
              <w:rPr>
                <w:rFonts w:hint="eastAsia" w:cs="Times New Roman"/>
                <w:color w:val="000000" w:themeColor="text1"/>
                <w:sz w:val="24"/>
                <w:szCs w:val="24"/>
                <w:lang w:val="en-US" w:eastAsia="zh-CN"/>
                <w14:textFill>
                  <w14:solidFill>
                    <w14:schemeClr w14:val="tx1"/>
                  </w14:solidFill>
                </w14:textFill>
              </w:rPr>
              <w:t>颗粒物</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合计</w:t>
            </w:r>
            <w:r>
              <w:rPr>
                <w:rFonts w:hint="eastAsia" w:cs="Times New Roman"/>
                <w:color w:val="000000" w:themeColor="text1"/>
                <w:sz w:val="24"/>
                <w:szCs w:val="24"/>
                <w:lang w:val="en-US" w:eastAsia="zh-CN"/>
                <w14:textFill>
                  <w14:solidFill>
                    <w14:schemeClr w14:val="tx1"/>
                  </w14:solidFill>
                </w14:textFill>
              </w:rPr>
              <w:t>0.098</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t/a。</w:t>
            </w:r>
          </w:p>
          <w:p>
            <w:pPr>
              <w:pStyle w:val="26"/>
              <w:spacing w:line="360" w:lineRule="auto"/>
              <w:ind w:left="0" w:leftChars="0" w:firstLine="0" w:firstLineChars="0"/>
              <w:rPr>
                <w:rFonts w:hint="default" w:eastAsia="宋体" w:cs="Times New Roman"/>
                <w:b/>
                <w:bCs/>
                <w:color w:val="000000" w:themeColor="text1"/>
                <w:kern w:val="2"/>
                <w:sz w:val="24"/>
                <w:szCs w:val="32"/>
                <w:lang w:val="en-US" w:eastAsia="zh-CN" w:bidi="ar-SA"/>
                <w14:textFill>
                  <w14:solidFill>
                    <w14:schemeClr w14:val="tx1"/>
                  </w14:solidFill>
                </w14:textFill>
              </w:rPr>
            </w:pPr>
            <w:r>
              <w:rPr>
                <w:rFonts w:hint="default" w:eastAsia="宋体" w:cs="Times New Roman"/>
                <w:b/>
                <w:bCs/>
                <w:color w:val="000000" w:themeColor="text1"/>
                <w:kern w:val="2"/>
                <w:sz w:val="24"/>
                <w:szCs w:val="32"/>
                <w:lang w:val="en-US" w:eastAsia="zh-CN" w:bidi="ar-SA"/>
                <w14:textFill>
                  <w14:solidFill>
                    <w14:schemeClr w14:val="tx1"/>
                  </w14:solidFill>
                </w14:textFill>
              </w:rPr>
              <w:t>1.2</w:t>
            </w:r>
            <w:r>
              <w:rPr>
                <w:rFonts w:hint="eastAsia" w:eastAsia="宋体" w:cs="Times New Roman"/>
                <w:b/>
                <w:bCs/>
                <w:color w:val="000000" w:themeColor="text1"/>
                <w:kern w:val="2"/>
                <w:sz w:val="24"/>
                <w:szCs w:val="32"/>
                <w:lang w:val="en-US" w:eastAsia="zh-CN" w:bidi="ar-SA"/>
                <w14:textFill>
                  <w14:solidFill>
                    <w14:schemeClr w14:val="tx1"/>
                  </w14:solidFill>
                </w14:textFill>
              </w:rPr>
              <w:t>污染物治理情况</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lang w:val="en-US" w:eastAsia="zh-CN"/>
                <w14:textFill>
                  <w14:solidFill>
                    <w14:schemeClr w14:val="tx1"/>
                  </w14:solidFill>
                </w14:textFill>
              </w:rPr>
              <w:t>根据《环境影响评价技术导则 大气环境》（HJ2.2-2018）的规定，选择项目污染源正常排放的主要污染物及排放系数，采用附录 A 推荐的 AERSCREEN 估算模型，计算项目污染源的最大环境影响。经计算本项目下风向颗粒物最大落地浓度为</w:t>
            </w:r>
            <w:r>
              <w:rPr>
                <w:rFonts w:hint="eastAsia" w:cs="Times New Roman"/>
                <w:color w:val="000000" w:themeColor="text1"/>
                <w:sz w:val="24"/>
                <w:szCs w:val="24"/>
                <w:lang w:val="en-US" w:eastAsia="zh-CN"/>
                <w14:textFill>
                  <w14:solidFill>
                    <w14:schemeClr w14:val="tx1"/>
                  </w14:solidFill>
                </w14:textFill>
              </w:rPr>
              <w:t>0.027</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mg/m</w:t>
            </w:r>
            <w:r>
              <w:rPr>
                <w:rFonts w:hint="default" w:ascii="Times New Roman" w:hAnsi="Times New Roman" w:eastAsia="宋体" w:cs="Times New Roman"/>
                <w:color w:val="000000" w:themeColor="text1"/>
                <w:sz w:val="24"/>
                <w:szCs w:val="24"/>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，无组织颗粒物满足</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《大气污染物综合排放标准》</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（DB13/2167—2020）中表2无组织排放标准</w:t>
            </w:r>
            <w:r>
              <w:rPr>
                <w:rFonts w:hint="eastAsia" w:cs="Times New Roman"/>
                <w:color w:val="000000" w:themeColor="text1"/>
                <w:sz w:val="24"/>
                <w:szCs w:val="24"/>
                <w:lang w:val="en-US" w:eastAsia="zh-CN"/>
                <w14:textFill>
                  <w14:solidFill>
                    <w14:schemeClr w14:val="tx1"/>
                  </w14:solidFill>
                </w14:textFill>
              </w:rPr>
              <w:t>：1.0mg/m³</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且满足《秦皇岛市人民政府办公室关于执行钢铁等行业大气污染物排放特别要求的通知》要求</w:t>
            </w:r>
            <w:r>
              <w:rPr>
                <w:rFonts w:hint="eastAsia" w:cs="Times New Roman"/>
                <w:color w:val="000000" w:themeColor="text1"/>
                <w:sz w:val="24"/>
                <w:szCs w:val="24"/>
                <w:lang w:val="en-US" w:eastAsia="zh-CN"/>
                <w14:textFill>
                  <w14:solidFill>
                    <w14:schemeClr w14:val="tx1"/>
                  </w14:solidFill>
                </w14:textFill>
              </w:rPr>
              <w:t>：0.03mg/m³。</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default" w:ascii="Times New Roman" w:hAnsi="Times New Roman" w:cs="Times New Roman"/>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lang w:val="en-US" w:eastAsia="zh-CN"/>
                <w14:textFill>
                  <w14:solidFill>
                    <w14:schemeClr w14:val="tx1"/>
                  </w14:solidFill>
                </w14:textFill>
              </w:rPr>
              <w:t>炉渣本身含水率30%，原料堆存区上方安装喷淋装置处理无组织颗粒物</w:t>
            </w:r>
            <w:r>
              <w:rPr>
                <w:rFonts w:hint="eastAsia" w:cs="Times New Roman"/>
                <w:color w:val="000000" w:themeColor="text1"/>
                <w:sz w:val="24"/>
                <w:szCs w:val="24"/>
                <w:lang w:val="en-US" w:eastAsia="zh-CN"/>
                <w14:textFill>
                  <w14:solidFill>
                    <w14:schemeClr w14:val="tx1"/>
                  </w14:solidFill>
                </w14:textFill>
              </w:rPr>
              <w:t>。根据预测情况，无组织颗粒物可达标排放，</w:t>
            </w:r>
            <w:r>
              <w:rPr>
                <w:rFonts w:hint="default" w:ascii="Times New Roman" w:hAnsi="Times New Roman" w:cs="Times New Roman"/>
                <w:color w:val="000000" w:themeColor="text1"/>
                <w:sz w:val="24"/>
                <w:highlight w:val="none"/>
                <w:lang w:val="en-US" w:eastAsia="zh-CN"/>
                <w14:textFill>
                  <w14:solidFill>
                    <w14:schemeClr w14:val="tx1"/>
                  </w14:solidFill>
                </w14:textFill>
              </w:rPr>
              <w:t>因此本项目</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治理方案符合要求。</w:t>
            </w:r>
          </w:p>
          <w:p>
            <w:pPr>
              <w:pStyle w:val="26"/>
              <w:spacing w:line="360" w:lineRule="auto"/>
              <w:ind w:left="0" w:leftChars="0" w:firstLine="0" w:firstLineChars="0"/>
              <w:rPr>
                <w:rFonts w:hint="eastAsia" w:ascii="Times New Roman" w:hAnsi="Times New Roman" w:eastAsia="宋体" w:cs="Times New Roman"/>
                <w:b/>
                <w:bCs/>
                <w:color w:val="000000" w:themeColor="text1"/>
                <w:kern w:val="2"/>
                <w:sz w:val="24"/>
                <w:szCs w:val="32"/>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2"/>
                <w:sz w:val="24"/>
                <w:szCs w:val="32"/>
                <w:lang w:val="en-US" w:eastAsia="zh-CN" w:bidi="ar-SA"/>
                <w14:textFill>
                  <w14:solidFill>
                    <w14:schemeClr w14:val="tx1"/>
                  </w14:solidFill>
                </w14:textFill>
              </w:rPr>
              <w:t>1.3污染物排放情况</w:t>
            </w:r>
          </w:p>
          <w:p>
            <w:pPr>
              <w:pStyle w:val="29"/>
              <w:spacing w:before="0" w:after="0" w:line="360" w:lineRule="auto"/>
              <w:ind w:right="0" w:firstLine="480" w:firstLineChars="200"/>
              <w:jc w:val="both"/>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eastAsia" w:cs="Times New Roman"/>
                <w:color w:val="000000" w:themeColor="text1"/>
                <w:sz w:val="24"/>
                <w:szCs w:val="24"/>
                <w:lang w:val="en-US" w:eastAsia="zh-CN"/>
                <w14:textFill>
                  <w14:solidFill>
                    <w14:schemeClr w14:val="tx1"/>
                  </w14:solidFill>
                </w14:textFill>
              </w:rPr>
              <w:t>年工作时间2800h，喷淋</w:t>
            </w:r>
            <w:r>
              <w:rPr>
                <w:rFonts w:hint="default" w:ascii="Times New Roman" w:hAnsi="Times New Roman" w:eastAsia="宋体" w:cs="Times New Roman"/>
                <w:color w:val="000000" w:themeColor="text1"/>
                <w:sz w:val="24"/>
                <w:szCs w:val="24"/>
                <w14:textFill>
                  <w14:solidFill>
                    <w14:schemeClr w14:val="tx1"/>
                  </w14:solidFill>
                </w14:textFill>
              </w:rPr>
              <w:t>除尘效率按</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70</w:t>
            </w:r>
            <w:r>
              <w:rPr>
                <w:rFonts w:hint="default" w:ascii="Times New Roman" w:hAnsi="Times New Roman" w:eastAsia="宋体" w:cs="Times New Roman"/>
                <w:color w:val="000000" w:themeColor="text1"/>
                <w:sz w:val="24"/>
                <w:szCs w:val="24"/>
                <w14:textFill>
                  <w14:solidFill>
                    <w14:schemeClr w14:val="tx1"/>
                  </w14:solidFill>
                </w14:textFill>
              </w:rPr>
              <w:t>%计，则处理后的粉尘排放</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量</w:t>
            </w:r>
            <w:r>
              <w:rPr>
                <w:rFonts w:hint="default" w:ascii="Times New Roman" w:hAnsi="Times New Roman" w:eastAsia="宋体" w:cs="Times New Roman"/>
                <w:color w:val="000000" w:themeColor="text1"/>
                <w:sz w:val="24"/>
                <w:szCs w:val="24"/>
                <w14:textFill>
                  <w14:solidFill>
                    <w14:schemeClr w14:val="tx1"/>
                  </w14:solidFill>
                </w14:textFill>
              </w:rPr>
              <w:t>为</w:t>
            </w:r>
            <w:r>
              <w:rPr>
                <w:rFonts w:hint="eastAsia" w:cs="Times New Roman"/>
                <w:color w:val="000000" w:themeColor="text1"/>
                <w:sz w:val="24"/>
                <w:szCs w:val="24"/>
                <w:lang w:val="en-US" w:eastAsia="zh-CN"/>
                <w14:textFill>
                  <w14:solidFill>
                    <w14:schemeClr w14:val="tx1"/>
                  </w14:solidFill>
                </w14:textFill>
              </w:rPr>
              <w:t>0.0294</w:t>
            </w:r>
            <w:r>
              <w:rPr>
                <w:rFonts w:hint="default" w:ascii="Times New Roman" w:hAnsi="Times New Roman" w:eastAsia="宋体" w:cs="Times New Roman"/>
                <w:color w:val="000000" w:themeColor="text1"/>
                <w:sz w:val="24"/>
                <w:szCs w:val="24"/>
                <w14:textFill>
                  <w14:solidFill>
                    <w14:schemeClr w14:val="tx1"/>
                  </w14:solidFill>
                </w14:textFill>
              </w:rPr>
              <w:t>t/a</w:t>
            </w:r>
            <w:r>
              <w:rPr>
                <w:rFonts w:hint="eastAsia" w:ascii="Times New Roman" w:hAnsi="Times New Roman" w:eastAsia="宋体" w:cs="Times New Roman"/>
                <w:color w:val="000000" w:themeColor="text1"/>
                <w:sz w:val="24"/>
                <w:szCs w:val="24"/>
                <w:lang w:eastAsia="zh-CN"/>
                <w14:textFill>
                  <w14:solidFill>
                    <w14:schemeClr w14:val="tx1"/>
                  </w14:solidFill>
                </w14:textFill>
              </w:rPr>
              <w:t>，</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排放速率为</w:t>
            </w:r>
            <w:r>
              <w:rPr>
                <w:rFonts w:hint="eastAsia" w:cs="Times New Roman"/>
                <w:color w:val="000000" w:themeColor="text1"/>
                <w:sz w:val="24"/>
                <w:szCs w:val="24"/>
                <w:lang w:val="en-US" w:eastAsia="zh-CN"/>
                <w14:textFill>
                  <w14:solidFill>
                    <w14:schemeClr w14:val="tx1"/>
                  </w14:solidFill>
                </w14:textFill>
              </w:rPr>
              <w:t>0.0105</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kg/h。排放浓度满足《大气污染物综合排放标准》（GB16297-1996）中表2无组织排放监控浓度限值</w:t>
            </w:r>
            <w:r>
              <w:rPr>
                <w:rFonts w:hint="eastAsia" w:cs="Times New Roman"/>
                <w:color w:val="000000" w:themeColor="text1"/>
                <w:sz w:val="24"/>
                <w:szCs w:val="24"/>
                <w:lang w:val="en-US" w:eastAsia="zh-CN"/>
                <w14:textFill>
                  <w14:solidFill>
                    <w14:schemeClr w14:val="tx1"/>
                  </w14:solidFill>
                </w14:textFill>
              </w:rPr>
              <w:t>：1.0mg/m³</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以及《秦皇岛市人民政府办公室关于执行钢铁等行业大气污染物排放特别要求的通知》（2021-10）中无组织排放浓度特别管控要求，即0.3mg/m³</w:t>
            </w:r>
            <w:r>
              <w:rPr>
                <w:rFonts w:hint="default" w:ascii="Times New Roman" w:hAnsi="Times New Roman" w:eastAsia="宋体" w:cs="Times New Roman"/>
                <w:color w:val="000000" w:themeColor="text1"/>
                <w:sz w:val="24"/>
                <w:szCs w:val="24"/>
                <w:lang w:val="en-US" w:eastAsia="zh-CN"/>
                <w14:textFill>
                  <w14:solidFill>
                    <w14:schemeClr w14:val="tx1"/>
                  </w14:solidFill>
                </w14:textFill>
              </w:rPr>
              <w:t>。</w:t>
            </w:r>
          </w:p>
          <w:p>
            <w:pPr>
              <w:pStyle w:val="26"/>
              <w:spacing w:line="360" w:lineRule="auto"/>
              <w:ind w:left="0" w:leftChars="0" w:firstLine="0" w:firstLineChars="0"/>
              <w:rPr>
                <w:rFonts w:hint="eastAsia" w:ascii="Times New Roman" w:hAnsi="Times New Roman" w:eastAsia="宋体" w:cs="Times New Roman"/>
                <w:b/>
                <w:bCs/>
                <w:color w:val="000000" w:themeColor="text1"/>
                <w:kern w:val="2"/>
                <w:sz w:val="24"/>
                <w:szCs w:val="32"/>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2"/>
                <w:sz w:val="24"/>
                <w:szCs w:val="32"/>
                <w:lang w:val="en-US" w:eastAsia="zh-CN" w:bidi="ar-SA"/>
                <w14:textFill>
                  <w14:solidFill>
                    <w14:schemeClr w14:val="tx1"/>
                  </w14:solidFill>
                </w14:textFill>
              </w:rPr>
              <w:t>1.</w:t>
            </w:r>
            <w:r>
              <w:rPr>
                <w:rFonts w:hint="eastAsia" w:cs="Times New Roman"/>
                <w:b/>
                <w:bCs/>
                <w:color w:val="000000" w:themeColor="text1"/>
                <w:kern w:val="2"/>
                <w:sz w:val="24"/>
                <w:szCs w:val="32"/>
                <w:lang w:val="en-US" w:eastAsia="zh-CN" w:bidi="ar-SA"/>
                <w14:textFill>
                  <w14:solidFill>
                    <w14:schemeClr w14:val="tx1"/>
                  </w14:solidFill>
                </w14:textFill>
              </w:rPr>
              <w:t>4</w:t>
            </w:r>
            <w:r>
              <w:rPr>
                <w:rFonts w:hint="eastAsia" w:ascii="Times New Roman" w:hAnsi="Times New Roman" w:eastAsia="宋体" w:cs="Times New Roman"/>
                <w:b/>
                <w:bCs/>
                <w:color w:val="000000" w:themeColor="text1"/>
                <w:kern w:val="2"/>
                <w:sz w:val="24"/>
                <w:szCs w:val="32"/>
                <w:lang w:val="en-US" w:eastAsia="zh-CN" w:bidi="ar-SA"/>
                <w14:textFill>
                  <w14:solidFill>
                    <w14:schemeClr w14:val="tx1"/>
                  </w14:solidFill>
                </w14:textFill>
              </w:rPr>
              <w:t>排放口情况</w:t>
            </w:r>
          </w:p>
          <w:p>
            <w:pPr>
              <w:pStyle w:val="48"/>
              <w:bidi w:val="0"/>
              <w:rPr>
                <w:rFonts w:hint="default"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pPr>
            <w:r>
              <w:rPr>
                <w:rFonts w:hint="default"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t>表</w:t>
            </w:r>
            <w:r>
              <w:rPr>
                <w:rFonts w:hint="eastAsia"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t xml:space="preserve">4-1 </w:t>
            </w:r>
            <w:r>
              <w:rPr>
                <w:rFonts w:hint="default" w:ascii="Times New Roman" w:hAnsi="Times New Roman" w:eastAsia="宋体" w:cs="Times New Roman"/>
                <w:b/>
                <w:color w:val="000000" w:themeColor="text1"/>
                <w:kern w:val="21"/>
                <w:sz w:val="21"/>
                <w:szCs w:val="16"/>
                <w:highlight w:val="none"/>
                <w:lang w:val="en-US" w:eastAsia="zh-CN" w:bidi="ar-SA"/>
                <w14:textFill>
                  <w14:solidFill>
                    <w14:schemeClr w14:val="tx1"/>
                  </w14:solidFill>
                </w14:textFill>
              </w:rPr>
              <w:t xml:space="preserve"> 面源参数一览表</w:t>
            </w:r>
          </w:p>
          <w:tbl>
            <w:tblPr>
              <w:tblStyle w:val="32"/>
              <w:tblW w:w="85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0"/>
              <w:gridCol w:w="676"/>
              <w:gridCol w:w="1016"/>
              <w:gridCol w:w="983"/>
              <w:gridCol w:w="793"/>
              <w:gridCol w:w="1224"/>
              <w:gridCol w:w="983"/>
              <w:gridCol w:w="754"/>
              <w:gridCol w:w="16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40"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序号</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676"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名称</w:t>
                  </w:r>
                </w:p>
              </w:tc>
              <w:tc>
                <w:tcPr>
                  <w:tcW w:w="1016"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面海拔高度/m</w:t>
                  </w:r>
                </w:p>
              </w:tc>
              <w:tc>
                <w:tcPr>
                  <w:tcW w:w="983"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面源长度/m</w:t>
                  </w:r>
                </w:p>
              </w:tc>
              <w:tc>
                <w:tcPr>
                  <w:tcW w:w="793"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面源宽度/m</w:t>
                  </w:r>
                </w:p>
              </w:tc>
              <w:tc>
                <w:tcPr>
                  <w:tcW w:w="1224"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面源有效排放高度/m</w:t>
                  </w:r>
                </w:p>
              </w:tc>
              <w:tc>
                <w:tcPr>
                  <w:tcW w:w="983"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年排放时数/h</w:t>
                  </w:r>
                </w:p>
              </w:tc>
              <w:tc>
                <w:tcPr>
                  <w:tcW w:w="754"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排放工况</w:t>
                  </w:r>
                </w:p>
              </w:tc>
              <w:tc>
                <w:tcPr>
                  <w:tcW w:w="1635"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排放速率/(kg/h)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40"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676"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1016"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983"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793"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1224"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983"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754"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p>
              </w:tc>
              <w:tc>
                <w:tcPr>
                  <w:tcW w:w="1635"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cs="Times New Roman"/>
                      <w:color w:val="000000" w:themeColor="text1"/>
                      <w:sz w:val="21"/>
                      <w:szCs w:val="21"/>
                      <w:lang w:val="en-US" w:eastAsia="zh-CN"/>
                      <w14:textFill>
                        <w14:solidFill>
                          <w14:schemeClr w14:val="tx1"/>
                        </w14:solidFill>
                      </w14:textFill>
                    </w:rPr>
                    <w:t>颗粒物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4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1</w:t>
                  </w:r>
                </w:p>
              </w:tc>
              <w:tc>
                <w:tcPr>
                  <w:tcW w:w="676"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cs="Times New Roman"/>
                      <w:color w:val="000000" w:themeColor="text1"/>
                      <w:sz w:val="21"/>
                      <w:szCs w:val="21"/>
                      <w:lang w:val="en-US" w:eastAsia="zh-CN"/>
                      <w14:textFill>
                        <w14:solidFill>
                          <w14:schemeClr w14:val="tx1"/>
                        </w14:solidFill>
                      </w14:textFill>
                    </w:rPr>
                    <w:t>炉渣</w:t>
                  </w:r>
                  <w:r>
                    <w:rPr>
                      <w:rFonts w:hint="eastAsia" w:ascii="Times New Roman" w:hAnsi="Times New Roman" w:cs="Times New Roman"/>
                      <w:color w:val="000000" w:themeColor="text1"/>
                      <w:sz w:val="21"/>
                      <w:szCs w:val="21"/>
                      <w:lang w:val="en-US" w:eastAsia="zh-CN"/>
                      <w14:textFill>
                        <w14:solidFill>
                          <w14:schemeClr w14:val="tx1"/>
                        </w14:solidFill>
                      </w14:textFill>
                    </w:rPr>
                    <w:t>车间</w:t>
                  </w:r>
                </w:p>
              </w:tc>
              <w:tc>
                <w:tcPr>
                  <w:tcW w:w="1016"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12.67</w:t>
                  </w:r>
                </w:p>
              </w:tc>
              <w:tc>
                <w:tcPr>
                  <w:tcW w:w="983"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20</w:t>
                  </w:r>
                </w:p>
              </w:tc>
              <w:tc>
                <w:tcPr>
                  <w:tcW w:w="793"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10</w:t>
                  </w:r>
                </w:p>
              </w:tc>
              <w:tc>
                <w:tcPr>
                  <w:tcW w:w="122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cs="Times New Roman"/>
                      <w:color w:val="000000" w:themeColor="text1"/>
                      <w:sz w:val="21"/>
                      <w:szCs w:val="21"/>
                      <w:lang w:val="en-US" w:eastAsia="zh-CN"/>
                      <w14:textFill>
                        <w14:solidFill>
                          <w14:schemeClr w14:val="tx1"/>
                        </w14:solidFill>
                      </w14:textFill>
                    </w:rPr>
                    <w:t>10</w:t>
                  </w:r>
                </w:p>
              </w:tc>
              <w:tc>
                <w:tcPr>
                  <w:tcW w:w="983"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cs="Times New Roman"/>
                      <w:color w:val="000000" w:themeColor="text1"/>
                      <w:sz w:val="21"/>
                      <w:szCs w:val="21"/>
                      <w:lang w:val="en-US" w:eastAsia="zh-CN"/>
                      <w14:textFill>
                        <w14:solidFill>
                          <w14:schemeClr w14:val="tx1"/>
                        </w14:solidFill>
                      </w14:textFill>
                    </w:rPr>
                    <w:t>24</w:t>
                  </w:r>
                  <w:r>
                    <w:rPr>
                      <w:rFonts w:hint="eastAsia" w:eastAsia="宋体" w:cs="Times New Roman"/>
                      <w:color w:val="000000" w:themeColor="text1"/>
                      <w:sz w:val="21"/>
                      <w:szCs w:val="21"/>
                      <w:lang w:val="en-US" w:eastAsia="zh-CN"/>
                      <w14:textFill>
                        <w14:solidFill>
                          <w14:schemeClr w14:val="tx1"/>
                        </w14:solidFill>
                      </w14:textFill>
                    </w:rPr>
                    <w:t>00</w:t>
                  </w:r>
                </w:p>
              </w:tc>
              <w:tc>
                <w:tcPr>
                  <w:tcW w:w="754"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正常</w:t>
                  </w:r>
                </w:p>
              </w:tc>
              <w:tc>
                <w:tcPr>
                  <w:tcW w:w="1635"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eastAsia="宋体" w:cs="Times New Roman"/>
                      <w:color w:val="000000" w:themeColor="text1"/>
                      <w:sz w:val="21"/>
                      <w:szCs w:val="21"/>
                      <w:lang w:val="en-US" w:eastAsia="zh-CN"/>
                      <w14:textFill>
                        <w14:solidFill>
                          <w14:schemeClr w14:val="tx1"/>
                        </w14:solidFill>
                      </w14:textFill>
                    </w:rPr>
                  </w:pPr>
                  <w:r>
                    <w:rPr>
                      <w:rFonts w:hint="eastAsia" w:cs="Times New Roman"/>
                      <w:color w:val="000000" w:themeColor="text1"/>
                      <w:sz w:val="21"/>
                      <w:szCs w:val="21"/>
                      <w:lang w:val="en-US" w:eastAsia="zh-CN"/>
                      <w14:textFill>
                        <w14:solidFill>
                          <w14:schemeClr w14:val="tx1"/>
                        </w14:solidFill>
                      </w14:textFill>
                    </w:rPr>
                    <w:t>0.0105</w:t>
                  </w:r>
                </w:p>
              </w:tc>
            </w:tr>
          </w:tbl>
          <w:p>
            <w:pPr>
              <w:pStyle w:val="26"/>
              <w:spacing w:line="360" w:lineRule="auto"/>
              <w:ind w:left="0" w:leftChars="0" w:firstLine="0" w:firstLineChars="0"/>
              <w:rPr>
                <w:rFonts w:hint="eastAsia" w:cs="Times New Roman"/>
                <w:b/>
                <w:bCs/>
                <w:color w:val="000000" w:themeColor="text1"/>
                <w:kern w:val="2"/>
                <w:sz w:val="24"/>
                <w:szCs w:val="32"/>
                <w:lang w:val="en-US" w:eastAsia="zh-CN" w:bidi="ar-SA"/>
                <w14:textFill>
                  <w14:solidFill>
                    <w14:schemeClr w14:val="tx1"/>
                  </w14:solidFill>
                </w14:textFill>
              </w:rPr>
            </w:pPr>
            <w:r>
              <w:rPr>
                <w:rFonts w:hint="eastAsia" w:cs="Times New Roman"/>
                <w:b/>
                <w:bCs/>
                <w:color w:val="000000" w:themeColor="text1"/>
                <w:kern w:val="2"/>
                <w:sz w:val="24"/>
                <w:szCs w:val="32"/>
                <w:lang w:val="en-US" w:eastAsia="zh-CN" w:bidi="ar-SA"/>
                <w14:textFill>
                  <w14:solidFill>
                    <w14:schemeClr w14:val="tx1"/>
                  </w14:solidFill>
                </w14:textFill>
              </w:rPr>
              <w:t>1.5非正常工况</w:t>
            </w:r>
          </w:p>
          <w:p>
            <w:pPr>
              <w:adjustRightInd w:val="0"/>
              <w:snapToGrid w:val="0"/>
              <w:spacing w:line="360" w:lineRule="auto"/>
              <w:ind w:firstLine="480" w:firstLineChars="200"/>
              <w:jc w:val="left"/>
              <w:rPr>
                <w:rFonts w:hint="default" w:ascii="Times New Roman" w:hAnsi="Times New Roman" w:cs="Times New Roman"/>
                <w:bCs/>
                <w:color w:val="000000" w:themeColor="text1"/>
                <w:sz w:val="24"/>
                <w:szCs w:val="24"/>
                <w:highlight w:val="none"/>
                <w14:textFill>
                  <w14:solidFill>
                    <w14:schemeClr w14:val="tx1"/>
                  </w14:solidFill>
                </w14:textFill>
              </w:rPr>
            </w:pPr>
            <w:r>
              <w:rPr>
                <w:rFonts w:hint="default" w:ascii="Times New Roman" w:hAnsi="Times New Roman" w:cs="Times New Roman"/>
                <w:bCs/>
                <w:color w:val="000000" w:themeColor="text1"/>
                <w:sz w:val="24"/>
                <w:szCs w:val="24"/>
                <w:highlight w:val="none"/>
                <w14:textFill>
                  <w14:solidFill>
                    <w14:schemeClr w14:val="tx1"/>
                  </w14:solidFill>
                </w14:textFill>
              </w:rPr>
              <w:t>非正常生产排污包括开车、停车、检修和非正常工况的污染物排放，如工艺设备和环保设施不能正常运行时污染物的排放等。在某些非正常生产工况时，污染源强会发生很大的变化，致使装置污染物产生量在短期内大幅增加。</w:t>
            </w:r>
          </w:p>
          <w:p>
            <w:pPr>
              <w:adjustRightInd w:val="0"/>
              <w:snapToGrid w:val="0"/>
              <w:spacing w:line="360" w:lineRule="auto"/>
              <w:ind w:firstLine="480" w:firstLineChars="200"/>
              <w:jc w:val="left"/>
              <w:rPr>
                <w:rFonts w:hint="default" w:ascii="Times New Roman" w:hAnsi="Times New Roman" w:cs="Times New Roman"/>
                <w:bCs/>
                <w:color w:val="000000" w:themeColor="text1"/>
                <w:sz w:val="24"/>
                <w:szCs w:val="24"/>
                <w:highlight w:val="none"/>
                <w14:textFill>
                  <w14:solidFill>
                    <w14:schemeClr w14:val="tx1"/>
                  </w14:solidFill>
                </w14:textFill>
              </w:rPr>
            </w:pPr>
            <w:r>
              <w:rPr>
                <w:rFonts w:hint="default" w:ascii="Times New Roman" w:hAnsi="Times New Roman" w:cs="Times New Roman"/>
                <w:bCs/>
                <w:color w:val="000000" w:themeColor="text1"/>
                <w:sz w:val="24"/>
                <w:szCs w:val="24"/>
                <w:highlight w:val="none"/>
                <w14:textFill>
                  <w14:solidFill>
                    <w14:schemeClr w14:val="tx1"/>
                  </w14:solidFill>
                </w14:textFill>
              </w:rPr>
              <w:t>（1）停电、停气故障</w:t>
            </w:r>
          </w:p>
          <w:p>
            <w:pPr>
              <w:adjustRightInd w:val="0"/>
              <w:snapToGrid w:val="0"/>
              <w:spacing w:line="360" w:lineRule="auto"/>
              <w:ind w:firstLine="480" w:firstLineChars="200"/>
              <w:jc w:val="left"/>
              <w:rPr>
                <w:rFonts w:hint="default" w:ascii="Times New Roman" w:hAnsi="Times New Roman" w:cs="Times New Roman"/>
                <w:bCs/>
                <w:color w:val="000000" w:themeColor="text1"/>
                <w:sz w:val="24"/>
                <w:szCs w:val="24"/>
                <w:highlight w:val="none"/>
                <w14:textFill>
                  <w14:solidFill>
                    <w14:schemeClr w14:val="tx1"/>
                  </w14:solidFill>
                </w14:textFill>
              </w:rPr>
            </w:pPr>
            <w:r>
              <w:rPr>
                <w:rFonts w:hint="default" w:ascii="Times New Roman" w:hAnsi="Times New Roman" w:cs="Times New Roman"/>
                <w:bCs/>
                <w:color w:val="000000" w:themeColor="text1"/>
                <w:sz w:val="24"/>
                <w:szCs w:val="24"/>
                <w:highlight w:val="none"/>
                <w14:textFill>
                  <w14:solidFill>
                    <w14:schemeClr w14:val="tx1"/>
                  </w14:solidFill>
                </w14:textFill>
              </w:rPr>
              <w:t>项目生产使用电能，停电时停止生产，不会排放污染物。</w:t>
            </w:r>
          </w:p>
          <w:p>
            <w:pPr>
              <w:adjustRightInd w:val="0"/>
              <w:snapToGrid w:val="0"/>
              <w:spacing w:line="360" w:lineRule="auto"/>
              <w:ind w:firstLine="480" w:firstLineChars="200"/>
              <w:jc w:val="left"/>
              <w:rPr>
                <w:rFonts w:hint="default" w:ascii="Times New Roman" w:hAnsi="Times New Roman" w:cs="Times New Roman"/>
                <w:bCs/>
                <w:color w:val="000000" w:themeColor="text1"/>
                <w:sz w:val="24"/>
                <w:szCs w:val="24"/>
                <w:highlight w:val="none"/>
                <w14:textFill>
                  <w14:solidFill>
                    <w14:schemeClr w14:val="tx1"/>
                  </w14:solidFill>
                </w14:textFill>
              </w:rPr>
            </w:pPr>
            <w:r>
              <w:rPr>
                <w:rFonts w:hint="default" w:ascii="Times New Roman" w:hAnsi="Times New Roman" w:cs="Times New Roman"/>
                <w:bCs/>
                <w:color w:val="000000" w:themeColor="text1"/>
                <w:sz w:val="24"/>
                <w:szCs w:val="24"/>
                <w:highlight w:val="none"/>
                <w14:textFill>
                  <w14:solidFill>
                    <w14:schemeClr w14:val="tx1"/>
                  </w14:solidFill>
                </w14:textFill>
              </w:rPr>
              <w:t>（2）生产线故障</w:t>
            </w:r>
          </w:p>
          <w:p>
            <w:pPr>
              <w:adjustRightInd w:val="0"/>
              <w:snapToGrid w:val="0"/>
              <w:spacing w:line="360" w:lineRule="auto"/>
              <w:ind w:firstLine="480" w:firstLineChars="200"/>
              <w:jc w:val="left"/>
              <w:rPr>
                <w:rFonts w:hint="default" w:ascii="Times New Roman" w:hAnsi="Times New Roman" w:cs="Times New Roman"/>
                <w:bCs/>
                <w:color w:val="000000" w:themeColor="text1"/>
                <w:sz w:val="24"/>
                <w:szCs w:val="24"/>
                <w:highlight w:val="none"/>
                <w14:textFill>
                  <w14:solidFill>
                    <w14:schemeClr w14:val="tx1"/>
                  </w14:solidFill>
                </w14:textFill>
              </w:rPr>
            </w:pPr>
            <w:r>
              <w:rPr>
                <w:rFonts w:hint="default" w:ascii="Times New Roman" w:hAnsi="Times New Roman" w:cs="Times New Roman"/>
                <w:bCs/>
                <w:color w:val="000000" w:themeColor="text1"/>
                <w:sz w:val="24"/>
                <w:szCs w:val="24"/>
                <w:highlight w:val="none"/>
                <w14:textFill>
                  <w14:solidFill>
                    <w14:schemeClr w14:val="tx1"/>
                  </w14:solidFill>
                </w14:textFill>
              </w:rPr>
              <w:t>由于本项目各生产设备基本无关联度，某设备发生故障检修时，不影响</w:t>
            </w:r>
            <w:r>
              <w:rPr>
                <w:rFonts w:hint="eastAsia" w:cs="Times New Roman"/>
                <w:bCs/>
                <w:color w:val="000000" w:themeColor="text1"/>
                <w:sz w:val="24"/>
                <w:szCs w:val="24"/>
                <w:highlight w:val="none"/>
                <w:lang w:eastAsia="zh-CN"/>
                <w14:textFill>
                  <w14:solidFill>
                    <w14:schemeClr w14:val="tx1"/>
                  </w14:solidFill>
                </w14:textFill>
              </w:rPr>
              <w:t>其他设备</w:t>
            </w:r>
            <w:r>
              <w:rPr>
                <w:rFonts w:hint="default" w:ascii="Times New Roman" w:hAnsi="Times New Roman" w:cs="Times New Roman"/>
                <w:bCs/>
                <w:color w:val="000000" w:themeColor="text1"/>
                <w:sz w:val="24"/>
                <w:szCs w:val="24"/>
                <w:highlight w:val="none"/>
                <w14:textFill>
                  <w14:solidFill>
                    <w14:schemeClr w14:val="tx1"/>
                  </w14:solidFill>
                </w14:textFill>
              </w:rPr>
              <w:t>生产及污染防治设施运行。</w:t>
            </w:r>
          </w:p>
          <w:p>
            <w:pPr>
              <w:pStyle w:val="26"/>
              <w:spacing w:line="360" w:lineRule="auto"/>
              <w:ind w:left="0" w:leftChars="0" w:firstLine="0" w:firstLineChars="0"/>
              <w:rPr>
                <w:rFonts w:hint="default" w:ascii="Times New Roman" w:hAnsi="Times New Roman" w:eastAsia="宋体" w:cs="Times New Roman"/>
                <w:b/>
                <w:bCs/>
                <w:color w:val="000000" w:themeColor="text1"/>
                <w:kern w:val="2"/>
                <w:sz w:val="24"/>
                <w:szCs w:val="32"/>
                <w:lang w:val="en-US" w:eastAsia="zh-CN" w:bidi="ar-SA"/>
                <w14:textFill>
                  <w14:solidFill>
                    <w14:schemeClr w14:val="tx1"/>
                  </w14:solidFill>
                </w14:textFill>
              </w:rPr>
            </w:pPr>
            <w:r>
              <w:rPr>
                <w:rFonts w:hint="default" w:ascii="Times New Roman" w:hAnsi="Times New Roman" w:eastAsia="宋体" w:cs="Times New Roman"/>
                <w:b/>
                <w:bCs/>
                <w:color w:val="000000" w:themeColor="text1"/>
                <w:kern w:val="2"/>
                <w:sz w:val="24"/>
                <w:szCs w:val="32"/>
                <w:lang w:val="en-US" w:eastAsia="zh-CN" w:bidi="ar-SA"/>
                <w14:textFill>
                  <w14:solidFill>
                    <w14:schemeClr w14:val="tx1"/>
                  </w14:solidFill>
                </w14:textFill>
              </w:rPr>
              <w:t>1.</w:t>
            </w:r>
            <w:r>
              <w:rPr>
                <w:rFonts w:hint="eastAsia" w:ascii="Times New Roman" w:hAnsi="Times New Roman" w:eastAsia="宋体" w:cs="Times New Roman"/>
                <w:b/>
                <w:bCs/>
                <w:color w:val="000000" w:themeColor="text1"/>
                <w:kern w:val="2"/>
                <w:sz w:val="24"/>
                <w:szCs w:val="32"/>
                <w:lang w:val="en-US" w:eastAsia="zh-CN" w:bidi="ar-SA"/>
                <w14:textFill>
                  <w14:solidFill>
                    <w14:schemeClr w14:val="tx1"/>
                  </w14:solidFill>
                </w14:textFill>
              </w:rPr>
              <w:t>5</w:t>
            </w:r>
            <w:r>
              <w:rPr>
                <w:rFonts w:hint="default" w:ascii="Times New Roman" w:hAnsi="Times New Roman" w:eastAsia="宋体" w:cs="Times New Roman"/>
                <w:b/>
                <w:bCs/>
                <w:color w:val="000000" w:themeColor="text1"/>
                <w:kern w:val="2"/>
                <w:sz w:val="24"/>
                <w:szCs w:val="32"/>
                <w:lang w:val="en-US" w:eastAsia="zh-CN" w:bidi="ar-SA"/>
                <w14:textFill>
                  <w14:solidFill>
                    <w14:schemeClr w14:val="tx1"/>
                  </w14:solidFill>
                </w14:textFill>
              </w:rPr>
              <w:t>监测要求</w:t>
            </w:r>
          </w:p>
          <w:p>
            <w:pPr>
              <w:ind w:firstLine="480" w:firstLineChars="200"/>
              <w:jc w:val="both"/>
              <w:rPr>
                <w:rFonts w:hint="default" w:cs="Times New Roman"/>
                <w:b w:val="0"/>
                <w:bCs w:val="0"/>
                <w:color w:val="000000" w:themeColor="text1"/>
                <w:sz w:val="24"/>
                <w:szCs w:val="24"/>
                <w:highlight w:val="none"/>
                <w:lang w:val="en-US" w:eastAsia="zh-CN"/>
                <w14:textFill>
                  <w14:solidFill>
                    <w14:schemeClr w14:val="tx1"/>
                  </w14:solidFill>
                </w14:textFill>
              </w:rPr>
            </w:pPr>
            <w:r>
              <w:rPr>
                <w:rFonts w:hint="eastAsia" w:cs="Times New Roman"/>
                <w:b w:val="0"/>
                <w:bCs w:val="0"/>
                <w:color w:val="000000" w:themeColor="text1"/>
                <w:sz w:val="24"/>
                <w:szCs w:val="24"/>
                <w:highlight w:val="none"/>
                <w:lang w:val="en-US" w:eastAsia="zh-CN"/>
                <w14:textFill>
                  <w14:solidFill>
                    <w14:schemeClr w14:val="tx1"/>
                  </w14:solidFill>
                </w14:textFill>
              </w:rPr>
              <w:t>按照《</w:t>
            </w:r>
            <w:r>
              <w:rPr>
                <w:rFonts w:hint="default" w:ascii="Times New Roman" w:hAnsi="Times New Roman" w:eastAsia="宋体" w:cs="Times New Roman"/>
                <w:color w:val="000000" w:themeColor="text1"/>
                <w:sz w:val="24"/>
                <w:highlight w:val="none"/>
                <w:lang w:val="en-US" w:eastAsia="zh-CN"/>
                <w14:textFill>
                  <w14:solidFill>
                    <w14:schemeClr w14:val="tx1"/>
                  </w14:solidFill>
                </w14:textFill>
              </w:rPr>
              <w:t xml:space="preserve">排污许可证申请与核发技术规范 </w:t>
            </w:r>
            <w:r>
              <w:rPr>
                <w:rFonts w:hint="eastAsia" w:cs="Times New Roman"/>
                <w:color w:val="000000" w:themeColor="text1"/>
                <w:sz w:val="24"/>
                <w:highlight w:val="none"/>
                <w:lang w:val="en-US" w:eastAsia="zh-CN"/>
                <w14:textFill>
                  <w14:solidFill>
                    <w14:schemeClr w14:val="tx1"/>
                  </w14:solidFill>
                </w14:textFill>
              </w:rPr>
              <w:t>废弃资源加工工业</w:t>
            </w:r>
            <w:r>
              <w:rPr>
                <w:rFonts w:hint="eastAsia" w:cs="Times New Roman"/>
                <w:b w:val="0"/>
                <w:bCs w:val="0"/>
                <w:color w:val="000000" w:themeColor="text1"/>
                <w:sz w:val="24"/>
                <w:szCs w:val="24"/>
                <w:highlight w:val="none"/>
                <w:lang w:val="en-US" w:eastAsia="zh-CN"/>
                <w14:textFill>
                  <w14:solidFill>
                    <w14:schemeClr w14:val="tx1"/>
                  </w14:solidFill>
                </w14:textFill>
              </w:rPr>
              <w:t>》中监测点位、指标以及频次要求确定本项目废气要求。</w:t>
            </w:r>
          </w:p>
          <w:p>
            <w:pPr>
              <w:numPr>
                <w:ilvl w:val="0"/>
                <w:numId w:val="0"/>
              </w:numPr>
              <w:spacing w:line="240" w:lineRule="auto"/>
              <w:ind w:leftChars="0"/>
              <w:jc w:val="center"/>
              <w:rPr>
                <w:rFonts w:hint="default" w:ascii="Times New Roman" w:hAnsi="Times New Roman" w:eastAsia="宋体" w:cs="Times New Roman"/>
                <w:b/>
                <w:bCs/>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lang w:val="en-US" w:eastAsia="zh-CN"/>
                <w14:textFill>
                  <w14:solidFill>
                    <w14:schemeClr w14:val="tx1"/>
                  </w14:solidFill>
                </w14:textFill>
              </w:rPr>
              <w:t>表</w:t>
            </w:r>
            <w:r>
              <w:rPr>
                <w:rFonts w:hint="eastAsia" w:ascii="Times New Roman" w:hAnsi="Times New Roman" w:eastAsia="宋体" w:cs="Times New Roman"/>
                <w:b/>
                <w:bCs/>
                <w:color w:val="000000" w:themeColor="text1"/>
                <w:sz w:val="21"/>
                <w:szCs w:val="21"/>
                <w:highlight w:val="none"/>
                <w:lang w:val="en-US" w:eastAsia="zh-CN"/>
                <w14:textFill>
                  <w14:solidFill>
                    <w14:schemeClr w14:val="tx1"/>
                  </w14:solidFill>
                </w14:textFill>
              </w:rPr>
              <w:t>4-</w:t>
            </w:r>
            <w:r>
              <w:rPr>
                <w:rFonts w:hint="eastAsia" w:cs="Times New Roman"/>
                <w:b/>
                <w:bCs/>
                <w:color w:val="000000" w:themeColor="text1"/>
                <w:sz w:val="21"/>
                <w:szCs w:val="21"/>
                <w:highlight w:val="none"/>
                <w:lang w:val="en-US" w:eastAsia="zh-CN"/>
                <w14:textFill>
                  <w14:solidFill>
                    <w14:schemeClr w14:val="tx1"/>
                  </w14:solidFill>
                </w14:textFill>
              </w:rPr>
              <w:t>2</w:t>
            </w:r>
            <w:r>
              <w:rPr>
                <w:rFonts w:hint="default" w:ascii="Times New Roman" w:hAnsi="Times New Roman" w:eastAsia="宋体" w:cs="Times New Roman"/>
                <w:b/>
                <w:bCs/>
                <w:color w:val="000000" w:themeColor="text1"/>
                <w:sz w:val="21"/>
                <w:szCs w:val="21"/>
                <w:highlight w:val="none"/>
                <w:lang w:val="en-US" w:eastAsia="zh-CN"/>
                <w14:textFill>
                  <w14:solidFill>
                    <w14:schemeClr w14:val="tx1"/>
                  </w14:solidFill>
                </w14:textFill>
              </w:rPr>
              <w:t xml:space="preserve">  监测要求一览表</w:t>
            </w:r>
          </w:p>
          <w:tbl>
            <w:tblPr>
              <w:tblStyle w:val="3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0"/>
              <w:gridCol w:w="2133"/>
              <w:gridCol w:w="1933"/>
              <w:gridCol w:w="22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38" w:type="pct"/>
                  <w:tcBorders>
                    <w:tl2br w:val="nil"/>
                    <w:tr2bl w:val="nil"/>
                  </w:tcBorders>
                  <w:vAlign w:val="center"/>
                </w:tcPr>
                <w:p>
                  <w:pPr>
                    <w:pStyle w:val="57"/>
                    <w:spacing w:line="240" w:lineRule="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监测项目</w:t>
                  </w:r>
                </w:p>
              </w:tc>
              <w:tc>
                <w:tcPr>
                  <w:tcW w:w="1269" w:type="pct"/>
                  <w:tcBorders>
                    <w:tl2br w:val="nil"/>
                    <w:tr2bl w:val="nil"/>
                  </w:tcBorders>
                  <w:vAlign w:val="center"/>
                </w:tcPr>
                <w:p>
                  <w:pPr>
                    <w:pStyle w:val="57"/>
                    <w:spacing w:line="240" w:lineRule="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监测点位</w:t>
                  </w:r>
                </w:p>
              </w:tc>
              <w:tc>
                <w:tcPr>
                  <w:tcW w:w="1150" w:type="pct"/>
                  <w:tcBorders>
                    <w:tl2br w:val="nil"/>
                    <w:tr2bl w:val="nil"/>
                  </w:tcBorders>
                  <w:vAlign w:val="center"/>
                </w:tcPr>
                <w:p>
                  <w:pPr>
                    <w:pStyle w:val="57"/>
                    <w:spacing w:line="240" w:lineRule="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监测因子</w:t>
                  </w:r>
                </w:p>
              </w:tc>
              <w:tc>
                <w:tcPr>
                  <w:tcW w:w="1341" w:type="pct"/>
                  <w:tcBorders>
                    <w:tl2br w:val="nil"/>
                    <w:tr2bl w:val="nil"/>
                  </w:tcBorders>
                  <w:vAlign w:val="center"/>
                </w:tcPr>
                <w:p>
                  <w:pPr>
                    <w:pStyle w:val="57"/>
                    <w:spacing w:line="240" w:lineRule="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38" w:type="pct"/>
                  <w:tcBorders>
                    <w:tl2br w:val="nil"/>
                    <w:tr2bl w:val="nil"/>
                  </w:tcBorders>
                  <w:vAlign w:val="center"/>
                </w:tcPr>
                <w:p>
                  <w:pPr>
                    <w:pStyle w:val="57"/>
                    <w:spacing w:line="240" w:lineRule="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废气</w:t>
                  </w:r>
                </w:p>
              </w:tc>
              <w:tc>
                <w:tcPr>
                  <w:tcW w:w="1269" w:type="pct"/>
                  <w:tcBorders>
                    <w:tl2br w:val="nil"/>
                    <w:tr2bl w:val="nil"/>
                  </w:tcBorders>
                  <w:vAlign w:val="center"/>
                </w:tcPr>
                <w:p>
                  <w:pPr>
                    <w:pStyle w:val="57"/>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厂界</w:t>
                  </w:r>
                </w:p>
              </w:tc>
              <w:tc>
                <w:tcPr>
                  <w:tcW w:w="1150" w:type="pct"/>
                  <w:tcBorders>
                    <w:tl2br w:val="nil"/>
                    <w:tr2bl w:val="nil"/>
                  </w:tcBorders>
                  <w:vAlign w:val="center"/>
                </w:tcPr>
                <w:p>
                  <w:pPr>
                    <w:pStyle w:val="57"/>
                    <w:spacing w:line="240" w:lineRule="auto"/>
                    <w:rPr>
                      <w:rFonts w:hint="default" w:ascii="Times New Roman" w:hAnsi="Times New Roman" w:cs="Times New Roman"/>
                      <w:color w:val="000000" w:themeColor="text1"/>
                      <w14:textFill>
                        <w14:solidFill>
                          <w14:schemeClr w14:val="tx1"/>
                        </w14:solidFill>
                      </w14:textFill>
                    </w:rPr>
                  </w:pPr>
                  <w:r>
                    <w:rPr>
                      <w:rFonts w:hint="eastAsia" w:cs="Times New Roman"/>
                      <w:color w:val="000000" w:themeColor="text1"/>
                      <w:lang w:val="en-US" w:eastAsia="zh-CN"/>
                      <w14:textFill>
                        <w14:solidFill>
                          <w14:schemeClr w14:val="tx1"/>
                        </w14:solidFill>
                      </w14:textFill>
                    </w:rPr>
                    <w:t>颗粒物</w:t>
                  </w:r>
                </w:p>
              </w:tc>
              <w:tc>
                <w:tcPr>
                  <w:tcW w:w="1341" w:type="pct"/>
                  <w:tcBorders>
                    <w:tl2br w:val="nil"/>
                    <w:tr2bl w:val="nil"/>
                  </w:tcBorders>
                  <w:vAlign w:val="center"/>
                </w:tcPr>
                <w:p>
                  <w:pPr>
                    <w:pStyle w:val="57"/>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1次/年</w:t>
                  </w:r>
                </w:p>
              </w:tc>
            </w:tr>
          </w:tbl>
          <w:p>
            <w:pPr>
              <w:pStyle w:val="26"/>
              <w:spacing w:line="360" w:lineRule="auto"/>
              <w:ind w:left="0" w:leftChars="0" w:firstLine="0" w:firstLineChars="0"/>
              <w:rPr>
                <w:rFonts w:hint="eastAsia" w:ascii="Times New Roman" w:hAnsi="Times New Roman" w:eastAsia="宋体" w:cs="Times New Roman"/>
                <w:b/>
                <w:bCs/>
                <w:color w:val="000000" w:themeColor="text1"/>
                <w:kern w:val="2"/>
                <w:sz w:val="24"/>
                <w:szCs w:val="32"/>
                <w:lang w:val="en-US" w:eastAsia="zh-CN" w:bidi="ar-SA"/>
                <w14:textFill>
                  <w14:solidFill>
                    <w14:schemeClr w14:val="tx1"/>
                  </w14:solidFill>
                </w14:textFill>
              </w:rPr>
            </w:pPr>
            <w:r>
              <w:rPr>
                <w:rFonts w:hint="eastAsia" w:cs="Times New Roman"/>
                <w:b/>
                <w:bCs/>
                <w:color w:val="000000" w:themeColor="text1"/>
                <w:kern w:val="2"/>
                <w:sz w:val="24"/>
                <w:szCs w:val="32"/>
                <w:lang w:val="en-US" w:eastAsia="zh-CN" w:bidi="ar-SA"/>
                <w14:textFill>
                  <w14:solidFill>
                    <w14:schemeClr w14:val="tx1"/>
                  </w14:solidFill>
                </w14:textFill>
              </w:rPr>
              <w:t>1.6</w:t>
            </w:r>
            <w:r>
              <w:rPr>
                <w:rFonts w:hint="eastAsia" w:ascii="Times New Roman" w:hAnsi="Times New Roman" w:eastAsia="宋体" w:cs="Times New Roman"/>
                <w:b/>
                <w:bCs/>
                <w:color w:val="000000" w:themeColor="text1"/>
                <w:kern w:val="2"/>
                <w:sz w:val="24"/>
                <w:szCs w:val="32"/>
                <w:lang w:val="en-US" w:eastAsia="zh-CN" w:bidi="ar-SA"/>
                <w14:textFill>
                  <w14:solidFill>
                    <w14:schemeClr w14:val="tx1"/>
                  </w14:solidFill>
                </w14:textFill>
              </w:rPr>
              <w:t>达标情况分析</w:t>
            </w:r>
          </w:p>
          <w:p>
            <w:pPr>
              <w:ind w:firstLine="480" w:firstLineChars="200"/>
              <w:jc w:val="both"/>
              <w:rPr>
                <w:rFonts w:hint="default"/>
                <w:color w:val="000000" w:themeColor="text1"/>
                <w:lang w:val="en-US" w:eastAsia="zh-CN"/>
                <w14:textFill>
                  <w14:solidFill>
                    <w14:schemeClr w14:val="tx1"/>
                  </w14:solidFill>
                </w14:textFill>
              </w:rPr>
            </w:pPr>
            <w:r>
              <w:rPr>
                <w:rFonts w:hint="eastAsia" w:cs="Times New Roman"/>
                <w:color w:val="000000" w:themeColor="text1"/>
                <w:sz w:val="24"/>
                <w:highlight w:val="none"/>
                <w:lang w:val="en-US" w:eastAsia="zh-CN"/>
                <w14:textFill>
                  <w14:solidFill>
                    <w14:schemeClr w14:val="tx1"/>
                  </w14:solidFill>
                </w14:textFill>
              </w:rPr>
              <w:t>无组织废气排放浓度</w:t>
            </w:r>
            <w:r>
              <w:rPr>
                <w:rFonts w:hint="default" w:ascii="Times New Roman" w:hAnsi="Times New Roman" w:cs="Times New Roman"/>
                <w:color w:val="000000" w:themeColor="text1"/>
                <w:kern w:val="0"/>
                <w:sz w:val="24"/>
                <w:szCs w:val="24"/>
                <w:highlight w:val="none"/>
                <w:lang w:val="en-US" w:eastAsia="zh-CN"/>
                <w14:textFill>
                  <w14:solidFill>
                    <w14:schemeClr w14:val="tx1"/>
                  </w14:solidFill>
                </w14:textFill>
              </w:rPr>
              <w:t>根据《环境影响评价技术导则 大气环境》（HJ2.2-2018）的规定，选择项目污染源正常排放的主要污染物及排放系数，采用附录A推荐的 AERSCREEN 估算模型计算项目污染源的环境影响，经估算，厂界浓度</w:t>
            </w:r>
            <w:r>
              <w:rPr>
                <w:rFonts w:hint="eastAsia" w:cs="Times New Roman"/>
                <w:color w:val="000000" w:themeColor="text1"/>
                <w:kern w:val="0"/>
                <w:sz w:val="24"/>
                <w:szCs w:val="24"/>
                <w:highlight w:val="none"/>
                <w:lang w:val="en-US" w:eastAsia="zh-CN"/>
                <w14:textFill>
                  <w14:solidFill>
                    <w14:schemeClr w14:val="tx1"/>
                  </w14:solidFill>
                </w14:textFill>
              </w:rPr>
              <w:t>满足</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大气污染物综合排放标准》（GB16297-1996）中表2无组织排放监控浓度限值以及《秦皇岛市人民政府办公室关于执行钢铁等行业大气污染物排放特别要求的通知》（2021-10）中无组织排放浓度特别管控要求，即0.3mg/m³</w:t>
            </w:r>
            <w:r>
              <w:rPr>
                <w:rFonts w:hint="eastAsia" w:cs="Times New Roman"/>
                <w:color w:val="000000" w:themeColor="text1"/>
                <w:kern w:val="0"/>
                <w:sz w:val="24"/>
                <w:szCs w:val="24"/>
                <w:highlight w:val="none"/>
                <w:lang w:val="en-US" w:eastAsia="zh-CN"/>
                <w14:textFill>
                  <w14:solidFill>
                    <w14:schemeClr w14:val="tx1"/>
                  </w14:solidFill>
                </w14:textFill>
              </w:rPr>
              <w:t>，</w:t>
            </w:r>
            <w:r>
              <w:rPr>
                <w:rFonts w:hint="default" w:ascii="Times New Roman" w:hAnsi="Times New Roman" w:cs="Times New Roman"/>
                <w:color w:val="000000" w:themeColor="text1"/>
                <w:kern w:val="0"/>
                <w:sz w:val="24"/>
                <w:szCs w:val="24"/>
                <w:highlight w:val="none"/>
                <w:lang w:val="en-US" w:eastAsia="zh-CN"/>
                <w14:textFill>
                  <w14:solidFill>
                    <w14:schemeClr w14:val="tx1"/>
                  </w14:solidFill>
                </w14:textFill>
              </w:rPr>
              <w:t>可达标排放</w:t>
            </w:r>
            <w:r>
              <w:rPr>
                <w:rFonts w:hint="eastAsia" w:cs="Times New Roman"/>
                <w:color w:val="000000" w:themeColor="text1"/>
                <w:kern w:val="0"/>
                <w:sz w:val="24"/>
                <w:szCs w:val="24"/>
                <w:highlight w:val="none"/>
                <w:lang w:val="en-US" w:eastAsia="zh-CN"/>
                <w14:textFill>
                  <w14:solidFill>
                    <w14:schemeClr w14:val="tx1"/>
                  </w14:solidFill>
                </w14:textFill>
              </w:rPr>
              <w:t>。</w:t>
            </w:r>
          </w:p>
          <w:p>
            <w:pPr>
              <w:pStyle w:val="2"/>
              <w:bidi w:val="0"/>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2</w:t>
            </w:r>
            <w:r>
              <w:rPr>
                <w:rFonts w:hint="default" w:ascii="Times New Roman" w:hAnsi="Times New Roman" w:cs="Times New Roman"/>
                <w:color w:val="000000" w:themeColor="text1"/>
                <w:lang w:val="en-US" w:eastAsia="zh-CN"/>
                <w14:textFill>
                  <w14:solidFill>
                    <w14:schemeClr w14:val="tx1"/>
                  </w14:solidFill>
                </w14:textFill>
              </w:rPr>
              <w:t xml:space="preserve"> </w:t>
            </w:r>
            <w:r>
              <w:rPr>
                <w:rFonts w:hint="default" w:ascii="Times New Roman" w:hAnsi="Times New Roman" w:cs="Times New Roman"/>
                <w:color w:val="000000" w:themeColor="text1"/>
                <w14:textFill>
                  <w14:solidFill>
                    <w14:schemeClr w14:val="tx1"/>
                  </w14:solidFill>
                </w14:textFill>
              </w:rPr>
              <w:t>水环境影响分析</w:t>
            </w:r>
          </w:p>
          <w:p>
            <w:pPr>
              <w:pStyle w:val="47"/>
              <w:numPr>
                <w:ilvl w:val="0"/>
                <w:numId w:val="0"/>
              </w:numPr>
              <w:bidi w:val="0"/>
              <w:ind w:firstLine="480" w:firstLineChars="200"/>
              <w:rPr>
                <w:rFonts w:hint="default"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生产用水主要为洗砂用水、清洗地面以及喷淋用水。洗砂用水量133.33m³/d（4万m³），其中用水量重复利用率按98%，经计算损耗量为2.67m³/d（800m³/a），循环水量为130.66m³/d（3.92万m³/a）；清洗地面用水量为12m³/d（3600m³/a），其中蒸发量为2.4m³/d（720m³/a），循环水量为9.6m³/d（2880m³/a）；水喷淋系统用水量为10m³/d（3000m³/a），其中蒸发量为2m³/d（600m³/a），循环水量为8m³/d（2400m³/a）</w:t>
            </w:r>
            <w:r>
              <w:rPr>
                <w:rFonts w:hint="eastAsia" w:ascii="Times New Roman" w:hAnsi="Times New Roman" w:cs="Times New Roman"/>
                <w:color w:val="000000" w:themeColor="text1"/>
                <w:lang w:val="en-US" w:eastAsia="zh-CN"/>
                <w14:textFill>
                  <w14:solidFill>
                    <w14:schemeClr w14:val="tx1"/>
                  </w14:solidFill>
                </w14:textFill>
              </w:rPr>
              <w:t>。生产用水均排入沉淀池（容积90m³）沉淀后入循环清水池（240m³）循环使用不外排。</w:t>
            </w:r>
            <w:r>
              <w:rPr>
                <w:rFonts w:hint="eastAsia" w:ascii="Times New Roman" w:hAnsi="Times New Roman" w:cs="Times New Roman"/>
                <w:color w:val="000000" w:themeColor="text1"/>
                <w:highlight w:val="none"/>
                <w:lang w:val="en-US" w:eastAsia="zh-CN"/>
                <w14:textFill>
                  <w14:solidFill>
                    <w14:schemeClr w14:val="tx1"/>
                  </w14:solidFill>
                </w14:textFill>
              </w:rPr>
              <w:t>项目生活用水量为0.64m</w:t>
            </w:r>
            <w:r>
              <w:rPr>
                <w:rFonts w:hint="eastAsia" w:ascii="Times New Roman" w:hAnsi="Times New Roman" w:cs="Times New Roman"/>
                <w:color w:val="000000" w:themeColor="text1"/>
                <w:highlight w:val="none"/>
                <w:vertAlign w:val="superscript"/>
                <w:lang w:val="en-US" w:eastAsia="zh-CN"/>
                <w14:textFill>
                  <w14:solidFill>
                    <w14:schemeClr w14:val="tx1"/>
                  </w14:solidFill>
                </w14:textFill>
              </w:rPr>
              <w:t>3</w:t>
            </w:r>
            <w:r>
              <w:rPr>
                <w:rFonts w:hint="eastAsia" w:ascii="Times New Roman" w:hAnsi="Times New Roman" w:cs="Times New Roman"/>
                <w:color w:val="000000" w:themeColor="text1"/>
                <w:highlight w:val="none"/>
                <w:lang w:val="en-US" w:eastAsia="zh-CN"/>
                <w14:textFill>
                  <w14:solidFill>
                    <w14:schemeClr w14:val="tx1"/>
                  </w14:solidFill>
                </w14:textFill>
              </w:rPr>
              <w:t>/d（224m</w:t>
            </w:r>
            <w:r>
              <w:rPr>
                <w:rFonts w:hint="eastAsia" w:ascii="Times New Roman" w:hAnsi="Times New Roman" w:cs="Times New Roman"/>
                <w:color w:val="000000" w:themeColor="text1"/>
                <w:highlight w:val="none"/>
                <w:vertAlign w:val="superscript"/>
                <w:lang w:val="en-US" w:eastAsia="zh-CN"/>
                <w14:textFill>
                  <w14:solidFill>
                    <w14:schemeClr w14:val="tx1"/>
                  </w14:solidFill>
                </w14:textFill>
              </w:rPr>
              <w:t>3</w:t>
            </w:r>
            <w:r>
              <w:rPr>
                <w:rFonts w:hint="eastAsia" w:ascii="Times New Roman" w:hAnsi="Times New Roman" w:cs="Times New Roman"/>
                <w:color w:val="000000" w:themeColor="text1"/>
                <w:highlight w:val="none"/>
                <w:lang w:val="en-US" w:eastAsia="zh-CN"/>
                <w14:textFill>
                  <w14:solidFill>
                    <w14:schemeClr w14:val="tx1"/>
                  </w14:solidFill>
                </w14:textFill>
              </w:rPr>
              <w:t>/a），生活废水按照80%计算，产生量为0.512m</w:t>
            </w:r>
            <w:r>
              <w:rPr>
                <w:rFonts w:hint="eastAsia" w:ascii="Times New Roman" w:hAnsi="Times New Roman" w:cs="Times New Roman"/>
                <w:color w:val="000000" w:themeColor="text1"/>
                <w:highlight w:val="none"/>
                <w:vertAlign w:val="superscript"/>
                <w:lang w:val="en-US" w:eastAsia="zh-CN"/>
                <w14:textFill>
                  <w14:solidFill>
                    <w14:schemeClr w14:val="tx1"/>
                  </w14:solidFill>
                </w14:textFill>
              </w:rPr>
              <w:t>3</w:t>
            </w:r>
            <w:r>
              <w:rPr>
                <w:rFonts w:hint="eastAsia" w:ascii="Times New Roman" w:hAnsi="Times New Roman" w:cs="Times New Roman"/>
                <w:color w:val="000000" w:themeColor="text1"/>
                <w:highlight w:val="none"/>
                <w:lang w:val="en-US" w:eastAsia="zh-CN"/>
                <w14:textFill>
                  <w14:solidFill>
                    <w14:schemeClr w14:val="tx1"/>
                  </w14:solidFill>
                </w14:textFill>
              </w:rPr>
              <w:t>/d（179.2m</w:t>
            </w:r>
            <w:r>
              <w:rPr>
                <w:rFonts w:hint="eastAsia" w:ascii="Times New Roman" w:hAnsi="Times New Roman" w:cs="Times New Roman"/>
                <w:color w:val="000000" w:themeColor="text1"/>
                <w:highlight w:val="none"/>
                <w:vertAlign w:val="superscript"/>
                <w:lang w:val="en-US" w:eastAsia="zh-CN"/>
                <w14:textFill>
                  <w14:solidFill>
                    <w14:schemeClr w14:val="tx1"/>
                  </w14:solidFill>
                </w14:textFill>
              </w:rPr>
              <w:t>3</w:t>
            </w:r>
            <w:r>
              <w:rPr>
                <w:rFonts w:hint="eastAsia" w:ascii="Times New Roman" w:hAnsi="Times New Roman" w:cs="Times New Roman"/>
                <w:color w:val="000000" w:themeColor="text1"/>
                <w:highlight w:val="none"/>
                <w:lang w:val="en-US" w:eastAsia="zh-CN"/>
                <w14:textFill>
                  <w14:solidFill>
                    <w14:schemeClr w14:val="tx1"/>
                  </w14:solidFill>
                </w14:textFill>
              </w:rPr>
              <w:t>/a），排入化粪池后定期由清污车清运。</w: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综上所述，对周围环境</w:t>
            </w:r>
            <w:r>
              <w:rPr>
                <w:rFonts w:hint="default" w:ascii="Times New Roman" w:hAnsi="Times New Roman" w:cs="Times New Roman"/>
                <w:color w:val="000000" w:themeColor="text1"/>
                <w14:textFill>
                  <w14:solidFill>
                    <w14:schemeClr w14:val="tx1"/>
                  </w14:solidFill>
                </w14:textFill>
              </w:rPr>
              <w:t>影响较小</w:t>
            </w:r>
            <w:r>
              <w:rPr>
                <w:rFonts w:hint="default" w:ascii="Times New Roman" w:hAnsi="Times New Roman" w:cs="Times New Roman"/>
                <w:color w:val="000000" w:themeColor="text1"/>
                <w:lang w:eastAsia="zh-CN"/>
                <w14:textFill>
                  <w14:solidFill>
                    <w14:schemeClr w14:val="tx1"/>
                  </w14:solidFill>
                </w14:textFill>
              </w:rPr>
              <w:t>。</w:t>
            </w:r>
          </w:p>
          <w:p>
            <w:pPr>
              <w:pStyle w:val="2"/>
              <w:bidi w:val="0"/>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14:textFill>
                  <w14:solidFill>
                    <w14:schemeClr w14:val="tx1"/>
                  </w14:solidFill>
                </w14:textFill>
              </w:rPr>
              <w:t>3</w:t>
            </w:r>
            <w:r>
              <w:rPr>
                <w:rFonts w:hint="default" w:ascii="Times New Roman" w:hAnsi="Times New Roman" w:cs="Times New Roman"/>
                <w:color w:val="000000" w:themeColor="text1"/>
                <w:highlight w:val="none"/>
                <w:lang w:val="en-US" w:eastAsia="zh-CN"/>
                <w14:textFill>
                  <w14:solidFill>
                    <w14:schemeClr w14:val="tx1"/>
                  </w14:solidFill>
                </w14:textFill>
              </w:rPr>
              <w:t xml:space="preserve"> </w:t>
            </w:r>
            <w:r>
              <w:rPr>
                <w:rFonts w:hint="default" w:ascii="Times New Roman" w:hAnsi="Times New Roman" w:cs="Times New Roman"/>
                <w:color w:val="000000" w:themeColor="text1"/>
                <w:highlight w:val="none"/>
                <w14:textFill>
                  <w14:solidFill>
                    <w14:schemeClr w14:val="tx1"/>
                  </w14:solidFill>
                </w14:textFill>
              </w:rPr>
              <w:t>声环境影响分析</w:t>
            </w:r>
          </w:p>
          <w:p>
            <w:pPr>
              <w:pStyle w:val="26"/>
              <w:spacing w:line="360" w:lineRule="auto"/>
              <w:ind w:left="0" w:leftChars="0" w:firstLine="0" w:firstLineChars="0"/>
              <w:rPr>
                <w:rFonts w:hint="default" w:ascii="Times New Roman" w:hAnsi="Times New Roman" w:eastAsia="宋体" w:cs="Times New Roman"/>
                <w:b/>
                <w:bCs/>
                <w:color w:val="000000" w:themeColor="text1"/>
                <w:kern w:val="2"/>
                <w:sz w:val="24"/>
                <w:szCs w:val="32"/>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2"/>
                <w:sz w:val="24"/>
                <w:szCs w:val="32"/>
                <w:lang w:val="en-US" w:eastAsia="zh-CN" w:bidi="ar-SA"/>
                <w14:textFill>
                  <w14:solidFill>
                    <w14:schemeClr w14:val="tx1"/>
                  </w14:solidFill>
                </w14:textFill>
              </w:rPr>
              <w:t>3.1预测模式</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14:textFill>
                  <w14:solidFill>
                    <w14:schemeClr w14:val="tx1"/>
                  </w14:solidFill>
                </w14:textFill>
              </w:rPr>
            </w:pPr>
            <w:r>
              <w:rPr>
                <w:rFonts w:hint="default" w:ascii="Times New Roman" w:hAnsi="Times New Roman" w:eastAsia="宋体" w:cs="Times New Roman"/>
                <w:bCs/>
                <w:color w:val="000000" w:themeColor="text1"/>
                <w:sz w:val="24"/>
                <w:szCs w:val="24"/>
                <w:highlight w:val="none"/>
                <w14:textFill>
                  <w14:solidFill>
                    <w14:schemeClr w14:val="tx1"/>
                  </w14:solidFill>
                </w14:textFill>
              </w:rPr>
              <w:t>（1）单个室外点声源在预测点产生的声级计算基本公式</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14:textFill>
                  <w14:solidFill>
                    <w14:schemeClr w14:val="tx1"/>
                  </w14:solidFill>
                </w14:textFill>
              </w:rPr>
            </w:pP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户外声传播衰减包括几何发散（</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Adiv</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）、大气吸收（</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Aatm</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）、地面效应（</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Agr</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）、障碍物屏蔽（</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Abar</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）、其他多方面效应（</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Amisc</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 xml:space="preserve">）引起的衰减。 </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pt-BR"/>
                <w14:textFill>
                  <w14:solidFill>
                    <w14:schemeClr w14:val="tx1"/>
                  </w14:solidFill>
                </w14:textFill>
              </w:rPr>
              <w:object>
                <v:shape id="_x0000_i1025" o:spt="75" type="#_x0000_t75" style="height:18.8pt;width:234.35pt;" o:ole="t" filled="f" o:preferrelative="t" stroked="f" coordsize="21600,21600">
                  <v:path/>
                  <v:fill on="f" focussize="0,0"/>
                  <v:stroke on="f"/>
                  <v:imagedata r:id="rId15" o:title=""/>
                  <o:lock v:ext="edit" aspectratio="t"/>
                  <w10:wrap type="none"/>
                  <w10:anchorlock/>
                </v:shape>
                <o:OLEObject Type="Embed" ProgID="Equation.3" ShapeID="_x0000_i1025" DrawAspect="Content" ObjectID="_1468075725" r:id="rId14">
                  <o:LockedField>false</o:LockedField>
                </o:OLEObject>
              </w:objec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式中</w: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w: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object>
                <v:shape id="_x0000_i1026" o:spt="75" type="#_x0000_t75" style="height:18.75pt;width:30pt;" o:ole="t" filled="f" o:preferrelative="t" stroked="f" coordsize="21600,21600">
                  <v:path/>
                  <v:fill on="f" focussize="0,0"/>
                  <v:stroke on="f" joinstyle="miter"/>
                  <v:imagedata r:id="rId17" o:title=""/>
                  <o:lock v:ext="edit" aspectratio="t"/>
                  <w10:wrap type="none"/>
                  <w10:anchorlock/>
                </v:shape>
                <o:OLEObject Type="Embed" ProgID="Equation.3" ShapeID="_x0000_i1026" DrawAspect="Content" ObjectID="_1468075726" r:id="rId16">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预测点处声压级</w: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object>
                <v:shape id="_x0000_i1027" o:spt="75" type="#_x0000_t75" style="height:19.8pt;width:28.6pt;" o:ole="t" filled="f" o:preferrelative="t" stroked="f" coordsize="21600,21600">
                  <v:path/>
                  <v:fill on="f" focussize="0,0"/>
                  <v:stroke on="f"/>
                  <v:imagedata r:id="rId19" o:title=""/>
                  <o:lock v:ext="edit" aspectratio="t"/>
                  <w10:wrap type="none"/>
                  <w10:anchorlock/>
                </v:shape>
                <o:OLEObject Type="Embed" ProgID="Equation.3" ShapeID="_x0000_i1027" DrawAspect="Content" ObjectID="_1468075727" r:id="rId18">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参考位置</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r0</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处的声压级</w: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object>
                <v:shape id="_x0000_i1028" o:spt="75" type="#_x0000_t75" style="height:18.75pt;width:16.5pt;" o:ole="t" filled="f" o:preferrelative="t" stroked="f" coordsize="21600,21600">
                  <v:path/>
                  <v:fill on="f" focussize="0,0"/>
                  <v:stroke on="f" joinstyle="miter"/>
                  <v:imagedata r:id="rId21" o:title=""/>
                  <o:lock v:ext="edit" aspectratio="t"/>
                  <w10:wrap type="none"/>
                  <w10:anchorlock/>
                </v:shape>
                <o:OLEObject Type="Embed" ProgID="Equation.3" ShapeID="_x0000_i1028" DrawAspect="Content" ObjectID="_1468075728" r:id="rId20">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——指向性校正，</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它描述点声源的等效连续声压级与产生声功率级</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Lw</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的全向点声源在规定方向的声级的偏差程度，</w: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object>
                <v:shape id="_x0000_i1029" o:spt="75" type="#_x0000_t75" style="height:18.75pt;width:22.5pt;" o:ole="t" filled="f" o:preferrelative="t" stroked="f" coordsize="21600,21600">
                  <v:path/>
                  <v:fill on="f" focussize="0,0"/>
                  <v:stroke on="f" joinstyle="miter"/>
                  <v:imagedata r:id="rId23" o:title=""/>
                  <o:lock v:ext="edit" aspectratio="t"/>
                  <w10:wrap type="none"/>
                  <w10:anchorlock/>
                </v:shape>
                <o:OLEObject Type="Embed" ProgID="Equation.3" ShapeID="_x0000_i1029" DrawAspect="Content" ObjectID="_1468075729" r:id="rId22">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——几何发散引起的衰减，</w: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object>
                <v:shape id="_x0000_i1030" o:spt="75" type="#_x0000_t75" style="height:19.5pt;width:18.75pt;" o:ole="t" filled="f" o:preferrelative="t" stroked="f" coordsize="21600,21600">
                  <v:path/>
                  <v:fill on="f" focussize="0,0"/>
                  <v:stroke on="f" joinstyle="miter"/>
                  <v:imagedata r:id="rId25" o:title=""/>
                  <o:lock v:ext="edit" aspectratio="t"/>
                  <w10:wrap type="none"/>
                  <w10:anchorlock/>
                </v:shape>
                <o:OLEObject Type="Embed" ProgID="Equation.3" ShapeID="_x0000_i1030" DrawAspect="Content" ObjectID="_1468075730" r:id="rId24">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——地面效应引起的衰减，</w: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object>
                <v:shape id="_x0000_i1031" o:spt="75" type="#_x0000_t75" style="height:18.75pt;width:22.5pt;" o:ole="t" filled="f" o:preferrelative="t" stroked="f" coordsize="21600,21600">
                  <v:path/>
                  <v:fill on="f" focussize="0,0"/>
                  <v:stroke on="f" joinstyle="miter"/>
                  <v:imagedata r:id="rId27" o:title=""/>
                  <o:lock v:ext="edit" aspectratio="t"/>
                  <w10:wrap type="none"/>
                  <w10:anchorlock/>
                </v:shape>
                <o:OLEObject Type="Embed" ProgID="Equation.3" ShapeID="_x0000_i1031" DrawAspect="Content" ObjectID="_1468075731" r:id="rId26">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——大气吸收引起的衰减，</w: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object>
                <v:shape id="_x0000_i1032" o:spt="75" type="#_x0000_t75" style="height:18.75pt;width:22.5pt;" o:ole="t" filled="f" o:preferrelative="t" stroked="f" coordsize="21600,21600">
                  <v:path/>
                  <v:fill on="f" focussize="0,0"/>
                  <v:stroke on="f" joinstyle="miter"/>
                  <v:imagedata r:id="rId29" o:title=""/>
                  <o:lock v:ext="edit" aspectratio="t"/>
                  <w10:wrap type="none"/>
                  <w10:anchorlock/>
                </v:shape>
                <o:OLEObject Type="Embed" ProgID="Equation.3" ShapeID="_x0000_i1032" DrawAspect="Content" ObjectID="_1468075732" r:id="rId28">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障碍物屏蔽</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引起的衰减，</w: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object>
                <v:shape id="_x0000_i1033" o:spt="75" type="#_x0000_t75" style="height:18.75pt;width:24.75pt;" o:ole="t" filled="f" o:preferrelative="t" stroked="f" coordsize="21600,21600">
                  <v:path/>
                  <v:fill on="f" focussize="0,0"/>
                  <v:stroke on="f" joinstyle="miter"/>
                  <v:imagedata r:id="rId31" o:title=""/>
                  <o:lock v:ext="edit" aspectratio="t"/>
                  <w10:wrap type="none"/>
                  <w10:anchorlock/>
                </v:shape>
                <o:OLEObject Type="Embed" ProgID="Equation.3" ShapeID="_x0000_i1033" DrawAspect="Content" ObjectID="_1468075733" r:id="rId30">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其他多方面效应引起的衰减，</w: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dB</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14:textFill>
                  <w14:solidFill>
                    <w14:schemeClr w14:val="tx1"/>
                  </w14:solidFill>
                </w14:textFill>
              </w:rPr>
            </w:pPr>
            <w:r>
              <w:rPr>
                <w:rFonts w:hint="default" w:ascii="Times New Roman" w:hAnsi="Times New Roman" w:eastAsia="宋体" w:cs="Times New Roman"/>
                <w:bCs/>
                <w:color w:val="000000" w:themeColor="text1"/>
                <w:sz w:val="24"/>
                <w:szCs w:val="24"/>
                <w:highlight w:val="none"/>
                <w14:textFill>
                  <w14:solidFill>
                    <w14:schemeClr w14:val="tx1"/>
                  </w14:solidFill>
                </w14:textFill>
              </w:rPr>
              <w:t>（2）室内点声源对厂界噪声预测点贡献值预测模式</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14:textFill>
                  <w14:solidFill>
                    <w14:schemeClr w14:val="tx1"/>
                  </w14:solidFill>
                </w14:textFill>
              </w:rPr>
            </w:pPr>
            <w:r>
              <w:rPr>
                <w:rFonts w:hint="default" w:ascii="Times New Roman" w:hAnsi="Times New Roman" w:eastAsia="宋体" w:cs="Times New Roman"/>
                <w:bCs/>
                <w:color w:val="000000" w:themeColor="text1"/>
                <w:sz w:val="24"/>
                <w:szCs w:val="24"/>
                <w:highlight w:val="none"/>
                <w14:textFill>
                  <w14:solidFill>
                    <w14:schemeClr w14:val="tx1"/>
                  </w14:solidFill>
                </w14:textFill>
              </w:rPr>
              <w:t>室内声源首先换算为等效室外声源，再按各类声源模式计算。</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14:textFill>
                  <w14:solidFill>
                    <w14:schemeClr w14:val="tx1"/>
                  </w14:solidFill>
                </w14:textFill>
              </w:rPr>
            </w:pPr>
            <w:r>
              <w:rPr>
                <w:rFonts w:hint="default" w:ascii="Times New Roman" w:hAnsi="Times New Roman" w:eastAsia="宋体" w:cs="Times New Roman"/>
                <w:bCs/>
                <w:color w:val="000000" w:themeColor="text1"/>
                <w:sz w:val="24"/>
                <w:szCs w:val="24"/>
                <w:highlight w:val="none"/>
                <w14:textFill>
                  <w14:solidFill>
                    <w14:schemeClr w14:val="tx1"/>
                  </w14:solidFill>
                </w14:textFill>
              </w:rPr>
              <w:t>①首先计算出某个室内声源靠近围护结构处的倍频带声压级：</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14:textFill>
                  <w14:solidFill>
                    <w14:schemeClr w14:val="tx1"/>
                  </w14:solidFill>
                </w14:textFill>
              </w:rPr>
            </w:pPr>
            <w:r>
              <w:rPr>
                <w:rFonts w:hint="default" w:ascii="Times New Roman" w:hAnsi="Times New Roman" w:eastAsia="宋体" w:cs="Times New Roman"/>
                <w:bCs/>
                <w:color w:val="000000" w:themeColor="text1"/>
                <w:sz w:val="24"/>
                <w:szCs w:val="24"/>
                <w:highlight w:val="none"/>
                <w14:textFill>
                  <w14:solidFill>
                    <w14:schemeClr w14:val="tx1"/>
                  </w14:solidFill>
                </w14:textFill>
              </w:rPr>
              <w:object>
                <v:shape id="_x0000_i1034" o:spt="75" type="#_x0000_t75" style="height:30pt;width:136.5pt;" o:ole="t" filled="f" o:preferrelative="t" stroked="f" coordsize="21600,21600">
                  <v:path/>
                  <v:fill on="f" focussize="0,0"/>
                  <v:stroke on="f" joinstyle="miter"/>
                  <v:imagedata r:id="rId33" o:title=""/>
                  <o:lock v:ext="edit" aspectratio="t"/>
                  <w10:wrap type="none"/>
                  <w10:anchorlock/>
                </v:shape>
                <o:OLEObject Type="Embed" ProgID="Equation.3" ShapeID="_x0000_i1034" DrawAspect="Content" ObjectID="_1468075734" r:id="rId32">
                  <o:LockedField>false</o:LockedField>
                </o:OLEObject>
              </w:objec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式中：</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35" o:spt="75" type="#_x0000_t75" style="height:18.75pt;width:18.75pt;" o:ole="t" filled="f" o:preferrelative="t" stroked="f" coordsize="21600,21600">
                  <v:path/>
                  <v:fill on="f" focussize="0,0"/>
                  <v:stroke on="f" joinstyle="miter"/>
                  <v:imagedata r:id="rId35" o:title=""/>
                  <o:lock v:ext="edit" aspectratio="t"/>
                  <w10:wrap type="none"/>
                  <w10:anchorlock/>
                </v:shape>
                <o:OLEObject Type="Embed" ProgID="Equation.3" ShapeID="_x0000_i1035" DrawAspect="Content" ObjectID="_1468075735" r:id="rId34">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 xml:space="preserve">靠近开口处（或窗户）室内某倍频带的声压级或 </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 xml:space="preserve">A </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声级</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36" o:spt="75" type="#_x0000_t75" style="height:18.75pt;width:16.5pt;" o:ole="t" filled="f" o:preferrelative="t" stroked="f" coordsize="21600,21600">
                  <v:path/>
                  <v:fill on="f" focussize="0,0"/>
                  <v:stroke on="f" joinstyle="miter"/>
                  <v:imagedata r:id="rId37" o:title=""/>
                  <o:lock v:ext="edit" aspectratio="t"/>
                  <w10:wrap type="none"/>
                  <w10:anchorlock/>
                </v:shape>
                <o:OLEObject Type="Embed" ProgID="Equation.3" ShapeID="_x0000_i1036" DrawAspect="Content" ObjectID="_1468075736" r:id="rId36">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点声源声功率级（</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 xml:space="preserve">A </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计权或倍频带）</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37" o:spt="75" type="#_x0000_t75" style="height:7.5pt;width:7.5pt;" o:ole="t" filled="f" o:preferrelative="t" stroked="f" coordsize="21600,21600">
                  <v:path/>
                  <v:fill on="f" focussize="0,0"/>
                  <v:stroke on="f" joinstyle="miter"/>
                  <v:imagedata r:id="rId39" o:title=""/>
                  <o:lock v:ext="edit" aspectratio="t"/>
                  <w10:wrap type="none"/>
                  <w10:anchorlock/>
                </v:shape>
                <o:OLEObject Type="Embed" ProgID="Equation.3" ShapeID="_x0000_i1037" DrawAspect="Content" ObjectID="_1468075737" r:id="rId38">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声源到靠近围护结构某点处的距离，m；</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38" o:spt="75" type="#_x0000_t75" style="height:16.5pt;width:12pt;" o:ole="t" filled="f" o:preferrelative="t" stroked="f" coordsize="21600,21600">
                  <v:path/>
                  <v:fill on="f" focussize="0,0"/>
                  <v:stroke on="f" joinstyle="miter"/>
                  <v:imagedata r:id="rId41" o:title=""/>
                  <o:lock v:ext="edit" aspectratio="t"/>
                  <w10:wrap type="none"/>
                  <w10:anchorlock/>
                </v:shape>
                <o:OLEObject Type="Embed" ProgID="Equation.3" ShapeID="_x0000_i1038" DrawAspect="Content" ObjectID="_1468075738" r:id="rId40">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指向性因数；通常对无指向性声源，当声源放在房间中心时，</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Q=1</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 xml:space="preserve">；当放在一面墙的中 </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心时，</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Q=2</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；当放在两面墙夹角处时，</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Q=4</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；当放在三面墙夹角处时，</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Q=8；</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39" o:spt="75" type="#_x0000_t75" style="height:12pt;width:12pt;" o:ole="t" filled="f" o:preferrelative="t" stroked="f" coordsize="21600,21600">
                  <v:path/>
                  <v:fill on="f" focussize="0,0"/>
                  <v:stroke on="f" joinstyle="miter"/>
                  <v:imagedata r:id="rId43" o:title=""/>
                  <o:lock v:ext="edit" aspectratio="t"/>
                  <w10:wrap type="none"/>
                  <w10:anchorlock/>
                </v:shape>
                <o:OLEObject Type="Embed" ProgID="Equation.3" ShapeID="_x0000_i1039" DrawAspect="Content" ObjectID="_1468075739" r:id="rId42">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房间常数，</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40" o:spt="75" type="#_x0000_t75" style="height:16.5pt;width:77.25pt;" o:ole="t" filled="f" o:preferrelative="t" stroked="f" coordsize="21600,21600">
                  <v:path/>
                  <v:fill on="f" focussize="0,0"/>
                  <v:stroke on="f" joinstyle="miter"/>
                  <v:imagedata r:id="rId45" o:title=""/>
                  <o:lock v:ext="edit" aspectratio="t"/>
                  <w10:wrap type="none"/>
                  <w10:anchorlock/>
                </v:shape>
                <o:OLEObject Type="Embed" ProgID="Equation.3" ShapeID="_x0000_i1040" DrawAspect="Content" ObjectID="_1468075740" r:id="rId44">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41" o:spt="75" type="#_x0000_t75" style="height:13.5pt;width:11.25pt;" o:ole="t" filled="f" o:preferrelative="t" stroked="f" coordsize="21600,21600">
                  <v:path/>
                  <v:fill on="f" focussize="0,0"/>
                  <v:stroke on="f" joinstyle="miter"/>
                  <v:imagedata r:id="rId47" o:title=""/>
                  <o:lock v:ext="edit" aspectratio="t"/>
                  <w10:wrap type="none"/>
                  <w10:anchorlock/>
                </v:shape>
                <o:OLEObject Type="Embed" ProgID="Equation.3" ShapeID="_x0000_i1041" DrawAspect="Content" ObjectID="_1468075741" r:id="rId46">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为房间内表面面积，㎡，</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42" o:spt="75" type="#_x0000_t75" style="height:11.25pt;width:12pt;" o:ole="t" filled="f" o:preferrelative="t" stroked="f" coordsize="21600,21600">
                  <v:path/>
                  <v:fill on="f" focussize="0,0"/>
                  <v:stroke on="f" joinstyle="miter"/>
                  <v:imagedata r:id="rId49" o:title=""/>
                  <o:lock v:ext="edit" aspectratio="t"/>
                  <w10:wrap type="none"/>
                  <w10:anchorlock/>
                </v:shape>
                <o:OLEObject Type="Embed" ProgID="Equation.3" ShapeID="_x0000_i1042" DrawAspect="Content" ObjectID="_1468075742" r:id="rId48">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为平均吸声系数。</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②计算出所有室内声源在靠近围护结构处产生的</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43" o:spt="75" type="#_x0000_t75" style="height:12pt;width:6.75pt;" o:ole="t" filled="f" o:preferrelative="t" stroked="f" coordsize="21600,21600">
                  <v:path/>
                  <v:fill on="f" focussize="0,0"/>
                  <v:stroke on="f" joinstyle="miter"/>
                  <v:imagedata r:id="rId51" o:title=""/>
                  <o:lock v:ext="edit" aspectratio="t"/>
                  <w10:wrap type="none"/>
                  <w10:anchorlock/>
                </v:shape>
                <o:OLEObject Type="Embed" ProgID="Equation.3" ShapeID="_x0000_i1043" DrawAspect="Content" ObjectID="_1468075743" r:id="rId50">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倍频带叠加声压级：</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44" o:spt="75" type="#_x0000_t75" style="height:35.25pt;width:130.5pt;" o:ole="t" filled="f" o:preferrelative="t" stroked="f" coordsize="21600,21600">
                  <v:path/>
                  <v:fill on="f" focussize="0,0"/>
                  <v:stroke on="f" joinstyle="miter"/>
                  <v:imagedata r:id="rId53" o:title=""/>
                  <o:lock v:ext="edit" aspectratio="t"/>
                  <w10:wrap type="none"/>
                  <w10:anchorlock/>
                </v:shape>
                <o:OLEObject Type="Embed" ProgID="Equation.3" ShapeID="_x0000_i1044" DrawAspect="Content" ObjectID="_1468075744" r:id="rId52">
                  <o:LockedField>false</o:LockedField>
                </o:OLEObject>
              </w:objec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式中：</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45" o:spt="75" type="#_x0000_t75" style="height:18.75pt;width:36.75pt;" o:ole="t" filled="f" o:preferrelative="t" stroked="f" coordsize="21600,21600">
                  <v:path/>
                  <v:fill on="f" focussize="0,0"/>
                  <v:stroke on="f" joinstyle="miter"/>
                  <v:imagedata r:id="rId55" o:title=""/>
                  <o:lock v:ext="edit" aspectratio="t"/>
                  <w10:wrap type="none"/>
                  <w10:anchorlock/>
                </v:shape>
                <o:OLEObject Type="Embed" ProgID="Equation.3" ShapeID="_x0000_i1045" DrawAspect="Content" ObjectID="_1468075745" r:id="rId54">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——靠近围护结构处室内N个声源</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46" o:spt="75" type="#_x0000_t75" style="height:12pt;width:6.75pt;" o:ole="t" filled="f" o:preferrelative="t" stroked="f" coordsize="21600,21600">
                  <v:path/>
                  <v:fill on="f" focussize="0,0"/>
                  <v:stroke on="f" joinstyle="miter"/>
                  <v:imagedata r:id="rId57" o:title=""/>
                  <o:lock v:ext="edit" aspectratio="t"/>
                  <w10:wrap type="none"/>
                  <w10:anchorlock/>
                </v:shape>
                <o:OLEObject Type="Embed" ProgID="Equation.3" ShapeID="_x0000_i1046" DrawAspect="Content" ObjectID="_1468075746" r:id="rId56">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倍频带的叠加声压级，dB；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47" o:spt="75" type="#_x0000_t75" style="height:18.75pt;width:24pt;" o:ole="t" filled="f" o:preferrelative="t" stroked="f" coordsize="21600,21600">
                  <v:path/>
                  <v:fill on="f" focussize="0,0"/>
                  <v:stroke on="f" joinstyle="miter"/>
                  <v:imagedata r:id="rId59" o:title=""/>
                  <o:lock v:ext="edit" aspectratio="t"/>
                  <w10:wrap type="none"/>
                  <w10:anchorlock/>
                </v:shape>
                <o:OLEObject Type="Embed" ProgID="Equation.3" ShapeID="_x0000_i1047" DrawAspect="Content" ObjectID="_1468075747" r:id="rId58">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——室内</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48" o:spt="75" type="#_x0000_t75" style="height:13.5pt;width:7.5pt;" o:ole="t" filled="f" o:preferrelative="t" stroked="f" coordsize="21600,21600">
                  <v:path/>
                  <v:fill on="f" focussize="0,0"/>
                  <v:stroke on="f" joinstyle="miter"/>
                  <v:imagedata r:id="rId61" o:title=""/>
                  <o:lock v:ext="edit" aspectratio="t"/>
                  <w10:wrap type="none"/>
                  <w10:anchorlock/>
                </v:shape>
                <o:OLEObject Type="Embed" ProgID="Equation.3" ShapeID="_x0000_i1048" DrawAspect="Content" ObjectID="_1468075748" r:id="rId60">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声源</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49" o:spt="75" type="#_x0000_t75" style="height:12pt;width:6.75pt;" o:ole="t" filled="f" o:preferrelative="t" stroked="f" coordsize="21600,21600">
                  <v:path/>
                  <v:fill on="f" focussize="0,0"/>
                  <v:stroke on="f" joinstyle="miter"/>
                  <v:imagedata r:id="rId57" o:title=""/>
                  <o:lock v:ext="edit" aspectratio="t"/>
                  <w10:wrap type="none"/>
                  <w10:anchorlock/>
                </v:shape>
                <o:OLEObject Type="Embed" ProgID="Equation.3" ShapeID="_x0000_i1049" DrawAspect="Content" ObjectID="_1468075749" r:id="rId62">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倍频带的声压级，dB；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50" o:spt="75" type="#_x0000_t75" style="height:13.5pt;width:13.5pt;" o:ole="t" filled="f" o:preferrelative="t" stroked="f" coordsize="21600,21600">
                  <v:path/>
                  <v:fill on="f" focussize="0,0"/>
                  <v:stroke on="f" joinstyle="miter"/>
                  <v:imagedata r:id="rId64" o:title=""/>
                  <o:lock v:ext="edit" aspectratio="t"/>
                  <w10:wrap type="none"/>
                  <w10:anchorlock/>
                </v:shape>
                <o:OLEObject Type="Embed" ProgID="Equation.3" ShapeID="_x0000_i1050" DrawAspect="Content" ObjectID="_1468075750" r:id="rId63">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——室内声源总数。</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③计算出室外靠近围护结构处的声压级：</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51" o:spt="75" type="#_x0000_t75" style="height:18.75pt;width:138.75pt;" o:ole="t" filled="f" o:preferrelative="t" stroked="f" coordsize="21600,21600">
                  <v:path/>
                  <v:fill on="f" focussize="0,0"/>
                  <v:stroke on="f" joinstyle="miter"/>
                  <v:imagedata r:id="rId66" o:title=""/>
                  <o:lock v:ext="edit" aspectratio="t"/>
                  <w10:wrap type="none"/>
                  <w10:anchorlock/>
                </v:shape>
                <o:OLEObject Type="Embed" ProgID="Equation.3" ShapeID="_x0000_i1051" DrawAspect="Content" ObjectID="_1468075751" r:id="rId65">
                  <o:LockedField>false</o:LockedField>
                </o:OLEObject>
              </w:objec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式中：</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52" o:spt="75" type="#_x0000_t75" style="height:18.75pt;width:41.25pt;" o:ole="t" filled="f" o:preferrelative="t" stroked="f" coordsize="21600,21600">
                  <v:path/>
                  <v:fill on="f" focussize="0,0"/>
                  <v:stroke on="f" joinstyle="miter"/>
                  <v:imagedata r:id="rId68" o:title=""/>
                  <o:lock v:ext="edit" aspectratio="t"/>
                  <w10:wrap type="none"/>
                  <w10:anchorlock/>
                </v:shape>
                <o:OLEObject Type="Embed" ProgID="Equation.3" ShapeID="_x0000_i1052" DrawAspect="Content" ObjectID="_1468075752" r:id="rId67">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——靠近围护结构处室外N个声源</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53" o:spt="75" type="#_x0000_t75" style="height:12pt;width:6.75pt;" o:ole="t" filled="f" o:preferrelative="t" stroked="f" coordsize="21600,21600">
                  <v:path/>
                  <v:fill on="f" focussize="0,0"/>
                  <v:stroke on="f" joinstyle="miter"/>
                  <v:imagedata r:id="rId57" o:title=""/>
                  <o:lock v:ext="edit" aspectratio="t"/>
                  <w10:wrap type="none"/>
                  <w10:anchorlock/>
                </v:shape>
                <o:OLEObject Type="Embed" ProgID="Equation.3" ShapeID="_x0000_i1053" DrawAspect="Content" ObjectID="_1468075753" r:id="rId69">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倍频带的叠加声压级，dB；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54" o:spt="75" type="#_x0000_t75" style="height:18.75pt;width:18.75pt;" o:ole="t" filled="f" o:preferrelative="t" stroked="f" coordsize="21600,21600">
                  <v:path/>
                  <v:fill on="f" focussize="0,0"/>
                  <v:stroke on="f" joinstyle="miter"/>
                  <v:imagedata r:id="rId71" o:title=""/>
                  <o:lock v:ext="edit" aspectratio="t"/>
                  <w10:wrap type="none"/>
                  <w10:anchorlock/>
                </v:shape>
                <o:OLEObject Type="Embed" ProgID="Equation.3" ShapeID="_x0000_i1054" DrawAspect="Content" ObjectID="_1468075754" r:id="rId70">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——围护结构</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55" o:spt="75" type="#_x0000_t75" style="height:12pt;width:6.75pt;" o:ole="t" filled="f" o:preferrelative="t" stroked="f" coordsize="21600,21600">
                  <v:path/>
                  <v:fill on="f" focussize="0,0"/>
                  <v:stroke on="f" joinstyle="miter"/>
                  <v:imagedata r:id="rId57" o:title=""/>
                  <o:lock v:ext="edit" aspectratio="t"/>
                  <w10:wrap type="none"/>
                  <w10:anchorlock/>
                </v:shape>
                <o:OLEObject Type="Embed" ProgID="Equation.3" ShapeID="_x0000_i1055" DrawAspect="Content" ObjectID="_1468075755" r:id="rId72">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倍频带的隔声量，dB；</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④将室外声源的声压级和透过面积换算成等效的室外声源，计算出中心位置位于透声面积（S）处的等效声源的倍频带声功率级。</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14:textFill>
                  <w14:solidFill>
                    <w14:schemeClr w14:val="tx1"/>
                  </w14:solidFill>
                </w14:textFill>
              </w:rPr>
            </w:pPr>
            <w:r>
              <w:rPr>
                <w:rFonts w:hint="default" w:ascii="Times New Roman" w:hAnsi="Times New Roman" w:eastAsia="宋体" w:cs="Times New Roman"/>
                <w:bCs/>
                <w:color w:val="000000" w:themeColor="text1"/>
                <w:sz w:val="24"/>
                <w:szCs w:val="24"/>
                <w:highlight w:val="none"/>
                <w14:textFill>
                  <w14:solidFill>
                    <w14:schemeClr w14:val="tx1"/>
                  </w14:solidFill>
                </w14:textFill>
              </w:rPr>
              <w:pict>
                <v:shape id="_x0000_s2050" o:spid="_x0000_s2050" o:spt="75" type="#_x0000_t75" style="position:absolute;left:0pt;margin-left:26.05pt;margin-top:0.9pt;height:18.75pt;width:106.5pt;z-index:251664384;mso-width-relative:page;mso-height-relative:page;" o:ole="t" filled="f" o:preferrelative="t" stroked="f" coordsize="21600,21600">
                  <v:path/>
                  <v:fill on="f" focussize="0,0"/>
                  <v:stroke on="f" joinstyle="miter"/>
                  <v:imagedata r:id="rId74" o:title=""/>
                  <o:lock v:ext="edit" aspectratio="t"/>
                </v:shape>
                <o:OLEObject Type="Embed" ProgID="Equation.3" ShapeID="_x0000_s2050" DrawAspect="Content" ObjectID="_1468075756" r:id="rId73">
                  <o:LockedField>false</o:LockedField>
                </o:OLEObject>
              </w:pic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⑤等效室外声源的位置为围护结构的位置，其倍频带声功率级为</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56" o:spt="75" type="#_x0000_t75" style="height:18.75pt;width:16.5pt;" o:ole="t" filled="f" o:preferrelative="t" stroked="f" coordsize="21600,21600">
                  <v:path/>
                  <v:fill on="f" focussize="0,0"/>
                  <v:stroke on="f" joinstyle="miter"/>
                  <v:imagedata r:id="rId76" o:title=""/>
                  <o:lock v:ext="edit" aspectratio="t"/>
                  <w10:wrap type="none"/>
                  <w10:anchorlock/>
                </v:shape>
                <o:OLEObject Type="Embed" ProgID="Equation.3" ShapeID="_x0000_i1056" DrawAspect="Content" ObjectID="_1468075757" r:id="rId75">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，根据厂房结构（门、窗）和预测点的位置关系，分别按照面声源、线声源和点声源的衰减模式，计算预测点处的声级。</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假设窗户的宽度为a，高度为b，窗户个数为n；预测点距墙中心的距离为</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57" o:spt="75" type="#_x0000_t75" style="height:7.5pt;width:7.5pt;" o:ole="t" filled="f" o:preferrelative="t" stroked="f" coordsize="21600,21600">
                  <v:path/>
                  <v:fill on="f" focussize="0,0"/>
                  <v:stroke on="f" joinstyle="miter"/>
                  <v:imagedata r:id="rId78" o:title=""/>
                  <o:lock v:ext="edit" aspectratio="t"/>
                  <w10:wrap type="none"/>
                  <w10:anchorlock/>
                </v:shape>
                <o:OLEObject Type="Embed" ProgID="Equation.3" ShapeID="_x0000_i1057" DrawAspect="Content" ObjectID="_1468075758" r:id="rId77">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。预测点的声级按照下述公式进行预测：</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当</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58" o:spt="75" type="#_x0000_t75" style="height:30pt;width:30pt;" o:ole="t" filled="f" o:preferrelative="t" stroked="f" coordsize="21600,21600">
                  <v:path/>
                  <v:fill on="f" focussize="0,0"/>
                  <v:stroke on="f" joinstyle="miter"/>
                  <v:imagedata r:id="rId80" o:title=""/>
                  <o:lock v:ext="edit" aspectratio="t"/>
                  <w10:wrap type="none"/>
                  <w10:anchorlock/>
                </v:shape>
                <o:OLEObject Type="Embed" ProgID="Equation.3" ShapeID="_x0000_i1058" DrawAspect="Content" ObjectID="_1468075759" r:id="rId79">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时，</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59" o:spt="75" type="#_x0000_t75" style="height:17.25pt;width:54.75pt;" o:ole="t" filled="f" o:preferrelative="t" stroked="f" coordsize="21600,21600">
                  <v:path/>
                  <v:fill on="f" focussize="0,0"/>
                  <v:stroke on="f" joinstyle="miter"/>
                  <v:imagedata r:id="rId82" o:title=""/>
                  <o:lock v:ext="edit" aspectratio="t"/>
                  <w10:wrap type="none"/>
                  <w10:anchorlock/>
                </v:shape>
                <o:OLEObject Type="Embed" ProgID="Equation.3" ShapeID="_x0000_i1059" DrawAspect="Content" ObjectID="_1468075760" r:id="rId81">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（即按面声源处理）；</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当</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60" o:spt="75" type="#_x0000_t75" style="height:30pt;width:58.5pt;" o:ole="t" filled="f" o:preferrelative="t" stroked="f" coordsize="21600,21600">
                  <v:path/>
                  <v:fill on="f" focussize="0,0"/>
                  <v:stroke on="f" joinstyle="miter"/>
                  <v:imagedata r:id="rId84" o:title=""/>
                  <o:lock v:ext="edit" aspectratio="t"/>
                  <w10:wrap type="none"/>
                  <w10:anchorlock/>
                </v:shape>
                <o:OLEObject Type="Embed" ProgID="Equation.3" ShapeID="_x0000_i1060" DrawAspect="Content" ObjectID="_1468075761" r:id="rId83">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时，</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61" o:spt="75" type="#_x0000_t75" style="height:30pt;width:97.5pt;" o:ole="t" filled="f" o:preferrelative="t" stroked="f" coordsize="21600,21600">
                  <v:path/>
                  <v:fill on="f" focussize="0,0"/>
                  <v:stroke on="f" joinstyle="miter"/>
                  <v:imagedata r:id="rId86" o:title=""/>
                  <o:lock v:ext="edit" aspectratio="t"/>
                  <w10:wrap type="none"/>
                  <w10:anchorlock/>
                </v:shape>
                <o:OLEObject Type="Embed" ProgID="Equation.3" ShapeID="_x0000_i1061" DrawAspect="Content" ObjectID="_1468075762" r:id="rId85">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（即按线声源处理）；</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当</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62" o:spt="75" type="#_x0000_t75" style="height:30pt;width:36pt;" o:ole="t" filled="f" o:preferrelative="t" stroked="f" coordsize="21600,21600">
                  <v:path/>
                  <v:fill on="f" focussize="0,0"/>
                  <v:stroke on="f" joinstyle="miter"/>
                  <v:imagedata r:id="rId88" o:title=""/>
                  <o:lock v:ext="edit" aspectratio="t"/>
                  <w10:wrap type="none"/>
                  <w10:anchorlock/>
                </v:shape>
                <o:OLEObject Type="Embed" ProgID="Equation.3" ShapeID="_x0000_i1062" DrawAspect="Content" ObjectID="_1468075763" r:id="rId87">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时，</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63" o:spt="75" type="#_x0000_t75" style="height:30pt;width:107.25pt;" o:ole="t" filled="f" o:preferrelative="t" stroked="f" coordsize="21600,21600">
                  <v:path/>
                  <v:fill on="f" focussize="0,0"/>
                  <v:stroke on="f" joinstyle="miter"/>
                  <v:imagedata r:id="rId90" o:title=""/>
                  <o:lock v:ext="edit" aspectratio="t"/>
                  <w10:wrap type="none"/>
                  <w10:anchorlock/>
                </v:shape>
                <o:OLEObject Type="Embed" ProgID="Equation.3" ShapeID="_x0000_i1063" DrawAspect="Content" ObjectID="_1468075764" r:id="rId89">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（即按点声源处理）；</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（3）</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计算总声压级</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①计算本工程各室外噪声源和各含噪声源厂房对各预测点噪声贡献值</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设第</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64" o:spt="75" type="#_x0000_t75" style="height:12pt;width:6.75pt;" o:ole="t" filled="f" o:preferrelative="t" stroked="f" coordsize="21600,21600">
                  <v:path/>
                  <v:fill on="f" focussize="0,0"/>
                  <v:stroke on="f" joinstyle="miter"/>
                  <v:imagedata r:id="rId57" o:title=""/>
                  <o:lock v:ext="edit" aspectratio="t"/>
                  <w10:wrap type="none"/>
                  <w10:anchorlock/>
                </v:shape>
                <o:OLEObject Type="Embed" ProgID="Equation.3" ShapeID="_x0000_i1064" DrawAspect="Content" ObjectID="_1468075765" r:id="rId91">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个室外声源在预测点产生的A声级为</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65" o:spt="75" type="#_x0000_t75" style="height:18.75pt;width:18.75pt;" o:ole="t" filled="f" o:preferrelative="t" stroked="f" coordsize="21600,21600">
                  <v:path/>
                  <v:fill on="f" focussize="0,0"/>
                  <v:stroke on="f" joinstyle="miter"/>
                  <v:imagedata r:id="rId93" o:title=""/>
                  <o:lock v:ext="edit" aspectratio="t"/>
                  <w10:wrap type="none"/>
                  <w10:anchorlock/>
                </v:shape>
                <o:OLEObject Type="Embed" ProgID="Equation.3" ShapeID="_x0000_i1065" DrawAspect="Content" ObjectID="_1468075766" r:id="rId92">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，在T时间内该声源工作时间为</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66" o:spt="75" type="#_x0000_t75" style="height:18.75pt;width:7.5pt;" o:ole="t" filled="f" o:preferrelative="t" stroked="f" coordsize="21600,21600">
                  <v:path/>
                  <v:fill on="f" focussize="0,0"/>
                  <v:stroke on="f" joinstyle="miter"/>
                  <v:imagedata r:id="rId95" o:title=""/>
                  <o:lock v:ext="edit" aspectratio="t"/>
                  <w10:wrap type="none"/>
                  <w10:anchorlock/>
                </v:shape>
                <o:OLEObject Type="Embed" ProgID="Equation.3" ShapeID="_x0000_i1066" DrawAspect="Content" ObjectID="_1468075767" r:id="rId94">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；第</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67" o:spt="75" type="#_x0000_t75" style="height:13.5pt;width:7.5pt;" o:ole="t" filled="f" o:preferrelative="t" stroked="f" coordsize="21600,21600">
                  <v:path/>
                  <v:fill on="f" focussize="0,0"/>
                  <v:stroke on="f" joinstyle="miter"/>
                  <v:imagedata r:id="rId97" o:title=""/>
                  <o:lock v:ext="edit" aspectratio="t"/>
                  <w10:wrap type="none"/>
                  <w10:anchorlock/>
                </v:shape>
                <o:OLEObject Type="Embed" ProgID="Equation.3" ShapeID="_x0000_i1067" DrawAspect="Content" ObjectID="_1468075768" r:id="rId96">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个等效室外声源在预测点产生的A声级为</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68" o:spt="75" type="#_x0000_t75" style="height:18.75pt;width:18.75pt;" o:ole="t" filled="f" o:preferrelative="t" stroked="f" coordsize="21600,21600">
                  <v:path/>
                  <v:fill on="f" focussize="0,0"/>
                  <v:stroke on="f" joinstyle="miter"/>
                  <v:imagedata r:id="rId99" o:title=""/>
                  <o:lock v:ext="edit" aspectratio="t"/>
                  <w10:wrap type="none"/>
                  <w10:anchorlock/>
                </v:shape>
                <o:OLEObject Type="Embed" ProgID="Equation.3" ShapeID="_x0000_i1068" DrawAspect="Content" ObjectID="_1468075769" r:id="rId98">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，在T时间内该声源工作时间为</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69" o:spt="75" type="#_x0000_t75" style="height:18.75pt;width:11.25pt;" o:ole="t" filled="f" o:preferrelative="t" stroked="f" coordsize="21600,21600">
                  <v:path/>
                  <v:fill on="f" focussize="0,0"/>
                  <v:stroke on="f" joinstyle="miter"/>
                  <v:imagedata r:id="rId101" o:title=""/>
                  <o:lock v:ext="edit" aspectratio="t"/>
                  <w10:wrap type="none"/>
                  <w10:anchorlock/>
                </v:shape>
                <o:OLEObject Type="Embed" ProgID="Equation.3" ShapeID="_x0000_i1069" DrawAspect="Content" ObjectID="_1468075770" r:id="rId100">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，则拟建工程声源对预测点产生的贡献值（</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70" o:spt="75" type="#_x0000_t75" style="height:18.75pt;width:22.5pt;" o:ole="t" filled="f" o:preferrelative="t" stroked="f" coordsize="21600,21600">
                  <v:path/>
                  <v:fill on="f" focussize="0,0"/>
                  <v:stroke on="f" joinstyle="miter"/>
                  <v:imagedata r:id="rId103" o:title=""/>
                  <o:lock v:ext="edit" aspectratio="t"/>
                  <w10:wrap type="none"/>
                  <w10:anchorlock/>
                </v:shape>
                <o:OLEObject Type="Embed" ProgID="Equation.3" ShapeID="_x0000_i1070" DrawAspect="Content" ObjectID="_1468075771" r:id="rId102">
                  <o:LockedField>false</o:LockedField>
                </o:OLEObject>
              </w:objec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）为:</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drawing>
                <wp:anchor distT="0" distB="0" distL="114300" distR="114300" simplePos="0" relativeHeight="251665408" behindDoc="0" locked="0" layoutInCell="1" allowOverlap="1">
                  <wp:simplePos x="0" y="0"/>
                  <wp:positionH relativeFrom="column">
                    <wp:posOffset>303530</wp:posOffset>
                  </wp:positionH>
                  <wp:positionV relativeFrom="paragraph">
                    <wp:posOffset>22225</wp:posOffset>
                  </wp:positionV>
                  <wp:extent cx="2637790" cy="466090"/>
                  <wp:effectExtent l="0" t="0" r="10160" b="10795"/>
                  <wp:wrapNone/>
                  <wp:docPr id="1"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5"/>
                          <pic:cNvPicPr>
                            <a:picLocks noChangeAspect="1"/>
                          </pic:cNvPicPr>
                        </pic:nvPicPr>
                        <pic:blipFill>
                          <a:blip r:embed="rId104"/>
                          <a:stretch>
                            <a:fillRect/>
                          </a:stretch>
                        </pic:blipFill>
                        <pic:spPr>
                          <a:xfrm>
                            <a:off x="0" y="0"/>
                            <a:ext cx="2637790" cy="466090"/>
                          </a:xfrm>
                          <a:prstGeom prst="rect">
                            <a:avLst/>
                          </a:prstGeom>
                          <a:noFill/>
                          <a:ln>
                            <a:noFill/>
                          </a:ln>
                        </pic:spPr>
                      </pic:pic>
                    </a:graphicData>
                  </a:graphic>
                </wp:anchor>
              </w:drawing>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②预测点的噪声预测值</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71" o:spt="75" type="#_x0000_t75" style="height:22.5pt;width:142.5pt;" o:ole="t" filled="f" o:preferrelative="t" stroked="f" coordsize="21600,21600">
                  <v:path/>
                  <v:fill on="f" focussize="0,0"/>
                  <v:stroke on="f" joinstyle="miter"/>
                  <v:imagedata r:id="rId106" o:title=""/>
                  <o:lock v:ext="edit" aspectratio="t"/>
                  <w10:wrap type="none"/>
                  <w10:anchorlock/>
                </v:shape>
                <o:OLEObject Type="Embed" ProgID="Equation.3" ShapeID="_x0000_i1071" DrawAspect="Content" ObjectID="_1468075772" r:id="rId105">
                  <o:LockedField>false</o:LockedField>
                </o:OLEObject>
              </w:objec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式中：</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72" o:spt="75" type="#_x0000_t75" style="height:18.75pt;width:22.5pt;" o:ole="t" filled="f" o:preferrelative="t" stroked="f" coordsize="21600,21600">
                  <v:path/>
                  <v:fill on="f" focussize="0,0"/>
                  <v:stroke on="f" joinstyle="miter"/>
                  <v:imagedata r:id="rId108" o:title=""/>
                  <o:lock v:ext="edit" aspectratio="t"/>
                  <w10:wrap type="none"/>
                  <w10:anchorlock/>
                </v:shape>
                <o:OLEObject Type="Embed" ProgID="Equation.3" ShapeID="_x0000_i1072" DrawAspect="Content" ObjectID="_1468075773" r:id="rId107">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——建设项目声源在预测点的等效声级贡献值，dB（A）；</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object>
                <v:shape id="_x0000_i1073" o:spt="75" type="#_x0000_t75" style="height:18.75pt;width:22.5pt;" o:ole="t" filled="f" o:preferrelative="t" stroked="f" coordsize="21600,21600">
                  <v:path/>
                  <v:fill on="f" focussize="0,0"/>
                  <v:stroke on="f" joinstyle="miter"/>
                  <v:imagedata r:id="rId110" o:title=""/>
                  <o:lock v:ext="edit" aspectratio="t"/>
                  <w10:wrap type="none"/>
                  <w10:anchorlock/>
                </v:shape>
                <o:OLEObject Type="Embed" ProgID="Equation.3" ShapeID="_x0000_i1073" DrawAspect="Content" ObjectID="_1468075774" r:id="rId109">
                  <o:LockedField>false</o:LockedField>
                </o:OLEObject>
              </w:object>
            </w:r>
            <w:r>
              <w:rPr>
                <w:rFonts w:hint="default" w:ascii="Times New Roman" w:hAnsi="Times New Roman" w:eastAsia="宋体" w:cs="Times New Roman"/>
                <w:bCs/>
                <w:color w:val="000000" w:themeColor="text1"/>
                <w:sz w:val="24"/>
                <w:szCs w:val="24"/>
                <w:highlight w:val="none"/>
                <w:lang w:val="pt-BR" w:eastAsia="zh-CN"/>
                <w14:textFill>
                  <w14:solidFill>
                    <w14:schemeClr w14:val="tx1"/>
                  </w14:solidFill>
                </w14:textFill>
              </w:rPr>
              <w:t>——预测点的背景值，dB（A）。</w:t>
            </w:r>
          </w:p>
          <w:p>
            <w:pPr>
              <w:pStyle w:val="26"/>
              <w:spacing w:line="360" w:lineRule="auto"/>
              <w:ind w:left="0" w:leftChars="0" w:firstLine="0" w:firstLineChars="0"/>
              <w:rPr>
                <w:rFonts w:hint="default" w:ascii="Times New Roman" w:hAnsi="Times New Roman" w:eastAsia="宋体" w:cs="Times New Roman"/>
                <w:b/>
                <w:bCs/>
                <w:color w:val="000000" w:themeColor="text1"/>
                <w:kern w:val="2"/>
                <w:sz w:val="24"/>
                <w:szCs w:val="32"/>
                <w:lang w:val="en-US" w:eastAsia="zh-CN" w:bidi="ar-SA"/>
                <w14:textFill>
                  <w14:solidFill>
                    <w14:schemeClr w14:val="tx1"/>
                  </w14:solidFill>
                </w14:textFill>
              </w:rPr>
            </w:pPr>
            <w:r>
              <w:rPr>
                <w:rFonts w:hint="eastAsia" w:ascii="Times New Roman" w:hAnsi="Times New Roman" w:eastAsia="宋体" w:cs="Times New Roman"/>
                <w:b/>
                <w:bCs/>
                <w:color w:val="000000" w:themeColor="text1"/>
                <w:kern w:val="2"/>
                <w:sz w:val="24"/>
                <w:szCs w:val="32"/>
                <w:lang w:val="en-US" w:eastAsia="zh-CN" w:bidi="ar-SA"/>
                <w14:textFill>
                  <w14:solidFill>
                    <w14:schemeClr w14:val="tx1"/>
                  </w14:solidFill>
                </w14:textFill>
              </w:rPr>
              <w:t>3.2</w:t>
            </w:r>
            <w:r>
              <w:rPr>
                <w:rFonts w:hint="default" w:ascii="Times New Roman" w:hAnsi="Times New Roman" w:eastAsia="宋体" w:cs="Times New Roman"/>
                <w:b/>
                <w:bCs/>
                <w:color w:val="000000" w:themeColor="text1"/>
                <w:kern w:val="2"/>
                <w:sz w:val="24"/>
                <w:szCs w:val="32"/>
                <w:lang w:val="en-US" w:eastAsia="zh-CN" w:bidi="ar-SA"/>
                <w14:textFill>
                  <w14:solidFill>
                    <w14:schemeClr w14:val="tx1"/>
                  </w14:solidFill>
                </w14:textFill>
              </w:rPr>
              <w:t>噪声源参数的确定</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根据各</w:t>
            </w:r>
            <w:r>
              <w:rPr>
                <w:rFonts w:hint="eastAsia" w:eastAsia="宋体" w:cs="Times New Roman"/>
                <w:bCs/>
                <w:color w:val="000000" w:themeColor="text1"/>
                <w:sz w:val="24"/>
                <w:szCs w:val="24"/>
                <w:highlight w:val="none"/>
                <w:lang w:val="en-US" w:eastAsia="zh-CN"/>
                <w14:textFill>
                  <w14:solidFill>
                    <w14:schemeClr w14:val="tx1"/>
                  </w14:solidFill>
                </w14:textFill>
              </w:rPr>
              <w:t>企业</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以及使用同类型设备企业</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的调研，该项目主要设备噪声源强见下表。由表可知，主要生产设备的噪声源为</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85-100</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dB(A)。</w:t>
            </w:r>
          </w:p>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建设项目所处区域的年平均风速1.82m/s、主导风向为西南风、年平均气温12.74℃、年平均相对湿度60%、大气压强1050KPa。</w:t>
            </w:r>
          </w:p>
          <w:p>
            <w:pPr>
              <w:adjustRightInd w:val="0"/>
              <w:snapToGrid w:val="0"/>
              <w:spacing w:line="360" w:lineRule="auto"/>
              <w:ind w:firstLine="480" w:firstLineChars="200"/>
              <w:jc w:val="both"/>
              <w:rPr>
                <w:rFonts w:hint="eastAsia" w:eastAsia="宋体" w:cs="Times New Roman"/>
                <w:bCs/>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本项目主要设备噪声源强见下表</w:t>
            </w:r>
            <w:r>
              <w:rPr>
                <w:rFonts w:hint="eastAsia" w:eastAsia="宋体" w:cs="Times New Roman"/>
                <w:bCs/>
                <w:color w:val="000000" w:themeColor="text1"/>
                <w:sz w:val="24"/>
                <w:szCs w:val="24"/>
                <w:highlight w:val="none"/>
                <w:lang w:val="en-US" w:eastAsia="zh-CN"/>
                <w14:textFill>
                  <w14:solidFill>
                    <w14:schemeClr w14:val="tx1"/>
                  </w14:solidFill>
                </w14:textFill>
              </w:rPr>
              <w:t>：</w:t>
            </w:r>
          </w:p>
          <w:p>
            <w:pPr>
              <w:pStyle w:val="48"/>
              <w:bidi w:val="0"/>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表</w:t>
            </w:r>
            <w:r>
              <w:rPr>
                <w:rFonts w:hint="eastAsia"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4-</w:t>
            </w:r>
            <w:r>
              <w:rPr>
                <w:rFonts w:hint="eastAsia" w:cs="Times New Roman"/>
                <w:b/>
                <w:bCs/>
                <w:color w:val="000000" w:themeColor="text1"/>
                <w:kern w:val="2"/>
                <w:sz w:val="21"/>
                <w:szCs w:val="21"/>
                <w:highlight w:val="none"/>
                <w:lang w:val="en-US" w:eastAsia="zh-CN" w:bidi="ar-SA"/>
                <w14:textFill>
                  <w14:solidFill>
                    <w14:schemeClr w14:val="tx1"/>
                  </w14:solidFill>
                </w14:textFill>
              </w:rPr>
              <w:t>3</w:t>
            </w:r>
            <w: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 xml:space="preserve">  主要设备噪声源</w:t>
            </w:r>
            <w:r>
              <w:rPr>
                <w:rFonts w:hint="eastAsia"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数据（室内声源）</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4"/>
              <w:gridCol w:w="483"/>
              <w:gridCol w:w="417"/>
              <w:gridCol w:w="583"/>
              <w:gridCol w:w="700"/>
              <w:gridCol w:w="767"/>
              <w:gridCol w:w="733"/>
              <w:gridCol w:w="734"/>
              <w:gridCol w:w="533"/>
              <w:gridCol w:w="917"/>
              <w:gridCol w:w="683"/>
              <w:gridCol w:w="650"/>
              <w:gridCol w:w="7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zh-CN" w:eastAsia="zh-CN"/>
                      <w14:textFill>
                        <w14:solidFill>
                          <w14:schemeClr w14:val="tx1"/>
                        </w14:solidFill>
                      </w14:textFill>
                    </w:rPr>
                    <w:t>序号</w:t>
                  </w:r>
                </w:p>
              </w:tc>
              <w:tc>
                <w:tcPr>
                  <w:tcW w:w="287"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zh-CN" w:eastAsia="zh-CN"/>
                      <w14:textFill>
                        <w14:solidFill>
                          <w14:schemeClr w14:val="tx1"/>
                        </w14:solidFill>
                      </w14:textFill>
                    </w:rPr>
                    <w:t>名称</w:t>
                  </w:r>
                </w:p>
              </w:tc>
              <w:tc>
                <w:tcPr>
                  <w:tcW w:w="248"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zh-CN" w:eastAsia="zh-CN"/>
                      <w14:textFill>
                        <w14:solidFill>
                          <w14:schemeClr w14:val="tx1"/>
                        </w14:solidFill>
                      </w14:textFill>
                    </w:rPr>
                    <w:t>数量</w:t>
                  </w:r>
                </w:p>
              </w:tc>
              <w:tc>
                <w:tcPr>
                  <w:tcW w:w="346"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噪声源强dB(A)</w:t>
                  </w:r>
                </w:p>
              </w:tc>
              <w:tc>
                <w:tcPr>
                  <w:tcW w:w="416"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治理措施</w:t>
                  </w:r>
                </w:p>
              </w:tc>
              <w:tc>
                <w:tcPr>
                  <w:tcW w:w="456" w:type="pct"/>
                  <w:noWrap/>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室内吸声量</w:t>
                  </w:r>
                  <w:r>
                    <w:rPr>
                      <w:rFonts w:hint="default" w:ascii="Times New Roman" w:hAnsi="Times New Roman" w:eastAsia="宋体" w:cs="Times New Roman"/>
                      <w:color w:val="000000" w:themeColor="text1"/>
                      <w:lang w:val="en-US" w:eastAsia="zh-CN"/>
                      <w14:textFill>
                        <w14:solidFill>
                          <w14:schemeClr w14:val="tx1"/>
                        </w14:solidFill>
                      </w14:textFill>
                    </w:rPr>
                    <w:t>dB(A)</w:t>
                  </w:r>
                </w:p>
              </w:tc>
              <w:tc>
                <w:tcPr>
                  <w:tcW w:w="436"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建筑隔声量</w:t>
                  </w:r>
                  <w:r>
                    <w:rPr>
                      <w:rFonts w:hint="default" w:ascii="Times New Roman" w:hAnsi="Times New Roman" w:eastAsia="宋体" w:cs="Times New Roman"/>
                      <w:color w:val="000000" w:themeColor="text1"/>
                      <w:lang w:val="en-US" w:eastAsia="zh-CN"/>
                      <w14:textFill>
                        <w14:solidFill>
                          <w14:schemeClr w14:val="tx1"/>
                        </w14:solidFill>
                      </w14:textFill>
                    </w:rPr>
                    <w:t>dB(A)</w:t>
                  </w:r>
                </w:p>
              </w:tc>
              <w:tc>
                <w:tcPr>
                  <w:tcW w:w="436"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治理后源强dB(A)</w:t>
                  </w:r>
                </w:p>
              </w:tc>
              <w:tc>
                <w:tcPr>
                  <w:tcW w:w="317" w:type="pct"/>
                  <w:noWrap/>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运行时段</w:t>
                  </w:r>
                </w:p>
              </w:tc>
              <w:tc>
                <w:tcPr>
                  <w:tcW w:w="545"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坐标位置（以厂址中心为坐标原点）</w:t>
                  </w:r>
                </w:p>
              </w:tc>
              <w:tc>
                <w:tcPr>
                  <w:tcW w:w="406"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到厂界障碍物数量</w:t>
                  </w:r>
                </w:p>
              </w:tc>
              <w:tc>
                <w:tcPr>
                  <w:tcW w:w="386"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树林、灌木分布情况</w:t>
                  </w:r>
                </w:p>
              </w:tc>
              <w:tc>
                <w:tcPr>
                  <w:tcW w:w="416"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地面覆盖情况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287" w:type="pct"/>
                  <w:noWrap/>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震动给料机</w:t>
                  </w:r>
                </w:p>
              </w:tc>
              <w:tc>
                <w:tcPr>
                  <w:tcW w:w="248"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346"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85</w:t>
                  </w:r>
                </w:p>
              </w:tc>
              <w:tc>
                <w:tcPr>
                  <w:tcW w:w="416" w:type="pct"/>
                  <w:vMerge w:val="restar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选用低噪声设备，厂房隔声</w:t>
                  </w:r>
                  <w:r>
                    <w:rPr>
                      <w:rFonts w:hint="eastAsia" w:ascii="Times New Roman" w:hAnsi="Times New Roman" w:eastAsia="宋体" w:cs="Times New Roman"/>
                      <w:color w:val="000000" w:themeColor="text1"/>
                      <w:lang w:val="en-US" w:eastAsia="zh-CN"/>
                      <w14:textFill>
                        <w14:solidFill>
                          <w14:schemeClr w14:val="tx1"/>
                        </w14:solidFill>
                      </w14:textFill>
                    </w:rPr>
                    <w:t>、基础减震</w:t>
                  </w:r>
                </w:p>
              </w:tc>
              <w:tc>
                <w:tcPr>
                  <w:tcW w:w="456" w:type="pct"/>
                  <w:vMerge w:val="restar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5</w:t>
                  </w:r>
                </w:p>
              </w:tc>
              <w:tc>
                <w:tcPr>
                  <w:tcW w:w="436" w:type="pct"/>
                  <w:vMerge w:val="restar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20</w:t>
                  </w:r>
                </w:p>
              </w:tc>
              <w:tc>
                <w:tcPr>
                  <w:tcW w:w="436" w:type="pc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60</w:t>
                  </w:r>
                </w:p>
              </w:tc>
              <w:tc>
                <w:tcPr>
                  <w:tcW w:w="317" w:type="pct"/>
                  <w:vMerge w:val="restart"/>
                  <w:noWrap/>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昼</w:t>
                  </w:r>
                </w:p>
              </w:tc>
              <w:tc>
                <w:tcPr>
                  <w:tcW w:w="545" w:type="pct"/>
                  <w:noWrap/>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{-17.74,-7.8,1}</w:t>
                  </w:r>
                </w:p>
              </w:tc>
              <w:tc>
                <w:tcPr>
                  <w:tcW w:w="406" w:type="pct"/>
                  <w:vMerge w:val="restart"/>
                  <w:noWrap/>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置于车间内，东南西北均为厂房墙体</w:t>
                  </w:r>
                </w:p>
              </w:tc>
              <w:tc>
                <w:tcPr>
                  <w:tcW w:w="386" w:type="pct"/>
                  <w:vMerge w:val="restart"/>
                  <w:noWrap/>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绿化带，种植低矮灌木</w:t>
                  </w:r>
                </w:p>
              </w:tc>
              <w:tc>
                <w:tcPr>
                  <w:tcW w:w="416" w:type="pct"/>
                  <w:vMerge w:val="restart"/>
                  <w:noWrap/>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highlight w:val="none"/>
                      <w:lang w:val="en-US" w:eastAsia="zh-CN"/>
                      <w14:textFill>
                        <w14:solidFill>
                          <w14:schemeClr w14:val="tx1"/>
                        </w14:solidFill>
                      </w14:textFill>
                    </w:rPr>
                    <w:t>厂区内</w:t>
                  </w:r>
                  <w:r>
                    <w:rPr>
                      <w:rFonts w:hint="default" w:ascii="Times New Roman" w:hAnsi="Times New Roman" w:eastAsia="宋体" w:cs="Times New Roman"/>
                      <w:color w:val="000000" w:themeColor="text1"/>
                      <w:highlight w:val="none"/>
                      <w:lang w:val="en-US" w:eastAsia="zh-CN"/>
                      <w14:textFill>
                        <w14:solidFill>
                          <w14:schemeClr w14:val="tx1"/>
                        </w14:solidFill>
                      </w14:textFill>
                    </w:rPr>
                    <w:t>其余空地均为</w:t>
                  </w:r>
                  <w:r>
                    <w:rPr>
                      <w:rFonts w:hint="eastAsia" w:ascii="Times New Roman" w:hAnsi="Times New Roman" w:eastAsia="宋体" w:cs="Times New Roman"/>
                      <w:color w:val="000000" w:themeColor="text1"/>
                      <w:highlight w:val="none"/>
                      <w:lang w:val="en-US" w:eastAsia="zh-CN"/>
                      <w14:textFill>
                        <w14:solidFill>
                          <w14:schemeClr w14:val="tx1"/>
                        </w14:solidFill>
                      </w14:textFill>
                    </w:rPr>
                    <w:t>水泥硬化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2</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挂式电磁除铁器</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3</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75</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50</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{-28.36,-7.34,1}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3</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湿式顺流磁选机</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80</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55</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{-21.9,-7.8,1}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4</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逆转磁选机</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80</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55</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{-30.67,-3.64,1}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5</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摇床自卸除铁器</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4</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75</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50</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{-54.68,0.05,1}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6</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炉渣初分选滚笼</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85</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60</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{-39.9,-5.49,1}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7</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水选单层分级滚笼</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85</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60</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{-38.98,-1.33,1}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8</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生料滚笼</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85</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60</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{-45.91,-2.72,1}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9</w:t>
                  </w:r>
                </w:p>
              </w:tc>
              <w:tc>
                <w:tcPr>
                  <w:tcW w:w="287"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选碎铁滚笼</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85</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60</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{-3</w:t>
                  </w:r>
                  <w:r>
                    <w:rPr>
                      <w:rFonts w:hint="eastAsia" w:ascii="Times New Roman" w:hAnsi="Times New Roman" w:eastAsia="宋体" w:cs="Times New Roman"/>
                      <w:color w:val="000000" w:themeColor="text1"/>
                      <w:lang w:val="en-US" w:eastAsia="zh-CN"/>
                      <w14:textFill>
                        <w14:solidFill>
                          <w14:schemeClr w14:val="tx1"/>
                        </w14:solidFill>
                      </w14:textFill>
                    </w:rPr>
                    <w:t>5</w:t>
                  </w:r>
                  <w:r>
                    <w:rPr>
                      <w:rFonts w:hint="default" w:ascii="Times New Roman" w:hAnsi="Times New Roman" w:eastAsia="宋体" w:cs="Times New Roman"/>
                      <w:color w:val="000000" w:themeColor="text1"/>
                      <w:lang w:val="en-US" w:eastAsia="zh-CN"/>
                      <w14:textFill>
                        <w14:solidFill>
                          <w14:schemeClr w14:val="tx1"/>
                        </w14:solidFill>
                      </w14:textFill>
                    </w:rPr>
                    <w:t>.98,-5.03,1}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10</w:t>
                  </w:r>
                </w:p>
              </w:tc>
              <w:tc>
                <w:tcPr>
                  <w:tcW w:w="287"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选破碎金属滚笼</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5</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85</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60</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{-32.98,-5.03,1}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11</w:t>
                  </w:r>
                </w:p>
              </w:tc>
              <w:tc>
                <w:tcPr>
                  <w:tcW w:w="287"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脱水筛</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70</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45</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{-39.9,-5.49,1}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12</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废铁破碎机</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90</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65</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{-51.91,0.97,1}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13</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炉渣破碎机</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95</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70</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{-45.45,0.05,1}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14</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渣头破碎机</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90</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65</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{-53.76,-3.18,1}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15</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跳汰机</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2</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70</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45</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{-53.76,-3.18,1}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16</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摇床</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4</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70</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45</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{-34.36,-2.72,1}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99"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17</w:t>
                  </w:r>
                </w:p>
              </w:tc>
              <w:tc>
                <w:tcPr>
                  <w:tcW w:w="287" w:type="pct"/>
                  <w:vAlign w:val="center"/>
                </w:tcPr>
                <w:p>
                  <w:pPr>
                    <w:spacing w:line="240" w:lineRule="auto"/>
                    <w:jc w:val="center"/>
                    <w:rPr>
                      <w:rFonts w:hint="default"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涡电流分选机</w:t>
                  </w:r>
                </w:p>
              </w:tc>
              <w:tc>
                <w:tcPr>
                  <w:tcW w:w="248"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3</w:t>
                  </w:r>
                </w:p>
              </w:tc>
              <w:tc>
                <w:tcPr>
                  <w:tcW w:w="346" w:type="pct"/>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75</w:t>
                  </w:r>
                </w:p>
              </w:tc>
              <w:tc>
                <w:tcPr>
                  <w:tcW w:w="41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5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436" w:type="pct"/>
                  <w:vMerge w:val="continue"/>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0" w:type="auto"/>
                  <w:vAlign w:val="center"/>
                </w:tcPr>
                <w:p>
                  <w:pPr>
                    <w:pStyle w:val="57"/>
                    <w:spacing w:line="240" w:lineRule="auto"/>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50</w:t>
                  </w:r>
                </w:p>
              </w:tc>
              <w:tc>
                <w:tcPr>
                  <w:tcW w:w="317"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545" w:type="pct"/>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{-28.36,-5.49,1}</w:t>
                  </w:r>
                </w:p>
              </w:tc>
              <w:tc>
                <w:tcPr>
                  <w:tcW w:w="40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38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16" w:type="pct"/>
                  <w:vMerge w:val="continue"/>
                  <w:vAlign w:val="center"/>
                </w:tcPr>
                <w:p>
                  <w:pPr>
                    <w:pStyle w:val="57"/>
                    <w:spacing w:line="240" w:lineRule="auto"/>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bl>
          <w:p>
            <w:pPr>
              <w:bidi w:val="0"/>
              <w:ind w:firstLine="480" w:firstLineChars="200"/>
              <w:rPr>
                <w:color w:val="000000" w:themeColor="text1"/>
                <w14:textFill>
                  <w14:solidFill>
                    <w14:schemeClr w14:val="tx1"/>
                  </w14:solidFill>
                </w14:textFill>
              </w:rPr>
            </w:pPr>
            <w:r>
              <w:rPr>
                <w:rFonts w:hint="eastAsia"/>
                <w:color w:val="000000" w:themeColor="text1"/>
                <w14:textFill>
                  <w14:solidFill>
                    <w14:schemeClr w14:val="tx1"/>
                  </w14:solidFill>
                </w14:textFill>
              </w:rPr>
              <w:t>按照噪声预测模式，结合噪声源到各预测点距离和各现状监测点的监测值，通过计算，项目各噪声源对四周厂界的噪声贡献值及预测值见下表</w:t>
            </w:r>
            <w:r>
              <w:rPr>
                <w:color w:val="000000" w:themeColor="text1"/>
                <w14:textFill>
                  <w14:solidFill>
                    <w14:schemeClr w14:val="tx1"/>
                  </w14:solidFill>
                </w14:textFill>
              </w:rPr>
              <w:t>。结果见下表。</w:t>
            </w:r>
          </w:p>
          <w:p>
            <w:pPr>
              <w:numPr>
                <w:ilvl w:val="0"/>
                <w:numId w:val="0"/>
              </w:numPr>
              <w:spacing w:line="240" w:lineRule="auto"/>
              <w:ind w:leftChars="0"/>
              <w:jc w:val="center"/>
              <w:rPr>
                <w:rFonts w:hint="eastAsia" w:ascii="Times New Roman" w:hAnsi="Times New Roman" w:eastAsia="宋体" w:cs="Times New Roman"/>
                <w:b/>
                <w:bCs/>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21"/>
                <w:szCs w:val="21"/>
                <w:highlight w:val="none"/>
                <w:lang w:val="en-US" w:eastAsia="zh-CN"/>
                <w14:textFill>
                  <w14:solidFill>
                    <w14:schemeClr w14:val="tx1"/>
                  </w14:solidFill>
                </w14:textFill>
              </w:rPr>
              <w:t>表4-</w:t>
            </w:r>
            <w:r>
              <w:rPr>
                <w:rFonts w:hint="eastAsia" w:cs="Times New Roman"/>
                <w:b/>
                <w:bCs/>
                <w:color w:val="000000" w:themeColor="text1"/>
                <w:sz w:val="21"/>
                <w:szCs w:val="21"/>
                <w:highlight w:val="none"/>
                <w:lang w:val="en-US" w:eastAsia="zh-CN"/>
                <w14:textFill>
                  <w14:solidFill>
                    <w14:schemeClr w14:val="tx1"/>
                  </w14:solidFill>
                </w14:textFill>
              </w:rPr>
              <w:t>4</w:t>
            </w:r>
            <w:r>
              <w:rPr>
                <w:rFonts w:hint="eastAsia" w:ascii="Times New Roman" w:hAnsi="Times New Roman" w:eastAsia="宋体" w:cs="Times New Roman"/>
                <w:b/>
                <w:bCs/>
                <w:color w:val="000000" w:themeColor="text1"/>
                <w:sz w:val="21"/>
                <w:szCs w:val="21"/>
                <w:highlight w:val="none"/>
                <w:lang w:val="en-US" w:eastAsia="zh-CN"/>
                <w14:textFill>
                  <w14:solidFill>
                    <w14:schemeClr w14:val="tx1"/>
                  </w14:solidFill>
                </w14:textFill>
              </w:rPr>
              <w:t xml:space="preserve">  项目建成后厂界噪声预测结果一览表  单位：dB(A)</w:t>
            </w:r>
          </w:p>
          <w:tbl>
            <w:tblPr>
              <w:tblStyle w:val="31"/>
              <w:tblW w:w="85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245"/>
              <w:gridCol w:w="1896"/>
              <w:gridCol w:w="1896"/>
              <w:gridCol w:w="1898"/>
              <w:gridCol w:w="15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732"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名称</w:t>
                  </w:r>
                </w:p>
              </w:tc>
              <w:tc>
                <w:tcPr>
                  <w:tcW w:w="1114"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时段</w:t>
                  </w:r>
                </w:p>
              </w:tc>
              <w:tc>
                <w:tcPr>
                  <w:tcW w:w="1114"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贡献值</w:t>
                  </w:r>
                </w:p>
              </w:tc>
              <w:tc>
                <w:tcPr>
                  <w:tcW w:w="1115"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标准值</w:t>
                  </w:r>
                </w:p>
              </w:tc>
              <w:tc>
                <w:tcPr>
                  <w:tcW w:w="922"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达标分析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732"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东厂界</w:t>
                  </w:r>
                </w:p>
              </w:tc>
              <w:tc>
                <w:tcPr>
                  <w:tcW w:w="1114"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昼间</w:t>
                  </w:r>
                </w:p>
              </w:tc>
              <w:tc>
                <w:tcPr>
                  <w:tcW w:w="1114"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38.16</w:t>
                  </w:r>
                </w:p>
              </w:tc>
              <w:tc>
                <w:tcPr>
                  <w:tcW w:w="1115"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昼间</w:t>
                  </w:r>
                  <w:r>
                    <w:rPr>
                      <w:rFonts w:hint="eastAsia" w:cs="Times New Roman"/>
                      <w:color w:val="000000" w:themeColor="text1"/>
                      <w:lang w:val="en-US" w:eastAsia="zh-CN"/>
                      <w14:textFill>
                        <w14:solidFill>
                          <w14:schemeClr w14:val="tx1"/>
                        </w14:solidFill>
                      </w14:textFill>
                    </w:rPr>
                    <w:t>60</w:t>
                  </w:r>
                </w:p>
              </w:tc>
              <w:tc>
                <w:tcPr>
                  <w:tcW w:w="922"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732"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南厂界</w:t>
                  </w:r>
                </w:p>
              </w:tc>
              <w:tc>
                <w:tcPr>
                  <w:tcW w:w="1114"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昼间</w:t>
                  </w:r>
                </w:p>
              </w:tc>
              <w:tc>
                <w:tcPr>
                  <w:tcW w:w="1114"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26.65</w:t>
                  </w:r>
                </w:p>
              </w:tc>
              <w:tc>
                <w:tcPr>
                  <w:tcW w:w="1115"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昼间</w:t>
                  </w:r>
                  <w:r>
                    <w:rPr>
                      <w:rFonts w:hint="eastAsia" w:cs="Times New Roman"/>
                      <w:color w:val="000000" w:themeColor="text1"/>
                      <w:lang w:val="en-US" w:eastAsia="zh-CN"/>
                      <w14:textFill>
                        <w14:solidFill>
                          <w14:schemeClr w14:val="tx1"/>
                        </w14:solidFill>
                      </w14:textFill>
                    </w:rPr>
                    <w:t>60</w:t>
                  </w:r>
                </w:p>
              </w:tc>
              <w:tc>
                <w:tcPr>
                  <w:tcW w:w="922"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732"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西厂界</w:t>
                  </w:r>
                </w:p>
              </w:tc>
              <w:tc>
                <w:tcPr>
                  <w:tcW w:w="1114"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昼间</w:t>
                  </w:r>
                </w:p>
              </w:tc>
              <w:tc>
                <w:tcPr>
                  <w:tcW w:w="1114"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37.06</w:t>
                  </w:r>
                </w:p>
              </w:tc>
              <w:tc>
                <w:tcPr>
                  <w:tcW w:w="1115"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昼间</w:t>
                  </w:r>
                  <w:r>
                    <w:rPr>
                      <w:rFonts w:hint="eastAsia" w:cs="Times New Roman"/>
                      <w:color w:val="000000" w:themeColor="text1"/>
                      <w:lang w:val="en-US" w:eastAsia="zh-CN"/>
                      <w14:textFill>
                        <w14:solidFill>
                          <w14:schemeClr w14:val="tx1"/>
                        </w14:solidFill>
                      </w14:textFill>
                    </w:rPr>
                    <w:t>60</w:t>
                  </w:r>
                </w:p>
              </w:tc>
              <w:tc>
                <w:tcPr>
                  <w:tcW w:w="922"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732"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北厂界</w:t>
                  </w:r>
                </w:p>
              </w:tc>
              <w:tc>
                <w:tcPr>
                  <w:tcW w:w="1114"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昼间</w:t>
                  </w:r>
                </w:p>
              </w:tc>
              <w:tc>
                <w:tcPr>
                  <w:tcW w:w="1114"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23.64</w:t>
                  </w:r>
                </w:p>
              </w:tc>
              <w:tc>
                <w:tcPr>
                  <w:tcW w:w="1115"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昼间</w:t>
                  </w:r>
                  <w:r>
                    <w:rPr>
                      <w:rFonts w:hint="eastAsia" w:cs="Times New Roman"/>
                      <w:color w:val="000000" w:themeColor="text1"/>
                      <w:lang w:val="en-US" w:eastAsia="zh-CN"/>
                      <w14:textFill>
                        <w14:solidFill>
                          <w14:schemeClr w14:val="tx1"/>
                        </w14:solidFill>
                      </w14:textFill>
                    </w:rPr>
                    <w:t>60</w:t>
                  </w:r>
                </w:p>
              </w:tc>
              <w:tc>
                <w:tcPr>
                  <w:tcW w:w="922" w:type="pct"/>
                  <w:noWrap w:val="0"/>
                  <w:vAlign w:val="center"/>
                </w:tcPr>
                <w:p>
                  <w:pPr>
                    <w:pStyle w:val="57"/>
                    <w:spacing w:line="240" w:lineRule="auto"/>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达标</w:t>
                  </w:r>
                </w:p>
              </w:tc>
            </w:tr>
          </w:tbl>
          <w:p>
            <w:pPr>
              <w:adjustRightInd w:val="0"/>
              <w:snapToGrid w:val="0"/>
              <w:spacing w:line="360" w:lineRule="auto"/>
              <w:ind w:firstLine="480" w:firstLineChars="200"/>
              <w:jc w:val="both"/>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根据噪声预测结果，项目建成后噪声源对四周厂界的噪声贡献值为</w:t>
            </w:r>
            <w:r>
              <w:rPr>
                <w:rFonts w:hint="eastAsia" w:cs="Times New Roman"/>
                <w:bCs/>
                <w:color w:val="000000" w:themeColor="text1"/>
                <w:sz w:val="24"/>
                <w:szCs w:val="24"/>
                <w:highlight w:val="none"/>
                <w:lang w:val="en-US" w:eastAsia="zh-CN"/>
                <w14:textFill>
                  <w14:solidFill>
                    <w14:schemeClr w14:val="tx1"/>
                  </w14:solidFill>
                </w14:textFill>
              </w:rPr>
              <w:t>23.64-38.16</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dB(A)。综上所述，通过选用低噪声设备、采用减震基础、安装减震装置、车间合理布局等措施后，再经厂房隔声、距离衰减后，厂界噪声满足《工业企业厂界环境噪声排放标准》（GB12348-2008）中的</w:t>
            </w:r>
            <w:r>
              <w:rPr>
                <w:rFonts w:hint="eastAsia" w:cs="Times New Roman"/>
                <w:bCs/>
                <w:color w:val="000000" w:themeColor="text1"/>
                <w:sz w:val="24"/>
                <w:szCs w:val="24"/>
                <w:highlight w:val="none"/>
                <w:lang w:val="en-US" w:eastAsia="zh-CN"/>
                <w14:textFill>
                  <w14:solidFill>
                    <w14:schemeClr w14:val="tx1"/>
                  </w14:solidFill>
                </w14:textFill>
              </w:rPr>
              <w:t>2</w:t>
            </w:r>
            <w:r>
              <w:rPr>
                <w:rFonts w:hint="eastAsia" w:ascii="Times New Roman" w:hAnsi="Times New Roman" w:eastAsia="宋体" w:cs="Times New Roman"/>
                <w:bCs/>
                <w:color w:val="000000" w:themeColor="text1"/>
                <w:sz w:val="24"/>
                <w:szCs w:val="24"/>
                <w:highlight w:val="none"/>
                <w:lang w:val="en-US" w:eastAsia="zh-CN"/>
                <w14:textFill>
                  <w14:solidFill>
                    <w14:schemeClr w14:val="tx1"/>
                  </w14:solidFill>
                </w14:textFill>
              </w:rPr>
              <w:t>类标准。因此，本项目营运期生产过程中不会对周围声环境产生明显影响</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w:t>
            </w:r>
          </w:p>
          <w:p>
            <w:pPr>
              <w:pStyle w:val="26"/>
              <w:spacing w:line="360" w:lineRule="auto"/>
              <w:ind w:left="0" w:leftChars="0" w:firstLine="0" w:firstLineChars="0"/>
              <w:rPr>
                <w:rFonts w:hint="default" w:ascii="Times New Roman" w:hAnsi="Times New Roman" w:eastAsia="宋体" w:cs="Times New Roman"/>
                <w:b/>
                <w:bCs/>
                <w:color w:val="000000" w:themeColor="text1"/>
                <w:kern w:val="2"/>
                <w:sz w:val="24"/>
                <w:szCs w:val="32"/>
                <w:lang w:val="en-US" w:eastAsia="zh-CN" w:bidi="ar-SA"/>
                <w14:textFill>
                  <w14:solidFill>
                    <w14:schemeClr w14:val="tx1"/>
                  </w14:solidFill>
                </w14:textFill>
              </w:rPr>
            </w:pPr>
            <w:r>
              <w:rPr>
                <w:rFonts w:hint="default" w:ascii="Times New Roman" w:hAnsi="Times New Roman" w:eastAsia="宋体" w:cs="Times New Roman"/>
                <w:b/>
                <w:bCs/>
                <w:color w:val="000000" w:themeColor="text1"/>
                <w:kern w:val="2"/>
                <w:sz w:val="24"/>
                <w:szCs w:val="32"/>
                <w:lang w:val="en-US" w:eastAsia="zh-CN" w:bidi="ar-SA"/>
                <w14:textFill>
                  <w14:solidFill>
                    <w14:schemeClr w14:val="tx1"/>
                  </w14:solidFill>
                </w14:textFill>
              </w:rPr>
              <w:t>3.3监测要求</w:t>
            </w:r>
          </w:p>
          <w:p>
            <w:pPr>
              <w:pStyle w:val="48"/>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表</w:t>
            </w:r>
            <w:r>
              <w:rPr>
                <w:rFonts w:hint="eastAsia"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4-</w:t>
            </w:r>
            <w:r>
              <w:rPr>
                <w:rFonts w:hint="eastAsia" w:cs="Times New Roman"/>
                <w:b/>
                <w:bCs/>
                <w:color w:val="000000" w:themeColor="text1"/>
                <w:kern w:val="2"/>
                <w:sz w:val="21"/>
                <w:szCs w:val="21"/>
                <w:highlight w:val="none"/>
                <w:lang w:val="en-US" w:eastAsia="zh-CN" w:bidi="ar-SA"/>
                <w14:textFill>
                  <w14:solidFill>
                    <w14:schemeClr w14:val="tx1"/>
                  </w14:solidFill>
                </w14:textFill>
              </w:rPr>
              <w:t>5</w:t>
            </w:r>
            <w: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 xml:space="preserve">  监测要求一览表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82"/>
              <w:gridCol w:w="2967"/>
              <w:gridCol w:w="2033"/>
              <w:gridCol w:w="21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2" w:type="dxa"/>
                  <w:tcBorders>
                    <w:tl2br w:val="nil"/>
                    <w:tr2bl w:val="nil"/>
                  </w:tcBorders>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监测项目</w:t>
                  </w:r>
                </w:p>
              </w:tc>
              <w:tc>
                <w:tcPr>
                  <w:tcW w:w="2802" w:type="dxa"/>
                  <w:tcBorders>
                    <w:tl2br w:val="nil"/>
                    <w:tr2bl w:val="nil"/>
                  </w:tcBorders>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监测点位</w:t>
                  </w:r>
                </w:p>
              </w:tc>
              <w:tc>
                <w:tcPr>
                  <w:tcW w:w="1920" w:type="dxa"/>
                  <w:tcBorders>
                    <w:tl2br w:val="nil"/>
                    <w:tr2bl w:val="nil"/>
                  </w:tcBorders>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监测因子</w:t>
                  </w:r>
                </w:p>
              </w:tc>
              <w:tc>
                <w:tcPr>
                  <w:tcW w:w="2003" w:type="dxa"/>
                  <w:tcBorders>
                    <w:tl2br w:val="nil"/>
                    <w:tr2bl w:val="nil"/>
                  </w:tcBorders>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监测频次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2" w:type="dxa"/>
                  <w:tcBorders>
                    <w:tl2br w:val="nil"/>
                    <w:tr2bl w:val="nil"/>
                  </w:tcBorders>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噪声</w:t>
                  </w:r>
                </w:p>
              </w:tc>
              <w:tc>
                <w:tcPr>
                  <w:tcW w:w="2802" w:type="dxa"/>
                  <w:tcBorders>
                    <w:tl2br w:val="nil"/>
                    <w:tr2bl w:val="nil"/>
                  </w:tcBorders>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厂界外1米</w:t>
                  </w:r>
                </w:p>
              </w:tc>
              <w:tc>
                <w:tcPr>
                  <w:tcW w:w="1920" w:type="dxa"/>
                  <w:tcBorders>
                    <w:tl2br w:val="nil"/>
                    <w:tr2bl w:val="nil"/>
                  </w:tcBorders>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等效A声级</w:t>
                  </w:r>
                </w:p>
              </w:tc>
              <w:tc>
                <w:tcPr>
                  <w:tcW w:w="2003" w:type="dxa"/>
                  <w:tcBorders>
                    <w:tl2br w:val="nil"/>
                    <w:tr2bl w:val="nil"/>
                  </w:tcBorders>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每</w:t>
                  </w:r>
                  <w:r>
                    <w:rPr>
                      <w:rFonts w:hint="eastAsia" w:ascii="Times New Roman" w:hAnsi="Times New Roman" w:eastAsia="宋体" w:cs="Times New Roman"/>
                      <w:color w:val="000000" w:themeColor="text1"/>
                      <w:lang w:val="en-US" w:eastAsia="zh-CN"/>
                      <w14:textFill>
                        <w14:solidFill>
                          <w14:schemeClr w14:val="tx1"/>
                        </w14:solidFill>
                      </w14:textFill>
                    </w:rPr>
                    <w:t>季度</w:t>
                  </w:r>
                  <w:r>
                    <w:rPr>
                      <w:rFonts w:hint="default" w:ascii="Times New Roman" w:hAnsi="Times New Roman" w:eastAsia="宋体" w:cs="Times New Roman"/>
                      <w:color w:val="000000" w:themeColor="text1"/>
                      <w:lang w:val="en-US" w:eastAsia="zh-CN"/>
                      <w14:textFill>
                        <w14:solidFill>
                          <w14:schemeClr w14:val="tx1"/>
                        </w14:solidFill>
                      </w14:textFill>
                    </w:rPr>
                    <w:t>一次</w:t>
                  </w:r>
                </w:p>
              </w:tc>
            </w:tr>
          </w:tbl>
          <w:p>
            <w:pPr>
              <w:pStyle w:val="2"/>
              <w:bidi w:val="0"/>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4</w:t>
            </w:r>
            <w:r>
              <w:rPr>
                <w:rFonts w:hint="default" w:ascii="Times New Roman" w:hAnsi="Times New Roman" w:cs="Times New Roman"/>
                <w:color w:val="000000" w:themeColor="text1"/>
                <w:lang w:val="en-US" w:eastAsia="zh-CN"/>
                <w14:textFill>
                  <w14:solidFill>
                    <w14:schemeClr w14:val="tx1"/>
                  </w14:solidFill>
                </w14:textFill>
              </w:rPr>
              <w:t xml:space="preserve"> </w:t>
            </w:r>
            <w:r>
              <w:rPr>
                <w:rFonts w:hint="default" w:ascii="Times New Roman" w:hAnsi="Times New Roman" w:cs="Times New Roman"/>
                <w:color w:val="000000" w:themeColor="text1"/>
                <w14:textFill>
                  <w14:solidFill>
                    <w14:schemeClr w14:val="tx1"/>
                  </w14:solidFill>
                </w14:textFill>
              </w:rPr>
              <w:t>固废环境影响分析</w:t>
            </w:r>
          </w:p>
          <w:p>
            <w:pPr>
              <w:adjustRightInd w:val="0"/>
              <w:snapToGrid w:val="0"/>
              <w:spacing w:line="360" w:lineRule="auto"/>
              <w:ind w:firstLine="480" w:firstLineChars="200"/>
              <w:jc w:val="left"/>
              <w:rPr>
                <w:rFonts w:hint="default" w:ascii="Times New Roman" w:hAnsi="Times New Roman" w:cs="Times New Roman"/>
                <w:bCs/>
                <w:color w:val="000000" w:themeColor="text1"/>
                <w:sz w:val="24"/>
                <w:szCs w:val="24"/>
                <w:highlight w:val="none"/>
                <w14:textFill>
                  <w14:solidFill>
                    <w14:schemeClr w14:val="tx1"/>
                  </w14:solidFill>
                </w14:textFill>
              </w:rPr>
            </w:pPr>
            <w:r>
              <w:rPr>
                <w:rFonts w:hint="default" w:ascii="Times New Roman" w:hAnsi="Times New Roman" w:cs="Times New Roman"/>
                <w:bCs/>
                <w:color w:val="000000" w:themeColor="text1"/>
                <w:sz w:val="24"/>
                <w:szCs w:val="24"/>
                <w:highlight w:val="none"/>
                <w14:textFill>
                  <w14:solidFill>
                    <w14:schemeClr w14:val="tx1"/>
                  </w14:solidFill>
                </w14:textFill>
              </w:rPr>
              <w:t>项目建成营运后，</w:t>
            </w:r>
            <w:r>
              <w:rPr>
                <w:rFonts w:hint="eastAsia" w:cs="Times New Roman"/>
                <w:bCs/>
                <w:color w:val="000000" w:themeColor="text1"/>
                <w:sz w:val="24"/>
                <w:szCs w:val="24"/>
                <w:highlight w:val="none"/>
                <w:lang w:val="en-US" w:eastAsia="zh-CN"/>
                <w14:textFill>
                  <w14:solidFill>
                    <w14:schemeClr w14:val="tx1"/>
                  </w14:solidFill>
                </w14:textFill>
              </w:rPr>
              <w:t>本项目产生的固体废物主要有一般工业固体废物（沉淀池泥沙以及未燃尽垃圾）、危险废物（废润滑油桶）以及生活垃圾</w:t>
            </w:r>
            <w:r>
              <w:rPr>
                <w:rFonts w:hint="default" w:ascii="Times New Roman" w:hAnsi="Times New Roman" w:cs="Times New Roman"/>
                <w:bCs/>
                <w:color w:val="000000" w:themeColor="text1"/>
                <w:sz w:val="24"/>
                <w:szCs w:val="24"/>
                <w:highlight w:val="none"/>
                <w14:textFill>
                  <w14:solidFill>
                    <w14:schemeClr w14:val="tx1"/>
                  </w14:solidFill>
                </w14:textFill>
              </w:rPr>
              <w:t>。</w:t>
            </w: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leftChars="0" w:right="0" w:firstLine="482" w:firstLineChars="200"/>
              <w:rPr>
                <w:rFonts w:hint="default" w:ascii="Times New Roman" w:hAnsi="Times New Roman" w:eastAsia="宋体" w:cs="Times New Roman"/>
                <w:b/>
                <w:bCs/>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t>4.1</w:t>
            </w:r>
            <w:r>
              <w:rPr>
                <w:rFonts w:hint="default" w:ascii="Times New Roman" w:hAnsi="Times New Roman" w:eastAsia="宋体" w:cs="Times New Roman"/>
                <w:b/>
                <w:bCs/>
                <w:color w:val="000000" w:themeColor="text1"/>
                <w:sz w:val="24"/>
                <w:szCs w:val="24"/>
                <w:lang w:val="en-US" w:eastAsia="zh-CN"/>
                <w14:textFill>
                  <w14:solidFill>
                    <w14:schemeClr w14:val="tx1"/>
                  </w14:solidFill>
                </w14:textFill>
              </w:rPr>
              <w:t>一般固体废物</w:t>
            </w:r>
          </w:p>
          <w:p>
            <w:pPr>
              <w:spacing w:line="240" w:lineRule="auto"/>
              <w:jc w:val="center"/>
              <w:rPr>
                <w:rFonts w:hint="default"/>
                <w:b/>
                <w:color w:val="000000" w:themeColor="text1"/>
                <w:sz w:val="21"/>
                <w:szCs w:val="21"/>
                <w:highlight w:val="none"/>
                <w:lang w:val="en-US" w:eastAsia="zh-CN"/>
                <w14:textFill>
                  <w14:solidFill>
                    <w14:schemeClr w14:val="tx1"/>
                  </w14:solidFill>
                </w14:textFill>
              </w:rPr>
            </w:pPr>
            <w:r>
              <w:rPr>
                <w:rFonts w:hint="eastAsia"/>
                <w:b/>
                <w:color w:val="000000" w:themeColor="text1"/>
                <w:sz w:val="21"/>
                <w:szCs w:val="21"/>
                <w:highlight w:val="none"/>
                <w:lang w:val="en-US" w:eastAsia="zh-CN"/>
                <w14:textFill>
                  <w14:solidFill>
                    <w14:schemeClr w14:val="tx1"/>
                  </w14:solidFill>
                </w14:textFill>
              </w:rPr>
              <w:t>表4-6  一般工业固体废物产生情况一览表</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1266"/>
              <w:gridCol w:w="1384"/>
              <w:gridCol w:w="1438"/>
              <w:gridCol w:w="3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3"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序号</w:t>
                  </w:r>
                </w:p>
              </w:tc>
              <w:tc>
                <w:tcPr>
                  <w:tcW w:w="1266"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固废代码</w:t>
                  </w:r>
                </w:p>
              </w:tc>
              <w:tc>
                <w:tcPr>
                  <w:tcW w:w="1384"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固废名称</w:t>
                  </w:r>
                </w:p>
              </w:tc>
              <w:tc>
                <w:tcPr>
                  <w:tcW w:w="1438"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产生量（t/a）</w:t>
                  </w:r>
                </w:p>
              </w:tc>
              <w:tc>
                <w:tcPr>
                  <w:tcW w:w="3608"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处置措施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 w:hRule="atLeast"/>
              </w:trPr>
              <w:tc>
                <w:tcPr>
                  <w:tcW w:w="703"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p>
              </w:tc>
              <w:tc>
                <w:tcPr>
                  <w:tcW w:w="1266"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900-999-99</w:t>
                  </w:r>
                </w:p>
              </w:tc>
              <w:tc>
                <w:tcPr>
                  <w:tcW w:w="1384"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沉淀池泥沙</w:t>
                  </w:r>
                </w:p>
              </w:tc>
              <w:tc>
                <w:tcPr>
                  <w:tcW w:w="1438"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23996</w:t>
                  </w:r>
                </w:p>
              </w:tc>
              <w:tc>
                <w:tcPr>
                  <w:tcW w:w="3608" w:type="dxa"/>
                  <w:vAlign w:val="center"/>
                </w:tcPr>
                <w:p>
                  <w:pPr>
                    <w:spacing w:line="240" w:lineRule="auto"/>
                    <w:jc w:val="center"/>
                    <w:rPr>
                      <w:rFonts w:hint="eastAsia"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压滤成泥饼后</w:t>
                  </w:r>
                  <w:r>
                    <w:rPr>
                      <w:rFonts w:hint="default"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暂存固废暂存区，统一外售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 w:hRule="atLeast"/>
              </w:trPr>
              <w:tc>
                <w:tcPr>
                  <w:tcW w:w="703"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2</w:t>
                  </w:r>
                </w:p>
              </w:tc>
              <w:tc>
                <w:tcPr>
                  <w:tcW w:w="1266"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900-999-64</w:t>
                  </w:r>
                </w:p>
              </w:tc>
              <w:tc>
                <w:tcPr>
                  <w:tcW w:w="1384"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未燃尽垃圾</w:t>
                  </w:r>
                </w:p>
              </w:tc>
              <w:tc>
                <w:tcPr>
                  <w:tcW w:w="1438"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30263.9706</w:t>
                  </w:r>
                </w:p>
              </w:tc>
              <w:tc>
                <w:tcPr>
                  <w:tcW w:w="3608" w:type="dxa"/>
                  <w:vAlign w:val="center"/>
                </w:tcPr>
                <w:p>
                  <w:pPr>
                    <w:spacing w:line="240" w:lineRule="auto"/>
                    <w:jc w:val="center"/>
                    <w:rPr>
                      <w:rFonts w:hint="eastAsia" w:ascii="Times New Roman" w:hAnsi="Times New Roman" w:cs="Times New Roman" w:eastAsiaTheme="minorEastAsia"/>
                      <w:color w:val="000000" w:themeColor="text1"/>
                      <w:kern w:val="2"/>
                      <w:sz w:val="21"/>
                      <w:szCs w:val="21"/>
                      <w:highlight w:val="none"/>
                      <w:lang w:val="en-US" w:eastAsia="zh-CN" w:bidi="ar-SA"/>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集中收集后，电厂回收利用</w:t>
                  </w:r>
                </w:p>
              </w:tc>
            </w:tr>
          </w:tbl>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leftChars="0" w:right="0" w:firstLine="482" w:firstLineChars="200"/>
              <w:rPr>
                <w:rFonts w:hint="default" w:ascii="Times New Roman" w:hAnsi="Times New Roman" w:eastAsia="宋体" w:cs="Times New Roman"/>
                <w:b/>
                <w:bCs/>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t>4.2</w:t>
            </w:r>
            <w:r>
              <w:rPr>
                <w:rFonts w:hint="default" w:ascii="Times New Roman" w:hAnsi="Times New Roman" w:eastAsia="宋体" w:cs="Times New Roman"/>
                <w:b/>
                <w:bCs/>
                <w:color w:val="000000" w:themeColor="text1"/>
                <w:sz w:val="24"/>
                <w:szCs w:val="24"/>
                <w:lang w:val="en-US" w:eastAsia="zh-CN"/>
                <w14:textFill>
                  <w14:solidFill>
                    <w14:schemeClr w14:val="tx1"/>
                  </w14:solidFill>
                </w14:textFill>
              </w:rPr>
              <w:t>危险废物</w:t>
            </w:r>
          </w:p>
          <w:p>
            <w:pPr>
              <w:pStyle w:val="15"/>
              <w:snapToGrid w:val="0"/>
              <w:spacing w:line="360" w:lineRule="auto"/>
              <w:ind w:firstLine="480" w:firstLineChars="200"/>
              <w:jc w:val="both"/>
              <w:rPr>
                <w:rFonts w:hint="default" w:ascii="Times New Roman" w:hAnsi="Times New Roman" w:cs="Times New Roman"/>
                <w:color w:val="000000" w:themeColor="text1"/>
                <w:sz w:val="24"/>
                <w:szCs w:val="24"/>
                <w:lang w:val="en-US" w:eastAsia="zh-CN"/>
                <w14:textFill>
                  <w14:solidFill>
                    <w14:schemeClr w14:val="tx1"/>
                  </w14:solidFill>
                </w14:textFill>
              </w:rPr>
            </w:pPr>
            <w:r>
              <w:rPr>
                <w:rFonts w:hint="default" w:ascii="Times New Roman" w:hAnsi="Times New Roman" w:cs="Times New Roman"/>
                <w:color w:val="000000" w:themeColor="text1"/>
                <w:sz w:val="24"/>
                <w:szCs w:val="24"/>
                <w:lang w:val="en-US" w:eastAsia="zh-CN"/>
                <w14:textFill>
                  <w14:solidFill>
                    <w14:schemeClr w14:val="tx1"/>
                  </w14:solidFill>
                </w14:textFill>
              </w:rPr>
              <w:t>本项目</w:t>
            </w:r>
            <w:r>
              <w:rPr>
                <w:rFonts w:hint="eastAsia" w:ascii="Times New Roman" w:hAnsi="Times New Roman" w:cs="Times New Roman"/>
                <w:color w:val="000000" w:themeColor="text1"/>
                <w:sz w:val="24"/>
                <w:szCs w:val="24"/>
                <w:lang w:val="en-US" w:eastAsia="zh-CN"/>
                <w14:textFill>
                  <w14:solidFill>
                    <w14:schemeClr w14:val="tx1"/>
                  </w14:solidFill>
                </w14:textFill>
              </w:rPr>
              <w:t>废润滑油桶产生量约为0.05t/a，属于HW08危险废物，</w:t>
            </w:r>
            <w:r>
              <w:rPr>
                <w:rFonts w:hint="default" w:ascii="Times New Roman" w:hAnsi="Times New Roman" w:cs="Times New Roman"/>
                <w:color w:val="000000" w:themeColor="text1"/>
                <w:sz w:val="24"/>
                <w:szCs w:val="24"/>
                <w:lang w:val="en-US" w:eastAsia="zh-CN"/>
                <w14:textFill>
                  <w14:solidFill>
                    <w14:schemeClr w14:val="tx1"/>
                  </w14:solidFill>
                </w14:textFill>
              </w:rPr>
              <w:t>代码为900-</w:t>
            </w:r>
            <w:r>
              <w:rPr>
                <w:rFonts w:hint="eastAsia" w:ascii="Times New Roman" w:hAnsi="Times New Roman" w:cs="Times New Roman"/>
                <w:color w:val="000000" w:themeColor="text1"/>
                <w:sz w:val="24"/>
                <w:szCs w:val="24"/>
                <w:lang w:val="en-US" w:eastAsia="zh-CN"/>
                <w14:textFill>
                  <w14:solidFill>
                    <w14:schemeClr w14:val="tx1"/>
                  </w14:solidFill>
                </w14:textFill>
              </w:rPr>
              <w:t>249</w:t>
            </w:r>
            <w:r>
              <w:rPr>
                <w:rFonts w:hint="default" w:ascii="Times New Roman" w:hAnsi="Times New Roman" w:cs="Times New Roman"/>
                <w:color w:val="000000" w:themeColor="text1"/>
                <w:sz w:val="24"/>
                <w:szCs w:val="24"/>
                <w:lang w:val="en-US" w:eastAsia="zh-CN"/>
                <w14:textFill>
                  <w14:solidFill>
                    <w14:schemeClr w14:val="tx1"/>
                  </w14:solidFill>
                </w14:textFill>
              </w:rPr>
              <w:t>-08</w:t>
            </w:r>
            <w:r>
              <w:rPr>
                <w:rFonts w:hint="eastAsia" w:ascii="Times New Roman" w:hAnsi="Times New Roman" w:cs="Times New Roman"/>
                <w:color w:val="000000" w:themeColor="text1"/>
                <w:sz w:val="24"/>
                <w:szCs w:val="24"/>
                <w:lang w:val="en-US" w:eastAsia="zh-CN"/>
                <w14:textFill>
                  <w14:solidFill>
                    <w14:schemeClr w14:val="tx1"/>
                  </w14:solidFill>
                </w14:textFill>
              </w:rPr>
              <w:t>；废润滑油产生量约为0.01t/a，属于HW08危险废物，</w:t>
            </w:r>
            <w:r>
              <w:rPr>
                <w:rFonts w:hint="default" w:ascii="Times New Roman" w:hAnsi="Times New Roman" w:cs="Times New Roman"/>
                <w:color w:val="000000" w:themeColor="text1"/>
                <w:sz w:val="24"/>
                <w:szCs w:val="24"/>
                <w:lang w:val="en-US" w:eastAsia="zh-CN"/>
                <w14:textFill>
                  <w14:solidFill>
                    <w14:schemeClr w14:val="tx1"/>
                  </w14:solidFill>
                </w14:textFill>
              </w:rPr>
              <w:t>代码为900-</w:t>
            </w:r>
            <w:r>
              <w:rPr>
                <w:rFonts w:hint="eastAsia" w:ascii="Times New Roman" w:hAnsi="Times New Roman" w:cs="Times New Roman"/>
                <w:color w:val="000000" w:themeColor="text1"/>
                <w:sz w:val="24"/>
                <w:szCs w:val="24"/>
                <w:lang w:val="en-US" w:eastAsia="zh-CN"/>
                <w14:textFill>
                  <w14:solidFill>
                    <w14:schemeClr w14:val="tx1"/>
                  </w14:solidFill>
                </w14:textFill>
              </w:rPr>
              <w:t>217</w:t>
            </w:r>
            <w:r>
              <w:rPr>
                <w:rFonts w:hint="default" w:ascii="Times New Roman" w:hAnsi="Times New Roman" w:cs="Times New Roman"/>
                <w:color w:val="000000" w:themeColor="text1"/>
                <w:sz w:val="24"/>
                <w:szCs w:val="24"/>
                <w:lang w:val="en-US" w:eastAsia="zh-CN"/>
                <w14:textFill>
                  <w14:solidFill>
                    <w14:schemeClr w14:val="tx1"/>
                  </w14:solidFill>
                </w14:textFill>
              </w:rPr>
              <w:t>-08</w:t>
            </w:r>
            <w:r>
              <w:rPr>
                <w:rFonts w:hint="eastAsia" w:ascii="Times New Roman" w:hAnsi="Times New Roman" w:cs="Times New Roman"/>
                <w:color w:val="000000" w:themeColor="text1"/>
                <w:sz w:val="24"/>
                <w:szCs w:val="24"/>
                <w:lang w:val="en-US" w:eastAsia="zh-CN"/>
                <w14:textFill>
                  <w14:solidFill>
                    <w14:schemeClr w14:val="tx1"/>
                  </w14:solidFill>
                </w14:textFill>
              </w:rPr>
              <w:t>。</w:t>
            </w:r>
            <w:r>
              <w:rPr>
                <w:rFonts w:hint="default" w:ascii="Times New Roman" w:hAnsi="Times New Roman" w:cs="Times New Roman"/>
                <w:color w:val="000000" w:themeColor="text1"/>
                <w:sz w:val="24"/>
                <w:szCs w:val="24"/>
                <w:lang w:val="en-US" w:eastAsia="zh-CN"/>
                <w14:textFill>
                  <w14:solidFill>
                    <w14:schemeClr w14:val="tx1"/>
                  </w14:solidFill>
                </w14:textFill>
              </w:rPr>
              <w:t>在危废间（</w:t>
            </w:r>
            <w:r>
              <w:rPr>
                <w:rFonts w:hint="eastAsia" w:ascii="Times New Roman" w:hAnsi="Times New Roman" w:cs="Times New Roman"/>
                <w:color w:val="000000" w:themeColor="text1"/>
                <w:sz w:val="24"/>
                <w:szCs w:val="24"/>
                <w:lang w:val="en-US" w:eastAsia="zh-CN"/>
                <w14:textFill>
                  <w14:solidFill>
                    <w14:schemeClr w14:val="tx1"/>
                  </w14:solidFill>
                </w14:textFill>
              </w:rPr>
              <w:t>5</w:t>
            </w:r>
            <w:r>
              <w:rPr>
                <w:rFonts w:hint="default" w:ascii="Times New Roman" w:hAnsi="Times New Roman" w:cs="Times New Roman"/>
                <w:color w:val="000000" w:themeColor="text1"/>
                <w:sz w:val="24"/>
                <w:szCs w:val="24"/>
                <w:lang w:val="en-US" w:eastAsia="zh-CN"/>
                <w14:textFill>
                  <w14:solidFill>
                    <w14:schemeClr w14:val="tx1"/>
                  </w14:solidFill>
                </w14:textFill>
              </w:rPr>
              <w:t>㎡）内暂存，定期交由有资质单位处置。</w:t>
            </w:r>
          </w:p>
          <w:p>
            <w:pPr>
              <w:spacing w:line="240" w:lineRule="auto"/>
              <w:jc w:val="center"/>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t>表</w:t>
            </w: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4-</w:t>
            </w:r>
            <w:r>
              <w:rPr>
                <w:rFonts w:hint="eastAsia" w:cs="Times New Roman"/>
                <w:b/>
                <w:color w:val="000000" w:themeColor="text1"/>
                <w:sz w:val="21"/>
                <w:szCs w:val="21"/>
                <w:highlight w:val="none"/>
                <w:lang w:val="en-US" w:eastAsia="zh-CN"/>
                <w14:textFill>
                  <w14:solidFill>
                    <w14:schemeClr w14:val="tx1"/>
                  </w14:solidFill>
                </w14:textFill>
              </w:rPr>
              <w:t>7</w:t>
            </w: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 xml:space="preserve"> </w:t>
            </w:r>
            <w:r>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t xml:space="preserve"> 建设项目危险废物产生情况一览表</w:t>
            </w:r>
          </w:p>
          <w:tbl>
            <w:tblPr>
              <w:tblStyle w:val="3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4"/>
              <w:gridCol w:w="812"/>
              <w:gridCol w:w="1263"/>
              <w:gridCol w:w="896"/>
              <w:gridCol w:w="811"/>
              <w:gridCol w:w="447"/>
              <w:gridCol w:w="644"/>
              <w:gridCol w:w="661"/>
              <w:gridCol w:w="656"/>
              <w:gridCol w:w="743"/>
              <w:gridCol w:w="8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389"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危险</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废物</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名称</w:t>
                  </w:r>
                </w:p>
              </w:tc>
              <w:tc>
                <w:tcPr>
                  <w:tcW w:w="483"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危险</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废物</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类别</w:t>
                  </w:r>
                </w:p>
              </w:tc>
              <w:tc>
                <w:tcPr>
                  <w:tcW w:w="751"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危险废物代码及行业来源</w:t>
                  </w:r>
                </w:p>
              </w:tc>
              <w:tc>
                <w:tcPr>
                  <w:tcW w:w="533"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产生量</w:t>
                  </w:r>
                </w:p>
              </w:tc>
              <w:tc>
                <w:tcPr>
                  <w:tcW w:w="482"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产生工序及装置</w:t>
                  </w:r>
                </w:p>
              </w:tc>
              <w:tc>
                <w:tcPr>
                  <w:tcW w:w="265"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形</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态</w:t>
                  </w:r>
                </w:p>
              </w:tc>
              <w:tc>
                <w:tcPr>
                  <w:tcW w:w="383"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主要</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成分</w:t>
                  </w:r>
                </w:p>
              </w:tc>
              <w:tc>
                <w:tcPr>
                  <w:tcW w:w="393"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有害</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成分</w:t>
                  </w:r>
                </w:p>
              </w:tc>
              <w:tc>
                <w:tcPr>
                  <w:tcW w:w="390"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产废</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周期</w:t>
                  </w:r>
                </w:p>
              </w:tc>
              <w:tc>
                <w:tcPr>
                  <w:tcW w:w="442"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危险特性*</w:t>
                  </w:r>
                </w:p>
              </w:tc>
              <w:tc>
                <w:tcPr>
                  <w:tcW w:w="485"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污染</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防治</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9" w:hRule="atLeast"/>
              </w:trPr>
              <w:tc>
                <w:tcPr>
                  <w:tcW w:w="389"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废润滑油</w:t>
                  </w:r>
                  <w:r>
                    <w:rPr>
                      <w:rFonts w:hint="eastAsia" w:ascii="Times New Roman" w:hAnsi="Times New Roman" w:eastAsia="宋体" w:cs="Times New Roman"/>
                      <w:color w:val="000000" w:themeColor="text1"/>
                      <w:lang w:val="en-US" w:eastAsia="zh-CN"/>
                      <w14:textFill>
                        <w14:solidFill>
                          <w14:schemeClr w14:val="tx1"/>
                        </w14:solidFill>
                      </w14:textFill>
                    </w:rPr>
                    <w:t>桶</w:t>
                  </w:r>
                </w:p>
              </w:tc>
              <w:tc>
                <w:tcPr>
                  <w:tcW w:w="483"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HW08</w:t>
                  </w:r>
                </w:p>
              </w:tc>
              <w:tc>
                <w:tcPr>
                  <w:tcW w:w="751"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900-249-08</w:t>
                  </w:r>
                </w:p>
              </w:tc>
              <w:tc>
                <w:tcPr>
                  <w:tcW w:w="533"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0.05</w:t>
                  </w:r>
                  <w:r>
                    <w:rPr>
                      <w:rFonts w:hint="eastAsia" w:ascii="Times New Roman" w:hAnsi="Times New Roman" w:eastAsia="宋体" w:cs="Times New Roman"/>
                      <w:color w:val="000000" w:themeColor="text1"/>
                      <w:lang w:val="en-US" w:eastAsia="zh-CN"/>
                      <w14:textFill>
                        <w14:solidFill>
                          <w14:schemeClr w14:val="tx1"/>
                        </w14:solidFill>
                      </w14:textFill>
                    </w:rPr>
                    <w:t>t/a</w:t>
                  </w:r>
                </w:p>
              </w:tc>
              <w:tc>
                <w:tcPr>
                  <w:tcW w:w="482"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 xml:space="preserve"> </w:t>
                  </w:r>
                  <w:r>
                    <w:rPr>
                      <w:rFonts w:hint="eastAsia" w:ascii="Times New Roman" w:hAnsi="Times New Roman" w:eastAsia="宋体" w:cs="Times New Roman"/>
                      <w:color w:val="000000" w:themeColor="text1"/>
                      <w:lang w:val="en-US" w:eastAsia="zh-CN"/>
                      <w14:textFill>
                        <w14:solidFill>
                          <w14:schemeClr w14:val="tx1"/>
                        </w14:solidFill>
                      </w14:textFill>
                    </w:rPr>
                    <w:t>设备润滑</w:t>
                  </w:r>
                </w:p>
              </w:tc>
              <w:tc>
                <w:tcPr>
                  <w:tcW w:w="265"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固态</w:t>
                  </w:r>
                </w:p>
              </w:tc>
              <w:tc>
                <w:tcPr>
                  <w:tcW w:w="383"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矿物油</w:t>
                  </w:r>
                </w:p>
              </w:tc>
              <w:tc>
                <w:tcPr>
                  <w:tcW w:w="393"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w:t>
                  </w:r>
                </w:p>
              </w:tc>
              <w:tc>
                <w:tcPr>
                  <w:tcW w:w="390"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不定期</w:t>
                  </w:r>
                </w:p>
              </w:tc>
              <w:tc>
                <w:tcPr>
                  <w:tcW w:w="442"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T/I</w:t>
                  </w:r>
                </w:p>
              </w:tc>
              <w:tc>
                <w:tcPr>
                  <w:tcW w:w="485"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桶（箱）装、暂存危废间由具有危废资质单位清运处理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9" w:hRule="atLeast"/>
              </w:trPr>
              <w:tc>
                <w:tcPr>
                  <w:tcW w:w="389"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废润滑油</w:t>
                  </w:r>
                </w:p>
              </w:tc>
              <w:tc>
                <w:tcPr>
                  <w:tcW w:w="483"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HE08</w:t>
                  </w:r>
                </w:p>
              </w:tc>
              <w:tc>
                <w:tcPr>
                  <w:tcW w:w="751"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900-217-08</w:t>
                  </w:r>
                </w:p>
              </w:tc>
              <w:tc>
                <w:tcPr>
                  <w:tcW w:w="533"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0.01t/a</w:t>
                  </w:r>
                </w:p>
              </w:tc>
              <w:tc>
                <w:tcPr>
                  <w:tcW w:w="482"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设备润滑</w:t>
                  </w:r>
                </w:p>
              </w:tc>
              <w:tc>
                <w:tcPr>
                  <w:tcW w:w="265"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液态</w:t>
                  </w:r>
                </w:p>
              </w:tc>
              <w:tc>
                <w:tcPr>
                  <w:tcW w:w="383"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矿物油</w:t>
                  </w:r>
                </w:p>
              </w:tc>
              <w:tc>
                <w:tcPr>
                  <w:tcW w:w="393"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w:t>
                  </w:r>
                </w:p>
              </w:tc>
              <w:tc>
                <w:tcPr>
                  <w:tcW w:w="390"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不定期</w:t>
                  </w:r>
                </w:p>
              </w:tc>
              <w:tc>
                <w:tcPr>
                  <w:tcW w:w="442"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485" w:type="pct"/>
                  <w:noWrap w:val="0"/>
                  <w:tcMar>
                    <w:top w:w="0" w:type="dxa"/>
                    <w:left w:w="57" w:type="dxa"/>
                    <w:bottom w:w="0" w:type="dxa"/>
                    <w:right w:w="57"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桶（箱）装、暂存危废间由具有危废资质单位清运处理</w:t>
                  </w:r>
                </w:p>
              </w:tc>
            </w:tr>
          </w:tbl>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1、</w:t>
            </w:r>
            <w:r>
              <w:rPr>
                <w:rFonts w:hint="default" w:ascii="Times New Roman" w:hAnsi="Times New Roman" w:cs="Times New Roman"/>
                <w:color w:val="000000" w:themeColor="text1"/>
                <w:sz w:val="24"/>
                <w:szCs w:val="24"/>
                <w14:textFill>
                  <w14:solidFill>
                    <w14:schemeClr w14:val="tx1"/>
                  </w14:solidFill>
                </w14:textFill>
              </w:rPr>
              <w:t>危险废物贮存场所环境影响分析</w:t>
            </w:r>
          </w:p>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本项目危险废物平均</w:t>
            </w:r>
            <w:r>
              <w:rPr>
                <w:rFonts w:hint="eastAsia" w:ascii="Times New Roman" w:hAnsi="Times New Roman" w:cs="Times New Roman"/>
                <w:color w:val="000000" w:themeColor="text1"/>
                <w:sz w:val="24"/>
                <w:szCs w:val="24"/>
                <w:lang w:val="en-US" w:eastAsia="zh-CN"/>
                <w14:textFill>
                  <w14:solidFill>
                    <w14:schemeClr w14:val="tx1"/>
                  </w14:solidFill>
                </w14:textFill>
              </w:rPr>
              <w:t>1年</w:t>
            </w:r>
            <w:r>
              <w:rPr>
                <w:rFonts w:hint="default" w:ascii="Times New Roman" w:hAnsi="Times New Roman" w:cs="Times New Roman"/>
                <w:color w:val="000000" w:themeColor="text1"/>
                <w:sz w:val="24"/>
                <w:szCs w:val="24"/>
                <w14:textFill>
                  <w14:solidFill>
                    <w14:schemeClr w14:val="tx1"/>
                  </w14:solidFill>
                </w14:textFill>
              </w:rPr>
              <w:t>处置1次，最大存储量约</w:t>
            </w:r>
            <w:r>
              <w:rPr>
                <w:rFonts w:hint="eastAsia" w:ascii="Times New Roman" w:hAnsi="Times New Roman" w:cs="Times New Roman"/>
                <w:color w:val="000000" w:themeColor="text1"/>
                <w:sz w:val="24"/>
                <w:szCs w:val="24"/>
                <w:lang w:val="en-US" w:eastAsia="zh-CN"/>
                <w14:textFill>
                  <w14:solidFill>
                    <w14:schemeClr w14:val="tx1"/>
                  </w14:solidFill>
                </w14:textFill>
              </w:rPr>
              <w:t>0.06t</w:t>
            </w:r>
            <w:r>
              <w:rPr>
                <w:rFonts w:hint="default" w:ascii="Times New Roman" w:hAnsi="Times New Roman" w:cs="Times New Roman"/>
                <w:color w:val="000000" w:themeColor="text1"/>
                <w:sz w:val="24"/>
                <w:szCs w:val="24"/>
                <w14:textFill>
                  <w14:solidFill>
                    <w14:schemeClr w14:val="tx1"/>
                  </w14:solidFill>
                </w14:textFill>
              </w:rPr>
              <w:t>，</w:t>
            </w:r>
            <w:r>
              <w:rPr>
                <w:rFonts w:hint="eastAsia" w:ascii="Times New Roman" w:hAnsi="Times New Roman" w:cs="Times New Roman"/>
                <w:color w:val="000000" w:themeColor="text1"/>
                <w:sz w:val="24"/>
                <w:szCs w:val="24"/>
                <w:lang w:val="en-US" w:eastAsia="zh-CN"/>
                <w14:textFill>
                  <w14:solidFill>
                    <w14:schemeClr w14:val="tx1"/>
                  </w14:solidFill>
                </w14:textFill>
              </w:rPr>
              <w:t>厂区新建5</w:t>
            </w:r>
            <w:r>
              <w:rPr>
                <w:rFonts w:hint="default" w:ascii="Times New Roman" w:hAnsi="Times New Roman" w:cs="Times New Roman"/>
                <w:color w:val="000000" w:themeColor="text1"/>
                <w:sz w:val="24"/>
                <w:szCs w:val="24"/>
                <w:lang w:eastAsia="zh-CN"/>
                <w14:textFill>
                  <w14:solidFill>
                    <w14:schemeClr w14:val="tx1"/>
                  </w14:solidFill>
                </w14:textFill>
              </w:rPr>
              <w:t>㎡</w:t>
            </w:r>
            <w:r>
              <w:rPr>
                <w:rFonts w:hint="default" w:ascii="Times New Roman" w:hAnsi="Times New Roman" w:cs="Times New Roman"/>
                <w:color w:val="000000" w:themeColor="text1"/>
                <w:sz w:val="24"/>
                <w:szCs w:val="24"/>
                <w14:textFill>
                  <w14:solidFill>
                    <w14:schemeClr w14:val="tx1"/>
                  </w14:solidFill>
                </w14:textFill>
              </w:rPr>
              <w:t>危废间1座，可满足暂存要求。同时，危废间地面及裙墙均采取防腐防渗措施，渗透系数小于10</w:t>
            </w:r>
            <w:r>
              <w:rPr>
                <w:rFonts w:hint="default" w:ascii="Times New Roman" w:hAnsi="Times New Roman" w:cs="Times New Roman"/>
                <w:color w:val="000000" w:themeColor="text1"/>
                <w:sz w:val="24"/>
                <w:szCs w:val="24"/>
                <w:vertAlign w:val="superscript"/>
                <w14:textFill>
                  <w14:solidFill>
                    <w14:schemeClr w14:val="tx1"/>
                  </w14:solidFill>
                </w14:textFill>
              </w:rPr>
              <w:t>-10</w:t>
            </w:r>
            <w:r>
              <w:rPr>
                <w:rFonts w:hint="default" w:ascii="Times New Roman" w:hAnsi="Times New Roman" w:cs="Times New Roman"/>
                <w:color w:val="000000" w:themeColor="text1"/>
                <w:sz w:val="24"/>
                <w:szCs w:val="24"/>
                <w14:textFill>
                  <w14:solidFill>
                    <w14:schemeClr w14:val="tx1"/>
                  </w14:solidFill>
                </w14:textFill>
              </w:rPr>
              <w:t>cm/s，危废间内设置事故池及围堰，防止液体废物泄漏时对环境产生影响。</w:t>
            </w:r>
          </w:p>
          <w:p>
            <w:pPr>
              <w:pStyle w:val="15"/>
              <w:adjustRightInd w:val="0"/>
              <w:snapToGrid w:val="0"/>
              <w:spacing w:line="360" w:lineRule="auto"/>
              <w:ind w:firstLine="480" w:firstLineChars="200"/>
              <w:rPr>
                <w:rFonts w:hint="eastAsia" w:ascii="Times New Roman" w:hAnsi="Times New Roman" w:cs="Times New Roman"/>
                <w:color w:val="000000" w:themeColor="text1"/>
                <w:sz w:val="24"/>
                <w:szCs w:val="24"/>
                <w:lang w:eastAsia="zh-CN"/>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危废间</w:t>
            </w:r>
            <w:r>
              <w:rPr>
                <w:rFonts w:hint="eastAsia" w:ascii="Times New Roman" w:hAnsi="Times New Roman" w:cs="Times New Roman"/>
                <w:color w:val="000000" w:themeColor="text1"/>
                <w:sz w:val="24"/>
                <w:szCs w:val="24"/>
                <w:lang w:val="en-US" w:eastAsia="zh-CN"/>
                <w14:textFill>
                  <w14:solidFill>
                    <w14:schemeClr w14:val="tx1"/>
                  </w14:solidFill>
                </w14:textFill>
              </w:rPr>
              <w:t>建设需</w:t>
            </w:r>
            <w:r>
              <w:rPr>
                <w:rFonts w:hint="default" w:ascii="Times New Roman" w:hAnsi="Times New Roman" w:cs="Times New Roman"/>
                <w:color w:val="000000" w:themeColor="text1"/>
                <w:sz w:val="24"/>
                <w:szCs w:val="24"/>
                <w14:textFill>
                  <w14:solidFill>
                    <w14:schemeClr w14:val="tx1"/>
                  </w14:solidFill>
                </w14:textFill>
              </w:rPr>
              <w:t>满足《危险废物贮存污染控制标准》（GB18597-2001，2013年修订）相关要求</w:t>
            </w:r>
            <w:r>
              <w:rPr>
                <w:rFonts w:hint="eastAsia" w:ascii="Times New Roman" w:hAnsi="Times New Roman" w:cs="Times New Roman"/>
                <w:color w:val="000000" w:themeColor="text1"/>
                <w:sz w:val="24"/>
                <w:szCs w:val="24"/>
                <w:lang w:val="en-US" w:eastAsia="zh-CN"/>
                <w14:textFill>
                  <w14:solidFill>
                    <w14:schemeClr w14:val="tx1"/>
                  </w14:solidFill>
                </w14:textFill>
              </w:rPr>
              <w:t>以及</w:t>
            </w:r>
            <w:r>
              <w:rPr>
                <w:rFonts w:hint="default" w:ascii="Times New Roman" w:hAnsi="Times New Roman" w:cs="Times New Roman"/>
                <w:color w:val="000000" w:themeColor="text1"/>
                <w:sz w:val="24"/>
                <w:szCs w:val="24"/>
                <w14:textFill>
                  <w14:solidFill>
                    <w14:schemeClr w14:val="tx1"/>
                  </w14:solidFill>
                </w14:textFill>
              </w:rPr>
              <w:t>《危险废物收集贮存运输技术规范》（HJ2025-2012）相关要求</w:t>
            </w:r>
            <w:r>
              <w:rPr>
                <w:rFonts w:hint="eastAsia" w:ascii="Times New Roman" w:hAnsi="Times New Roman" w:cs="Times New Roman"/>
                <w:color w:val="000000" w:themeColor="text1"/>
                <w:sz w:val="24"/>
                <w:szCs w:val="24"/>
                <w:lang w:eastAsia="zh-CN"/>
                <w14:textFill>
                  <w14:solidFill>
                    <w14:schemeClr w14:val="tx1"/>
                  </w14:solidFill>
                </w14:textFill>
              </w:rPr>
              <w:t>：</w:t>
            </w:r>
          </w:p>
          <w:p>
            <w:pPr>
              <w:pStyle w:val="15"/>
              <w:adjustRightInd w:val="0"/>
              <w:snapToGrid w:val="0"/>
              <w:spacing w:line="360" w:lineRule="auto"/>
              <w:ind w:firstLine="482" w:firstLineChars="200"/>
              <w:rPr>
                <w:rFonts w:hint="default" w:ascii="Times New Roman" w:hAnsi="Times New Roman" w:cs="Times New Roman"/>
                <w:b/>
                <w:bCs/>
                <w:color w:val="000000" w:themeColor="text1"/>
                <w:sz w:val="24"/>
                <w:szCs w:val="24"/>
                <w:lang w:val="en-US" w:eastAsia="zh-CN"/>
                <w14:textFill>
                  <w14:solidFill>
                    <w14:schemeClr w14:val="tx1"/>
                  </w14:solidFill>
                </w14:textFill>
              </w:rPr>
            </w:pPr>
            <w:r>
              <w:rPr>
                <w:rFonts w:hint="eastAsia" w:ascii="Times New Roman" w:hAnsi="Times New Roman" w:cs="Times New Roman"/>
                <w:b/>
                <w:bCs/>
                <w:color w:val="000000" w:themeColor="text1"/>
                <w:sz w:val="24"/>
                <w:szCs w:val="24"/>
                <w:lang w:val="en-US" w:eastAsia="zh-CN"/>
                <w14:textFill>
                  <w14:solidFill>
                    <w14:schemeClr w14:val="tx1"/>
                  </w14:solidFill>
                </w14:textFill>
              </w:rPr>
              <w:t>危废间建设要求</w:t>
            </w:r>
          </w:p>
          <w:p>
            <w:pPr>
              <w:pStyle w:val="15"/>
              <w:numPr>
                <w:ilvl w:val="0"/>
                <w:numId w:val="2"/>
              </w:numPr>
              <w:adjustRightInd w:val="0"/>
              <w:snapToGrid w:val="0"/>
              <w:spacing w:line="360" w:lineRule="auto"/>
              <w:ind w:firstLine="480" w:firstLineChars="200"/>
              <w:rPr>
                <w:rFonts w:hint="eastAsia" w:ascii="Times New Roman" w:hAnsi="Times New Roman" w:cs="Times New Roman"/>
                <w:color w:val="000000" w:themeColor="text1"/>
                <w:sz w:val="24"/>
                <w:szCs w:val="24"/>
                <w:lang w:eastAsia="zh-CN"/>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地面与裙脚要用坚固、防渗的材料建造，建筑材料必须与危险废物相容</w:t>
            </w:r>
            <w:r>
              <w:rPr>
                <w:rFonts w:hint="eastAsia" w:ascii="Times New Roman" w:hAnsi="Times New Roman" w:cs="Times New Roman"/>
                <w:color w:val="000000" w:themeColor="text1"/>
                <w:sz w:val="24"/>
                <w:szCs w:val="24"/>
                <w:lang w:eastAsia="zh-CN"/>
                <w14:textFill>
                  <w14:solidFill>
                    <w14:schemeClr w14:val="tx1"/>
                  </w14:solidFill>
                </w14:textFill>
              </w:rPr>
              <w:t>；</w:t>
            </w:r>
          </w:p>
          <w:p>
            <w:pPr>
              <w:pStyle w:val="15"/>
              <w:numPr>
                <w:ilvl w:val="0"/>
                <w:numId w:val="0"/>
              </w:numPr>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2、</w:t>
            </w:r>
            <w:r>
              <w:rPr>
                <w:rFonts w:hint="default" w:ascii="Times New Roman" w:hAnsi="Times New Roman" w:cs="Times New Roman"/>
                <w:color w:val="000000" w:themeColor="text1"/>
                <w:sz w:val="24"/>
                <w:szCs w:val="24"/>
                <w14:textFill>
                  <w14:solidFill>
                    <w14:schemeClr w14:val="tx1"/>
                  </w14:solidFill>
                </w14:textFill>
              </w:rPr>
              <w:t> 设施内要有安全照明设施和观察窗口。 </w:t>
            </w:r>
          </w:p>
          <w:p>
            <w:pPr>
              <w:pStyle w:val="15"/>
              <w:adjustRightInd w:val="0"/>
              <w:snapToGrid w:val="0"/>
              <w:spacing w:line="360" w:lineRule="auto"/>
              <w:ind w:firstLine="482" w:firstLineChars="200"/>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pPr>
            <w:r>
              <w:rPr>
                <w:rFonts w:hint="default" w:ascii="Times New Roman" w:hAnsi="Times New Roman" w:cs="Times New Roman"/>
                <w:b/>
                <w:bCs/>
                <w:color w:val="000000" w:themeColor="text1"/>
                <w:sz w:val="24"/>
                <w:szCs w:val="24"/>
                <w14:textFill>
                  <w14:solidFill>
                    <w14:schemeClr w14:val="tx1"/>
                  </w14:solidFill>
                </w14:textFill>
              </w:rPr>
              <w:t>危险废物的堆放</w:t>
            </w:r>
            <w:r>
              <w:rPr>
                <w:rFonts w:hint="eastAsia" w:ascii="Times New Roman" w:hAnsi="Times New Roman" w:cs="Times New Roman"/>
                <w:b/>
                <w:bCs/>
                <w:color w:val="000000" w:themeColor="text1"/>
                <w:sz w:val="24"/>
                <w:szCs w:val="24"/>
                <w:lang w:val="en-US" w:eastAsia="zh-CN"/>
                <w14:textFill>
                  <w14:solidFill>
                    <w14:schemeClr w14:val="tx1"/>
                  </w14:solidFill>
                </w14:textFill>
              </w:rPr>
              <w:t>要求</w:t>
            </w:r>
          </w:p>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1、</w:t>
            </w:r>
            <w:r>
              <w:rPr>
                <w:rFonts w:hint="default" w:ascii="Times New Roman" w:hAnsi="Times New Roman" w:cs="Times New Roman"/>
                <w:color w:val="000000" w:themeColor="text1"/>
                <w:sz w:val="24"/>
                <w:szCs w:val="24"/>
                <w14:textFill>
                  <w14:solidFill>
                    <w14:schemeClr w14:val="tx1"/>
                  </w14:solidFill>
                </w14:textFill>
              </w:rPr>
              <w:t>基础必须防渗，防渗层为至少1米厚粘土层（渗透系数≤10</w:t>
            </w:r>
            <w:r>
              <w:rPr>
                <w:rFonts w:hint="default" w:ascii="Times New Roman" w:hAnsi="Times New Roman" w:cs="Times New Roman"/>
                <w:color w:val="000000" w:themeColor="text1"/>
                <w:sz w:val="24"/>
                <w:szCs w:val="24"/>
                <w:vertAlign w:val="superscript"/>
                <w14:textFill>
                  <w14:solidFill>
                    <w14:schemeClr w14:val="tx1"/>
                  </w14:solidFill>
                </w14:textFill>
              </w:rPr>
              <w:t>-7</w:t>
            </w:r>
            <w:r>
              <w:rPr>
                <w:rFonts w:hint="default" w:ascii="Times New Roman" w:hAnsi="Times New Roman" w:cs="Times New Roman"/>
                <w:color w:val="000000" w:themeColor="text1"/>
                <w:sz w:val="24"/>
                <w:szCs w:val="24"/>
                <w14:textFill>
                  <w14:solidFill>
                    <w14:schemeClr w14:val="tx1"/>
                  </w14:solidFill>
                </w14:textFill>
              </w:rPr>
              <w:t>厘米/秒），或2毫米厚高密度聚乙烯，或至少2毫米厚的其它人工材料，渗透系数≤10</w:t>
            </w:r>
            <w:r>
              <w:rPr>
                <w:rFonts w:hint="default" w:ascii="Times New Roman" w:hAnsi="Times New Roman" w:cs="Times New Roman"/>
                <w:color w:val="000000" w:themeColor="text1"/>
                <w:sz w:val="24"/>
                <w:szCs w:val="24"/>
                <w:vertAlign w:val="superscript"/>
                <w14:textFill>
                  <w14:solidFill>
                    <w14:schemeClr w14:val="tx1"/>
                  </w14:solidFill>
                </w14:textFill>
              </w:rPr>
              <w:t>-10</w:t>
            </w:r>
            <w:r>
              <w:rPr>
                <w:rFonts w:hint="default" w:ascii="Times New Roman" w:hAnsi="Times New Roman" w:cs="Times New Roman"/>
                <w:color w:val="000000" w:themeColor="text1"/>
                <w:sz w:val="24"/>
                <w:szCs w:val="24"/>
                <w14:textFill>
                  <w14:solidFill>
                    <w14:schemeClr w14:val="tx1"/>
                  </w14:solidFill>
                </w14:textFill>
              </w:rPr>
              <w:t>厘米/秒</w:t>
            </w:r>
            <w:r>
              <w:rPr>
                <w:rFonts w:hint="eastAsia" w:ascii="Times New Roman" w:hAnsi="Times New Roman" w:cs="Times New Roman"/>
                <w:color w:val="000000" w:themeColor="text1"/>
                <w:sz w:val="24"/>
                <w:szCs w:val="24"/>
                <w:lang w:eastAsia="zh-CN"/>
                <w14:textFill>
                  <w14:solidFill>
                    <w14:schemeClr w14:val="tx1"/>
                  </w14:solidFill>
                </w14:textFill>
              </w:rPr>
              <w:t>；</w:t>
            </w:r>
            <w:r>
              <w:rPr>
                <w:rFonts w:hint="default" w:ascii="Times New Roman" w:hAnsi="Times New Roman" w:cs="Times New Roman"/>
                <w:color w:val="000000" w:themeColor="text1"/>
                <w:sz w:val="24"/>
                <w:szCs w:val="24"/>
                <w14:textFill>
                  <w14:solidFill>
                    <w14:schemeClr w14:val="tx1"/>
                  </w14:solidFill>
                </w14:textFill>
              </w:rPr>
              <w:t> </w:t>
            </w:r>
          </w:p>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2、</w:t>
            </w:r>
            <w:r>
              <w:rPr>
                <w:rFonts w:hint="default" w:ascii="Times New Roman" w:hAnsi="Times New Roman" w:cs="Times New Roman"/>
                <w:color w:val="000000" w:themeColor="text1"/>
                <w:sz w:val="24"/>
                <w:szCs w:val="24"/>
                <w14:textFill>
                  <w14:solidFill>
                    <w14:schemeClr w14:val="tx1"/>
                  </w14:solidFill>
                </w14:textFill>
              </w:rPr>
              <w:t>堆放危险废物的高度应根据地面承载能力确定</w:t>
            </w:r>
            <w:r>
              <w:rPr>
                <w:rFonts w:hint="eastAsia" w:ascii="Times New Roman" w:hAnsi="Times New Roman" w:cs="Times New Roman"/>
                <w:color w:val="000000" w:themeColor="text1"/>
                <w:sz w:val="24"/>
                <w:szCs w:val="24"/>
                <w:lang w:eastAsia="zh-CN"/>
                <w14:textFill>
                  <w14:solidFill>
                    <w14:schemeClr w14:val="tx1"/>
                  </w14:solidFill>
                </w14:textFill>
              </w:rPr>
              <w:t>；</w:t>
            </w:r>
            <w:r>
              <w:rPr>
                <w:rFonts w:hint="default" w:ascii="Times New Roman" w:hAnsi="Times New Roman" w:cs="Times New Roman"/>
                <w:color w:val="000000" w:themeColor="text1"/>
                <w:sz w:val="24"/>
                <w:szCs w:val="24"/>
                <w14:textFill>
                  <w14:solidFill>
                    <w14:schemeClr w14:val="tx1"/>
                  </w14:solidFill>
                </w14:textFill>
              </w:rPr>
              <w:t> </w:t>
            </w:r>
          </w:p>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3、</w:t>
            </w:r>
            <w:r>
              <w:rPr>
                <w:rFonts w:hint="default" w:ascii="Times New Roman" w:hAnsi="Times New Roman" w:cs="Times New Roman"/>
                <w:color w:val="000000" w:themeColor="text1"/>
                <w:sz w:val="24"/>
                <w:szCs w:val="24"/>
                <w14:textFill>
                  <w14:solidFill>
                    <w14:schemeClr w14:val="tx1"/>
                  </w14:solidFill>
                </w14:textFill>
              </w:rPr>
              <w:t>衬里放在一个基础或底座上</w:t>
            </w:r>
            <w:r>
              <w:rPr>
                <w:rFonts w:hint="eastAsia" w:ascii="Times New Roman" w:hAnsi="Times New Roman" w:cs="Times New Roman"/>
                <w:color w:val="000000" w:themeColor="text1"/>
                <w:sz w:val="24"/>
                <w:szCs w:val="24"/>
                <w:lang w:eastAsia="zh-CN"/>
                <w14:textFill>
                  <w14:solidFill>
                    <w14:schemeClr w14:val="tx1"/>
                  </w14:solidFill>
                </w14:textFill>
              </w:rPr>
              <w:t>；</w:t>
            </w:r>
            <w:r>
              <w:rPr>
                <w:rFonts w:hint="default" w:ascii="Times New Roman" w:hAnsi="Times New Roman" w:cs="Times New Roman"/>
                <w:color w:val="000000" w:themeColor="text1"/>
                <w:sz w:val="24"/>
                <w:szCs w:val="24"/>
                <w14:textFill>
                  <w14:solidFill>
                    <w14:schemeClr w14:val="tx1"/>
                  </w14:solidFill>
                </w14:textFill>
              </w:rPr>
              <w:t> </w:t>
            </w:r>
          </w:p>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4、</w:t>
            </w:r>
            <w:r>
              <w:rPr>
                <w:rFonts w:hint="default" w:ascii="Times New Roman" w:hAnsi="Times New Roman" w:cs="Times New Roman"/>
                <w:color w:val="000000" w:themeColor="text1"/>
                <w:sz w:val="24"/>
                <w:szCs w:val="24"/>
                <w14:textFill>
                  <w14:solidFill>
                    <w14:schemeClr w14:val="tx1"/>
                  </w14:solidFill>
                </w14:textFill>
              </w:rPr>
              <w:t>衬里要能够覆盖危险废物或其溶出物可能涉及到的范围</w:t>
            </w:r>
            <w:r>
              <w:rPr>
                <w:rFonts w:hint="eastAsia" w:ascii="Times New Roman" w:hAnsi="Times New Roman" w:cs="Times New Roman"/>
                <w:color w:val="000000" w:themeColor="text1"/>
                <w:sz w:val="24"/>
                <w:szCs w:val="24"/>
                <w:lang w:eastAsia="zh-CN"/>
                <w14:textFill>
                  <w14:solidFill>
                    <w14:schemeClr w14:val="tx1"/>
                  </w14:solidFill>
                </w14:textFill>
              </w:rPr>
              <w:t>；</w:t>
            </w:r>
            <w:r>
              <w:rPr>
                <w:rFonts w:hint="default" w:ascii="Times New Roman" w:hAnsi="Times New Roman" w:cs="Times New Roman"/>
                <w:color w:val="000000" w:themeColor="text1"/>
                <w:sz w:val="24"/>
                <w:szCs w:val="24"/>
                <w14:textFill>
                  <w14:solidFill>
                    <w14:schemeClr w14:val="tx1"/>
                  </w14:solidFill>
                </w14:textFill>
              </w:rPr>
              <w:t> </w:t>
            </w:r>
          </w:p>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5、</w:t>
            </w:r>
            <w:r>
              <w:rPr>
                <w:rFonts w:hint="default" w:ascii="Times New Roman" w:hAnsi="Times New Roman" w:cs="Times New Roman"/>
                <w:color w:val="000000" w:themeColor="text1"/>
                <w:sz w:val="24"/>
                <w:szCs w:val="24"/>
                <w14:textFill>
                  <w14:solidFill>
                    <w14:schemeClr w14:val="tx1"/>
                  </w14:solidFill>
                </w14:textFill>
              </w:rPr>
              <w:t>衬里材料与堆放危险废物相容</w:t>
            </w:r>
            <w:r>
              <w:rPr>
                <w:rFonts w:hint="eastAsia" w:ascii="Times New Roman" w:hAnsi="Times New Roman" w:cs="Times New Roman"/>
                <w:color w:val="000000" w:themeColor="text1"/>
                <w:sz w:val="24"/>
                <w:szCs w:val="24"/>
                <w:lang w:eastAsia="zh-CN"/>
                <w14:textFill>
                  <w14:solidFill>
                    <w14:schemeClr w14:val="tx1"/>
                  </w14:solidFill>
                </w14:textFill>
              </w:rPr>
              <w:t>；</w:t>
            </w:r>
            <w:r>
              <w:rPr>
                <w:rFonts w:hint="default" w:ascii="Times New Roman" w:hAnsi="Times New Roman" w:cs="Times New Roman"/>
                <w:color w:val="000000" w:themeColor="text1"/>
                <w:sz w:val="24"/>
                <w:szCs w:val="24"/>
                <w14:textFill>
                  <w14:solidFill>
                    <w14:schemeClr w14:val="tx1"/>
                  </w14:solidFill>
                </w14:textFill>
              </w:rPr>
              <w:t> </w:t>
            </w:r>
          </w:p>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6、</w:t>
            </w:r>
            <w:r>
              <w:rPr>
                <w:rFonts w:hint="default" w:ascii="Times New Roman" w:hAnsi="Times New Roman" w:cs="Times New Roman"/>
                <w:color w:val="000000" w:themeColor="text1"/>
                <w:sz w:val="24"/>
                <w:szCs w:val="24"/>
                <w14:textFill>
                  <w14:solidFill>
                    <w14:schemeClr w14:val="tx1"/>
                  </w14:solidFill>
                </w14:textFill>
              </w:rPr>
              <w:t>应设计建造径流疏导系统，保证能防止25年一遇的暴雨不会流到危险废物堆里</w:t>
            </w:r>
            <w:r>
              <w:rPr>
                <w:rFonts w:hint="eastAsia" w:ascii="Times New Roman" w:hAnsi="Times New Roman" w:cs="Times New Roman"/>
                <w:color w:val="000000" w:themeColor="text1"/>
                <w:sz w:val="24"/>
                <w:szCs w:val="24"/>
                <w:lang w:eastAsia="zh-CN"/>
                <w14:textFill>
                  <w14:solidFill>
                    <w14:schemeClr w14:val="tx1"/>
                  </w14:solidFill>
                </w14:textFill>
              </w:rPr>
              <w:t>；</w:t>
            </w:r>
            <w:r>
              <w:rPr>
                <w:rFonts w:hint="default" w:ascii="Times New Roman" w:hAnsi="Times New Roman" w:cs="Times New Roman"/>
                <w:color w:val="000000" w:themeColor="text1"/>
                <w:sz w:val="24"/>
                <w:szCs w:val="24"/>
                <w14:textFill>
                  <w14:solidFill>
                    <w14:schemeClr w14:val="tx1"/>
                  </w14:solidFill>
                </w14:textFill>
              </w:rPr>
              <w:t> </w:t>
            </w:r>
          </w:p>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7、</w:t>
            </w:r>
            <w:r>
              <w:rPr>
                <w:rFonts w:hint="default" w:ascii="Times New Roman" w:hAnsi="Times New Roman" w:cs="Times New Roman"/>
                <w:color w:val="000000" w:themeColor="text1"/>
                <w:sz w:val="24"/>
                <w:szCs w:val="24"/>
                <w14:textFill>
                  <w14:solidFill>
                    <w14:schemeClr w14:val="tx1"/>
                  </w14:solidFill>
                </w14:textFill>
              </w:rPr>
              <w:t>危险废物堆要防风、防雨、防晒</w:t>
            </w:r>
            <w:r>
              <w:rPr>
                <w:rFonts w:hint="eastAsia" w:ascii="Times New Roman" w:hAnsi="Times New Roman" w:cs="Times New Roman"/>
                <w:color w:val="000000" w:themeColor="text1"/>
                <w:sz w:val="24"/>
                <w:szCs w:val="24"/>
                <w:lang w:eastAsia="zh-CN"/>
                <w14:textFill>
                  <w14:solidFill>
                    <w14:schemeClr w14:val="tx1"/>
                  </w14:solidFill>
                </w14:textFill>
              </w:rPr>
              <w:t>；</w:t>
            </w:r>
            <w:r>
              <w:rPr>
                <w:rFonts w:hint="default" w:ascii="Times New Roman" w:hAnsi="Times New Roman" w:cs="Times New Roman"/>
                <w:color w:val="000000" w:themeColor="text1"/>
                <w:sz w:val="24"/>
                <w:szCs w:val="24"/>
                <w14:textFill>
                  <w14:solidFill>
                    <w14:schemeClr w14:val="tx1"/>
                  </w14:solidFill>
                </w14:textFill>
              </w:rPr>
              <w:t> </w:t>
            </w:r>
          </w:p>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8、</w:t>
            </w:r>
            <w:r>
              <w:rPr>
                <w:rFonts w:hint="default" w:ascii="Times New Roman" w:hAnsi="Times New Roman" w:cs="Times New Roman"/>
                <w:color w:val="000000" w:themeColor="text1"/>
                <w:sz w:val="24"/>
                <w:szCs w:val="24"/>
                <w14:textFill>
                  <w14:solidFill>
                    <w14:schemeClr w14:val="tx1"/>
                  </w14:solidFill>
                </w14:textFill>
              </w:rPr>
              <w:t>产生量大的危险废物可以散装方式堆放贮存在按上述要求设计的废物堆里</w:t>
            </w:r>
            <w:r>
              <w:rPr>
                <w:rFonts w:hint="eastAsia" w:ascii="Times New Roman" w:hAnsi="Times New Roman" w:cs="Times New Roman"/>
                <w:color w:val="000000" w:themeColor="text1"/>
                <w:sz w:val="24"/>
                <w:szCs w:val="24"/>
                <w:lang w:eastAsia="zh-CN"/>
                <w14:textFill>
                  <w14:solidFill>
                    <w14:schemeClr w14:val="tx1"/>
                  </w14:solidFill>
                </w14:textFill>
              </w:rPr>
              <w:t>；</w:t>
            </w:r>
            <w:r>
              <w:rPr>
                <w:rFonts w:hint="default" w:ascii="Times New Roman" w:hAnsi="Times New Roman" w:cs="Times New Roman"/>
                <w:color w:val="000000" w:themeColor="text1"/>
                <w:sz w:val="24"/>
                <w:szCs w:val="24"/>
                <w14:textFill>
                  <w14:solidFill>
                    <w14:schemeClr w14:val="tx1"/>
                  </w14:solidFill>
                </w14:textFill>
              </w:rPr>
              <w:t> </w:t>
            </w:r>
          </w:p>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9、</w:t>
            </w:r>
            <w:r>
              <w:rPr>
                <w:rFonts w:hint="default" w:ascii="Times New Roman" w:hAnsi="Times New Roman" w:cs="Times New Roman"/>
                <w:color w:val="000000" w:themeColor="text1"/>
                <w:sz w:val="24"/>
                <w:szCs w:val="24"/>
                <w14:textFill>
                  <w14:solidFill>
                    <w14:schemeClr w14:val="tx1"/>
                  </w14:solidFill>
                </w14:textFill>
              </w:rPr>
              <w:t>不相容的危险废物不能堆放在一起</w:t>
            </w:r>
            <w:r>
              <w:rPr>
                <w:rFonts w:hint="eastAsia" w:ascii="Times New Roman" w:hAnsi="Times New Roman" w:cs="Times New Roman"/>
                <w:color w:val="000000" w:themeColor="text1"/>
                <w:sz w:val="24"/>
                <w:szCs w:val="24"/>
                <w:lang w:eastAsia="zh-CN"/>
                <w14:textFill>
                  <w14:solidFill>
                    <w14:schemeClr w14:val="tx1"/>
                  </w14:solidFill>
                </w14:textFill>
              </w:rPr>
              <w:t>；</w:t>
            </w:r>
            <w:r>
              <w:rPr>
                <w:rFonts w:hint="default" w:ascii="Times New Roman" w:hAnsi="Times New Roman" w:cs="Times New Roman"/>
                <w:color w:val="000000" w:themeColor="text1"/>
                <w:sz w:val="24"/>
                <w:szCs w:val="24"/>
                <w14:textFill>
                  <w14:solidFill>
                    <w14:schemeClr w14:val="tx1"/>
                  </w14:solidFill>
                </w14:textFill>
              </w:rPr>
              <w:t> </w:t>
            </w:r>
          </w:p>
          <w:p>
            <w:pPr>
              <w:pStyle w:val="15"/>
              <w:adjustRightInd w:val="0"/>
              <w:snapToGrid w:val="0"/>
              <w:spacing w:line="360" w:lineRule="auto"/>
              <w:ind w:firstLine="480" w:firstLineChars="200"/>
              <w:rPr>
                <w:rFonts w:hint="eastAsia" w:ascii="Times New Roman" w:hAnsi="Times New Roman" w:cs="Times New Roman"/>
                <w:color w:val="000000" w:themeColor="text1"/>
                <w:sz w:val="24"/>
                <w:szCs w:val="24"/>
                <w:lang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10、</w:t>
            </w:r>
            <w:r>
              <w:rPr>
                <w:rFonts w:hint="default" w:ascii="Times New Roman" w:hAnsi="Times New Roman" w:cs="Times New Roman"/>
                <w:color w:val="000000" w:themeColor="text1"/>
                <w:sz w:val="24"/>
                <w:szCs w:val="24"/>
                <w14:textFill>
                  <w14:solidFill>
                    <w14:schemeClr w14:val="tx1"/>
                  </w14:solidFill>
                </w14:textFill>
              </w:rPr>
              <w:t>总贮存量不超过300Kg(L)的危险废物要放入符合标准的容器内，加上标签，容器放入坚固的柜或箱中，柜或箱应设多个直径不少于30毫米的排气孔。不相容危险废物要分别存放或存放在不渗透间隔分开的区域内，每个部分都应有防漏裙脚或储漏盘，防漏裙脚或储漏盘的材料要与危险废物相容</w:t>
            </w:r>
            <w:r>
              <w:rPr>
                <w:rFonts w:hint="eastAsia" w:ascii="Times New Roman" w:hAnsi="Times New Roman" w:cs="Times New Roman"/>
                <w:color w:val="000000" w:themeColor="text1"/>
                <w:sz w:val="24"/>
                <w:szCs w:val="24"/>
                <w:lang w:eastAsia="zh-CN"/>
                <w14:textFill>
                  <w14:solidFill>
                    <w14:schemeClr w14:val="tx1"/>
                  </w14:solidFill>
                </w14:textFill>
              </w:rPr>
              <w:t>。</w:t>
            </w:r>
          </w:p>
          <w:p>
            <w:pPr>
              <w:pStyle w:val="15"/>
              <w:adjustRightInd w:val="0"/>
              <w:snapToGrid w:val="0"/>
              <w:spacing w:line="360" w:lineRule="auto"/>
              <w:ind w:firstLine="482" w:firstLineChars="200"/>
              <w:rPr>
                <w:rFonts w:hint="eastAsia" w:ascii="Times New Roman" w:hAnsi="Times New Roman" w:cs="Times New Roman"/>
                <w:b/>
                <w:bCs/>
                <w:color w:val="000000" w:themeColor="text1"/>
                <w:sz w:val="24"/>
                <w:szCs w:val="24"/>
                <w:lang w:val="en-US" w:eastAsia="zh-CN"/>
                <w14:textFill>
                  <w14:solidFill>
                    <w14:schemeClr w14:val="tx1"/>
                  </w14:solidFill>
                </w14:textFill>
              </w:rPr>
            </w:pPr>
            <w:r>
              <w:rPr>
                <w:rFonts w:hint="eastAsia" w:ascii="Times New Roman" w:hAnsi="Times New Roman" w:cs="Times New Roman"/>
                <w:b/>
                <w:bCs/>
                <w:color w:val="000000" w:themeColor="text1"/>
                <w:sz w:val="24"/>
                <w:szCs w:val="24"/>
                <w:lang w:val="en-US" w:eastAsia="zh-CN"/>
                <w14:textFill>
                  <w14:solidFill>
                    <w14:schemeClr w14:val="tx1"/>
                  </w14:solidFill>
                </w14:textFill>
              </w:rPr>
              <w:t>危险废物台账要求</w:t>
            </w:r>
          </w:p>
          <w:p>
            <w:pPr>
              <w:pStyle w:val="15"/>
              <w:numPr>
                <w:ilvl w:val="0"/>
                <w:numId w:val="3"/>
              </w:numPr>
              <w:adjustRightInd w:val="0"/>
              <w:snapToGrid w:val="0"/>
              <w:spacing w:line="360" w:lineRule="auto"/>
              <w:ind w:firstLine="480" w:firstLineChars="200"/>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 xml:space="preserve">产生危险废物的单位应建立危险废物管理台账，落实危险废物管理台账记录的责任人，明确工作职责，并对危险废物管理台账的真实性、准确性和完整性负法律责任。 </w:t>
            </w:r>
          </w:p>
          <w:p>
            <w:pPr>
              <w:pStyle w:val="15"/>
              <w:numPr>
                <w:ilvl w:val="0"/>
                <w:numId w:val="3"/>
              </w:numPr>
              <w:adjustRightInd w:val="0"/>
              <w:snapToGrid w:val="0"/>
              <w:spacing w:line="360" w:lineRule="auto"/>
              <w:ind w:left="0" w:leftChars="0" w:firstLine="480" w:firstLineChars="200"/>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产生危险废物的单位应根据危险废物产生、贮存、利用、处置等环节的动态流向，如实建立各环节的危险废物管理台账。</w:t>
            </w:r>
          </w:p>
          <w:p>
            <w:pPr>
              <w:pStyle w:val="15"/>
              <w:numPr>
                <w:ilvl w:val="0"/>
                <w:numId w:val="0"/>
              </w:numPr>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3、</w:t>
            </w:r>
            <w:r>
              <w:rPr>
                <w:rFonts w:ascii="宋体" w:hAnsi="宋体" w:eastAsia="宋体" w:cs="宋体"/>
                <w:color w:val="000000" w:themeColor="text1"/>
                <w:sz w:val="24"/>
                <w:szCs w:val="24"/>
                <w14:textFill>
                  <w14:solidFill>
                    <w14:schemeClr w14:val="tx1"/>
                  </w14:solidFill>
                </w14:textFill>
              </w:rPr>
              <w:t>危险废物管理台账分为电子管理台账和纸质管理台账两种形式。产生危险废物的单位可通过国家危险废物信息管理系统、企业自建信息管理系统或第三方平台等方式记录电子管理台账</w:t>
            </w:r>
            <w:r>
              <w:rPr>
                <w:rFonts w:hint="default" w:ascii="Times New Roman" w:hAnsi="Times New Roman" w:cs="Times New Roman"/>
                <w:color w:val="000000" w:themeColor="text1"/>
                <w:sz w:val="24"/>
                <w:szCs w:val="24"/>
                <w14:textFill>
                  <w14:solidFill>
                    <w14:schemeClr w14:val="tx1"/>
                  </w14:solidFill>
                </w14:textFill>
              </w:rPr>
              <w:t>。</w:t>
            </w:r>
          </w:p>
          <w:p>
            <w:pPr>
              <w:pStyle w:val="15"/>
              <w:adjustRightInd w:val="0"/>
              <w:snapToGrid w:val="0"/>
              <w:spacing w:line="360" w:lineRule="auto"/>
              <w:ind w:firstLine="482" w:firstLineChars="200"/>
              <w:rPr>
                <w:rFonts w:hint="default" w:ascii="Times New Roman" w:hAnsi="Times New Roman" w:cs="Times New Roman"/>
                <w:b/>
                <w:bCs/>
                <w:color w:val="000000" w:themeColor="text1"/>
                <w:sz w:val="24"/>
                <w:szCs w:val="24"/>
                <w:lang w:val="en-US" w:eastAsia="zh-CN"/>
                <w14:textFill>
                  <w14:solidFill>
                    <w14:schemeClr w14:val="tx1"/>
                  </w14:solidFill>
                </w14:textFill>
              </w:rPr>
            </w:pPr>
            <w:r>
              <w:rPr>
                <w:rFonts w:hint="default" w:ascii="Times New Roman" w:hAnsi="Times New Roman" w:cs="Times New Roman"/>
                <w:b/>
                <w:bCs/>
                <w:color w:val="000000" w:themeColor="text1"/>
                <w:sz w:val="24"/>
                <w:szCs w:val="24"/>
                <w:lang w:val="en-US" w:eastAsia="zh-CN"/>
                <w14:textFill>
                  <w14:solidFill>
                    <w14:schemeClr w14:val="tx1"/>
                  </w14:solidFill>
                </w14:textFill>
              </w:rPr>
              <w:t>运输过程环境影响分析</w:t>
            </w:r>
          </w:p>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危险废物从设备产生后，直接装入专业容器内，密封后运至危险废物贮存库内暂存。要求危险废物由产生点至贮存库的运输过程，应严格按照《危险废物收集贮存运输技术规范》的要求进行。</w:t>
            </w:r>
            <w:r>
              <w:rPr>
                <w:rFonts w:hint="eastAsia" w:ascii="Times New Roman" w:hAnsi="Times New Roman" w:cs="Times New Roman"/>
                <w:color w:val="000000" w:themeColor="text1"/>
                <w:sz w:val="24"/>
                <w:szCs w:val="24"/>
                <w:lang w:val="en-US" w:eastAsia="zh-CN"/>
                <w14:textFill>
                  <w14:solidFill>
                    <w14:schemeClr w14:val="tx1"/>
                  </w14:solidFill>
                </w14:textFill>
              </w:rPr>
              <w:t>危废间</w:t>
            </w:r>
            <w:r>
              <w:rPr>
                <w:rFonts w:hint="default" w:ascii="Times New Roman" w:hAnsi="Times New Roman" w:cs="Times New Roman"/>
                <w:color w:val="000000" w:themeColor="text1"/>
                <w:sz w:val="24"/>
                <w:szCs w:val="24"/>
                <w14:textFill>
                  <w14:solidFill>
                    <w14:schemeClr w14:val="tx1"/>
                  </w14:solidFill>
                </w14:textFill>
              </w:rPr>
              <w:t>位于厂区内，危险废物产生点距离</w:t>
            </w:r>
            <w:r>
              <w:rPr>
                <w:rFonts w:hint="eastAsia" w:ascii="Times New Roman" w:hAnsi="Times New Roman" w:cs="Times New Roman"/>
                <w:color w:val="000000" w:themeColor="text1"/>
                <w:sz w:val="24"/>
                <w:szCs w:val="24"/>
                <w:lang w:val="en-US" w:eastAsia="zh-CN"/>
                <w14:textFill>
                  <w14:solidFill>
                    <w14:schemeClr w14:val="tx1"/>
                  </w14:solidFill>
                </w14:textFill>
              </w:rPr>
              <w:t>危废间</w:t>
            </w:r>
            <w:r>
              <w:rPr>
                <w:rFonts w:hint="default" w:ascii="Times New Roman" w:hAnsi="Times New Roman" w:cs="Times New Roman"/>
                <w:color w:val="000000" w:themeColor="text1"/>
                <w:sz w:val="24"/>
                <w:szCs w:val="24"/>
                <w14:textFill>
                  <w14:solidFill>
                    <w14:schemeClr w14:val="tx1"/>
                  </w14:solidFill>
                </w14:textFill>
              </w:rPr>
              <w:t>的最远距离不</w:t>
            </w:r>
            <w:r>
              <w:rPr>
                <w:rFonts w:hint="eastAsia" w:ascii="Times New Roman" w:hAnsi="Times New Roman" w:cs="Times New Roman"/>
                <w:color w:val="000000" w:themeColor="text1"/>
                <w:sz w:val="24"/>
                <w:szCs w:val="24"/>
                <w:lang w:val="en-US" w:eastAsia="zh-CN"/>
                <w14:textFill>
                  <w14:solidFill>
                    <w14:schemeClr w14:val="tx1"/>
                  </w14:solidFill>
                </w14:textFill>
              </w:rPr>
              <w:t>建议</w:t>
            </w:r>
            <w:r>
              <w:rPr>
                <w:rFonts w:hint="default" w:ascii="Times New Roman" w:hAnsi="Times New Roman" w:cs="Times New Roman"/>
                <w:color w:val="000000" w:themeColor="text1"/>
                <w:sz w:val="24"/>
                <w:szCs w:val="24"/>
                <w14:textFill>
                  <w14:solidFill>
                    <w14:schemeClr w14:val="tx1"/>
                  </w14:solidFill>
                </w14:textFill>
              </w:rPr>
              <w:t>超过100m左右。由于装有危险废物的容器保持密封，由专用车辆运输，危险废物产生点距离</w:t>
            </w:r>
            <w:r>
              <w:rPr>
                <w:rFonts w:hint="eastAsia" w:ascii="Times New Roman" w:hAnsi="Times New Roman" w:cs="Times New Roman"/>
                <w:color w:val="000000" w:themeColor="text1"/>
                <w:sz w:val="24"/>
                <w:szCs w:val="24"/>
                <w:lang w:val="en-US" w:eastAsia="zh-CN"/>
                <w14:textFill>
                  <w14:solidFill>
                    <w14:schemeClr w14:val="tx1"/>
                  </w14:solidFill>
                </w14:textFill>
              </w:rPr>
              <w:t>危废间</w:t>
            </w:r>
            <w:r>
              <w:rPr>
                <w:rFonts w:hint="default" w:ascii="Times New Roman" w:hAnsi="Times New Roman" w:cs="Times New Roman"/>
                <w:color w:val="000000" w:themeColor="text1"/>
                <w:sz w:val="24"/>
                <w:szCs w:val="24"/>
                <w14:textFill>
                  <w14:solidFill>
                    <w14:schemeClr w14:val="tx1"/>
                  </w14:solidFill>
                </w14:textFill>
              </w:rPr>
              <w:t>较近，危险废物从产生点至贮存库的运输过程不会对周边环境造成不利影响。</w:t>
            </w:r>
          </w:p>
          <w:p>
            <w:pPr>
              <w:pStyle w:val="15"/>
              <w:adjustRightInd w:val="0"/>
              <w:snapToGrid w:val="0"/>
              <w:spacing w:line="360" w:lineRule="auto"/>
              <w:ind w:firstLine="482" w:firstLineChars="200"/>
              <w:rPr>
                <w:rFonts w:hint="default" w:ascii="Times New Roman" w:hAnsi="Times New Roman" w:cs="Times New Roman"/>
                <w:b/>
                <w:bCs/>
                <w:color w:val="000000" w:themeColor="text1"/>
                <w:sz w:val="24"/>
                <w:szCs w:val="24"/>
                <w:lang w:val="en-US" w:eastAsia="zh-CN"/>
                <w14:textFill>
                  <w14:solidFill>
                    <w14:schemeClr w14:val="tx1"/>
                  </w14:solidFill>
                </w14:textFill>
              </w:rPr>
            </w:pPr>
            <w:r>
              <w:rPr>
                <w:rFonts w:hint="default" w:ascii="Times New Roman" w:hAnsi="Times New Roman" w:cs="Times New Roman"/>
                <w:b/>
                <w:bCs/>
                <w:color w:val="000000" w:themeColor="text1"/>
                <w:sz w:val="24"/>
                <w:szCs w:val="24"/>
                <w:lang w:val="en-US" w:eastAsia="zh-CN"/>
                <w14:textFill>
                  <w14:solidFill>
                    <w14:schemeClr w14:val="tx1"/>
                  </w14:solidFill>
                </w14:textFill>
              </w:rPr>
              <w:t>委托处理的环境影响分析</w:t>
            </w:r>
          </w:p>
          <w:p>
            <w:pPr>
              <w:pStyle w:val="15"/>
              <w:adjustRightInd w:val="0"/>
              <w:snapToGrid w:val="0"/>
              <w:spacing w:line="360" w:lineRule="auto"/>
              <w:ind w:firstLine="480" w:firstLineChars="200"/>
              <w:rPr>
                <w:rFonts w:hint="default" w:ascii="Times New Roman" w:hAnsi="Times New Roman" w:cs="Times New Roman"/>
                <w:color w:val="000000" w:themeColor="text1"/>
                <w:sz w:val="24"/>
                <w:szCs w:val="24"/>
                <w14:textFill>
                  <w14:solidFill>
                    <w14:schemeClr w14:val="tx1"/>
                  </w14:solidFill>
                </w14:textFill>
              </w:rPr>
            </w:pPr>
            <w:r>
              <w:rPr>
                <w:rFonts w:hint="default" w:ascii="Times New Roman" w:hAnsi="Times New Roman" w:cs="Times New Roman"/>
                <w:color w:val="000000" w:themeColor="text1"/>
                <w:sz w:val="24"/>
                <w:szCs w:val="24"/>
                <w14:textFill>
                  <w14:solidFill>
                    <w14:schemeClr w14:val="tx1"/>
                  </w14:solidFill>
                </w14:textFill>
              </w:rPr>
              <w:t>危险废物种类包括废矿物油类及废油桶类危险废物，本项目产生的危险废物在危废间暂存后一同由有资质单位进行处理。</w:t>
            </w:r>
          </w:p>
          <w:p>
            <w:pPr>
              <w:pStyle w:val="15"/>
              <w:adjustRightInd w:val="0"/>
              <w:snapToGrid w:val="0"/>
              <w:spacing w:line="360" w:lineRule="auto"/>
              <w:ind w:firstLine="482" w:firstLineChars="200"/>
              <w:rPr>
                <w:rFonts w:hint="eastAsia" w:ascii="Times New Roman" w:hAnsi="Times New Roman" w:cs="Times New Roman"/>
                <w:b/>
                <w:bCs/>
                <w:color w:val="000000" w:themeColor="text1"/>
                <w:sz w:val="24"/>
                <w:szCs w:val="24"/>
                <w:lang w:val="en-US" w:eastAsia="zh-CN"/>
                <w14:textFill>
                  <w14:solidFill>
                    <w14:schemeClr w14:val="tx1"/>
                  </w14:solidFill>
                </w14:textFill>
              </w:rPr>
            </w:pPr>
            <w:r>
              <w:rPr>
                <w:rFonts w:hint="eastAsia" w:ascii="Times New Roman" w:hAnsi="Times New Roman" w:cs="Times New Roman"/>
                <w:b/>
                <w:bCs/>
                <w:color w:val="000000" w:themeColor="text1"/>
                <w:sz w:val="24"/>
                <w:szCs w:val="24"/>
                <w:lang w:val="en-US" w:eastAsia="zh-CN"/>
                <w14:textFill>
                  <w14:solidFill>
                    <w14:schemeClr w14:val="tx1"/>
                  </w14:solidFill>
                </w14:textFill>
              </w:rPr>
              <w:t>4.3选址可行性分析</w:t>
            </w:r>
          </w:p>
          <w:p>
            <w:pPr>
              <w:spacing w:line="240" w:lineRule="auto"/>
              <w:jc w:val="center"/>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pPr>
          </w:p>
          <w:p>
            <w:pPr>
              <w:spacing w:line="240" w:lineRule="auto"/>
              <w:jc w:val="center"/>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t>表</w:t>
            </w:r>
            <w:r>
              <w:rPr>
                <w:rFonts w:hint="eastAsia" w:ascii="Times New Roman" w:hAnsi="Times New Roman" w:eastAsia="宋体" w:cs="Times New Roman"/>
                <w:b/>
                <w:color w:val="000000" w:themeColor="text1"/>
                <w:sz w:val="21"/>
                <w:szCs w:val="21"/>
                <w:highlight w:val="none"/>
                <w:lang w:val="en-US" w:eastAsia="zh-CN"/>
                <w14:textFill>
                  <w14:solidFill>
                    <w14:schemeClr w14:val="tx1"/>
                  </w14:solidFill>
                </w14:textFill>
              </w:rPr>
              <w:t>4-</w:t>
            </w:r>
            <w:r>
              <w:rPr>
                <w:rFonts w:hint="eastAsia" w:cs="Times New Roman"/>
                <w:b/>
                <w:color w:val="000000" w:themeColor="text1"/>
                <w:sz w:val="21"/>
                <w:szCs w:val="21"/>
                <w:highlight w:val="none"/>
                <w:lang w:val="en-US" w:eastAsia="zh-CN"/>
                <w14:textFill>
                  <w14:solidFill>
                    <w14:schemeClr w14:val="tx1"/>
                  </w14:solidFill>
                </w14:textFill>
              </w:rPr>
              <w:t xml:space="preserve">8 </w:t>
            </w:r>
            <w:r>
              <w:rPr>
                <w:rFonts w:hint="default" w:ascii="Times New Roman" w:hAnsi="Times New Roman" w:eastAsia="宋体" w:cs="Times New Roman"/>
                <w:b/>
                <w:color w:val="000000" w:themeColor="text1"/>
                <w:sz w:val="21"/>
                <w:szCs w:val="21"/>
                <w:highlight w:val="none"/>
                <w:lang w:val="en-US" w:eastAsia="zh-CN"/>
                <w14:textFill>
                  <w14:solidFill>
                    <w14:schemeClr w14:val="tx1"/>
                  </w14:solidFill>
                </w14:textFill>
              </w:rPr>
              <w:t xml:space="preserve"> 危险废物贮存情况表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
              <w:gridCol w:w="1051"/>
              <w:gridCol w:w="903"/>
              <w:gridCol w:w="937"/>
              <w:gridCol w:w="1290"/>
              <w:gridCol w:w="659"/>
              <w:gridCol w:w="738"/>
              <w:gridCol w:w="787"/>
              <w:gridCol w:w="913"/>
              <w:gridCol w:w="6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8"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序号</w:t>
                  </w:r>
                </w:p>
              </w:tc>
              <w:tc>
                <w:tcPr>
                  <w:tcW w:w="625"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贮存场所（设施）</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名称</w:t>
                  </w:r>
                </w:p>
              </w:tc>
              <w:tc>
                <w:tcPr>
                  <w:tcW w:w="537"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危险废物名称</w:t>
                  </w:r>
                </w:p>
              </w:tc>
              <w:tc>
                <w:tcPr>
                  <w:tcW w:w="557"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危险废物类别</w:t>
                  </w:r>
                </w:p>
              </w:tc>
              <w:tc>
                <w:tcPr>
                  <w:tcW w:w="767"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危险废物代码</w:t>
                  </w:r>
                </w:p>
              </w:tc>
              <w:tc>
                <w:tcPr>
                  <w:tcW w:w="392"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位置</w:t>
                  </w:r>
                </w:p>
              </w:tc>
              <w:tc>
                <w:tcPr>
                  <w:tcW w:w="439"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占地面积</w:t>
                  </w:r>
                </w:p>
              </w:tc>
              <w:tc>
                <w:tcPr>
                  <w:tcW w:w="468"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贮存方式</w:t>
                  </w:r>
                </w:p>
              </w:tc>
              <w:tc>
                <w:tcPr>
                  <w:tcW w:w="543"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贮存</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能力</w:t>
                  </w:r>
                </w:p>
              </w:tc>
              <w:tc>
                <w:tcPr>
                  <w:tcW w:w="401"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贮存</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8"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1</w:t>
                  </w:r>
                </w:p>
              </w:tc>
              <w:tc>
                <w:tcPr>
                  <w:tcW w:w="625" w:type="pct"/>
                  <w:vMerge w:val="restar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危废</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暂存间</w:t>
                  </w:r>
                </w:p>
              </w:tc>
              <w:tc>
                <w:tcPr>
                  <w:tcW w:w="537"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废润滑油桶</w:t>
                  </w:r>
                </w:p>
              </w:tc>
              <w:tc>
                <w:tcPr>
                  <w:tcW w:w="557"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HW</w:t>
                  </w:r>
                  <w:r>
                    <w:rPr>
                      <w:rFonts w:hint="eastAsia" w:ascii="Times New Roman" w:hAnsi="Times New Roman" w:eastAsia="宋体" w:cs="Times New Roman"/>
                      <w:color w:val="000000" w:themeColor="text1"/>
                      <w:lang w:val="en-US" w:eastAsia="zh-CN"/>
                      <w14:textFill>
                        <w14:solidFill>
                          <w14:schemeClr w14:val="tx1"/>
                        </w14:solidFill>
                      </w14:textFill>
                    </w:rPr>
                    <w:t>08</w:t>
                  </w:r>
                </w:p>
              </w:tc>
              <w:tc>
                <w:tcPr>
                  <w:tcW w:w="767"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900-249-08</w:t>
                  </w:r>
                </w:p>
              </w:tc>
              <w:tc>
                <w:tcPr>
                  <w:tcW w:w="392" w:type="pct"/>
                  <w:vMerge w:val="restar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炉渣车间</w:t>
                  </w:r>
                </w:p>
              </w:tc>
              <w:tc>
                <w:tcPr>
                  <w:tcW w:w="439" w:type="pct"/>
                  <w:vMerge w:val="restar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5</w:t>
                  </w:r>
                  <w:r>
                    <w:rPr>
                      <w:rFonts w:hint="default" w:ascii="Times New Roman" w:hAnsi="Times New Roman" w:eastAsia="宋体" w:cs="Times New Roman"/>
                      <w:color w:val="000000" w:themeColor="text1"/>
                      <w:lang w:val="en-US" w:eastAsia="zh-CN"/>
                      <w14:textFill>
                        <w14:solidFill>
                          <w14:schemeClr w14:val="tx1"/>
                        </w14:solidFill>
                      </w14:textFill>
                    </w:rPr>
                    <w:t>㎡</w:t>
                  </w:r>
                </w:p>
              </w:tc>
              <w:tc>
                <w:tcPr>
                  <w:tcW w:w="468"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w:t>
                  </w:r>
                </w:p>
              </w:tc>
              <w:tc>
                <w:tcPr>
                  <w:tcW w:w="543" w:type="pct"/>
                  <w:vMerge w:val="restar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2t</w:t>
                  </w:r>
                </w:p>
              </w:tc>
              <w:tc>
                <w:tcPr>
                  <w:tcW w:w="401" w:type="pct"/>
                  <w:vMerge w:val="restar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1</w:t>
                  </w:r>
                  <w:r>
                    <w:rPr>
                      <w:rFonts w:hint="default" w:ascii="Times New Roman" w:hAnsi="Times New Roman" w:eastAsia="宋体" w:cs="Times New Roman"/>
                      <w:color w:val="000000" w:themeColor="text1"/>
                      <w:lang w:val="en-US" w:eastAsia="zh-CN"/>
                      <w14:textFill>
                        <w14:solidFill>
                          <w14:schemeClr w14:val="tx1"/>
                        </w14:solidFill>
                      </w14:textFill>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8"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2</w:t>
                  </w:r>
                </w:p>
              </w:tc>
              <w:tc>
                <w:tcPr>
                  <w:tcW w:w="625" w:type="pct"/>
                  <w:vMerge w:val="continue"/>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537"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废润滑油</w:t>
                  </w:r>
                </w:p>
              </w:tc>
              <w:tc>
                <w:tcPr>
                  <w:tcW w:w="557" w:type="pc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HW</w:t>
                  </w:r>
                  <w:r>
                    <w:rPr>
                      <w:rFonts w:hint="eastAsia" w:ascii="Times New Roman" w:hAnsi="Times New Roman" w:eastAsia="宋体" w:cs="Times New Roman"/>
                      <w:color w:val="000000" w:themeColor="text1"/>
                      <w:lang w:val="en-US" w:eastAsia="zh-CN"/>
                      <w14:textFill>
                        <w14:solidFill>
                          <w14:schemeClr w14:val="tx1"/>
                        </w14:solidFill>
                      </w14:textFill>
                    </w:rPr>
                    <w:t>08</w:t>
                  </w:r>
                </w:p>
              </w:tc>
              <w:tc>
                <w:tcPr>
                  <w:tcW w:w="767" w:type="pct"/>
                  <w:noWrap w:val="0"/>
                  <w:vAlign w:val="center"/>
                </w:tcPr>
                <w:p>
                  <w:pPr>
                    <w:pStyle w:val="57"/>
                    <w:spacing w:line="240" w:lineRule="auto"/>
                    <w:ind w:firstLine="0" w:firstLineChars="0"/>
                    <w:jc w:val="center"/>
                    <w:rPr>
                      <w:rFonts w:hint="eastAsia"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ascii="Times New Roman" w:hAnsi="Times New Roman" w:eastAsia="宋体" w:cs="Times New Roman"/>
                      <w:color w:val="000000" w:themeColor="text1"/>
                      <w:lang w:val="en-US" w:eastAsia="zh-CN"/>
                      <w14:textFill>
                        <w14:solidFill>
                          <w14:schemeClr w14:val="tx1"/>
                        </w14:solidFill>
                      </w14:textFill>
                    </w:rPr>
                    <w:t>900-</w:t>
                  </w:r>
                  <w:r>
                    <w:rPr>
                      <w:rFonts w:hint="eastAsia" w:cs="Times New Roman"/>
                      <w:color w:val="000000" w:themeColor="text1"/>
                      <w:lang w:val="en-US" w:eastAsia="zh-CN"/>
                      <w14:textFill>
                        <w14:solidFill>
                          <w14:schemeClr w14:val="tx1"/>
                        </w14:solidFill>
                      </w14:textFill>
                    </w:rPr>
                    <w:t>217</w:t>
                  </w:r>
                  <w:r>
                    <w:rPr>
                      <w:rFonts w:hint="eastAsia" w:ascii="Times New Roman" w:hAnsi="Times New Roman" w:eastAsia="宋体" w:cs="Times New Roman"/>
                      <w:color w:val="000000" w:themeColor="text1"/>
                      <w:lang w:val="en-US" w:eastAsia="zh-CN"/>
                      <w14:textFill>
                        <w14:solidFill>
                          <w14:schemeClr w14:val="tx1"/>
                        </w14:solidFill>
                      </w14:textFill>
                    </w:rPr>
                    <w:t>-08</w:t>
                  </w:r>
                </w:p>
              </w:tc>
              <w:tc>
                <w:tcPr>
                  <w:tcW w:w="392" w:type="pct"/>
                  <w:vMerge w:val="continue"/>
                  <w:noWrap w:val="0"/>
                  <w:vAlign w:val="center"/>
                </w:tcPr>
                <w:p>
                  <w:pPr>
                    <w:pStyle w:val="57"/>
                    <w:spacing w:line="240" w:lineRule="auto"/>
                    <w:ind w:firstLine="0" w:firstLineChars="0"/>
                    <w:jc w:val="center"/>
                    <w:rPr>
                      <w:rFonts w:hint="eastAsia" w:cs="Times New Roman"/>
                      <w:color w:val="000000" w:themeColor="text1"/>
                      <w:lang w:val="en-US" w:eastAsia="zh-CN"/>
                      <w14:textFill>
                        <w14:solidFill>
                          <w14:schemeClr w14:val="tx1"/>
                        </w14:solidFill>
                      </w14:textFill>
                    </w:rPr>
                  </w:pPr>
                </w:p>
              </w:tc>
              <w:tc>
                <w:tcPr>
                  <w:tcW w:w="439" w:type="pct"/>
                  <w:vMerge w:val="continue"/>
                  <w:noWrap w:val="0"/>
                  <w:vAlign w:val="center"/>
                </w:tcPr>
                <w:p>
                  <w:pPr>
                    <w:pStyle w:val="57"/>
                    <w:spacing w:line="240" w:lineRule="auto"/>
                    <w:ind w:firstLine="0" w:firstLineChars="0"/>
                    <w:jc w:val="center"/>
                    <w:rPr>
                      <w:rFonts w:hint="eastAsia" w:cs="Times New Roman"/>
                      <w:color w:val="000000" w:themeColor="text1"/>
                      <w:lang w:val="en-US" w:eastAsia="zh-CN"/>
                      <w14:textFill>
                        <w14:solidFill>
                          <w14:schemeClr w14:val="tx1"/>
                        </w14:solidFill>
                      </w14:textFill>
                    </w:rPr>
                  </w:pPr>
                </w:p>
              </w:tc>
              <w:tc>
                <w:tcPr>
                  <w:tcW w:w="468" w:type="pct"/>
                  <w:noWrap w:val="0"/>
                  <w:vAlign w:val="center"/>
                </w:tcPr>
                <w:p>
                  <w:pPr>
                    <w:pStyle w:val="57"/>
                    <w:spacing w:line="240" w:lineRule="auto"/>
                    <w:ind w:firstLine="0" w:firstLineChars="0"/>
                    <w:jc w:val="center"/>
                    <w:rPr>
                      <w:rFonts w:hint="default"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桶装</w:t>
                  </w:r>
                </w:p>
              </w:tc>
              <w:tc>
                <w:tcPr>
                  <w:tcW w:w="543" w:type="pct"/>
                  <w:vMerge w:val="continue"/>
                  <w:noWrap w:val="0"/>
                  <w:vAlign w:val="center"/>
                </w:tcPr>
                <w:p>
                  <w:pPr>
                    <w:pStyle w:val="57"/>
                    <w:spacing w:line="240" w:lineRule="auto"/>
                    <w:ind w:firstLine="0" w:firstLineChars="0"/>
                    <w:jc w:val="center"/>
                    <w:rPr>
                      <w:rFonts w:hint="eastAsia" w:ascii="Times New Roman" w:hAnsi="Times New Roman" w:eastAsia="宋体" w:cs="Times New Roman"/>
                      <w:color w:val="000000" w:themeColor="text1"/>
                      <w:lang w:val="en-US" w:eastAsia="zh-CN"/>
                      <w14:textFill>
                        <w14:solidFill>
                          <w14:schemeClr w14:val="tx1"/>
                        </w14:solidFill>
                      </w14:textFill>
                    </w:rPr>
                  </w:pPr>
                </w:p>
              </w:tc>
              <w:tc>
                <w:tcPr>
                  <w:tcW w:w="401" w:type="pct"/>
                  <w:vMerge w:val="continue"/>
                  <w:noWrap w:val="0"/>
                  <w:vAlign w:val="center"/>
                </w:tcPr>
                <w:p>
                  <w:pPr>
                    <w:pStyle w:val="57"/>
                    <w:spacing w:line="240" w:lineRule="auto"/>
                    <w:ind w:firstLine="0" w:firstLineChars="0"/>
                    <w:jc w:val="center"/>
                    <w:rPr>
                      <w:rFonts w:hint="eastAsia" w:ascii="Times New Roman" w:hAnsi="Times New Roman" w:eastAsia="宋体" w:cs="Times New Roman"/>
                      <w:color w:val="000000" w:themeColor="text1"/>
                      <w:lang w:val="en-US" w:eastAsia="zh-CN"/>
                      <w14:textFill>
                        <w14:solidFill>
                          <w14:schemeClr w14:val="tx1"/>
                        </w14:solidFill>
                      </w14:textFill>
                    </w:rPr>
                  </w:pPr>
                </w:p>
              </w:tc>
            </w:tr>
          </w:tbl>
          <w:p>
            <w:pPr>
              <w:numPr>
                <w:ilvl w:val="0"/>
                <w:numId w:val="0"/>
              </w:numPr>
              <w:spacing w:line="240" w:lineRule="auto"/>
              <w:ind w:leftChars="0"/>
              <w:jc w:val="center"/>
              <w:rPr>
                <w:rFonts w:hint="default" w:ascii="Times New Roman" w:hAnsi="Times New Roman" w:eastAsia="宋体" w:cs="Times New Roman"/>
                <w:b/>
                <w:bCs/>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b/>
                <w:bCs/>
                <w:color w:val="000000" w:themeColor="text1"/>
                <w:sz w:val="21"/>
                <w:szCs w:val="21"/>
                <w:highlight w:val="none"/>
                <w:lang w:val="en-US" w:eastAsia="zh-CN"/>
                <w14:textFill>
                  <w14:solidFill>
                    <w14:schemeClr w14:val="tx1"/>
                  </w14:solidFill>
                </w14:textFill>
              </w:rPr>
              <w:t>表</w:t>
            </w:r>
            <w:r>
              <w:rPr>
                <w:rFonts w:hint="eastAsia" w:cs="Times New Roman"/>
                <w:b/>
                <w:bCs/>
                <w:color w:val="000000" w:themeColor="text1"/>
                <w:sz w:val="21"/>
                <w:szCs w:val="21"/>
                <w:highlight w:val="none"/>
                <w:lang w:val="en-US" w:eastAsia="zh-CN"/>
                <w14:textFill>
                  <w14:solidFill>
                    <w14:schemeClr w14:val="tx1"/>
                  </w14:solidFill>
                </w14:textFill>
              </w:rPr>
              <w:t xml:space="preserve">4-9  </w:t>
            </w:r>
            <w:r>
              <w:rPr>
                <w:rFonts w:hint="default" w:ascii="Times New Roman" w:hAnsi="Times New Roman" w:eastAsia="宋体" w:cs="Times New Roman"/>
                <w:b/>
                <w:bCs/>
                <w:color w:val="000000" w:themeColor="text1"/>
                <w:sz w:val="21"/>
                <w:szCs w:val="21"/>
                <w:highlight w:val="none"/>
                <w:lang w:val="en-US" w:eastAsia="zh-CN"/>
                <w14:textFill>
                  <w14:solidFill>
                    <w14:schemeClr w14:val="tx1"/>
                  </w14:solidFill>
                </w14:textFill>
              </w:rPr>
              <w:t>危险废物贮存选址分析一览表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1"/>
              <w:gridCol w:w="4467"/>
              <w:gridCol w:w="31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41"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序号</w:t>
                  </w:r>
                </w:p>
              </w:tc>
              <w:tc>
                <w:tcPr>
                  <w:tcW w:w="4467"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危险废物贮存污染控制标准</w:t>
                  </w:r>
                  <w:r>
                    <w:rPr>
                      <w:rFonts w:hint="eastAsia" w:cs="Times New Roman"/>
                      <w:color w:val="000000" w:themeColor="text1"/>
                      <w:lang w:val="en-US" w:eastAsia="zh-CN"/>
                      <w14:textFill>
                        <w14:solidFill>
                          <w14:schemeClr w14:val="tx1"/>
                        </w14:solidFill>
                      </w14:textFill>
                    </w:rPr>
                    <w:t>（</w:t>
                  </w:r>
                  <w:r>
                    <w:rPr>
                      <w:rFonts w:hint="default" w:ascii="Times New Roman" w:hAnsi="Times New Roman" w:eastAsia="宋体" w:cs="Times New Roman"/>
                      <w:color w:val="000000" w:themeColor="text1"/>
                      <w:lang w:val="en-US" w:eastAsia="zh-CN"/>
                      <w14:textFill>
                        <w14:solidFill>
                          <w14:schemeClr w14:val="tx1"/>
                        </w14:solidFill>
                      </w14:textFill>
                    </w:rPr>
                    <w:t>GB18597-2001）（2013 修订版）</w:t>
                  </w:r>
                </w:p>
              </w:tc>
              <w:tc>
                <w:tcPr>
                  <w:tcW w:w="3195"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项目危险废物暂存间情况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41"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1</w:t>
                  </w:r>
                </w:p>
              </w:tc>
              <w:tc>
                <w:tcPr>
                  <w:tcW w:w="4467"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地质结构稳定，地震烈度不超过7度的区域内。</w:t>
                  </w:r>
                </w:p>
              </w:tc>
              <w:tc>
                <w:tcPr>
                  <w:tcW w:w="3195"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抚宁区</w:t>
                  </w:r>
                  <w:r>
                    <w:rPr>
                      <w:rFonts w:hint="default" w:ascii="Times New Roman" w:hAnsi="Times New Roman" w:eastAsia="宋体" w:cs="Times New Roman"/>
                      <w:color w:val="000000" w:themeColor="text1"/>
                      <w:lang w:val="en-US" w:eastAsia="zh-CN"/>
                      <w14:textFill>
                        <w14:solidFill>
                          <w14:schemeClr w14:val="tx1"/>
                        </w14:solidFill>
                      </w14:textFill>
                    </w:rPr>
                    <w:t>抗震设防类度为7度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41"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2</w:t>
                  </w:r>
                </w:p>
              </w:tc>
              <w:tc>
                <w:tcPr>
                  <w:tcW w:w="4467"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设施底部必须高于地下水最高水位。</w:t>
                  </w:r>
                </w:p>
              </w:tc>
              <w:tc>
                <w:tcPr>
                  <w:tcW w:w="3195"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设施底部高于地下水最高水位。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41"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3</w:t>
                  </w:r>
                </w:p>
              </w:tc>
              <w:tc>
                <w:tcPr>
                  <w:tcW w:w="4467"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依据环境影响评价结论确定危险废物集中贮存设施的位置及其与周围人群的距离，并经具有审批权的环境保护行政主管部门批准，并可作为规划控制的依据。</w:t>
                  </w:r>
                </w:p>
              </w:tc>
              <w:tc>
                <w:tcPr>
                  <w:tcW w:w="3195"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项目选取位置选取远离敏感点，远离周围人群。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41"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4</w:t>
                  </w:r>
                </w:p>
              </w:tc>
              <w:tc>
                <w:tcPr>
                  <w:tcW w:w="4467"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应避免建在溶洞区或易遭受严重自然灾害如洪水、滑坡，泥石流、潮汐等影响的地区。</w:t>
                  </w:r>
                </w:p>
              </w:tc>
              <w:tc>
                <w:tcPr>
                  <w:tcW w:w="3195"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项目</w:t>
                  </w:r>
                  <w:r>
                    <w:rPr>
                      <w:rFonts w:hint="eastAsia" w:ascii="Times New Roman" w:hAnsi="Times New Roman" w:eastAsia="宋体" w:cs="Times New Roman"/>
                      <w:color w:val="000000" w:themeColor="text1"/>
                      <w:lang w:val="en-US" w:eastAsia="zh-CN"/>
                      <w14:textFill>
                        <w14:solidFill>
                          <w14:schemeClr w14:val="tx1"/>
                        </w14:solidFill>
                      </w14:textFill>
                    </w:rPr>
                    <w:t>所在</w:t>
                  </w:r>
                  <w:r>
                    <w:rPr>
                      <w:rFonts w:hint="default" w:ascii="Times New Roman" w:hAnsi="Times New Roman" w:eastAsia="宋体" w:cs="Times New Roman"/>
                      <w:color w:val="000000" w:themeColor="text1"/>
                      <w:lang w:val="en-US" w:eastAsia="zh-CN"/>
                      <w14:textFill>
                        <w14:solidFill>
                          <w14:schemeClr w14:val="tx1"/>
                        </w14:solidFill>
                      </w14:textFill>
                    </w:rPr>
                    <w:t>区域不属于易遭受严重自然灾害区域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41"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5</w:t>
                  </w:r>
                </w:p>
              </w:tc>
              <w:tc>
                <w:tcPr>
                  <w:tcW w:w="4467"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应在易燃、易爆等危险品仓库、高压输电线路防护区域以外。</w:t>
                  </w:r>
                </w:p>
              </w:tc>
              <w:tc>
                <w:tcPr>
                  <w:tcW w:w="3195"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项目危废间同时避开了高压输电线路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41"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6</w:t>
                  </w:r>
                </w:p>
              </w:tc>
              <w:tc>
                <w:tcPr>
                  <w:tcW w:w="4467"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应位于居民中心区常年最大风频的下风向。</w:t>
                  </w:r>
                </w:p>
              </w:tc>
              <w:tc>
                <w:tcPr>
                  <w:tcW w:w="3195"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项目所在区域常年最大风频为SW，危废间位于厂区南侧，最大风频的下风向不存居民中心区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41"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7</w:t>
                  </w:r>
                </w:p>
              </w:tc>
              <w:tc>
                <w:tcPr>
                  <w:tcW w:w="4467"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基础必须防滲，防滲层为至少lm厚粘土层（渗透系数≤l0</w:t>
                  </w:r>
                  <w:r>
                    <w:rPr>
                      <w:rFonts w:hint="default" w:ascii="Times New Roman" w:hAnsi="Times New Roman" w:eastAsia="宋体" w:cs="Times New Roman"/>
                      <w:color w:val="000000" w:themeColor="text1"/>
                      <w:vertAlign w:val="superscript"/>
                      <w:lang w:val="en-US" w:eastAsia="zh-CN"/>
                      <w14:textFill>
                        <w14:solidFill>
                          <w14:schemeClr w14:val="tx1"/>
                        </w14:solidFill>
                      </w14:textFill>
                    </w:rPr>
                    <w:t>-7</w:t>
                  </w:r>
                  <w:r>
                    <w:rPr>
                      <w:rFonts w:hint="default" w:ascii="Times New Roman" w:hAnsi="Times New Roman" w:eastAsia="宋体" w:cs="Times New Roman"/>
                      <w:color w:val="000000" w:themeColor="text1"/>
                      <w:lang w:val="en-US" w:eastAsia="zh-CN"/>
                      <w14:textFill>
                        <w14:solidFill>
                          <w14:schemeClr w14:val="tx1"/>
                        </w14:solidFill>
                      </w14:textFill>
                    </w:rPr>
                    <w:t>cm/s),或2mm厚高密度聚乙烯，或至少2mm厚的其他人工材料（滲透系数≤10</w:t>
                  </w:r>
                  <w:r>
                    <w:rPr>
                      <w:rFonts w:hint="default" w:ascii="Times New Roman" w:hAnsi="Times New Roman" w:eastAsia="宋体" w:cs="Times New Roman"/>
                      <w:color w:val="000000" w:themeColor="text1"/>
                      <w:vertAlign w:val="superscript"/>
                      <w:lang w:val="en-US" w:eastAsia="zh-CN"/>
                      <w14:textFill>
                        <w14:solidFill>
                          <w14:schemeClr w14:val="tx1"/>
                        </w14:solidFill>
                      </w14:textFill>
                    </w:rPr>
                    <w:t>-10</w:t>
                  </w:r>
                  <w:r>
                    <w:rPr>
                      <w:rFonts w:hint="default" w:ascii="Times New Roman" w:hAnsi="Times New Roman" w:eastAsia="宋体" w:cs="Times New Roman"/>
                      <w:color w:val="000000" w:themeColor="text1"/>
                      <w:lang w:val="en-US" w:eastAsia="zh-CN"/>
                      <w14:textFill>
                        <w14:solidFill>
                          <w14:schemeClr w14:val="tx1"/>
                        </w14:solidFill>
                      </w14:textFill>
                    </w:rPr>
                    <w:t>cm/s)。</w:t>
                  </w:r>
                </w:p>
              </w:tc>
              <w:tc>
                <w:tcPr>
                  <w:tcW w:w="3195" w:type="dxa"/>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地面采取2mm厚高密度聚乙烯防渗，渗透系数≤1.0×10</w:t>
                  </w:r>
                  <w:r>
                    <w:rPr>
                      <w:rFonts w:hint="default" w:ascii="Times New Roman" w:hAnsi="Times New Roman" w:eastAsia="宋体" w:cs="Times New Roman"/>
                      <w:color w:val="000000" w:themeColor="text1"/>
                      <w:vertAlign w:val="superscript"/>
                      <w:lang w:val="en-US" w:eastAsia="zh-CN"/>
                      <w14:textFill>
                        <w14:solidFill>
                          <w14:schemeClr w14:val="tx1"/>
                        </w14:solidFill>
                      </w14:textFill>
                    </w:rPr>
                    <w:t>-10</w:t>
                  </w:r>
                  <w:r>
                    <w:rPr>
                      <w:rFonts w:hint="default" w:ascii="Times New Roman" w:hAnsi="Times New Roman" w:eastAsia="宋体" w:cs="Times New Roman"/>
                      <w:color w:val="000000" w:themeColor="text1"/>
                      <w:lang w:val="en-US" w:eastAsia="zh-CN"/>
                      <w14:textFill>
                        <w14:solidFill>
                          <w14:schemeClr w14:val="tx1"/>
                        </w14:solidFill>
                      </w14:textFill>
                    </w:rPr>
                    <w:t>cm/s（或采取其他具有同等防渗效力的防渗材料）</w:t>
                  </w:r>
                </w:p>
              </w:tc>
            </w:tr>
          </w:tbl>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leftChars="0" w:right="0" w:firstLine="482" w:firstLineChars="200"/>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t>4.</w:t>
            </w:r>
            <w:r>
              <w:rPr>
                <w:rFonts w:hint="eastAsia" w:cs="Times New Roman"/>
                <w:b/>
                <w:bCs/>
                <w:color w:val="000000" w:themeColor="text1"/>
                <w:sz w:val="24"/>
                <w:szCs w:val="24"/>
                <w:lang w:val="en-US" w:eastAsia="zh-CN"/>
                <w14:textFill>
                  <w14:solidFill>
                    <w14:schemeClr w14:val="tx1"/>
                  </w14:solidFill>
                </w14:textFill>
              </w:rPr>
              <w:t>4</w:t>
            </w:r>
            <w:r>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t>结论</w:t>
            </w:r>
          </w:p>
          <w:p>
            <w:pPr>
              <w:pStyle w:val="15"/>
              <w:adjustRightInd w:val="0"/>
              <w:snapToGrid w:val="0"/>
              <w:spacing w:line="360" w:lineRule="auto"/>
              <w:ind w:firstLine="480" w:firstLineChars="200"/>
              <w:rPr>
                <w:rFonts w:hint="eastAsia"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本项目产生的一般工业固体废物主要有沉淀池泥沙以及未燃尽垃圾。沉淀池泥沙压滤成泥饼后暂存固废暂存区，集中收集，统一外售，未燃尽垃圾统一收集后电厂回收；危险废物主要为废润滑油桶、废润滑油，暂存危废间后定期交由有资质单位处理，所有固体废物均合理处置。</w:t>
            </w:r>
          </w:p>
          <w:p>
            <w:pPr>
              <w:pStyle w:val="2"/>
              <w:bidi w:val="0"/>
              <w:rPr>
                <w:rFonts w:hint="eastAsia" w:ascii="Times New Roman" w:hAnsi="Times New Roman"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5、</w:t>
            </w:r>
            <w:r>
              <w:rPr>
                <w:rFonts w:hint="eastAsia" w:ascii="Times New Roman" w:hAnsi="Times New Roman" w:cs="Times New Roman"/>
                <w:color w:val="000000" w:themeColor="text1"/>
                <w:lang w:val="en-US" w:eastAsia="zh-CN"/>
                <w14:textFill>
                  <w14:solidFill>
                    <w14:schemeClr w14:val="tx1"/>
                  </w14:solidFill>
                </w14:textFill>
              </w:rPr>
              <w:t>地下水、土壤环境分析</w:t>
            </w:r>
          </w:p>
          <w:p>
            <w:pPr>
              <w:pStyle w:val="29"/>
              <w:spacing w:before="0" w:after="0" w:line="360" w:lineRule="auto"/>
              <w:ind w:left="0" w:leftChars="0" w:firstLine="0" w:firstLineChars="0"/>
              <w:rPr>
                <w:rFonts w:hint="eastAsia" w:ascii="Times New Roman" w:hAnsi="Times New Roman" w:cs="Times New Roman"/>
                <w:b/>
                <w:bCs/>
                <w:color w:val="000000" w:themeColor="text1"/>
                <w:sz w:val="24"/>
                <w:highlight w:val="none"/>
                <w:lang w:val="en-US" w:eastAsia="zh-CN"/>
                <w14:textFill>
                  <w14:solidFill>
                    <w14:schemeClr w14:val="tx1"/>
                  </w14:solidFill>
                </w14:textFill>
              </w:rPr>
            </w:pPr>
            <w:r>
              <w:rPr>
                <w:rFonts w:hint="eastAsia" w:ascii="Times New Roman" w:hAnsi="Times New Roman" w:cs="Times New Roman"/>
                <w:b/>
                <w:bCs/>
                <w:color w:val="000000" w:themeColor="text1"/>
                <w:sz w:val="24"/>
                <w:highlight w:val="none"/>
                <w:lang w:val="en-US" w:eastAsia="zh-CN"/>
                <w14:textFill>
                  <w14:solidFill>
                    <w14:schemeClr w14:val="tx1"/>
                  </w14:solidFill>
                </w14:textFill>
              </w:rPr>
              <w:t>5.1地下水环境</w:t>
            </w:r>
          </w:p>
          <w:p>
            <w:pPr>
              <w:pStyle w:val="15"/>
              <w:numPr>
                <w:ilvl w:val="0"/>
                <w:numId w:val="0"/>
              </w:numPr>
              <w:adjustRightInd w:val="0"/>
              <w:snapToGrid w:val="0"/>
              <w:spacing w:line="360" w:lineRule="auto"/>
              <w:ind w:firstLine="480" w:firstLineChars="200"/>
              <w:rPr>
                <w:rFonts w:hint="eastAsia"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项目运营过程中可能对地下水和土壤产生影响的主要是沉淀池、危废暂存间等，根据对地下水和土壤污染的影响程度不同，将全厂进行分区防渗，分为重点防渗区、一般防渗区、简单防渗区。其中重点防渗区为危废暂存间；一般防渗区为生产车间、沉淀池、循环池；简单防渗区：除重点防渗区和一般防渗区、绿化区域以外的区域。针对不同的防渗区域，采取不同的污染防渗措施，具体如下：</w:t>
            </w:r>
          </w:p>
          <w:p>
            <w:pPr>
              <w:pStyle w:val="15"/>
              <w:numPr>
                <w:ilvl w:val="0"/>
                <w:numId w:val="0"/>
              </w:numPr>
              <w:adjustRightInd w:val="0"/>
              <w:snapToGrid w:val="0"/>
              <w:spacing w:line="360" w:lineRule="auto"/>
              <w:ind w:firstLine="480" w:firstLineChars="200"/>
              <w:rPr>
                <w:rFonts w:hint="eastAsia"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（1）重点防渗区（危废暂存间）：</w:t>
            </w:r>
          </w:p>
          <w:p>
            <w:pPr>
              <w:pStyle w:val="15"/>
              <w:numPr>
                <w:ilvl w:val="0"/>
                <w:numId w:val="0"/>
              </w:numPr>
              <w:adjustRightInd w:val="0"/>
              <w:snapToGrid w:val="0"/>
              <w:spacing w:line="360" w:lineRule="auto"/>
              <w:ind w:firstLine="480" w:firstLineChars="200"/>
              <w:rPr>
                <w:rFonts w:hint="eastAsia"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危废暂存间：危险固废在场内的临时储存场所按《危险废物贮存污染控制标</w:t>
            </w:r>
          </w:p>
          <w:p>
            <w:pPr>
              <w:pStyle w:val="15"/>
              <w:numPr>
                <w:ilvl w:val="0"/>
                <w:numId w:val="0"/>
              </w:numPr>
              <w:adjustRightInd w:val="0"/>
              <w:snapToGrid w:val="0"/>
              <w:spacing w:line="360" w:lineRule="auto"/>
              <w:ind w:firstLine="480" w:firstLineChars="200"/>
              <w:rPr>
                <w:rFonts w:hint="eastAsia"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准》（GB18597-2001）取防雨、防渗及防风等措施，设置危险废物识别标志。危废堆场均为密闭设施，地面铺设防渗材料，渗透系数≤10</w:t>
            </w:r>
            <w:r>
              <w:rPr>
                <w:rFonts w:hint="eastAsia" w:ascii="Times New Roman" w:hAnsi="Times New Roman" w:cs="Times New Roman"/>
                <w:color w:val="000000" w:themeColor="text1"/>
                <w:sz w:val="24"/>
                <w:szCs w:val="24"/>
                <w:vertAlign w:val="superscript"/>
                <w:lang w:val="en-US" w:eastAsia="zh-CN"/>
                <w14:textFill>
                  <w14:solidFill>
                    <w14:schemeClr w14:val="tx1"/>
                  </w14:solidFill>
                </w14:textFill>
              </w:rPr>
              <w:t>-10</w:t>
            </w:r>
            <w:r>
              <w:rPr>
                <w:rFonts w:hint="eastAsia" w:ascii="Times New Roman" w:hAnsi="Times New Roman" w:cs="Times New Roman"/>
                <w:color w:val="000000" w:themeColor="text1"/>
                <w:sz w:val="24"/>
                <w:szCs w:val="24"/>
                <w:lang w:val="en-US" w:eastAsia="zh-CN"/>
                <w14:textFill>
                  <w14:solidFill>
                    <w14:schemeClr w14:val="tx1"/>
                  </w14:solidFill>
                </w14:textFill>
              </w:rPr>
              <w:t>cm/s。危险废物不能超范围堆放，存放区域设置明显警示标识，设专人对危废暂存间进行日常管理。</w:t>
            </w:r>
          </w:p>
          <w:p>
            <w:pPr>
              <w:pStyle w:val="15"/>
              <w:numPr>
                <w:ilvl w:val="0"/>
                <w:numId w:val="0"/>
              </w:numPr>
              <w:adjustRightInd w:val="0"/>
              <w:snapToGrid w:val="0"/>
              <w:spacing w:line="360" w:lineRule="auto"/>
              <w:ind w:firstLine="480" w:firstLineChars="200"/>
              <w:rPr>
                <w:rFonts w:hint="eastAsia"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（2）一般防渗区（生产车间、沉淀池、循环池）：</w:t>
            </w:r>
          </w:p>
          <w:p>
            <w:pPr>
              <w:pStyle w:val="15"/>
              <w:numPr>
                <w:ilvl w:val="0"/>
                <w:numId w:val="0"/>
              </w:numPr>
              <w:adjustRightInd w:val="0"/>
              <w:snapToGrid w:val="0"/>
              <w:spacing w:line="360" w:lineRule="auto"/>
              <w:ind w:firstLine="480" w:firstLineChars="200"/>
              <w:rPr>
                <w:rFonts w:hint="eastAsia"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生产车间、沉淀池、循环池：该防渗区应采用天然或人工材料构筑防渗层，保证防渗材料渗透系数≤10</w:t>
            </w:r>
            <w:r>
              <w:rPr>
                <w:rFonts w:hint="eastAsia" w:ascii="Times New Roman" w:hAnsi="Times New Roman" w:cs="Times New Roman"/>
                <w:color w:val="000000" w:themeColor="text1"/>
                <w:sz w:val="24"/>
                <w:szCs w:val="24"/>
                <w:vertAlign w:val="superscript"/>
                <w:lang w:val="en-US" w:eastAsia="zh-CN"/>
                <w14:textFill>
                  <w14:solidFill>
                    <w14:schemeClr w14:val="tx1"/>
                  </w14:solidFill>
                </w14:textFill>
              </w:rPr>
              <w:t>-7</w:t>
            </w:r>
            <w:r>
              <w:rPr>
                <w:rFonts w:hint="eastAsia" w:ascii="Times New Roman" w:hAnsi="Times New Roman" w:cs="Times New Roman"/>
                <w:color w:val="000000" w:themeColor="text1"/>
                <w:sz w:val="24"/>
                <w:szCs w:val="24"/>
                <w:lang w:val="en-US" w:eastAsia="zh-CN"/>
                <w14:textFill>
                  <w14:solidFill>
                    <w14:schemeClr w14:val="tx1"/>
                  </w14:solidFill>
                </w14:textFill>
              </w:rPr>
              <w:t>cm/s。为加强防渗措施的安全性、可靠性，确保防渗措施的防渗效果，工程施工过程中建设单位应加强施工期的管理，严格按防渗设计要求进行施工，加强防渗措施的日常维护，使防渗措施达到应有的防渗效果。同时应加强生产设施和环保设施的管理，避免废水跑、冒、滴、漏。</w:t>
            </w:r>
          </w:p>
          <w:p>
            <w:pPr>
              <w:pStyle w:val="15"/>
              <w:numPr>
                <w:ilvl w:val="0"/>
                <w:numId w:val="0"/>
              </w:numPr>
              <w:adjustRightInd w:val="0"/>
              <w:snapToGrid w:val="0"/>
              <w:spacing w:line="360" w:lineRule="auto"/>
              <w:ind w:firstLine="480" w:firstLineChars="200"/>
              <w:rPr>
                <w:rFonts w:hint="eastAsia"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（3）简单防渗区：</w:t>
            </w:r>
          </w:p>
          <w:p>
            <w:pPr>
              <w:pStyle w:val="15"/>
              <w:numPr>
                <w:ilvl w:val="0"/>
                <w:numId w:val="0"/>
              </w:numPr>
              <w:adjustRightInd w:val="0"/>
              <w:snapToGrid w:val="0"/>
              <w:spacing w:line="360" w:lineRule="auto"/>
              <w:ind w:firstLine="480" w:firstLineChars="200"/>
              <w:rPr>
                <w:rFonts w:hint="eastAsia"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除重点防渗区和一般防渗区、绿化区域以外的区域，该区域只需做一般地面硬化即可。</w:t>
            </w:r>
          </w:p>
          <w:p>
            <w:pPr>
              <w:pStyle w:val="15"/>
              <w:numPr>
                <w:ilvl w:val="0"/>
                <w:numId w:val="0"/>
              </w:numPr>
              <w:adjustRightInd w:val="0"/>
              <w:snapToGrid w:val="0"/>
              <w:spacing w:line="360" w:lineRule="auto"/>
              <w:ind w:firstLine="480" w:firstLineChars="200"/>
              <w:rPr>
                <w:rFonts w:hint="eastAsia"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各污染防治区在满足上述防渗要求的前提下，厂区地面除绿化区外均要进行硬化处理；工程产生的固废必须堆放在固废贮存场内，贮存场必须有防雨、防渗、防流失的“三防”措施。项目占地范围内均采取硬化路面，发现破损及时修复。厂区周边加强绿化，种植具有较强吸附能力的植物；厂区应设置地面硬化；项目危废暂存场所等做重点防渗、防腐处理措施，并定期检查防渗、防腐措施，以防止泄漏对地下水、土壤环境造成污染。</w:t>
            </w:r>
          </w:p>
          <w:p>
            <w:pPr>
              <w:pStyle w:val="29"/>
              <w:spacing w:before="0" w:after="0" w:line="360" w:lineRule="auto"/>
              <w:ind w:left="0" w:leftChars="0" w:firstLine="0" w:firstLineChars="0"/>
              <w:rPr>
                <w:rFonts w:hint="eastAsia" w:ascii="Times New Roman" w:hAnsi="Times New Roman" w:cs="Times New Roman"/>
                <w:b/>
                <w:bCs/>
                <w:color w:val="000000" w:themeColor="text1"/>
                <w:sz w:val="24"/>
                <w:highlight w:val="none"/>
                <w:lang w:val="en-US" w:eastAsia="zh-CN"/>
                <w14:textFill>
                  <w14:solidFill>
                    <w14:schemeClr w14:val="tx1"/>
                  </w14:solidFill>
                </w14:textFill>
              </w:rPr>
            </w:pPr>
            <w:r>
              <w:rPr>
                <w:rFonts w:hint="eastAsia" w:ascii="Times New Roman" w:hAnsi="Times New Roman" w:cs="Times New Roman"/>
                <w:b/>
                <w:bCs/>
                <w:color w:val="000000" w:themeColor="text1"/>
                <w:sz w:val="24"/>
                <w:highlight w:val="none"/>
                <w:lang w:val="en-US" w:eastAsia="zh-CN"/>
                <w14:textFill>
                  <w14:solidFill>
                    <w14:schemeClr w14:val="tx1"/>
                  </w14:solidFill>
                </w14:textFill>
              </w:rPr>
              <w:t>5.2土壤环境</w:t>
            </w:r>
          </w:p>
          <w:p>
            <w:pPr>
              <w:pStyle w:val="15"/>
              <w:numPr>
                <w:ilvl w:val="0"/>
                <w:numId w:val="0"/>
              </w:numPr>
              <w:adjustRightInd w:val="0"/>
              <w:snapToGrid w:val="0"/>
              <w:spacing w:line="360" w:lineRule="auto"/>
              <w:ind w:firstLine="480" w:firstLineChars="200"/>
              <w:rPr>
                <w:rFonts w:hint="eastAsia"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根据《建设项目环境影响报告表编制技术指南（污染影响类）（试行）》，本项目对土壤的环境影响分析如下：</w:t>
            </w:r>
          </w:p>
          <w:p>
            <w:pPr>
              <w:pStyle w:val="15"/>
              <w:numPr>
                <w:ilvl w:val="0"/>
                <w:numId w:val="0"/>
              </w:numPr>
              <w:adjustRightInd w:val="0"/>
              <w:snapToGrid w:val="0"/>
              <w:spacing w:line="360" w:lineRule="auto"/>
              <w:ind w:firstLine="480" w:firstLineChars="200"/>
              <w:rPr>
                <w:rFonts w:hint="eastAsia"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垂直入渗：本项目危废暂存间设置为重点防渗区，地面铺设防渗材料，渗透系数≤10</w:t>
            </w:r>
            <w:r>
              <w:rPr>
                <w:rFonts w:hint="eastAsia" w:ascii="Times New Roman" w:hAnsi="Times New Roman" w:cs="Times New Roman"/>
                <w:color w:val="000000" w:themeColor="text1"/>
                <w:sz w:val="24"/>
                <w:szCs w:val="24"/>
                <w:vertAlign w:val="superscript"/>
                <w:lang w:val="en-US" w:eastAsia="zh-CN"/>
                <w14:textFill>
                  <w14:solidFill>
                    <w14:schemeClr w14:val="tx1"/>
                  </w14:solidFill>
                </w14:textFill>
              </w:rPr>
              <w:t>-10</w:t>
            </w:r>
            <w:r>
              <w:rPr>
                <w:rFonts w:hint="eastAsia" w:ascii="Times New Roman" w:hAnsi="Times New Roman" w:cs="Times New Roman"/>
                <w:color w:val="000000" w:themeColor="text1"/>
                <w:sz w:val="24"/>
                <w:szCs w:val="24"/>
                <w:lang w:val="en-US" w:eastAsia="zh-CN"/>
                <w14:textFill>
                  <w14:solidFill>
                    <w14:schemeClr w14:val="tx1"/>
                  </w14:solidFill>
                </w14:textFill>
              </w:rPr>
              <w:t>cm/s。危废一旦发生泄漏，及时清理进行维修，防止通过垂直入渗造成土壤环境受到污染。</w:t>
            </w:r>
          </w:p>
          <w:p>
            <w:pPr>
              <w:pStyle w:val="15"/>
              <w:numPr>
                <w:ilvl w:val="0"/>
                <w:numId w:val="0"/>
              </w:numPr>
              <w:adjustRightInd w:val="0"/>
              <w:snapToGrid w:val="0"/>
              <w:spacing w:line="360" w:lineRule="auto"/>
              <w:ind w:firstLine="480" w:firstLineChars="200"/>
              <w:rPr>
                <w:rFonts w:hint="default" w:ascii="Times New Roman" w:hAnsi="Times New Roman" w:cs="Times New Roman"/>
                <w:color w:val="000000" w:themeColor="text1"/>
                <w:sz w:val="24"/>
                <w:szCs w:val="24"/>
                <w:lang w:val="en-US" w:eastAsia="zh-CN"/>
                <w14:textFill>
                  <w14:solidFill>
                    <w14:schemeClr w14:val="tx1"/>
                  </w14:solidFill>
                </w14:textFill>
              </w:rPr>
            </w:pPr>
            <w:r>
              <w:rPr>
                <w:rFonts w:hint="eastAsia" w:ascii="Times New Roman" w:hAnsi="Times New Roman" w:cs="Times New Roman"/>
                <w:color w:val="000000" w:themeColor="text1"/>
                <w:sz w:val="24"/>
                <w:szCs w:val="24"/>
                <w:lang w:val="en-US" w:eastAsia="zh-CN"/>
                <w14:textFill>
                  <w14:solidFill>
                    <w14:schemeClr w14:val="tx1"/>
                  </w14:solidFill>
                </w14:textFill>
              </w:rPr>
              <w:t>综上，本项目对土壤环境污染很小。</w:t>
            </w:r>
          </w:p>
          <w:p>
            <w:pPr>
              <w:pStyle w:val="2"/>
              <w:bidi w:val="0"/>
              <w:rPr>
                <w:rFonts w:hint="default" w:ascii="Times New Roman" w:hAnsi="Times New Roman"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6</w:t>
            </w:r>
            <w:r>
              <w:rPr>
                <w:rFonts w:hint="default" w:ascii="Times New Roman" w:hAnsi="Times New Roman" w:cs="Times New Roman"/>
                <w:color w:val="000000" w:themeColor="text1"/>
                <w:lang w:val="en-US" w:eastAsia="zh-CN"/>
                <w14:textFill>
                  <w14:solidFill>
                    <w14:schemeClr w14:val="tx1"/>
                  </w14:solidFill>
                </w14:textFill>
              </w:rPr>
              <w:t>、环境风险分析</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环境风险是指突发性事故对环境(或健康)的危害程度。建设项目环境风险评价，主要是对建设项目建设和运行期间发生的可预测突发性事件或事故</w:t>
            </w:r>
            <w:r>
              <w:rPr>
                <w:rFonts w:hint="eastAsia"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一般不包括人为破坏及自然灾害</w:t>
            </w:r>
            <w:r>
              <w:rPr>
                <w:rFonts w:hint="eastAsia"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引起有毒有害、易燃易爆等物质泄漏，或突发事件产生的新的有毒有害物质，所造成的对人身安全与环境的影响和损害，进行评估，提出防范、应急与减缓措施，以使建设项目事故率、损失和环境影响达到可接受水平。</w:t>
            </w:r>
          </w:p>
          <w:p>
            <w:pPr>
              <w:pStyle w:val="29"/>
              <w:spacing w:before="0" w:after="0" w:line="360" w:lineRule="auto"/>
              <w:ind w:left="0" w:leftChars="0" w:firstLine="0" w:firstLineChars="0"/>
              <w:rPr>
                <w:rFonts w:hint="default" w:ascii="Times New Roman" w:hAnsi="Times New Roman" w:cs="Times New Roman"/>
                <w:b/>
                <w:bCs/>
                <w:color w:val="000000" w:themeColor="text1"/>
                <w:sz w:val="24"/>
                <w:highlight w:val="none"/>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6</w:t>
            </w:r>
            <w:r>
              <w:rPr>
                <w:rFonts w:hint="default" w:ascii="Times New Roman" w:hAnsi="Times New Roman" w:cs="Times New Roman"/>
                <w:b/>
                <w:bCs/>
                <w:color w:val="000000" w:themeColor="text1"/>
                <w:sz w:val="24"/>
                <w:highlight w:val="none"/>
                <w14:textFill>
                  <w14:solidFill>
                    <w14:schemeClr w14:val="tx1"/>
                  </w14:solidFill>
                </w14:textFill>
              </w:rPr>
              <w:t>.1风险调查</w:t>
            </w:r>
          </w:p>
          <w:p>
            <w:pPr>
              <w:bidi w:val="0"/>
              <w:ind w:firstLine="480" w:firstLineChars="20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本项目</w:t>
            </w:r>
            <w:r>
              <w:rPr>
                <w:rFonts w:hint="eastAsia" w:cs="Times New Roman"/>
                <w:b w:val="0"/>
                <w:bCs w:val="0"/>
                <w:color w:val="000000" w:themeColor="text1"/>
                <w:sz w:val="24"/>
                <w:szCs w:val="24"/>
                <w:highlight w:val="none"/>
                <w:lang w:val="en-US" w:eastAsia="zh-CN"/>
                <w14:textFill>
                  <w14:solidFill>
                    <w14:schemeClr w14:val="tx1"/>
                  </w14:solidFill>
                </w14:textFill>
              </w:rPr>
              <w:t>废润滑油桶以及废润滑油</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属于危险废物，根据《建设项目环境风险评价技术导则》（HJ/T169-2018）</w:t>
            </w:r>
            <w:r>
              <w:rPr>
                <w:rFonts w:hint="eastAsia" w:cs="Times New Roman"/>
                <w:b w:val="0"/>
                <w:bCs w:val="0"/>
                <w:color w:val="000000" w:themeColor="text1"/>
                <w:sz w:val="24"/>
                <w:szCs w:val="24"/>
                <w:highlight w:val="none"/>
                <w:lang w:val="en-US" w:eastAsia="zh-CN"/>
                <w14:textFill>
                  <w14:solidFill>
                    <w14:schemeClr w14:val="tx1"/>
                  </w14:solidFill>
                </w14:textFill>
              </w:rPr>
              <w:t>以及《企业突发环境事件风险分级方法》（HJ 941-2018）</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并结合项目实际情况，本项目的风险源为</w:t>
            </w:r>
            <w:r>
              <w:rPr>
                <w:rFonts w:hint="eastAsia" w:cs="Times New Roman"/>
                <w:b w:val="0"/>
                <w:bCs w:val="0"/>
                <w:color w:val="000000" w:themeColor="text1"/>
                <w:sz w:val="24"/>
                <w:szCs w:val="24"/>
                <w:highlight w:val="none"/>
                <w:lang w:val="en-US" w:eastAsia="zh-CN"/>
                <w14:textFill>
                  <w14:solidFill>
                    <w14:schemeClr w14:val="tx1"/>
                  </w14:solidFill>
                </w14:textFill>
              </w:rPr>
              <w:t>废润滑油桶</w:t>
            </w:r>
            <w:r>
              <w:rPr>
                <w:rFonts w:hint="default" w:ascii="Times New Roman" w:hAnsi="Times New Roman" w:cs="Times New Roman"/>
                <w:color w:val="000000" w:themeColor="text1"/>
                <w:lang w:val="en-US" w:eastAsia="zh-CN"/>
                <w14:textFill>
                  <w14:solidFill>
                    <w14:schemeClr w14:val="tx1"/>
                  </w14:solidFill>
                </w14:textFill>
              </w:rPr>
              <w:t>。</w:t>
            </w:r>
          </w:p>
          <w:p>
            <w:pPr>
              <w:pStyle w:val="3"/>
              <w:bidi w:val="0"/>
              <w:rPr>
                <w:rFonts w:hint="default" w:ascii="Times New Roman" w:hAnsi="Times New Roman"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6</w:t>
            </w:r>
            <w:r>
              <w:rPr>
                <w:rFonts w:hint="default" w:ascii="Times New Roman" w:hAnsi="Times New Roman" w:cs="Times New Roman"/>
                <w:color w:val="000000" w:themeColor="text1"/>
                <w:lang w:val="en-US" w:eastAsia="zh-CN"/>
                <w14:textFill>
                  <w14:solidFill>
                    <w14:schemeClr w14:val="tx1"/>
                  </w14:solidFill>
                </w14:textFill>
              </w:rPr>
              <w:t>.1、风险源分布情况及可能影响途径</w:t>
            </w:r>
          </w:p>
          <w:p>
            <w:pPr>
              <w:bidi w:val="0"/>
              <w:ind w:firstLine="480" w:firstLineChars="20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本项目的主要危险物质为危废间内的危废。具体分布及影响途径如下表：</w:t>
            </w:r>
          </w:p>
          <w:p>
            <w:pPr>
              <w:numPr>
                <w:ilvl w:val="0"/>
                <w:numId w:val="0"/>
              </w:numPr>
              <w:spacing w:line="240" w:lineRule="auto"/>
              <w:ind w:leftChars="0"/>
              <w:jc w:val="cente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表</w:t>
            </w:r>
            <w:r>
              <w:rPr>
                <w:rFonts w:hint="eastAsia"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4-</w:t>
            </w:r>
            <w:r>
              <w:rPr>
                <w:rFonts w:hint="eastAsia" w:cs="Times New Roman"/>
                <w:b/>
                <w:bCs/>
                <w:color w:val="000000" w:themeColor="text1"/>
                <w:kern w:val="2"/>
                <w:sz w:val="21"/>
                <w:szCs w:val="21"/>
                <w:highlight w:val="none"/>
                <w:lang w:val="en-US" w:eastAsia="zh-CN" w:bidi="ar-SA"/>
                <w14:textFill>
                  <w14:solidFill>
                    <w14:schemeClr w14:val="tx1"/>
                  </w14:solidFill>
                </w14:textFill>
              </w:rPr>
              <w:t>10</w:t>
            </w:r>
            <w: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 xml:space="preserve"> 本项目风险物质具体分布及影响途径</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49"/>
              <w:gridCol w:w="2196"/>
              <w:gridCol w:w="2460"/>
              <w:gridCol w:w="1351"/>
              <w:gridCol w:w="18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49" w:type="dxa"/>
                  <w:tcBorders>
                    <w:tl2br w:val="nil"/>
                    <w:tr2bl w:val="nil"/>
                  </w:tcBorders>
                  <w:noWrap w:val="0"/>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序号</w:t>
                  </w:r>
                </w:p>
              </w:tc>
              <w:tc>
                <w:tcPr>
                  <w:tcW w:w="2196" w:type="dxa"/>
                  <w:tcBorders>
                    <w:tl2br w:val="nil"/>
                    <w:tr2bl w:val="nil"/>
                  </w:tcBorders>
                  <w:noWrap w:val="0"/>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原料</w:t>
                  </w:r>
                </w:p>
              </w:tc>
              <w:tc>
                <w:tcPr>
                  <w:tcW w:w="2460" w:type="dxa"/>
                  <w:tcBorders>
                    <w:tl2br w:val="nil"/>
                    <w:tr2bl w:val="nil"/>
                  </w:tcBorders>
                  <w:noWrap w:val="0"/>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最大贮存量</w:t>
                  </w:r>
                </w:p>
              </w:tc>
              <w:tc>
                <w:tcPr>
                  <w:tcW w:w="1351" w:type="dxa"/>
                  <w:tcBorders>
                    <w:tl2br w:val="nil"/>
                    <w:tr2bl w:val="nil"/>
                  </w:tcBorders>
                  <w:noWrap w:val="0"/>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贮存场所</w:t>
                  </w:r>
                </w:p>
              </w:tc>
              <w:tc>
                <w:tcPr>
                  <w:tcW w:w="1847" w:type="dxa"/>
                  <w:tcBorders>
                    <w:tl2br w:val="nil"/>
                    <w:tr2bl w:val="nil"/>
                  </w:tcBorders>
                  <w:noWrap w:val="0"/>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影响途径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49" w:type="dxa"/>
                  <w:tcBorders>
                    <w:tl2br w:val="nil"/>
                    <w:tr2bl w:val="nil"/>
                  </w:tcBorders>
                  <w:noWrap w:val="0"/>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1</w:t>
                  </w:r>
                </w:p>
              </w:tc>
              <w:tc>
                <w:tcPr>
                  <w:tcW w:w="2196" w:type="dxa"/>
                  <w:tcBorders>
                    <w:tl2br w:val="nil"/>
                    <w:tr2bl w:val="nil"/>
                  </w:tcBorders>
                  <w:noWrap w:val="0"/>
                  <w:vAlign w:val="center"/>
                </w:tcPr>
                <w:p>
                  <w:pPr>
                    <w:pStyle w:val="78"/>
                    <w:bidi w:val="0"/>
                    <w:rPr>
                      <w:rFonts w:hint="default"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废润滑油桶</w:t>
                  </w:r>
                </w:p>
              </w:tc>
              <w:tc>
                <w:tcPr>
                  <w:tcW w:w="2460" w:type="dxa"/>
                  <w:tcBorders>
                    <w:tl2br w:val="nil"/>
                    <w:tr2bl w:val="nil"/>
                  </w:tcBorders>
                  <w:noWrap w:val="0"/>
                  <w:vAlign w:val="center"/>
                </w:tcPr>
                <w:p>
                  <w:pPr>
                    <w:pStyle w:val="54"/>
                    <w:bidi w:val="0"/>
                    <w:rPr>
                      <w:rFonts w:hint="default"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0.05</w:t>
                  </w:r>
                  <w:r>
                    <w:rPr>
                      <w:rFonts w:hint="default" w:ascii="Times New Roman" w:hAnsi="Times New Roman" w:cs="Times New Roman"/>
                      <w:color w:val="000000" w:themeColor="text1"/>
                      <w:lang w:val="en-US" w:eastAsia="zh-CN"/>
                      <w14:textFill>
                        <w14:solidFill>
                          <w14:schemeClr w14:val="tx1"/>
                        </w14:solidFill>
                      </w14:textFill>
                    </w:rPr>
                    <w:t>t/a</w:t>
                  </w:r>
                </w:p>
              </w:tc>
              <w:tc>
                <w:tcPr>
                  <w:tcW w:w="1351" w:type="dxa"/>
                  <w:vMerge w:val="restart"/>
                  <w:tcBorders>
                    <w:tl2br w:val="nil"/>
                    <w:tr2bl w:val="nil"/>
                  </w:tcBorders>
                  <w:noWrap w:val="0"/>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危废间</w:t>
                  </w:r>
                </w:p>
              </w:tc>
              <w:tc>
                <w:tcPr>
                  <w:tcW w:w="1847" w:type="dxa"/>
                  <w:vMerge w:val="restart"/>
                  <w:tcBorders>
                    <w:tl2br w:val="nil"/>
                    <w:tr2bl w:val="nil"/>
                  </w:tcBorders>
                  <w:noWrap w:val="0"/>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渗漏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49" w:type="dxa"/>
                  <w:tcBorders>
                    <w:tl2br w:val="nil"/>
                    <w:tr2bl w:val="nil"/>
                  </w:tcBorders>
                  <w:noWrap w:val="0"/>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2</w:t>
                  </w:r>
                </w:p>
              </w:tc>
              <w:tc>
                <w:tcPr>
                  <w:tcW w:w="2196" w:type="dxa"/>
                  <w:tcBorders>
                    <w:tl2br w:val="nil"/>
                    <w:tr2bl w:val="nil"/>
                  </w:tcBorders>
                  <w:noWrap w:val="0"/>
                  <w:vAlign w:val="center"/>
                </w:tcPr>
                <w:p>
                  <w:pPr>
                    <w:pStyle w:val="78"/>
                    <w:bidi w:val="0"/>
                    <w:rPr>
                      <w:rFonts w:hint="default"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废润滑油</w:t>
                  </w:r>
                </w:p>
              </w:tc>
              <w:tc>
                <w:tcPr>
                  <w:tcW w:w="2460" w:type="dxa"/>
                  <w:tcBorders>
                    <w:tl2br w:val="nil"/>
                    <w:tr2bl w:val="nil"/>
                  </w:tcBorders>
                  <w:noWrap w:val="0"/>
                  <w:vAlign w:val="center"/>
                </w:tcPr>
                <w:p>
                  <w:pPr>
                    <w:pStyle w:val="54"/>
                    <w:bidi w:val="0"/>
                    <w:rPr>
                      <w:rFonts w:hint="default"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0.01t/a</w:t>
                  </w:r>
                </w:p>
              </w:tc>
              <w:tc>
                <w:tcPr>
                  <w:tcW w:w="1351" w:type="dxa"/>
                  <w:vMerge w:val="continue"/>
                  <w:tcBorders>
                    <w:tl2br w:val="nil"/>
                    <w:tr2bl w:val="nil"/>
                  </w:tcBorders>
                  <w:noWrap w:val="0"/>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p>
              </w:tc>
              <w:tc>
                <w:tcPr>
                  <w:tcW w:w="1847" w:type="dxa"/>
                  <w:vMerge w:val="continue"/>
                  <w:tcBorders>
                    <w:tl2br w:val="nil"/>
                    <w:tr2bl w:val="nil"/>
                  </w:tcBorders>
                  <w:noWrap w:val="0"/>
                  <w:vAlign w:val="center"/>
                </w:tcPr>
                <w:p>
                  <w:pPr>
                    <w:pStyle w:val="57"/>
                    <w:bidi w:val="0"/>
                    <w:spacing w:line="240" w:lineRule="auto"/>
                    <w:rPr>
                      <w:rFonts w:hint="eastAsia" w:cs="Times New Roman"/>
                      <w:color w:val="000000" w:themeColor="text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549" w:type="dxa"/>
                  <w:tcBorders>
                    <w:tl2br w:val="nil"/>
                    <w:tr2bl w:val="nil"/>
                  </w:tcBorders>
                  <w:noWrap w:val="0"/>
                  <w:vAlign w:val="center"/>
                </w:tcPr>
                <w:p>
                  <w:pPr>
                    <w:pStyle w:val="57"/>
                    <w:bidi w:val="0"/>
                    <w:spacing w:line="240" w:lineRule="auto"/>
                    <w:rPr>
                      <w:rFonts w:hint="default"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3</w:t>
                  </w:r>
                </w:p>
              </w:tc>
              <w:tc>
                <w:tcPr>
                  <w:tcW w:w="2196" w:type="dxa"/>
                  <w:tcBorders>
                    <w:tl2br w:val="nil"/>
                    <w:tr2bl w:val="nil"/>
                  </w:tcBorders>
                  <w:noWrap w:val="0"/>
                  <w:vAlign w:val="center"/>
                </w:tcPr>
                <w:p>
                  <w:pPr>
                    <w:pStyle w:val="78"/>
                    <w:bidi w:val="0"/>
                    <w:rPr>
                      <w:rFonts w:hint="default"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润滑油</w:t>
                  </w:r>
                </w:p>
              </w:tc>
              <w:tc>
                <w:tcPr>
                  <w:tcW w:w="2460" w:type="dxa"/>
                  <w:tcBorders>
                    <w:tl2br w:val="nil"/>
                    <w:tr2bl w:val="nil"/>
                  </w:tcBorders>
                  <w:noWrap w:val="0"/>
                  <w:vAlign w:val="center"/>
                </w:tcPr>
                <w:p>
                  <w:pPr>
                    <w:pStyle w:val="54"/>
                    <w:bidi w:val="0"/>
                    <w:rPr>
                      <w:rFonts w:hint="default"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1t/a</w:t>
                  </w:r>
                </w:p>
              </w:tc>
              <w:tc>
                <w:tcPr>
                  <w:tcW w:w="1351" w:type="dxa"/>
                  <w:tcBorders>
                    <w:tl2br w:val="nil"/>
                    <w:tr2bl w:val="nil"/>
                  </w:tcBorders>
                  <w:noWrap w:val="0"/>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油类暂存区</w:t>
                  </w:r>
                </w:p>
              </w:tc>
              <w:tc>
                <w:tcPr>
                  <w:tcW w:w="1847" w:type="dxa"/>
                  <w:tcBorders>
                    <w:tl2br w:val="nil"/>
                    <w:tr2bl w:val="nil"/>
                  </w:tcBorders>
                  <w:noWrap w:val="0"/>
                  <w:vAlign w:val="center"/>
                </w:tcPr>
                <w:p>
                  <w:pPr>
                    <w:pStyle w:val="57"/>
                    <w:bidi w:val="0"/>
                    <w:spacing w:line="240" w:lineRule="auto"/>
                    <w:rPr>
                      <w:rFonts w:hint="default"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渗漏</w:t>
                  </w:r>
                </w:p>
              </w:tc>
            </w:tr>
          </w:tbl>
          <w:p>
            <w:pPr>
              <w:pStyle w:val="3"/>
              <w:bidi w:val="0"/>
              <w:rPr>
                <w:rFonts w:hint="default" w:ascii="Times New Roman" w:hAnsi="Times New Roman"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6</w:t>
            </w:r>
            <w:r>
              <w:rPr>
                <w:rFonts w:hint="default" w:ascii="Times New Roman" w:hAnsi="Times New Roman" w:cs="Times New Roman"/>
                <w:color w:val="000000" w:themeColor="text1"/>
                <w:lang w:val="en-US" w:eastAsia="zh-CN"/>
                <w14:textFill>
                  <w14:solidFill>
                    <w14:schemeClr w14:val="tx1"/>
                  </w14:solidFill>
                </w14:textFill>
              </w:rPr>
              <w:t>.3、防范措施</w: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现场应当有警戒标识；</w: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设置专人保管，保管员要详细核对产品名称、规格、牌号、质量、数量、查清危险性质。遇有包装不良、质量异变、标号不符合等情况，应及时进行安全处理；</w: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避免无任何防护措施直接接触、工作区域保持良好通风状态；</w: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容器包装要密闭，完整无损、放置处防火防高温；</w: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厂区内禁止吸烟，严禁明火作业；</w: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进行定期和不定期的安全检查，查出隐患，要及时整改和上报。如发现不安全的紧急情况，应先停止工作，再报有关部门研究处理；</w: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各种安全防护装置设备要定期检查，不得随意拆除和非法占用；</w: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危废间做好防渗防漏措施，各个危险物质分类存放，且设置钢板托盘，防止泄露。</w:t>
            </w:r>
          </w:p>
          <w:p>
            <w:pPr>
              <w:pStyle w:val="3"/>
              <w:bidi w:val="0"/>
              <w:rPr>
                <w:rFonts w:hint="default" w:ascii="Times New Roman" w:hAnsi="Times New Roman"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6</w:t>
            </w:r>
            <w:r>
              <w:rPr>
                <w:rFonts w:hint="default" w:ascii="Times New Roman" w:hAnsi="Times New Roman" w:cs="Times New Roman"/>
                <w:color w:val="000000" w:themeColor="text1"/>
                <w:lang w:val="en-US" w:eastAsia="zh-CN"/>
                <w14:textFill>
                  <w14:solidFill>
                    <w14:schemeClr w14:val="tx1"/>
                  </w14:solidFill>
                </w14:textFill>
              </w:rPr>
              <w:t>.4、风险潜势初判</w: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危废间内物质最大贮存量为</w:t>
            </w:r>
            <w:r>
              <w:rPr>
                <w:rFonts w:hint="eastAsia" w:ascii="Times New Roman" w:hAnsi="Times New Roman" w:cs="Times New Roman"/>
                <w:color w:val="000000" w:themeColor="text1"/>
                <w:lang w:val="en-US" w:eastAsia="zh-CN"/>
                <w14:textFill>
                  <w14:solidFill>
                    <w14:schemeClr w14:val="tx1"/>
                  </w14:solidFill>
                </w14:textFill>
              </w:rPr>
              <w:t>0.06</w:t>
            </w:r>
            <w:r>
              <w:rPr>
                <w:rFonts w:hint="default" w:ascii="Times New Roman" w:hAnsi="Times New Roman" w:cs="Times New Roman"/>
                <w:color w:val="000000" w:themeColor="text1"/>
                <w:lang w:val="en-US" w:eastAsia="zh-CN"/>
                <w14:textFill>
                  <w14:solidFill>
                    <w14:schemeClr w14:val="tx1"/>
                  </w14:solidFill>
                </w14:textFill>
              </w:rPr>
              <w:t>t，</w:t>
            </w:r>
            <w:r>
              <w:rPr>
                <w:rFonts w:hint="eastAsia" w:ascii="Times New Roman" w:hAnsi="Times New Roman" w:cs="Times New Roman"/>
                <w:color w:val="000000" w:themeColor="text1"/>
                <w:lang w:val="en-US" w:eastAsia="zh-CN"/>
                <w14:textFill>
                  <w14:solidFill>
                    <w14:schemeClr w14:val="tx1"/>
                  </w14:solidFill>
                </w14:textFill>
              </w:rPr>
              <w:t>油类暂存区存储量1t/a。</w:t>
            </w:r>
            <w:r>
              <w:rPr>
                <w:rFonts w:hint="default" w:ascii="Times New Roman" w:hAnsi="Times New Roman" w:cs="Times New Roman"/>
                <w:color w:val="000000" w:themeColor="text1"/>
                <w:lang w:val="en-US" w:eastAsia="zh-CN"/>
                <w14:textFill>
                  <w14:solidFill>
                    <w14:schemeClr w14:val="tx1"/>
                  </w14:solidFill>
                </w14:textFill>
              </w:rPr>
              <w:t>根据《</w:t>
            </w:r>
            <w:r>
              <w:rPr>
                <w:rFonts w:hint="eastAsia" w:ascii="Times New Roman" w:hAnsi="Times New Roman" w:cs="Times New Roman"/>
                <w:color w:val="000000" w:themeColor="text1"/>
                <w:lang w:val="en-US" w:eastAsia="zh-CN"/>
                <w14:textFill>
                  <w14:solidFill>
                    <w14:schemeClr w14:val="tx1"/>
                  </w14:solidFill>
                </w14:textFill>
              </w:rPr>
              <w:t>企业突发环境事件风险分级方法</w:t>
            </w:r>
            <w:r>
              <w:rPr>
                <w:rFonts w:hint="default" w:ascii="Times New Roman" w:hAnsi="Times New Roman" w:cs="Times New Roman"/>
                <w:color w:val="000000" w:themeColor="text1"/>
                <w:lang w:val="en-US" w:eastAsia="zh-CN"/>
                <w14:textFill>
                  <w14:solidFill>
                    <w14:schemeClr w14:val="tx1"/>
                  </w14:solidFill>
                </w14:textFill>
              </w:rPr>
              <w:t>》（HJ9</w:t>
            </w:r>
            <w:r>
              <w:rPr>
                <w:rFonts w:hint="eastAsia" w:ascii="Times New Roman" w:hAnsi="Times New Roman" w:cs="Times New Roman"/>
                <w:color w:val="000000" w:themeColor="text1"/>
                <w:lang w:val="en-US" w:eastAsia="zh-CN"/>
                <w14:textFill>
                  <w14:solidFill>
                    <w14:schemeClr w14:val="tx1"/>
                  </w14:solidFill>
                </w14:textFill>
              </w:rPr>
              <w:t>41</w:t>
            </w:r>
            <w:r>
              <w:rPr>
                <w:rFonts w:hint="default" w:ascii="Times New Roman" w:hAnsi="Times New Roman" w:cs="Times New Roman"/>
                <w:color w:val="000000" w:themeColor="text1"/>
                <w:lang w:val="en-US" w:eastAsia="zh-CN"/>
                <w14:textFill>
                  <w14:solidFill>
                    <w14:schemeClr w14:val="tx1"/>
                  </w14:solidFill>
                </w14:textFill>
              </w:rPr>
              <w:t>-2018）附录</w:t>
            </w:r>
            <w:r>
              <w:rPr>
                <w:rFonts w:hint="eastAsia" w:ascii="Times New Roman" w:hAnsi="Times New Roman" w:cs="Times New Roman"/>
                <w:color w:val="000000" w:themeColor="text1"/>
                <w:lang w:val="en-US" w:eastAsia="zh-CN"/>
                <w14:textFill>
                  <w14:solidFill>
                    <w14:schemeClr w14:val="tx1"/>
                  </w14:solidFill>
                </w14:textFill>
              </w:rPr>
              <w:t>A，</w:t>
            </w:r>
            <w:r>
              <w:rPr>
                <w:rFonts w:hint="default" w:ascii="Times New Roman" w:hAnsi="Times New Roman" w:cs="Times New Roman"/>
                <w:color w:val="000000" w:themeColor="text1"/>
                <w:lang w:val="en-US" w:eastAsia="zh-CN"/>
                <w14:textFill>
                  <w14:solidFill>
                    <w14:schemeClr w14:val="tx1"/>
                  </w14:solidFill>
                </w14:textFill>
              </w:rPr>
              <w:t>危废间</w:t>
            </w:r>
            <w:r>
              <w:rPr>
                <w:rFonts w:hint="eastAsia" w:ascii="Times New Roman" w:hAnsi="Times New Roman" w:cs="Times New Roman"/>
                <w:color w:val="000000" w:themeColor="text1"/>
                <w:lang w:val="en-US" w:eastAsia="zh-CN"/>
                <w14:textFill>
                  <w14:solidFill>
                    <w14:schemeClr w14:val="tx1"/>
                  </w14:solidFill>
                </w14:textFill>
              </w:rPr>
              <w:t>内物质</w:t>
            </w:r>
            <w:r>
              <w:rPr>
                <w:rFonts w:hint="default" w:ascii="Times New Roman" w:hAnsi="Times New Roman" w:cs="Times New Roman"/>
                <w:color w:val="000000" w:themeColor="text1"/>
                <w:lang w:val="en-US" w:eastAsia="zh-CN"/>
                <w14:textFill>
                  <w14:solidFill>
                    <w14:schemeClr w14:val="tx1"/>
                  </w14:solidFill>
                </w14:textFill>
              </w:rPr>
              <w:t>临界量50t</w:t>
            </w:r>
            <w:r>
              <w:rPr>
                <w:rFonts w:hint="eastAsia" w:ascii="Times New Roman" w:hAnsi="Times New Roman" w:cs="Times New Roman"/>
                <w:color w:val="000000" w:themeColor="text1"/>
                <w:lang w:val="en-US" w:eastAsia="zh-CN"/>
                <w14:textFill>
                  <w14:solidFill>
                    <w14:schemeClr w14:val="tx1"/>
                  </w14:solidFill>
                </w14:textFill>
              </w:rPr>
              <w:t>，油类暂存区临界量2500t，</w:t>
            </w:r>
            <w:r>
              <w:rPr>
                <w:rFonts w:hint="default" w:ascii="Times New Roman" w:hAnsi="Times New Roman" w:cs="Times New Roman"/>
                <w:color w:val="000000" w:themeColor="text1"/>
                <w:lang w:val="en-US" w:eastAsia="zh-CN"/>
                <w14:textFill>
                  <w14:solidFill>
                    <w14:schemeClr w14:val="tx1"/>
                  </w14:solidFill>
                </w14:textFill>
              </w:rPr>
              <w:t>再根据附录C中的计算方法，计算其危险物质数量与其临界量比值Q，</w: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position w:val="-52"/>
                <w:lang w:val="en-US" w:eastAsia="zh-CN"/>
                <w14:textFill>
                  <w14:solidFill>
                    <w14:schemeClr w14:val="tx1"/>
                  </w14:solidFill>
                </w14:textFill>
              </w:rPr>
              <w:object>
                <v:shape id="_x0000_i1074" o:spt="75" type="#_x0000_t75" style="height:57.55pt;width:185.35pt;" o:ole="t" filled="f" o:preferrelative="t" stroked="f" coordsize="21600,21600">
                  <v:path/>
                  <v:fill on="f" focussize="0,0"/>
                  <v:stroke on="f"/>
                  <v:imagedata r:id="rId112" o:title=""/>
                  <o:lock v:ext="edit" aspectratio="t"/>
                  <w10:wrap type="none"/>
                  <w10:anchorlock/>
                </v:shape>
                <o:OLEObject Type="Embed" ProgID="Equation.3" ShapeID="_x0000_i1074" DrawAspect="Content" ObjectID="_1468075775" r:id="rId111">
                  <o:LockedField>false</o:LockedField>
                </o:OLEObject>
              </w:object>
            </w:r>
          </w:p>
          <w:p>
            <w:pPr>
              <w:pStyle w:val="47"/>
              <w:bidi w:val="0"/>
              <w:rPr>
                <w:rFonts w:hint="default"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因此</w:t>
            </w:r>
            <w:r>
              <w:rPr>
                <w:rFonts w:hint="default" w:ascii="Times New Roman" w:hAnsi="Times New Roman" w:cs="Times New Roman"/>
                <w:color w:val="000000" w:themeColor="text1"/>
                <w:lang w:val="en-US" w:eastAsia="zh-CN"/>
                <w14:textFill>
                  <w14:solidFill>
                    <w14:schemeClr w14:val="tx1"/>
                  </w14:solidFill>
                </w14:textFill>
              </w:rPr>
              <w:t>本项目风险潜势为I级，本项目环境风险进行简单分析。</w:t>
            </w:r>
          </w:p>
          <w:p>
            <w:pPr>
              <w:pStyle w:val="3"/>
              <w:bidi w:val="0"/>
              <w:rPr>
                <w:rFonts w:hint="default" w:ascii="Times New Roman" w:hAnsi="Times New Roman"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6</w:t>
            </w:r>
            <w:r>
              <w:rPr>
                <w:rFonts w:hint="default" w:ascii="Times New Roman" w:hAnsi="Times New Roman" w:cs="Times New Roman"/>
                <w:color w:val="000000" w:themeColor="text1"/>
                <w:lang w:val="en-US" w:eastAsia="zh-CN"/>
                <w14:textFill>
                  <w14:solidFill>
                    <w14:schemeClr w14:val="tx1"/>
                  </w14:solidFill>
                </w14:textFill>
              </w:rPr>
              <w:t>.5、环境风险简单分析</w:t>
            </w:r>
          </w:p>
          <w:p>
            <w:pPr>
              <w:numPr>
                <w:ilvl w:val="0"/>
                <w:numId w:val="0"/>
              </w:numPr>
              <w:spacing w:line="240" w:lineRule="auto"/>
              <w:ind w:leftChars="0"/>
              <w:jc w:val="cente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表</w:t>
            </w:r>
            <w:r>
              <w:rPr>
                <w:rFonts w:hint="eastAsia"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4-1</w:t>
            </w:r>
            <w:r>
              <w:rPr>
                <w:rFonts w:hint="eastAsia" w:cs="Times New Roman"/>
                <w:b/>
                <w:bCs/>
                <w:color w:val="000000" w:themeColor="text1"/>
                <w:kern w:val="2"/>
                <w:sz w:val="21"/>
                <w:szCs w:val="21"/>
                <w:highlight w:val="none"/>
                <w:lang w:val="en-US" w:eastAsia="zh-CN" w:bidi="ar-SA"/>
                <w14:textFill>
                  <w14:solidFill>
                    <w14:schemeClr w14:val="tx1"/>
                  </w14:solidFill>
                </w14:textFill>
              </w:rPr>
              <w:t>1</w:t>
            </w:r>
            <w: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 xml:space="preserve"> 建设项目环境风险简单分析内容表</w:t>
            </w:r>
          </w:p>
          <w:tbl>
            <w:tblPr>
              <w:tblStyle w:val="3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3"/>
              <w:gridCol w:w="68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54" w:type="pct"/>
                  <w:tcBorders>
                    <w:tl2br w:val="nil"/>
                    <w:tr2bl w:val="nil"/>
                  </w:tcBorders>
                  <w:noWrap/>
                  <w:vAlign w:val="center"/>
                </w:tcPr>
                <w:p>
                  <w:pPr>
                    <w:pStyle w:val="57"/>
                    <w:bidi w:val="0"/>
                    <w:spacing w:line="240" w:lineRule="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建设项目名称</w:t>
                  </w:r>
                </w:p>
              </w:tc>
              <w:tc>
                <w:tcPr>
                  <w:tcW w:w="4045" w:type="pct"/>
                  <w:tcBorders>
                    <w:tl2br w:val="nil"/>
                    <w:tr2bl w:val="nil"/>
                  </w:tcBorders>
                  <w:noWrap/>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生活垃圾焚烧发电炉渣综合利用项目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954" w:type="pct"/>
                  <w:tcBorders>
                    <w:tl2br w:val="nil"/>
                    <w:tr2bl w:val="nil"/>
                  </w:tcBorders>
                  <w:noWrap/>
                  <w:vAlign w:val="center"/>
                </w:tcPr>
                <w:p>
                  <w:pPr>
                    <w:pStyle w:val="57"/>
                    <w:bidi w:val="0"/>
                    <w:spacing w:line="240" w:lineRule="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建设地点</w:t>
                  </w:r>
                </w:p>
              </w:tc>
              <w:tc>
                <w:tcPr>
                  <w:tcW w:w="4045" w:type="pct"/>
                  <w:tcBorders>
                    <w:tl2br w:val="nil"/>
                    <w:tr2bl w:val="nil"/>
                  </w:tcBorders>
                  <w:noWrap/>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河北省秦皇岛市抚宁区留守营镇潘官营村南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54" w:type="pct"/>
                  <w:tcBorders>
                    <w:tl2br w:val="nil"/>
                    <w:tr2bl w:val="nil"/>
                  </w:tcBorders>
                  <w:noWrap/>
                  <w:vAlign w:val="center"/>
                </w:tcPr>
                <w:p>
                  <w:pPr>
                    <w:pStyle w:val="57"/>
                    <w:bidi w:val="0"/>
                    <w:spacing w:line="240" w:lineRule="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地理坐标</w:t>
                  </w:r>
                </w:p>
              </w:tc>
              <w:tc>
                <w:tcPr>
                  <w:tcW w:w="4045" w:type="pct"/>
                  <w:tcBorders>
                    <w:tl2br w:val="nil"/>
                    <w:tr2bl w:val="nil"/>
                  </w:tcBorders>
                  <w:noWrap/>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（东经119°17'51.273"，北纬39°53'9.524"）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54" w:type="pct"/>
                  <w:tcBorders>
                    <w:tl2br w:val="nil"/>
                    <w:tr2bl w:val="nil"/>
                  </w:tcBorders>
                  <w:noWrap/>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主要危险物质及分布</w:t>
                  </w:r>
                </w:p>
              </w:tc>
              <w:tc>
                <w:tcPr>
                  <w:tcW w:w="4045" w:type="pct"/>
                  <w:tcBorders>
                    <w:tl2br w:val="nil"/>
                    <w:tr2bl w:val="nil"/>
                  </w:tcBorders>
                  <w:noWrap/>
                  <w:vAlign w:val="center"/>
                </w:tcPr>
                <w:p>
                  <w:pPr>
                    <w:pStyle w:val="57"/>
                    <w:bidi w:val="0"/>
                    <w:spacing w:line="240" w:lineRule="auto"/>
                    <w:jc w:val="both"/>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危险物质：</w:t>
                  </w:r>
                  <w:r>
                    <w:rPr>
                      <w:rFonts w:hint="eastAsia" w:cs="Times New Roman"/>
                      <w:color w:val="000000" w:themeColor="text1"/>
                      <w:lang w:val="en-US" w:eastAsia="zh-CN"/>
                      <w14:textFill>
                        <w14:solidFill>
                          <w14:schemeClr w14:val="tx1"/>
                        </w14:solidFill>
                      </w14:textFill>
                    </w:rPr>
                    <w:t>废润滑油桶、废润滑油、润滑油</w:t>
                  </w:r>
                </w:p>
                <w:p>
                  <w:pPr>
                    <w:pStyle w:val="57"/>
                    <w:bidi w:val="0"/>
                    <w:spacing w:line="240" w:lineRule="auto"/>
                    <w:jc w:val="both"/>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分布：</w:t>
                  </w:r>
                  <w:r>
                    <w:rPr>
                      <w:rFonts w:hint="eastAsia" w:cs="Times New Roman"/>
                      <w:color w:val="000000" w:themeColor="text1"/>
                      <w:lang w:val="en-US" w:eastAsia="zh-CN"/>
                      <w14:textFill>
                        <w14:solidFill>
                          <w14:schemeClr w14:val="tx1"/>
                        </w14:solidFill>
                      </w14:textFill>
                    </w:rPr>
                    <w:t>危废间、油类暂存区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54" w:type="pct"/>
                  <w:tcBorders>
                    <w:tl2br w:val="nil"/>
                    <w:tr2bl w:val="nil"/>
                  </w:tcBorders>
                  <w:noWrap/>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环境影响途径及危害后果</w:t>
                  </w:r>
                </w:p>
              </w:tc>
              <w:tc>
                <w:tcPr>
                  <w:tcW w:w="4045" w:type="pct"/>
                  <w:tcBorders>
                    <w:tl2br w:val="nil"/>
                    <w:tr2bl w:val="nil"/>
                  </w:tcBorders>
                  <w:noWrap/>
                  <w:vAlign w:val="center"/>
                </w:tcPr>
                <w:p>
                  <w:pPr>
                    <w:pStyle w:val="57"/>
                    <w:bidi w:val="0"/>
                    <w:spacing w:line="240" w:lineRule="auto"/>
                    <w:jc w:val="both"/>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若危废间</w:t>
                  </w:r>
                  <w:r>
                    <w:rPr>
                      <w:rFonts w:hint="eastAsia" w:cs="Times New Roman"/>
                      <w:color w:val="000000" w:themeColor="text1"/>
                      <w:lang w:val="en-US" w:eastAsia="zh-CN"/>
                      <w14:textFill>
                        <w14:solidFill>
                          <w14:schemeClr w14:val="tx1"/>
                        </w14:solidFill>
                      </w14:textFill>
                    </w:rPr>
                    <w:t>或油类暂存区</w:t>
                  </w:r>
                  <w:r>
                    <w:rPr>
                      <w:rFonts w:hint="default" w:ascii="Times New Roman" w:hAnsi="Times New Roman" w:cs="Times New Roman"/>
                      <w:color w:val="000000" w:themeColor="text1"/>
                      <w:lang w:val="en-US" w:eastAsia="zh-CN"/>
                      <w14:textFill>
                        <w14:solidFill>
                          <w14:schemeClr w14:val="tx1"/>
                        </w14:solidFill>
                      </w14:textFill>
                    </w:rPr>
                    <w:t>发生火灾，引燃风险物质，随消防废水影响地下水环境。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54" w:type="pct"/>
                  <w:tcBorders>
                    <w:tl2br w:val="nil"/>
                    <w:tr2bl w:val="nil"/>
                  </w:tcBorders>
                  <w:noWrap/>
                  <w:vAlign w:val="center"/>
                </w:tcPr>
                <w:p>
                  <w:pPr>
                    <w:pStyle w:val="57"/>
                    <w:bidi w:val="0"/>
                    <w:spacing w:line="240" w:lineRule="auto"/>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风险防范措施要求</w:t>
                  </w:r>
                </w:p>
              </w:tc>
              <w:tc>
                <w:tcPr>
                  <w:tcW w:w="4045" w:type="pct"/>
                  <w:tcBorders>
                    <w:tl2br w:val="nil"/>
                    <w:tr2bl w:val="nil"/>
                  </w:tcBorders>
                  <w:noWrap/>
                  <w:vAlign w:val="center"/>
                </w:tcPr>
                <w:p>
                  <w:pPr>
                    <w:pStyle w:val="57"/>
                    <w:bidi w:val="0"/>
                    <w:spacing w:line="240" w:lineRule="auto"/>
                    <w:jc w:val="both"/>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1、危废间非工作人员不得靠近；</w:t>
                  </w:r>
                </w:p>
                <w:p>
                  <w:pPr>
                    <w:pStyle w:val="57"/>
                    <w:bidi w:val="0"/>
                    <w:spacing w:line="240" w:lineRule="auto"/>
                    <w:jc w:val="both"/>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2、环境风险物质必须分类妥善存放，严格管理，保持通风良好，并设置明显标志。</w:t>
                  </w:r>
                  <w:r>
                    <w:rPr>
                      <w:rFonts w:hint="eastAsia" w:cs="Times New Roman"/>
                      <w:color w:val="000000" w:themeColor="text1"/>
                      <w:lang w:val="en-US" w:eastAsia="zh-CN"/>
                      <w14:textFill>
                        <w14:solidFill>
                          <w14:schemeClr w14:val="tx1"/>
                        </w14:solidFill>
                      </w14:textFill>
                    </w:rPr>
                    <w:t>危废间风险单元</w:t>
                  </w:r>
                  <w:r>
                    <w:rPr>
                      <w:rFonts w:hint="default" w:ascii="Times New Roman" w:hAnsi="Times New Roman" w:cs="Times New Roman"/>
                      <w:color w:val="000000" w:themeColor="text1"/>
                      <w:lang w:val="en-US" w:eastAsia="zh-CN"/>
                      <w14:textFill>
                        <w14:solidFill>
                          <w14:schemeClr w14:val="tx1"/>
                        </w14:solidFill>
                      </w14:textFill>
                    </w:rPr>
                    <w:t>使用</w:t>
                  </w:r>
                  <w:r>
                    <w:rPr>
                      <w:rFonts w:hint="eastAsia" w:cs="Times New Roman"/>
                      <w:color w:val="000000" w:themeColor="text1"/>
                      <w:lang w:val="en-US" w:eastAsia="zh-CN"/>
                      <w14:textFill>
                        <w14:solidFill>
                          <w14:schemeClr w14:val="tx1"/>
                        </w14:solidFill>
                      </w14:textFill>
                    </w:rPr>
                    <w:t>防爆应急灯，</w:t>
                  </w:r>
                  <w:r>
                    <w:rPr>
                      <w:rFonts w:hint="default" w:ascii="Times New Roman" w:hAnsi="Times New Roman" w:cs="Times New Roman"/>
                      <w:color w:val="000000" w:themeColor="text1"/>
                      <w:lang w:val="en-US" w:eastAsia="zh-CN"/>
                      <w14:textFill>
                        <w14:solidFill>
                          <w14:schemeClr w14:val="tx1"/>
                        </w14:solidFill>
                      </w14:textFill>
                    </w:rPr>
                    <w:t>区域禁止明火。　　</w:t>
                  </w:r>
                </w:p>
                <w:p>
                  <w:pPr>
                    <w:pStyle w:val="57"/>
                    <w:bidi w:val="0"/>
                    <w:spacing w:line="240" w:lineRule="auto"/>
                    <w:jc w:val="both"/>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3、设置专人保管，保管员要详细核对产品名称、规格、牌号、质量、数量、查清危险性质。遇有包装不良、质量异变、标号不符合等情况，应及时进行安全处理。</w:t>
                  </w:r>
                </w:p>
                <w:p>
                  <w:pPr>
                    <w:pStyle w:val="57"/>
                    <w:bidi w:val="0"/>
                    <w:spacing w:line="240" w:lineRule="auto"/>
                    <w:jc w:val="both"/>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4、容器包装要密闭，完整无损。</w:t>
                  </w:r>
                </w:p>
                <w:p>
                  <w:pPr>
                    <w:pStyle w:val="57"/>
                    <w:bidi w:val="0"/>
                    <w:spacing w:line="240" w:lineRule="auto"/>
                    <w:jc w:val="both"/>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5、厂区内禁止吸烟，储存区及危废间周围严禁明火作业。</w:t>
                  </w:r>
                </w:p>
                <w:p>
                  <w:pPr>
                    <w:pStyle w:val="57"/>
                    <w:bidi w:val="0"/>
                    <w:spacing w:line="240" w:lineRule="auto"/>
                    <w:jc w:val="both"/>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6、进行定期和不定期的安全检查，查出隐患，要及时整改和上报。如发现不安全的紧急情况，应先停止工作，再报有关部门研究处理。</w:t>
                  </w:r>
                </w:p>
                <w:p>
                  <w:pPr>
                    <w:pStyle w:val="57"/>
                    <w:bidi w:val="0"/>
                    <w:spacing w:line="240" w:lineRule="auto"/>
                    <w:jc w:val="both"/>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lang w:val="en-US" w:eastAsia="zh-CN"/>
                      <w14:textFill>
                        <w14:solidFill>
                          <w14:schemeClr w14:val="tx1"/>
                        </w14:solidFill>
                      </w14:textFill>
                    </w:rPr>
                    <w:t>7、各种安全防护装置设备要定期检查，不得随意拆除和非法占用。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954" w:type="pct"/>
                  <w:tcBorders>
                    <w:tl2br w:val="nil"/>
                    <w:tr2bl w:val="nil"/>
                  </w:tcBorders>
                  <w:noWrap/>
                  <w:vAlign w:val="center"/>
                </w:tcPr>
                <w:p>
                  <w:pPr>
                    <w:pStyle w:val="57"/>
                    <w:bidi w:val="0"/>
                    <w:spacing w:line="240" w:lineRule="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填表说明（列出项目相关信息及评价说明）</w:t>
                  </w:r>
                </w:p>
              </w:tc>
              <w:tc>
                <w:tcPr>
                  <w:tcW w:w="4045" w:type="pct"/>
                  <w:tcBorders>
                    <w:tl2br w:val="nil"/>
                    <w:tr2bl w:val="nil"/>
                  </w:tcBorders>
                  <w:noWrap/>
                  <w:vAlign w:val="center"/>
                </w:tcPr>
                <w:p>
                  <w:pPr>
                    <w:pStyle w:val="57"/>
                    <w:bidi w:val="0"/>
                    <w:spacing w:line="240" w:lineRule="auto"/>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无</w:t>
                  </w:r>
                </w:p>
              </w:tc>
            </w:tr>
          </w:tbl>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leftChars="0" w:right="0" w:firstLine="0" w:firstLineChars="0"/>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pPr>
            <w:r>
              <w:rPr>
                <w:rFonts w:hint="eastAsia" w:cs="Times New Roman"/>
                <w:b/>
                <w:bCs/>
                <w:color w:val="000000" w:themeColor="text1"/>
                <w:sz w:val="24"/>
                <w:szCs w:val="24"/>
                <w:lang w:val="en-US" w:eastAsia="zh-CN"/>
                <w14:textFill>
                  <w14:solidFill>
                    <w14:schemeClr w14:val="tx1"/>
                  </w14:solidFill>
                </w14:textFill>
              </w:rPr>
              <w:t>7、</w:t>
            </w:r>
            <w:r>
              <w:rPr>
                <w:rFonts w:hint="eastAsia" w:ascii="Times New Roman" w:hAnsi="Times New Roman" w:eastAsia="宋体" w:cs="Times New Roman"/>
                <w:b/>
                <w:bCs/>
                <w:color w:val="000000" w:themeColor="text1"/>
                <w:sz w:val="24"/>
                <w:szCs w:val="24"/>
                <w:lang w:val="en-US" w:eastAsia="zh-CN"/>
                <w14:textFill>
                  <w14:solidFill>
                    <w14:schemeClr w14:val="tx1"/>
                  </w14:solidFill>
                </w14:textFill>
              </w:rPr>
              <w:t>排污许可</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据《关于做好环境影响评价制度与排污许可制衔接相关工作》(环办环评[2017]84号)、《关于进一步完善排污许可制实施工作的通知》(冀环评函[2018]689号)的通知，本项目与排污许可制衔接工作如下：</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①在排污许可管理中，应严格按照本评价的要求申请排污许可证；</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②在核发排污许可证时应严格核定排放口数量、位置以及每个排放口的污染物种类、允许排放浓度和允许排放量、排放方式、排放去向、自行监测计划等与污染物排放相关的主要内容；</w:t>
            </w: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80" w:firstLineChars="200"/>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③项目在发生实际排污行为之前，排污单位应当按照国家环境保护相关法律法规以及排污许可证申请与核发技术规范要求申请排污许可证，不得无证排污或不按证排污。</w:t>
            </w: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80" w:firstLineChars="200"/>
              <w:rPr>
                <w:rFonts w:hint="eastAsia" w:ascii="Times New Roman" w:hAnsi="Times New Roman" w:eastAsia="宋体" w:cs="Times New Roman"/>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lang w:val="en-US" w:eastAsia="zh-CN"/>
                <w14:textFill>
                  <w14:solidFill>
                    <w14:schemeClr w14:val="tx1"/>
                  </w14:solidFill>
                </w14:textFill>
              </w:rPr>
              <w:t>本项目废气主要为</w:t>
            </w:r>
            <w:r>
              <w:rPr>
                <w:rFonts w:hint="eastAsia" w:cs="Times New Roman"/>
                <w:color w:val="000000" w:themeColor="text1"/>
                <w:sz w:val="24"/>
                <w:szCs w:val="24"/>
                <w:lang w:val="en-US" w:eastAsia="zh-CN"/>
                <w14:textFill>
                  <w14:solidFill>
                    <w14:schemeClr w14:val="tx1"/>
                  </w14:solidFill>
                </w14:textFill>
              </w:rPr>
              <w:t>原料堆放</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产生的</w:t>
            </w:r>
            <w:r>
              <w:rPr>
                <w:rFonts w:hint="eastAsia" w:cs="Times New Roman"/>
                <w:color w:val="000000" w:themeColor="text1"/>
                <w:sz w:val="24"/>
                <w:szCs w:val="24"/>
                <w:lang w:val="en-US" w:eastAsia="zh-CN"/>
                <w14:textFill>
                  <w14:solidFill>
                    <w14:schemeClr w14:val="tx1"/>
                  </w14:solidFill>
                </w14:textFill>
              </w:rPr>
              <w:t>颗粒物，生产</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废水</w:t>
            </w:r>
            <w:r>
              <w:rPr>
                <w:rFonts w:hint="eastAsia" w:cs="Times New Roman"/>
                <w:color w:val="000000" w:themeColor="text1"/>
                <w:sz w:val="24"/>
                <w:szCs w:val="24"/>
                <w:lang w:val="en-US" w:eastAsia="zh-CN"/>
                <w14:textFill>
                  <w14:solidFill>
                    <w14:schemeClr w14:val="tx1"/>
                  </w14:solidFill>
                </w14:textFill>
              </w:rPr>
              <w:t>循环使用</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不外排</w:t>
            </w:r>
            <w:r>
              <w:rPr>
                <w:rFonts w:hint="eastAsia" w:cs="Times New Roman"/>
                <w:color w:val="000000" w:themeColor="text1"/>
                <w:sz w:val="24"/>
                <w:szCs w:val="24"/>
                <w:lang w:val="en-US" w:eastAsia="zh-CN"/>
                <w14:textFill>
                  <w14:solidFill>
                    <w14:schemeClr w14:val="tx1"/>
                  </w14:solidFill>
                </w14:textFill>
              </w:rPr>
              <w:t>，生活废水进化粪池后定期由清污车清运</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，固体废物均得到合理的处置。行业类别为C4220非金属废料和碎屑加工处理。</w:t>
            </w: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80" w:firstLineChars="200"/>
              <w:rPr>
                <w:rFonts w:hint="eastAsia" w:ascii="Times New Roman" w:hAnsi="Times New Roman" w:eastAsia="宋体" w:cs="Times New Roman"/>
                <w:color w:val="000000" w:themeColor="text1"/>
                <w:sz w:val="24"/>
                <w:szCs w:val="24"/>
                <w:lang w:val="en-US" w:eastAsia="zh-CN"/>
                <w14:textFill>
                  <w14:solidFill>
                    <w14:schemeClr w14:val="tx1"/>
                  </w14:solidFill>
                </w14:textFill>
              </w:rPr>
            </w:pPr>
            <w:r>
              <w:rPr>
                <w:rFonts w:hint="eastAsia" w:ascii="Times New Roman" w:hAnsi="Times New Roman" w:eastAsia="宋体" w:cs="Times New Roman"/>
                <w:color w:val="000000" w:themeColor="text1"/>
                <w:sz w:val="24"/>
                <w:szCs w:val="24"/>
                <w:lang w:val="en-US" w:eastAsia="zh-CN"/>
                <w14:textFill>
                  <w14:solidFill>
                    <w14:schemeClr w14:val="tx1"/>
                  </w14:solidFill>
                </w14:textFill>
              </w:rPr>
              <w:t>按照《固定污染源排污许可分类管理名录（2019年版）》中相关规定，属于</w:t>
            </w:r>
            <w:r>
              <w:rPr>
                <w:rFonts w:hint="eastAsia" w:cs="Times New Roman"/>
                <w:color w:val="000000" w:themeColor="text1"/>
                <w:sz w:val="24"/>
                <w:szCs w:val="24"/>
                <w:lang w:val="en-US" w:eastAsia="zh-CN"/>
                <w14:textFill>
                  <w14:solidFill>
                    <w14:schemeClr w14:val="tx1"/>
                  </w14:solidFill>
                </w14:textFill>
              </w:rPr>
              <w:t>简化管理</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w:t>
            </w:r>
            <w:r>
              <w:rPr>
                <w:rFonts w:hint="eastAsia" w:cs="Times New Roman"/>
                <w:color w:val="000000" w:themeColor="text1"/>
                <w:sz w:val="24"/>
                <w:szCs w:val="24"/>
                <w:lang w:val="en-US" w:eastAsia="zh-CN"/>
                <w14:textFill>
                  <w14:solidFill>
                    <w14:schemeClr w14:val="tx1"/>
                  </w14:solidFill>
                </w14:textFill>
              </w:rPr>
              <w:t>本项目建成后及时办理排污许可证</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w:t>
            </w:r>
          </w:p>
          <w:p>
            <w:pPr>
              <w:spacing w:line="360" w:lineRule="auto"/>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t>8、排污口规范化</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按照《排污口规范化整治技术要求(试行) 》(环监[1996]470号)相关要求设置规范化排污口。</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(1)废气排放口设置便于采样、监测的采样口，废气监测平台、监测断面和监测孔的设置应符合GB/T16157、HJ/T397等的要求；监测平台应便于开展监测活动，应能保证监测人员的安全。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(2)按照国家标准《环境保护图形标志》(GB15562.1-1995)(GB15562.2-1995)的规定，设置与之相适应的环境保护图形标志牌，标明废气排放单位，排放口编号，污染物种类等。</w:t>
            </w:r>
          </w:p>
          <w:p>
            <w:pPr>
              <w:numPr>
                <w:ilvl w:val="0"/>
                <w:numId w:val="0"/>
              </w:numPr>
              <w:spacing w:line="240" w:lineRule="auto"/>
              <w:ind w:leftChars="0"/>
              <w:jc w:val="cente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表</w:t>
            </w:r>
            <w:r>
              <w:rPr>
                <w:rFonts w:hint="eastAsia"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 xml:space="preserve">4-12 </w:t>
            </w:r>
            <w:r>
              <w:rPr>
                <w:rFonts w:hint="default" w:ascii="Times New Roman" w:hAnsi="Times New Roman" w:eastAsia="宋体" w:cs="Times New Roman"/>
                <w:b/>
                <w:bCs/>
                <w:color w:val="000000" w:themeColor="text1"/>
                <w:kern w:val="2"/>
                <w:sz w:val="21"/>
                <w:szCs w:val="21"/>
                <w:highlight w:val="none"/>
                <w:lang w:val="en-US" w:eastAsia="zh-CN" w:bidi="ar-SA"/>
                <w14:textFill>
                  <w14:solidFill>
                    <w14:schemeClr w14:val="tx1"/>
                  </w14:solidFill>
                </w14:textFill>
              </w:rPr>
              <w:t xml:space="preserve"> 排污口图形标志</w:t>
            </w:r>
          </w:p>
          <w:tbl>
            <w:tblPr>
              <w:tblStyle w:val="31"/>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94"/>
              <w:gridCol w:w="1613"/>
              <w:gridCol w:w="1825"/>
              <w:gridCol w:w="1800"/>
              <w:gridCol w:w="26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294"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序号</w:t>
                  </w:r>
                </w:p>
              </w:tc>
              <w:tc>
                <w:tcPr>
                  <w:tcW w:w="960"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提示图像符号</w:t>
                  </w:r>
                </w:p>
              </w:tc>
              <w:tc>
                <w:tcPr>
                  <w:tcW w:w="1086"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警告图像符号</w:t>
                  </w:r>
                </w:p>
              </w:tc>
              <w:tc>
                <w:tcPr>
                  <w:tcW w:w="1071"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名称</w:t>
                  </w:r>
                </w:p>
              </w:tc>
              <w:tc>
                <w:tcPr>
                  <w:tcW w:w="1588"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294"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1</w:t>
                  </w:r>
                </w:p>
              </w:tc>
              <w:tc>
                <w:tcPr>
                  <w:tcW w:w="960"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fldChar w:fldCharType="begin"/>
                  </w:r>
                  <w:r>
                    <w:rPr>
                      <w:rFonts w:hint="eastAsia" w:ascii="Times New Roman" w:hAnsi="Times New Roman" w:cs="Times New Roman"/>
                      <w:color w:val="000000" w:themeColor="text1"/>
                      <w:lang w:val="en-US" w:eastAsia="zh-CN"/>
                      <w14:textFill>
                        <w14:solidFill>
                          <w14:schemeClr w14:val="tx1"/>
                        </w14:solidFill>
                      </w14:textFill>
                    </w:rPr>
                    <w:instrText xml:space="preserve"> INCLUDEPICTURE "http://www.anquan.com.cn/tubiao/image/huanj/HP007.jpg" \* MERGEFORMATINET </w:instrText>
                  </w:r>
                  <w:r>
                    <w:rPr>
                      <w:rFonts w:hint="eastAsia" w:ascii="Times New Roman" w:hAnsi="Times New Roman" w:cs="Times New Roman"/>
                      <w:color w:val="000000" w:themeColor="text1"/>
                      <w:lang w:val="en-US" w:eastAsia="zh-CN"/>
                      <w14:textFill>
                        <w14:solidFill>
                          <w14:schemeClr w14:val="tx1"/>
                        </w14:solidFill>
                      </w14:textFill>
                    </w:rPr>
                    <w:fldChar w:fldCharType="separate"/>
                  </w:r>
                  <w:r>
                    <w:rPr>
                      <w:rFonts w:hint="eastAsia" w:ascii="Times New Roman" w:hAnsi="Times New Roman" w:cs="Times New Roman"/>
                      <w:color w:val="000000" w:themeColor="text1"/>
                      <w:lang w:val="en-US" w:eastAsia="zh-CN"/>
                      <w14:textFill>
                        <w14:solidFill>
                          <w14:schemeClr w14:val="tx1"/>
                        </w14:solidFill>
                      </w14:textFill>
                    </w:rPr>
                    <w:drawing>
                      <wp:inline distT="0" distB="0" distL="114300" distR="114300">
                        <wp:extent cx="658495" cy="658495"/>
                        <wp:effectExtent l="0" t="0" r="8255" b="8255"/>
                        <wp:docPr id="9"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53"/>
                                <pic:cNvPicPr>
                                  <a:picLocks noChangeAspect="1"/>
                                </pic:cNvPicPr>
                              </pic:nvPicPr>
                              <pic:blipFill>
                                <a:blip r:embed="rId113"/>
                                <a:stretch>
                                  <a:fillRect/>
                                </a:stretch>
                              </pic:blipFill>
                              <pic:spPr>
                                <a:xfrm>
                                  <a:off x="0" y="0"/>
                                  <a:ext cx="658495" cy="658495"/>
                                </a:xfrm>
                                <a:prstGeom prst="rect">
                                  <a:avLst/>
                                </a:prstGeom>
                                <a:noFill/>
                                <a:ln>
                                  <a:noFill/>
                                </a:ln>
                              </pic:spPr>
                            </pic:pic>
                          </a:graphicData>
                        </a:graphic>
                      </wp:inline>
                    </w:drawing>
                  </w:r>
                  <w:r>
                    <w:rPr>
                      <w:rFonts w:hint="eastAsia" w:ascii="Times New Roman" w:hAnsi="Times New Roman" w:cs="Times New Roman"/>
                      <w:color w:val="000000" w:themeColor="text1"/>
                      <w:lang w:val="en-US" w:eastAsia="zh-CN"/>
                      <w14:textFill>
                        <w14:solidFill>
                          <w14:schemeClr w14:val="tx1"/>
                        </w14:solidFill>
                      </w14:textFill>
                    </w:rPr>
                    <w:fldChar w:fldCharType="end"/>
                  </w:r>
                </w:p>
              </w:tc>
              <w:tc>
                <w:tcPr>
                  <w:tcW w:w="1086"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fldChar w:fldCharType="begin"/>
                  </w:r>
                  <w:r>
                    <w:rPr>
                      <w:rFonts w:hint="eastAsia" w:ascii="Times New Roman" w:hAnsi="Times New Roman" w:cs="Times New Roman"/>
                      <w:color w:val="000000" w:themeColor="text1"/>
                      <w:lang w:val="en-US" w:eastAsia="zh-CN"/>
                      <w14:textFill>
                        <w14:solidFill>
                          <w14:schemeClr w14:val="tx1"/>
                        </w14:solidFill>
                      </w14:textFill>
                    </w:rPr>
                    <w:instrText xml:space="preserve"> INCLUDEPICTURE "http://www.anquan.com.cn/tubiao/image/huanj/HP008.jpg" \* MERGEFORMATINET </w:instrText>
                  </w:r>
                  <w:r>
                    <w:rPr>
                      <w:rFonts w:hint="eastAsia" w:ascii="Times New Roman" w:hAnsi="Times New Roman" w:cs="Times New Roman"/>
                      <w:color w:val="000000" w:themeColor="text1"/>
                      <w:lang w:val="en-US" w:eastAsia="zh-CN"/>
                      <w14:textFill>
                        <w14:solidFill>
                          <w14:schemeClr w14:val="tx1"/>
                        </w14:solidFill>
                      </w14:textFill>
                    </w:rPr>
                    <w:fldChar w:fldCharType="separate"/>
                  </w:r>
                  <w:r>
                    <w:rPr>
                      <w:rFonts w:hint="eastAsia" w:ascii="Times New Roman" w:hAnsi="Times New Roman" w:cs="Times New Roman"/>
                      <w:color w:val="000000" w:themeColor="text1"/>
                      <w:lang w:val="en-US" w:eastAsia="zh-CN"/>
                      <w14:textFill>
                        <w14:solidFill>
                          <w14:schemeClr w14:val="tx1"/>
                        </w14:solidFill>
                      </w14:textFill>
                    </w:rPr>
                    <w:drawing>
                      <wp:inline distT="0" distB="0" distL="114300" distR="114300">
                        <wp:extent cx="640080" cy="566420"/>
                        <wp:effectExtent l="0" t="0" r="7620" b="5080"/>
                        <wp:docPr id="10"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4"/>
                                <pic:cNvPicPr>
                                  <a:picLocks noChangeAspect="1"/>
                                </pic:cNvPicPr>
                              </pic:nvPicPr>
                              <pic:blipFill>
                                <a:blip r:embed="rId114"/>
                                <a:stretch>
                                  <a:fillRect/>
                                </a:stretch>
                              </pic:blipFill>
                              <pic:spPr>
                                <a:xfrm>
                                  <a:off x="0" y="0"/>
                                  <a:ext cx="640080" cy="566420"/>
                                </a:xfrm>
                                <a:prstGeom prst="rect">
                                  <a:avLst/>
                                </a:prstGeom>
                                <a:noFill/>
                                <a:ln>
                                  <a:noFill/>
                                </a:ln>
                              </pic:spPr>
                            </pic:pic>
                          </a:graphicData>
                        </a:graphic>
                      </wp:inline>
                    </w:drawing>
                  </w:r>
                  <w:r>
                    <w:rPr>
                      <w:rFonts w:hint="eastAsia" w:ascii="Times New Roman" w:hAnsi="Times New Roman" w:cs="Times New Roman"/>
                      <w:color w:val="000000" w:themeColor="text1"/>
                      <w:lang w:val="en-US" w:eastAsia="zh-CN"/>
                      <w14:textFill>
                        <w14:solidFill>
                          <w14:schemeClr w14:val="tx1"/>
                        </w14:solidFill>
                      </w14:textFill>
                    </w:rPr>
                    <w:fldChar w:fldCharType="end"/>
                  </w:r>
                </w:p>
              </w:tc>
              <w:tc>
                <w:tcPr>
                  <w:tcW w:w="1071"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一般固体废物贮存</w:t>
                  </w:r>
                </w:p>
              </w:tc>
              <w:tc>
                <w:tcPr>
                  <w:tcW w:w="1588"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表示固废储存处置场所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294"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2</w:t>
                  </w:r>
                </w:p>
              </w:tc>
              <w:tc>
                <w:tcPr>
                  <w:tcW w:w="960"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w:t>
                  </w:r>
                </w:p>
              </w:tc>
              <w:tc>
                <w:tcPr>
                  <w:tcW w:w="1086"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drawing>
                      <wp:inline distT="0" distB="0" distL="114300" distR="114300">
                        <wp:extent cx="700405" cy="617855"/>
                        <wp:effectExtent l="0" t="0" r="4445" b="10795"/>
                        <wp:docPr id="11" name="图片 55" descr="2017-05-06_150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5" descr="2017-05-06_150542"/>
                                <pic:cNvPicPr>
                                  <a:picLocks noChangeAspect="1"/>
                                </pic:cNvPicPr>
                              </pic:nvPicPr>
                              <pic:blipFill>
                                <a:blip r:embed="rId115"/>
                                <a:stretch>
                                  <a:fillRect/>
                                </a:stretch>
                              </pic:blipFill>
                              <pic:spPr>
                                <a:xfrm>
                                  <a:off x="0" y="0"/>
                                  <a:ext cx="700405" cy="617855"/>
                                </a:xfrm>
                                <a:prstGeom prst="rect">
                                  <a:avLst/>
                                </a:prstGeom>
                                <a:noFill/>
                                <a:ln>
                                  <a:noFill/>
                                </a:ln>
                              </pic:spPr>
                            </pic:pic>
                          </a:graphicData>
                        </a:graphic>
                      </wp:inline>
                    </w:drawing>
                  </w:r>
                </w:p>
              </w:tc>
              <w:tc>
                <w:tcPr>
                  <w:tcW w:w="1071"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危险废物贮存</w:t>
                  </w:r>
                </w:p>
              </w:tc>
              <w:tc>
                <w:tcPr>
                  <w:tcW w:w="1588"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表示危险废物储存处置场所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294"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3</w:t>
                  </w:r>
                </w:p>
              </w:tc>
              <w:tc>
                <w:tcPr>
                  <w:tcW w:w="960"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fldChar w:fldCharType="begin"/>
                  </w:r>
                  <w:r>
                    <w:rPr>
                      <w:rFonts w:hint="eastAsia" w:ascii="Times New Roman" w:hAnsi="Times New Roman" w:cs="Times New Roman"/>
                      <w:color w:val="000000" w:themeColor="text1"/>
                      <w:lang w:val="en-US" w:eastAsia="zh-CN"/>
                      <w14:textFill>
                        <w14:solidFill>
                          <w14:schemeClr w14:val="tx1"/>
                        </w14:solidFill>
                      </w14:textFill>
                    </w:rPr>
                    <w:instrText xml:space="preserve"> INCLUDEPICTURE "http://www.biaozhi.net/enews/UploadFiles/smallImg/785.gif" \* MERGEFORMATINET </w:instrText>
                  </w:r>
                  <w:r>
                    <w:rPr>
                      <w:rFonts w:hint="eastAsia" w:ascii="Times New Roman" w:hAnsi="Times New Roman" w:cs="Times New Roman"/>
                      <w:color w:val="000000" w:themeColor="text1"/>
                      <w:lang w:val="en-US" w:eastAsia="zh-CN"/>
                      <w14:textFill>
                        <w14:solidFill>
                          <w14:schemeClr w14:val="tx1"/>
                        </w14:solidFill>
                      </w14:textFill>
                    </w:rPr>
                    <w:fldChar w:fldCharType="separate"/>
                  </w:r>
                  <w:r>
                    <w:rPr>
                      <w:rFonts w:hint="eastAsia" w:ascii="Times New Roman" w:hAnsi="Times New Roman" w:cs="Times New Roman"/>
                      <w:color w:val="000000" w:themeColor="text1"/>
                      <w:lang w:val="en-US" w:eastAsia="zh-CN"/>
                      <w14:textFill>
                        <w14:solidFill>
                          <w14:schemeClr w14:val="tx1"/>
                        </w14:solidFill>
                      </w14:textFill>
                    </w:rPr>
                    <w:drawing>
                      <wp:inline distT="0" distB="0" distL="114300" distR="114300">
                        <wp:extent cx="650875" cy="650875"/>
                        <wp:effectExtent l="0" t="0" r="15875" b="15875"/>
                        <wp:docPr id="13" name="图片 56" descr="点击看大图及详细资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56" descr="点击看大图及详细资料"/>
                                <pic:cNvPicPr>
                                  <a:picLocks noChangeAspect="1"/>
                                </pic:cNvPicPr>
                              </pic:nvPicPr>
                              <pic:blipFill>
                                <a:blip r:embed="rId116"/>
                                <a:stretch>
                                  <a:fillRect/>
                                </a:stretch>
                              </pic:blipFill>
                              <pic:spPr>
                                <a:xfrm>
                                  <a:off x="0" y="0"/>
                                  <a:ext cx="650875" cy="650875"/>
                                </a:xfrm>
                                <a:prstGeom prst="rect">
                                  <a:avLst/>
                                </a:prstGeom>
                                <a:noFill/>
                                <a:ln>
                                  <a:noFill/>
                                </a:ln>
                              </pic:spPr>
                            </pic:pic>
                          </a:graphicData>
                        </a:graphic>
                      </wp:inline>
                    </w:drawing>
                  </w:r>
                  <w:r>
                    <w:rPr>
                      <w:rFonts w:hint="eastAsia" w:ascii="Times New Roman" w:hAnsi="Times New Roman" w:cs="Times New Roman"/>
                      <w:color w:val="000000" w:themeColor="text1"/>
                      <w:lang w:val="en-US" w:eastAsia="zh-CN"/>
                      <w14:textFill>
                        <w14:solidFill>
                          <w14:schemeClr w14:val="tx1"/>
                        </w14:solidFill>
                      </w14:textFill>
                    </w:rPr>
                    <w:fldChar w:fldCharType="end"/>
                  </w:r>
                </w:p>
              </w:tc>
              <w:tc>
                <w:tcPr>
                  <w:tcW w:w="1086"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fldChar w:fldCharType="begin"/>
                  </w:r>
                  <w:r>
                    <w:rPr>
                      <w:rFonts w:hint="eastAsia" w:ascii="Times New Roman" w:hAnsi="Times New Roman" w:cs="Times New Roman"/>
                      <w:color w:val="000000" w:themeColor="text1"/>
                      <w:lang w:val="en-US" w:eastAsia="zh-CN"/>
                      <w14:textFill>
                        <w14:solidFill>
                          <w14:schemeClr w14:val="tx1"/>
                        </w14:solidFill>
                      </w14:textFill>
                    </w:rPr>
                    <w:instrText xml:space="preserve"> INCLUDEPICTURE "http://www.biaozhi.net/enews/UploadFiles/smallImg/786.gif" \* MERGEFORMATINET </w:instrText>
                  </w:r>
                  <w:r>
                    <w:rPr>
                      <w:rFonts w:hint="eastAsia" w:ascii="Times New Roman" w:hAnsi="Times New Roman" w:cs="Times New Roman"/>
                      <w:color w:val="000000" w:themeColor="text1"/>
                      <w:lang w:val="en-US" w:eastAsia="zh-CN"/>
                      <w14:textFill>
                        <w14:solidFill>
                          <w14:schemeClr w14:val="tx1"/>
                        </w14:solidFill>
                      </w14:textFill>
                    </w:rPr>
                    <w:fldChar w:fldCharType="separate"/>
                  </w:r>
                  <w:r>
                    <w:rPr>
                      <w:rFonts w:hint="eastAsia" w:ascii="Times New Roman" w:hAnsi="Times New Roman" w:cs="Times New Roman"/>
                      <w:color w:val="000000" w:themeColor="text1"/>
                      <w:lang w:val="en-US" w:eastAsia="zh-CN"/>
                      <w14:textFill>
                        <w14:solidFill>
                          <w14:schemeClr w14:val="tx1"/>
                        </w14:solidFill>
                      </w14:textFill>
                    </w:rPr>
                    <w:drawing>
                      <wp:inline distT="0" distB="0" distL="114300" distR="114300">
                        <wp:extent cx="699770" cy="615950"/>
                        <wp:effectExtent l="0" t="0" r="5080" b="12700"/>
                        <wp:docPr id="15" name="图片 57" descr="点击看大图及详细资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7" descr="点击看大图及详细资料"/>
                                <pic:cNvPicPr>
                                  <a:picLocks noChangeAspect="1"/>
                                </pic:cNvPicPr>
                              </pic:nvPicPr>
                              <pic:blipFill>
                                <a:blip r:embed="rId117"/>
                                <a:stretch>
                                  <a:fillRect/>
                                </a:stretch>
                              </pic:blipFill>
                              <pic:spPr>
                                <a:xfrm>
                                  <a:off x="0" y="0"/>
                                  <a:ext cx="699770" cy="615950"/>
                                </a:xfrm>
                                <a:prstGeom prst="rect">
                                  <a:avLst/>
                                </a:prstGeom>
                                <a:noFill/>
                                <a:ln>
                                  <a:noFill/>
                                </a:ln>
                              </pic:spPr>
                            </pic:pic>
                          </a:graphicData>
                        </a:graphic>
                      </wp:inline>
                    </w:drawing>
                  </w:r>
                  <w:r>
                    <w:rPr>
                      <w:rFonts w:hint="eastAsia" w:ascii="Times New Roman" w:hAnsi="Times New Roman" w:cs="Times New Roman"/>
                      <w:color w:val="000000" w:themeColor="text1"/>
                      <w:lang w:val="en-US" w:eastAsia="zh-CN"/>
                      <w14:textFill>
                        <w14:solidFill>
                          <w14:schemeClr w14:val="tx1"/>
                        </w14:solidFill>
                      </w14:textFill>
                    </w:rPr>
                    <w:fldChar w:fldCharType="end"/>
                  </w:r>
                </w:p>
              </w:tc>
              <w:tc>
                <w:tcPr>
                  <w:tcW w:w="1071"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噪声源</w:t>
                  </w:r>
                </w:p>
              </w:tc>
              <w:tc>
                <w:tcPr>
                  <w:tcW w:w="1588" w:type="pct"/>
                  <w:tcBorders>
                    <w:tl2br w:val="nil"/>
                    <w:tr2bl w:val="nil"/>
                  </w:tcBorders>
                  <w:noWrap w:val="0"/>
                  <w:vAlign w:val="center"/>
                </w:tcPr>
                <w:p>
                  <w:pPr>
                    <w:pStyle w:val="57"/>
                    <w:bidi w:val="0"/>
                    <w:spacing w:line="240" w:lineRule="auto"/>
                    <w:rPr>
                      <w:rFonts w:hint="eastAsia" w:ascii="Times New Roman" w:hAnsi="Times New Roman" w:cs="Times New Roman"/>
                      <w:color w:val="000000" w:themeColor="text1"/>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表示噪声向外环境排放</w:t>
                  </w:r>
                </w:p>
              </w:tc>
            </w:tr>
          </w:tbl>
          <w:p>
            <w:pPr>
              <w:pStyle w:val="29"/>
              <w:spacing w:before="0" w:after="0" w:line="360" w:lineRule="auto"/>
              <w:ind w:left="0" w:leftChars="0" w:firstLine="0" w:firstLineChars="0"/>
              <w:rPr>
                <w:rFonts w:hint="default" w:ascii="Times New Roman" w:hAnsi="Times New Roman" w:eastAsia="宋体" w:cs="Times New Roman"/>
                <w:b/>
                <w:bCs/>
                <w:color w:val="000000" w:themeColor="text1"/>
                <w:sz w:val="24"/>
                <w:highlight w:val="none"/>
                <w:lang w:val="en-US" w:eastAsia="zh-CN"/>
                <w14:textFill>
                  <w14:solidFill>
                    <w14:schemeClr w14:val="tx1"/>
                  </w14:solidFill>
                </w14:textFill>
              </w:rPr>
            </w:pPr>
            <w:r>
              <w:rPr>
                <w:rFonts w:hint="eastAsia" w:cs="Times New Roman"/>
                <w:b/>
                <w:bCs/>
                <w:color w:val="000000" w:themeColor="text1"/>
                <w:sz w:val="24"/>
                <w:highlight w:val="none"/>
                <w:lang w:val="en-US" w:eastAsia="zh-CN"/>
                <w14:textFill>
                  <w14:solidFill>
                    <w14:schemeClr w14:val="tx1"/>
                  </w14:solidFill>
                </w14:textFill>
              </w:rPr>
              <w:t>9</w:t>
            </w:r>
            <w:r>
              <w:rPr>
                <w:rFonts w:hint="eastAsia" w:ascii="Times New Roman" w:hAnsi="Times New Roman" w:eastAsia="宋体" w:cs="Times New Roman"/>
                <w:b/>
                <w:bCs/>
                <w:color w:val="000000" w:themeColor="text1"/>
                <w:sz w:val="24"/>
                <w:highlight w:val="none"/>
                <w:lang w:val="en-US" w:eastAsia="zh-CN"/>
                <w14:textFill>
                  <w14:solidFill>
                    <w14:schemeClr w14:val="tx1"/>
                  </w14:solidFill>
                </w14:textFill>
              </w:rPr>
              <w:t>、清洁生产</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本次评价的清洁生产分析主要从原辅材料、生产工艺与装备、资源能源消耗、污染物产生指标等方面进行分析。</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A、原辅材料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根据清洁生产要求，原材料应选择“对环境有益的材料，淘汰有毒原材料，并要节约原材料”。本项目以生活垃圾焚烧发电厂</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的</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炉渣</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(非危废)</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为原料，生产出废旧金属以及建筑用砂石。砂石主要应用于制砖等建材行业，减少了制砖用原料的目的，从长远角度看对环境影响小，符合清洁生产要求。</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B、生产工艺与装备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对照《产业结构调整名录（2019年本）》，本项目采用行业通用生产工艺，不属于限制类和淘汰类，符合国家产业政策，因此，符合清洁生产要求。</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C、资源能源消耗</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本项目生产过程中主要以电、水为主，属清洁能源，因此，符合清洁生产要求。</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D、本项目废水不外排，废气、噪声经治理达标后排放，固体废物回收利用和处置率达到100%。</w:t>
            </w:r>
          </w:p>
          <w:p>
            <w:pPr>
              <w:pStyle w:val="39"/>
              <w:ind w:firstLine="480" w:firstLineChars="200"/>
              <w:rPr>
                <w:rFonts w:hint="default" w:ascii="Times New Roman" w:hAnsi="Times New Roman" w:eastAsia="宋体" w:cs="Times New Roman"/>
                <w:bCs/>
                <w:color w:val="000000" w:themeColor="text1"/>
                <w:spacing w:val="4"/>
                <w:kern w:val="0"/>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综上分析，本项目符合国家产业政策，采用清洁的原料和能源、先进的生产工艺和技术装备，对生产中产生的各种污染物均采取了技术成熟的治理方案，各种污染物均能达标排放，因此，评价认为本项目符合清洁生产的要求。</w:t>
            </w:r>
          </w:p>
          <w:p>
            <w:pPr>
              <w:spacing w:line="360" w:lineRule="auto"/>
              <w:rPr>
                <w:rFonts w:hint="default" w:ascii="Times New Roman" w:hAnsi="Times New Roman" w:eastAsia="宋体" w:cs="Times New Roman"/>
                <w:b/>
                <w:bCs/>
                <w:color w:val="000000" w:themeColor="text1"/>
                <w:sz w:val="24"/>
                <w:szCs w:val="24"/>
                <w:highlight w:val="none"/>
                <w:lang w:val="en-US" w:eastAsia="zh-CN"/>
                <w14:textFill>
                  <w14:solidFill>
                    <w14:schemeClr w14:val="tx1"/>
                  </w14:solidFill>
                </w14:textFill>
              </w:rPr>
            </w:pPr>
            <w:r>
              <w:rPr>
                <w:rFonts w:hint="eastAsia" w:cs="Times New Roman"/>
                <w:b/>
                <w:bCs/>
                <w:color w:val="000000" w:themeColor="text1"/>
                <w:sz w:val="24"/>
                <w:szCs w:val="24"/>
                <w:highlight w:val="none"/>
                <w:lang w:val="en-US" w:eastAsia="zh-CN"/>
                <w14:textFill>
                  <w14:solidFill>
                    <w14:schemeClr w14:val="tx1"/>
                  </w14:solidFill>
                </w14:textFill>
              </w:rPr>
              <w:t>10</w:t>
            </w:r>
            <w:r>
              <w:rPr>
                <w:rFonts w:hint="eastAsia" w:ascii="Times New Roman" w:hAnsi="Times New Roman" w:eastAsia="宋体" w:cs="Times New Roman"/>
                <w:b/>
                <w:bCs/>
                <w:color w:val="000000" w:themeColor="text1"/>
                <w:sz w:val="24"/>
                <w:szCs w:val="24"/>
                <w:highlight w:val="none"/>
                <w:lang w:val="en-US" w:eastAsia="zh-CN"/>
                <w14:textFill>
                  <w14:solidFill>
                    <w14:schemeClr w14:val="tx1"/>
                  </w14:solidFill>
                </w14:textFill>
              </w:rPr>
              <w:t>、碳排放</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碳排放是关于温室气体排放的一个总称或简称。温室气体中最主要的气体是二氧化碳，因此用碳一词作为代表。多数科学家和政府承认温室气体已经并将继续为地球和人类带来灾难，所以“控制碳排放”和“碳中和”这样的术语就成为容易被大多数人所理解，接受，并采取行动的文化基础。我们的日常生活一直都在排放二氧化碳，而如何通过有节制的生活，以及如何通过节能减污的技术来减少工厂和企业的碳排放量，成为本世纪最重要的世界问题。</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《秦皇岛市深入打好污染防治攻坚战实施方案》要求“在环评文件中增加碳排放评价内容”。</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碳排放指建设项目在生产运行阶段煤炭、石油、天然气等化石燃料（包括自产和外购）燃烧活动和工业生产过程等活动产生的二氧化碳排放，以及因使用外购的电力和热力等所导致的二氧化碳排放。</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本项目在生产运行阶段无化石燃料燃烧及生产过程产生二氧化碳，无外购热力，仅考虑外购电力所导致的二氧化碳排放。参照《重庆市规划环境影响评价技术指南 —碳排放评价（试行）》（渝环〔2021〕15号）文件中净调入电力消耗碳排放量计算公式，公式如下：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m:oMathPara>
              <m:oMath>
                <m:sSub>
                  <m:sSubPr>
                    <m:ctrlPr>
                      <w:rPr>
                        <w:rFonts w:hint="default" w:ascii="Cambria Math" w:hAnsi="Cambria Math"/>
                        <w:i/>
                        <w:color w:val="000000" w:themeColor="text1"/>
                        <w:highlight w:val="none"/>
                        <w14:textFill>
                          <w14:solidFill>
                            <w14:schemeClr w14:val="tx1"/>
                          </w14:solidFill>
                        </w14:textFill>
                      </w:rPr>
                    </m:ctrlPr>
                  </m:sSubPr>
                  <m:e>
                    <m:r>
                      <m:rPr/>
                      <w:rPr>
                        <w:rFonts w:hint="default" w:ascii="Cambria Math" w:hAnsi="Cambria Math"/>
                        <w:color w:val="000000" w:themeColor="text1"/>
                        <w:highlight w:val="none"/>
                        <w:lang w:val="en-US" w:eastAsia="zh-CN"/>
                        <w14:textFill>
                          <w14:solidFill>
                            <w14:schemeClr w14:val="tx1"/>
                          </w14:solidFill>
                        </w14:textFill>
                      </w:rPr>
                      <m:t>AE</m:t>
                    </m:r>
                    <m:ctrlPr>
                      <w:rPr>
                        <w:rFonts w:hint="default" w:ascii="Cambria Math" w:hAnsi="Cambria Math"/>
                        <w:i/>
                        <w:color w:val="000000" w:themeColor="text1"/>
                        <w:highlight w:val="none"/>
                        <w14:textFill>
                          <w14:solidFill>
                            <w14:schemeClr w14:val="tx1"/>
                          </w14:solidFill>
                        </w14:textFill>
                      </w:rPr>
                    </m:ctrlPr>
                  </m:e>
                  <m:sub>
                    <m:r>
                      <m:rPr/>
                      <w:rPr>
                        <w:rFonts w:hint="eastAsia" w:ascii="Cambria Math" w:hAnsi="Cambria Math"/>
                        <w:color w:val="000000" w:themeColor="text1"/>
                        <w:highlight w:val="none"/>
                        <w:lang w:val="en-US" w:eastAsia="zh-CN"/>
                        <w14:textFill>
                          <w14:solidFill>
                            <w14:schemeClr w14:val="tx1"/>
                          </w14:solidFill>
                        </w14:textFill>
                      </w:rPr>
                      <m:t>净</m:t>
                    </m:r>
                    <m:r>
                      <m:rPr/>
                      <w:rPr>
                        <w:rFonts w:hint="default" w:ascii="Cambria Math" w:hAnsi="Cambria Math"/>
                        <w:color w:val="000000" w:themeColor="text1"/>
                        <w:highlight w:val="none"/>
                        <w:lang w:val="en-US" w:eastAsia="zh-CN"/>
                        <w14:textFill>
                          <w14:solidFill>
                            <w14:schemeClr w14:val="tx1"/>
                          </w14:solidFill>
                        </w14:textFill>
                      </w:rPr>
                      <m:t>调入电力</m:t>
                    </m:r>
                    <m:ctrlPr>
                      <w:rPr>
                        <w:rFonts w:hint="default" w:ascii="Cambria Math" w:hAnsi="Cambria Math"/>
                        <w:i/>
                        <w:color w:val="000000" w:themeColor="text1"/>
                        <w:highlight w:val="none"/>
                        <w14:textFill>
                          <w14:solidFill>
                            <w14:schemeClr w14:val="tx1"/>
                          </w14:solidFill>
                        </w14:textFill>
                      </w:rPr>
                    </m:ctrlPr>
                  </m:sub>
                </m:sSub>
                <m:r>
                  <m:rPr/>
                  <w:rPr>
                    <w:rFonts w:hint="eastAsia" w:ascii="Cambria Math" w:hAnsi="Cambria Math"/>
                    <w:color w:val="000000" w:themeColor="text1"/>
                    <w:highlight w:val="none"/>
                    <w:lang w:val="en-US" w:eastAsia="zh-CN"/>
                    <w14:textFill>
                      <w14:solidFill>
                        <w14:schemeClr w14:val="tx1"/>
                      </w14:solidFill>
                    </w14:textFill>
                  </w:rPr>
                  <m:t>=</m:t>
                </m:r>
                <m:sSub>
                  <m:sSubPr>
                    <m:ctrlPr>
                      <w:rPr>
                        <w:rFonts w:hint="default" w:ascii="Cambria Math" w:hAnsi="Cambria Math"/>
                        <w:i/>
                        <w:color w:val="000000" w:themeColor="text1"/>
                        <w:highlight w:val="none"/>
                        <w14:textFill>
                          <w14:solidFill>
                            <w14:schemeClr w14:val="tx1"/>
                          </w14:solidFill>
                        </w14:textFill>
                      </w:rPr>
                    </m:ctrlPr>
                  </m:sSubPr>
                  <m:e>
                    <m:r>
                      <m:rPr/>
                      <w:rPr>
                        <w:rFonts w:hint="default" w:ascii="Cambria Math" w:hAnsi="Cambria Math"/>
                        <w:color w:val="000000" w:themeColor="text1"/>
                        <w:highlight w:val="none"/>
                        <w:lang w:val="en-US" w:eastAsia="zh-CN"/>
                        <w14:textFill>
                          <w14:solidFill>
                            <w14:schemeClr w14:val="tx1"/>
                          </w14:solidFill>
                        </w14:textFill>
                      </w:rPr>
                      <m:t>AD</m:t>
                    </m:r>
                    <m:ctrlPr>
                      <w:rPr>
                        <w:rFonts w:hint="default" w:ascii="Cambria Math" w:hAnsi="Cambria Math"/>
                        <w:i/>
                        <w:color w:val="000000" w:themeColor="text1"/>
                        <w:highlight w:val="none"/>
                        <w14:textFill>
                          <w14:solidFill>
                            <w14:schemeClr w14:val="tx1"/>
                          </w14:solidFill>
                        </w14:textFill>
                      </w:rPr>
                    </m:ctrlPr>
                  </m:e>
                  <m:sub>
                    <m:r>
                      <m:rPr/>
                      <w:rPr>
                        <w:rFonts w:hint="eastAsia" w:ascii="Cambria Math" w:hAnsi="Cambria Math"/>
                        <w:color w:val="000000" w:themeColor="text1"/>
                        <w:highlight w:val="none"/>
                        <w:lang w:val="en-US" w:eastAsia="zh-CN"/>
                        <w14:textFill>
                          <w14:solidFill>
                            <w14:schemeClr w14:val="tx1"/>
                          </w14:solidFill>
                        </w14:textFill>
                      </w:rPr>
                      <m:t>净</m:t>
                    </m:r>
                    <m:r>
                      <m:rPr/>
                      <w:rPr>
                        <w:rFonts w:hint="default" w:ascii="Cambria Math" w:hAnsi="Cambria Math"/>
                        <w:color w:val="000000" w:themeColor="text1"/>
                        <w:highlight w:val="none"/>
                        <w:lang w:val="en-US" w:eastAsia="zh-CN"/>
                        <w14:textFill>
                          <w14:solidFill>
                            <w14:schemeClr w14:val="tx1"/>
                          </w14:solidFill>
                        </w14:textFill>
                      </w:rPr>
                      <m:t>调入电</m:t>
                    </m:r>
                    <m:r>
                      <m:rPr/>
                      <w:rPr>
                        <w:rFonts w:hint="eastAsia" w:ascii="Cambria Math" w:hAnsi="Cambria Math"/>
                        <w:color w:val="000000" w:themeColor="text1"/>
                        <w:highlight w:val="none"/>
                        <w:lang w:val="en-US" w:eastAsia="zh-CN"/>
                        <w14:textFill>
                          <w14:solidFill>
                            <w14:schemeClr w14:val="tx1"/>
                          </w14:solidFill>
                        </w14:textFill>
                      </w:rPr>
                      <m:t>量</m:t>
                    </m:r>
                    <m:ctrlPr>
                      <w:rPr>
                        <w:rFonts w:hint="default" w:ascii="Cambria Math" w:hAnsi="Cambria Math"/>
                        <w:i/>
                        <w:color w:val="000000" w:themeColor="text1"/>
                        <w:highlight w:val="none"/>
                        <w14:textFill>
                          <w14:solidFill>
                            <w14:schemeClr w14:val="tx1"/>
                          </w14:solidFill>
                        </w14:textFill>
                      </w:rPr>
                    </m:ctrlPr>
                  </m:sub>
                </m:sSub>
                <m:r>
                  <m:rPr/>
                  <w:rPr>
                    <w:rFonts w:hint="default" w:ascii="Cambria Math" w:hAnsi="Cambria Math"/>
                    <w:color w:val="000000" w:themeColor="text1"/>
                    <w:highlight w:val="none"/>
                    <w14:textFill>
                      <w14:solidFill>
                        <w14:schemeClr w14:val="tx1"/>
                      </w14:solidFill>
                    </w14:textFill>
                  </w:rPr>
                  <m:t>×</m:t>
                </m:r>
                <m:sSub>
                  <m:sSubPr>
                    <m:ctrlPr>
                      <w:rPr>
                        <w:rFonts w:hint="default" w:ascii="Cambria Math" w:hAnsi="Cambria Math"/>
                        <w:i/>
                        <w:color w:val="000000" w:themeColor="text1"/>
                        <w:highlight w:val="none"/>
                        <w14:textFill>
                          <w14:solidFill>
                            <w14:schemeClr w14:val="tx1"/>
                          </w14:solidFill>
                        </w14:textFill>
                      </w:rPr>
                    </m:ctrlPr>
                  </m:sSubPr>
                  <m:e>
                    <m:r>
                      <m:rPr/>
                      <w:rPr>
                        <w:rFonts w:hint="default" w:ascii="Cambria Math" w:hAnsi="Cambria Math"/>
                        <w:color w:val="000000" w:themeColor="text1"/>
                        <w:highlight w:val="none"/>
                        <w:lang w:val="en-US" w:eastAsia="zh-CN"/>
                        <w14:textFill>
                          <w14:solidFill>
                            <w14:schemeClr w14:val="tx1"/>
                          </w14:solidFill>
                        </w14:textFill>
                      </w:rPr>
                      <m:t>EF</m:t>
                    </m:r>
                    <m:ctrlPr>
                      <w:rPr>
                        <w:rFonts w:hint="default" w:ascii="Cambria Math" w:hAnsi="Cambria Math"/>
                        <w:i/>
                        <w:color w:val="000000" w:themeColor="text1"/>
                        <w:highlight w:val="none"/>
                        <w14:textFill>
                          <w14:solidFill>
                            <w14:schemeClr w14:val="tx1"/>
                          </w14:solidFill>
                        </w14:textFill>
                      </w:rPr>
                    </m:ctrlPr>
                  </m:e>
                  <m:sub>
                    <m:r>
                      <m:rPr/>
                      <w:rPr>
                        <w:rFonts w:hint="default" w:ascii="Cambria Math" w:hAnsi="Cambria Math"/>
                        <w:color w:val="000000" w:themeColor="text1"/>
                        <w:highlight w:val="none"/>
                        <w:lang w:val="en-US" w:eastAsia="zh-CN"/>
                        <w14:textFill>
                          <w14:solidFill>
                            <w14:schemeClr w14:val="tx1"/>
                          </w14:solidFill>
                        </w14:textFill>
                      </w:rPr>
                      <m:t>电力</m:t>
                    </m:r>
                    <m:ctrlPr>
                      <w:rPr>
                        <w:rFonts w:hint="default" w:ascii="Cambria Math" w:hAnsi="Cambria Math"/>
                        <w:i/>
                        <w:color w:val="000000" w:themeColor="text1"/>
                        <w:highlight w:val="none"/>
                        <w14:textFill>
                          <w14:solidFill>
                            <w14:schemeClr w14:val="tx1"/>
                          </w14:solidFill>
                        </w14:textFill>
                      </w:rPr>
                    </m:ctrlPr>
                  </m:sub>
                </m:sSub>
              </m:oMath>
            </m:oMathPara>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式中：</w:t>
            </w:r>
            <m:oMath>
              <m:sSub>
                <m:sSubPr>
                  <m:ctrlPr>
                    <w:rPr>
                      <w:rFonts w:hint="default" w:ascii="Cambria Math" w:hAnsi="Cambria Math"/>
                      <w:i/>
                      <w:color w:val="000000" w:themeColor="text1"/>
                      <w:highlight w:val="none"/>
                      <w14:textFill>
                        <w14:solidFill>
                          <w14:schemeClr w14:val="tx1"/>
                        </w14:solidFill>
                      </w14:textFill>
                    </w:rPr>
                  </m:ctrlPr>
                </m:sSubPr>
                <m:e>
                  <m:r>
                    <m:rPr/>
                    <w:rPr>
                      <w:rFonts w:hint="default" w:ascii="Cambria Math" w:hAnsi="Cambria Math"/>
                      <w:color w:val="000000" w:themeColor="text1"/>
                      <w:highlight w:val="none"/>
                      <w:lang w:val="en-US" w:eastAsia="zh-CN"/>
                      <w14:textFill>
                        <w14:solidFill>
                          <w14:schemeClr w14:val="tx1"/>
                        </w14:solidFill>
                      </w14:textFill>
                    </w:rPr>
                    <m:t>AE</m:t>
                  </m:r>
                  <m:ctrlPr>
                    <w:rPr>
                      <w:rFonts w:hint="default" w:ascii="Cambria Math" w:hAnsi="Cambria Math"/>
                      <w:i/>
                      <w:color w:val="000000" w:themeColor="text1"/>
                      <w:highlight w:val="none"/>
                      <w14:textFill>
                        <w14:solidFill>
                          <w14:schemeClr w14:val="tx1"/>
                        </w14:solidFill>
                      </w14:textFill>
                    </w:rPr>
                  </m:ctrlPr>
                </m:e>
                <m:sub>
                  <m:r>
                    <m:rPr/>
                    <w:rPr>
                      <w:rFonts w:hint="eastAsia" w:ascii="Cambria Math" w:hAnsi="Cambria Math"/>
                      <w:color w:val="000000" w:themeColor="text1"/>
                      <w:highlight w:val="none"/>
                      <w:lang w:val="en-US" w:eastAsia="zh-CN"/>
                      <w14:textFill>
                        <w14:solidFill>
                          <w14:schemeClr w14:val="tx1"/>
                        </w14:solidFill>
                      </w14:textFill>
                    </w:rPr>
                    <m:t>净</m:t>
                  </m:r>
                  <m:r>
                    <m:rPr/>
                    <w:rPr>
                      <w:rFonts w:hint="default" w:ascii="Cambria Math" w:hAnsi="Cambria Math"/>
                      <w:color w:val="000000" w:themeColor="text1"/>
                      <w:highlight w:val="none"/>
                      <w:lang w:val="en-US" w:eastAsia="zh-CN"/>
                      <w14:textFill>
                        <w14:solidFill>
                          <w14:schemeClr w14:val="tx1"/>
                        </w14:solidFill>
                      </w14:textFill>
                    </w:rPr>
                    <m:t>调入电力</m:t>
                  </m:r>
                  <m:ctrlPr>
                    <w:rPr>
                      <w:rFonts w:hint="default" w:ascii="Cambria Math" w:hAnsi="Cambria Math"/>
                      <w:i/>
                      <w:color w:val="000000" w:themeColor="text1"/>
                      <w:highlight w:val="none"/>
                      <w14:textFill>
                        <w14:solidFill>
                          <w14:schemeClr w14:val="tx1"/>
                        </w14:solidFill>
                      </w14:textFill>
                    </w:rPr>
                  </m:ctrlPr>
                </m:sub>
              </m:sSub>
            </m:oMath>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——净调入电力消耗量</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m:oMath>
              <m:sSub>
                <m:sSubPr>
                  <m:ctrlPr>
                    <w:rPr>
                      <w:rFonts w:hint="default" w:ascii="Cambria Math" w:hAnsi="Cambria Math"/>
                      <w:i/>
                      <w:color w:val="000000" w:themeColor="text1"/>
                      <w:highlight w:val="none"/>
                      <w14:textFill>
                        <w14:solidFill>
                          <w14:schemeClr w14:val="tx1"/>
                        </w14:solidFill>
                      </w14:textFill>
                    </w:rPr>
                  </m:ctrlPr>
                </m:sSubPr>
                <m:e>
                  <m:r>
                    <m:rPr/>
                    <w:rPr>
                      <w:rFonts w:hint="default" w:ascii="Cambria Math" w:hAnsi="Cambria Math"/>
                      <w:color w:val="000000" w:themeColor="text1"/>
                      <w:highlight w:val="none"/>
                      <w:lang w:val="en-US" w:eastAsia="zh-CN"/>
                      <w14:textFill>
                        <w14:solidFill>
                          <w14:schemeClr w14:val="tx1"/>
                        </w14:solidFill>
                      </w14:textFill>
                    </w:rPr>
                    <m:t>EF</m:t>
                  </m:r>
                  <m:ctrlPr>
                    <w:rPr>
                      <w:rFonts w:hint="default" w:ascii="Cambria Math" w:hAnsi="Cambria Math"/>
                      <w:i/>
                      <w:color w:val="000000" w:themeColor="text1"/>
                      <w:highlight w:val="none"/>
                      <w14:textFill>
                        <w14:solidFill>
                          <w14:schemeClr w14:val="tx1"/>
                        </w14:solidFill>
                      </w14:textFill>
                    </w:rPr>
                  </m:ctrlPr>
                </m:e>
                <m:sub>
                  <m:r>
                    <m:rPr/>
                    <w:rPr>
                      <w:rFonts w:hint="default" w:ascii="Cambria Math" w:hAnsi="Cambria Math"/>
                      <w:color w:val="000000" w:themeColor="text1"/>
                      <w:highlight w:val="none"/>
                      <w:lang w:val="en-US" w:eastAsia="zh-CN"/>
                      <w14:textFill>
                        <w14:solidFill>
                          <w14:schemeClr w14:val="tx1"/>
                        </w14:solidFill>
                      </w14:textFill>
                    </w:rPr>
                    <m:t>电力</m:t>
                  </m:r>
                  <m:ctrlPr>
                    <w:rPr>
                      <w:rFonts w:hint="default" w:ascii="Cambria Math" w:hAnsi="Cambria Math"/>
                      <w:i/>
                      <w:color w:val="000000" w:themeColor="text1"/>
                      <w:highlight w:val="none"/>
                      <w14:textFill>
                        <w14:solidFill>
                          <w14:schemeClr w14:val="tx1"/>
                        </w14:solidFill>
                      </w14:textFill>
                    </w:rPr>
                  </m:ctrlPr>
                </m:sub>
              </m:sSub>
            </m:oMath>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——电力排放因子（tCO</w:t>
            </w:r>
            <w:r>
              <w:rPr>
                <w:rFonts w:hint="default" w:ascii="Times New Roman" w:hAnsi="Times New Roman" w:eastAsia="宋体" w:cs="Times New Roman"/>
                <w:b w:val="0"/>
                <w:bCs w:val="0"/>
                <w:color w:val="000000" w:themeColor="text1"/>
                <w:sz w:val="24"/>
                <w:szCs w:val="24"/>
                <w:highlight w:val="none"/>
                <w:vertAlign w:val="subscript"/>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e/MWh），为0.581tCO</w:t>
            </w:r>
            <w:r>
              <w:rPr>
                <w:rFonts w:hint="default" w:ascii="Times New Roman" w:hAnsi="Times New Roman" w:eastAsia="宋体" w:cs="Times New Roman"/>
                <w:b w:val="0"/>
                <w:bCs w:val="0"/>
                <w:color w:val="000000" w:themeColor="text1"/>
                <w:sz w:val="24"/>
                <w:szCs w:val="24"/>
                <w:highlight w:val="none"/>
                <w:vertAlign w:val="subscript"/>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/MWh。</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80" w:firstLineChars="200"/>
              <w:jc w:val="left"/>
              <w:textAlignment w:val="auto"/>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pPr>
            <w:r>
              <w:rPr>
                <w:color w:val="000000" w:themeColor="text1"/>
                <w14:textFill>
                  <w14:solidFill>
                    <w14:schemeClr w14:val="tx1"/>
                  </w14:solidFill>
                </w14:textFill>
              </w:rPr>
              <w:drawing>
                <wp:inline distT="0" distB="0" distL="114300" distR="114300">
                  <wp:extent cx="1845945" cy="336550"/>
                  <wp:effectExtent l="0" t="0" r="1905" b="6350"/>
                  <wp:docPr id="18"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52"/>
                          <pic:cNvPicPr>
                            <a:picLocks noChangeAspect="1"/>
                          </pic:cNvPicPr>
                        </pic:nvPicPr>
                        <pic:blipFill>
                          <a:blip r:embed="rId118"/>
                          <a:srcRect l="24672" r="24659" b="18870"/>
                          <a:stretch>
                            <a:fillRect/>
                          </a:stretch>
                        </pic:blipFill>
                        <pic:spPr>
                          <a:xfrm>
                            <a:off x="0" y="0"/>
                            <a:ext cx="1845945" cy="336550"/>
                          </a:xfrm>
                          <a:prstGeom prst="rect">
                            <a:avLst/>
                          </a:prstGeom>
                          <a:noFill/>
                          <a:ln>
                            <a:noFill/>
                          </a:ln>
                        </pic:spPr>
                      </pic:pic>
                    </a:graphicData>
                  </a:graphic>
                </wp:inline>
              </w:drawing>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72" w:firstLineChars="200"/>
              <w:jc w:val="left"/>
              <w:textAlignment w:val="auto"/>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t xml:space="preserve"> 式中：</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72" w:firstLineChars="200"/>
              <w:jc w:val="left"/>
              <w:textAlignment w:val="auto"/>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t>i———燃料种类；</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72" w:firstLineChars="200"/>
              <w:jc w:val="left"/>
              <w:textAlignment w:val="auto"/>
              <w:rPr>
                <w:rFonts w:hint="eastAsia" w:cs="Times New Roman"/>
                <w:color w:val="000000" w:themeColor="text1"/>
                <w:spacing w:val="-2"/>
                <w:kern w:val="0"/>
                <w:sz w:val="24"/>
                <w:szCs w:val="24"/>
                <w:highlight w:val="none"/>
                <w:lang w:val="en-US" w:eastAsia="zh-CN" w:bidi="ar"/>
                <w14:textFill>
                  <w14:solidFill>
                    <w14:schemeClr w14:val="tx1"/>
                  </w14:solidFill>
                </w14:textFill>
              </w:rPr>
            </w:pPr>
            <w:r>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t>ADi 燃料—i 燃料燃烧消耗量（t或 kNm</w:t>
            </w:r>
            <w:r>
              <w:rPr>
                <w:rFonts w:hint="default" w:ascii="Times New Roman" w:hAnsi="Times New Roman" w:eastAsia="宋体" w:cs="Times New Roman"/>
                <w:color w:val="000000" w:themeColor="text1"/>
                <w:spacing w:val="-2"/>
                <w:kern w:val="0"/>
                <w:sz w:val="24"/>
                <w:szCs w:val="24"/>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t>）</w:t>
            </w:r>
            <w:r>
              <w:rPr>
                <w:rFonts w:hint="eastAsia" w:cs="Times New Roman"/>
                <w:color w:val="000000" w:themeColor="text1"/>
                <w:spacing w:val="-2"/>
                <w:kern w:val="0"/>
                <w:sz w:val="24"/>
                <w:szCs w:val="24"/>
                <w:highlight w:val="none"/>
                <w:lang w:val="en-US" w:eastAsia="zh-CN" w:bidi="ar"/>
                <w14:textFill>
                  <w14:solidFill>
                    <w14:schemeClr w14:val="tx1"/>
                  </w14:solidFill>
                </w14:textFill>
              </w:rPr>
              <w:t>；</w:t>
            </w:r>
          </w:p>
          <w:p>
            <w:pPr>
              <w:keepNext w:val="0"/>
              <w:keepLines w:val="0"/>
              <w:pageBreakBefore w:val="0"/>
              <w:widowControl/>
              <w:suppressLineNumbers w:val="0"/>
              <w:kinsoku/>
              <w:wordWrap/>
              <w:overflowPunct/>
              <w:topLinePunct w:val="0"/>
              <w:autoSpaceDE/>
              <w:autoSpaceDN/>
              <w:bidi w:val="0"/>
              <w:adjustRightInd/>
              <w:snapToGrid/>
              <w:spacing w:line="360" w:lineRule="auto"/>
              <w:ind w:firstLine="472" w:firstLineChars="200"/>
              <w:jc w:val="left"/>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t>EFi 燃料—i 燃料燃烧二氧化碳排放因子（tCO</w:t>
            </w:r>
            <w:r>
              <w:rPr>
                <w:rFonts w:hint="default" w:ascii="Times New Roman" w:hAnsi="Times New Roman" w:eastAsia="宋体" w:cs="Times New Roman"/>
                <w:color w:val="000000" w:themeColor="text1"/>
                <w:spacing w:val="-2"/>
                <w:kern w:val="0"/>
                <w:sz w:val="24"/>
                <w:szCs w:val="24"/>
                <w:highlight w:val="none"/>
                <w:vertAlign w:val="subscript"/>
                <w:lang w:val="en-US" w:eastAsia="zh-CN" w:bidi="ar"/>
                <w14:textFill>
                  <w14:solidFill>
                    <w14:schemeClr w14:val="tx1"/>
                  </w14:solidFill>
                </w14:textFill>
              </w:rPr>
              <w:t>2</w:t>
            </w:r>
            <w:r>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t>e/kg 或tCO</w:t>
            </w:r>
            <w:r>
              <w:rPr>
                <w:rFonts w:hint="default" w:ascii="Times New Roman" w:hAnsi="Times New Roman" w:eastAsia="宋体" w:cs="Times New Roman"/>
                <w:color w:val="000000" w:themeColor="text1"/>
                <w:spacing w:val="-2"/>
                <w:kern w:val="0"/>
                <w:sz w:val="24"/>
                <w:szCs w:val="24"/>
                <w:highlight w:val="none"/>
                <w:vertAlign w:val="subscript"/>
                <w:lang w:val="en-US" w:eastAsia="zh-CN" w:bidi="ar"/>
                <w14:textFill>
                  <w14:solidFill>
                    <w14:schemeClr w14:val="tx1"/>
                  </w14:solidFill>
                </w14:textFill>
              </w:rPr>
              <w:t>2</w:t>
            </w:r>
            <w:r>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t>e/kNm</w:t>
            </w:r>
            <w:r>
              <w:rPr>
                <w:rFonts w:hint="default" w:ascii="Times New Roman" w:hAnsi="Times New Roman" w:eastAsia="宋体" w:cs="Times New Roman"/>
                <w:color w:val="000000" w:themeColor="text1"/>
                <w:spacing w:val="-2"/>
                <w:kern w:val="0"/>
                <w:sz w:val="24"/>
                <w:szCs w:val="24"/>
                <w:highlight w:val="none"/>
                <w:vertAlign w:val="superscript"/>
                <w:lang w:val="en-US" w:eastAsia="zh-CN" w:bidi="ar"/>
                <w14:textFill>
                  <w14:solidFill>
                    <w14:schemeClr w14:val="tx1"/>
                  </w14:solidFill>
                </w14:textFill>
              </w:rPr>
              <w:t>3</w:t>
            </w:r>
            <w:r>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t>）</w:t>
            </w:r>
            <w:r>
              <w:rPr>
                <w:rFonts w:hint="eastAsia" w:cs="Times New Roman"/>
                <w:color w:val="000000" w:themeColor="text1"/>
                <w:spacing w:val="-2"/>
                <w:kern w:val="0"/>
                <w:sz w:val="24"/>
                <w:szCs w:val="24"/>
                <w:highlight w:val="none"/>
                <w:lang w:val="en-US" w:eastAsia="zh-CN" w:bidi="ar"/>
                <w14:textFill>
                  <w14:solidFill>
                    <w14:schemeClr w14:val="tx1"/>
                  </w14:solidFill>
                </w14:textFill>
              </w:rPr>
              <w:t>，为3.096t</w:t>
            </w:r>
            <w:r>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t>CO</w:t>
            </w:r>
            <w:r>
              <w:rPr>
                <w:rFonts w:hint="default" w:ascii="Times New Roman" w:hAnsi="Times New Roman" w:eastAsia="宋体" w:cs="Times New Roman"/>
                <w:color w:val="000000" w:themeColor="text1"/>
                <w:spacing w:val="-2"/>
                <w:kern w:val="0"/>
                <w:sz w:val="24"/>
                <w:szCs w:val="24"/>
                <w:highlight w:val="none"/>
                <w:vertAlign w:val="subscript"/>
                <w:lang w:val="en-US" w:eastAsia="zh-CN" w:bidi="ar"/>
                <w14:textFill>
                  <w14:solidFill>
                    <w14:schemeClr w14:val="tx1"/>
                  </w14:solidFill>
                </w14:textFill>
              </w:rPr>
              <w:t>2</w:t>
            </w:r>
            <w:r>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t>/</w:t>
            </w:r>
            <w:r>
              <w:rPr>
                <w:rFonts w:hint="eastAsia" w:cs="Times New Roman"/>
                <w:color w:val="000000" w:themeColor="text1"/>
                <w:spacing w:val="-2"/>
                <w:kern w:val="0"/>
                <w:sz w:val="24"/>
                <w:szCs w:val="24"/>
                <w:highlight w:val="none"/>
                <w:lang w:val="en-US" w:eastAsia="zh-CN" w:bidi="ar"/>
                <w14:textFill>
                  <w14:solidFill>
                    <w14:schemeClr w14:val="tx1"/>
                  </w14:solidFill>
                </w14:textFill>
              </w:rPr>
              <w:t>t</w:t>
            </w:r>
            <w:r>
              <w:rPr>
                <w:rFonts w:hint="default" w:ascii="Times New Roman" w:hAnsi="Times New Roman" w:eastAsia="宋体" w:cs="Times New Roman"/>
                <w:color w:val="000000" w:themeColor="text1"/>
                <w:spacing w:val="-2"/>
                <w:kern w:val="0"/>
                <w:sz w:val="24"/>
                <w:szCs w:val="24"/>
                <w:highlight w:val="none"/>
                <w:lang w:val="en-US" w:eastAsia="zh-CN" w:bidi="ar"/>
                <w14:textFill>
                  <w14:solidFill>
                    <w14:schemeClr w14:val="tx1"/>
                  </w14:solidFill>
                </w14:textFill>
              </w:rPr>
              <w:t>；</w:t>
            </w:r>
          </w:p>
          <w:p>
            <w:pPr>
              <w:keepNext w:val="0"/>
              <w:keepLines w:val="0"/>
              <w:pageBreakBefore w:val="0"/>
              <w:suppressLineNumbers w:val="0"/>
              <w:kinsoku/>
              <w:wordWrap/>
              <w:overflowPunct/>
              <w:topLinePunct w:val="0"/>
              <w:autoSpaceDE/>
              <w:autoSpaceDN/>
              <w:bidi w:val="0"/>
              <w:spacing w:before="0" w:beforeAutospacing="0" w:after="0" w:afterAutospacing="0" w:line="360" w:lineRule="auto"/>
              <w:ind w:left="0" w:right="0" w:firstLine="480" w:firstLineChars="200"/>
              <w:rPr>
                <w:rFonts w:hint="default" w:ascii="Times New Roman" w:hAnsi="Times New Roman" w:eastAsia="宋体" w:cs="Times New Roman"/>
                <w:color w:val="000000" w:themeColor="text1"/>
                <w:sz w:val="24"/>
                <w:szCs w:val="24"/>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本项目30</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0</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万kWh/a（</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3000</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MWh），净调入电力消耗碳排放量</w:t>
            </w: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1743</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tCO</w:t>
            </w:r>
            <w:r>
              <w:rPr>
                <w:rFonts w:hint="default" w:ascii="Times New Roman" w:hAnsi="Times New Roman" w:eastAsia="宋体" w:cs="Times New Roman"/>
                <w:b w:val="0"/>
                <w:bCs w:val="0"/>
                <w:color w:val="000000" w:themeColor="text1"/>
                <w:sz w:val="24"/>
                <w:szCs w:val="24"/>
                <w:highlight w:val="none"/>
                <w:vertAlign w:val="subscript"/>
                <w:lang w:val="en-US" w:eastAsia="zh-CN"/>
                <w14:textFill>
                  <w14:solidFill>
                    <w14:schemeClr w14:val="tx1"/>
                  </w14:solidFill>
                </w14:textFill>
              </w:rPr>
              <w:t>2</w:t>
            </w:r>
            <w:r>
              <w:rPr>
                <w:rFonts w:hint="eastAsia"/>
                <w:color w:val="000000" w:themeColor="text1"/>
                <w:sz w:val="24"/>
                <w:szCs w:val="24"/>
                <w:highlight w:val="none"/>
                <w:vertAlign w:val="baseline"/>
                <w:lang w:eastAsia="zh-CN"/>
                <w14:textFill>
                  <w14:solidFill>
                    <w14:schemeClr w14:val="tx1"/>
                  </w14:solidFill>
                </w14:textFill>
              </w:rPr>
              <w:t>；</w:t>
            </w:r>
            <w:r>
              <w:rPr>
                <w:rFonts w:hint="eastAsia"/>
                <w:color w:val="000000" w:themeColor="text1"/>
                <w:sz w:val="24"/>
                <w:szCs w:val="24"/>
                <w:highlight w:val="none"/>
                <w:vertAlign w:val="baseline"/>
                <w:lang w:val="en-US" w:eastAsia="zh-CN"/>
                <w14:textFill>
                  <w14:solidFill>
                    <w14:schemeClr w14:val="tx1"/>
                  </w14:solidFill>
                </w14:textFill>
              </w:rPr>
              <w:t>柴油消耗约17.5t，柴油消耗碳排放量为54.18</w:t>
            </w:r>
            <w:r>
              <w:rPr>
                <w:rFonts w:hint="eastAsia"/>
                <w:color w:val="000000" w:themeColor="text1"/>
                <w:sz w:val="24"/>
                <w:szCs w:val="24"/>
                <w:highlight w:val="none"/>
                <w14:textFill>
                  <w14:solidFill>
                    <w14:schemeClr w14:val="tx1"/>
                  </w14:solidFill>
                </w14:textFill>
              </w:rPr>
              <w:t>tCO</w:t>
            </w:r>
            <w:r>
              <w:rPr>
                <w:rFonts w:hint="eastAsia"/>
                <w:color w:val="000000" w:themeColor="text1"/>
                <w:sz w:val="24"/>
                <w:szCs w:val="24"/>
                <w:highlight w:val="none"/>
                <w:vertAlign w:val="subscript"/>
                <w14:textFill>
                  <w14:solidFill>
                    <w14:schemeClr w14:val="tx1"/>
                  </w14:solidFill>
                </w14:textFill>
              </w:rPr>
              <w:t>2</w:t>
            </w:r>
            <w:r>
              <w:rPr>
                <w:rFonts w:hint="eastAsia" w:ascii="Times New Roman" w:hAnsi="Times New Roman" w:eastAsia="宋体" w:cs="Times New Roman"/>
                <w:color w:val="000000" w:themeColor="text1"/>
                <w:sz w:val="24"/>
                <w:szCs w:val="24"/>
                <w:lang w:val="en-US"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针对项目碳排放，采取如下碳减排措施：</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(1)采用节能电气化设施：项目生产用风机、照明灯全部采用节能设施，降低能源消耗，根据设计资料及工程分析，项目综合能耗均满足清洁生产要求和单位产品能源消耗限额要求；</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(2)本项目所用能源主要为电能，不允许企业自行建设燃煤机组，通过合理的平面布置，各工序之间的有效衔接；</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(3)建立健全的能源管理机构和管理制度，定期开展清洁生产审核以及节能减排等活动；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(4)企业应按照要求定期对项目污染物进行监测，污染物浓度必须满足本环评要求，且随时按照最新要求更换治理设备或满足最新排放标准；</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(5)企业需与当地危险废物处置单位签订危废处置协议，保证100%的危险废物处置率。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Cs/>
                <w:color w:val="000000" w:themeColor="text1"/>
                <w:spacing w:val="4"/>
                <w:kern w:val="0"/>
                <w:sz w:val="24"/>
                <w:szCs w:val="24"/>
                <w:highlight w:val="none"/>
                <w:lang w:val="en-US" w:eastAsia="zh-CN"/>
                <w14:textFill>
                  <w14:solidFill>
                    <w14:schemeClr w14:val="tx1"/>
                  </w14:solidFill>
                </w14:textFill>
              </w:rPr>
            </w:pPr>
            <w:r>
              <w:rPr>
                <w:rFonts w:hint="eastAsia"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采用减碳措施，最大限度的减少生产过程中碳排放。项目建成实施后，应按照国家相关要求，定期开展节能审核和清洁生产审核，挖潜节能降耗减碳等先进生产技术，进一步减少碳的排放。同时，根据国家及地方关于碳排放相关文件、要求，履行相关手续。</w:t>
            </w:r>
          </w:p>
        </w:tc>
      </w:tr>
    </w:tbl>
    <w:p>
      <w:pPr>
        <w:bidi w:val="0"/>
        <w:rPr>
          <w:rFonts w:hint="default" w:ascii="Times New Roman" w:hAnsi="Times New Roman" w:cs="Times New Roman"/>
          <w:color w:val="000000" w:themeColor="text1"/>
          <w:highlight w:val="none"/>
          <w14:textFill>
            <w14:solidFill>
              <w14:schemeClr w14:val="tx1"/>
            </w14:solidFill>
          </w14:textFill>
        </w:rPr>
        <w:sectPr>
          <w:pgSz w:w="11905" w:h="16838"/>
          <w:pgMar w:top="1440" w:right="1587" w:bottom="1440" w:left="1587" w:header="851" w:footer="850" w:gutter="0"/>
          <w:pgBorders>
            <w:top w:val="none" w:sz="0" w:space="0"/>
            <w:left w:val="none" w:sz="0" w:space="0"/>
            <w:bottom w:val="none" w:sz="0" w:space="0"/>
            <w:right w:val="none" w:sz="0" w:space="0"/>
          </w:pgBorders>
          <w:pgNumType w:fmt="decimal"/>
          <w:cols w:space="0" w:num="1"/>
          <w:rtlGutter w:val="0"/>
          <w:docGrid w:linePitch="312" w:charSpace="0"/>
        </w:sectPr>
      </w:pPr>
    </w:p>
    <w:p>
      <w:pPr>
        <w:pStyle w:val="2"/>
        <w:bidi w:val="0"/>
        <w:jc w:val="center"/>
        <w:rPr>
          <w:rFonts w:hint="default" w:ascii="Times New Roman" w:hAnsi="Times New Roman" w:cs="Times New Roman"/>
          <w:color w:val="000000" w:themeColor="text1"/>
          <w:highlight w:val="none"/>
          <w14:textFill>
            <w14:solidFill>
              <w14:schemeClr w14:val="tx1"/>
            </w14:solidFill>
          </w14:textFill>
        </w:rPr>
      </w:pPr>
      <w:r>
        <w:rPr>
          <w:rFonts w:hint="default" w:ascii="黑体" w:hAnsi="黑体" w:eastAsia="黑体" w:cs="黑体"/>
          <w:b w:val="0"/>
          <w:bCs w:val="0"/>
          <w:color w:val="000000" w:themeColor="text1"/>
          <w:sz w:val="30"/>
          <w:szCs w:val="30"/>
          <w:highlight w:val="none"/>
          <w14:textFill>
            <w14:solidFill>
              <w14:schemeClr w14:val="tx1"/>
            </w14:solidFill>
          </w14:textFill>
        </w:rPr>
        <w:t>五、</w:t>
      </w:r>
      <w:bookmarkStart w:id="1" w:name="_Hlk54167917"/>
      <w:r>
        <w:rPr>
          <w:rFonts w:hint="default" w:ascii="黑体" w:hAnsi="黑体" w:eastAsia="黑体" w:cs="黑体"/>
          <w:b w:val="0"/>
          <w:bCs w:val="0"/>
          <w:color w:val="000000" w:themeColor="text1"/>
          <w:sz w:val="30"/>
          <w:szCs w:val="30"/>
          <w:highlight w:val="none"/>
          <w14:textFill>
            <w14:solidFill>
              <w14:schemeClr w14:val="tx1"/>
            </w14:solidFill>
          </w14:textFill>
        </w:rPr>
        <w:t>环境保护措施监督检查清单</w:t>
      </w:r>
      <w:bookmarkEnd w:id="1"/>
    </w:p>
    <w:tbl>
      <w:tblPr>
        <w:tblStyle w:val="31"/>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13"/>
        <w:gridCol w:w="1693"/>
        <w:gridCol w:w="1057"/>
        <w:gridCol w:w="1266"/>
        <w:gridCol w:w="371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3" w:type="dxa"/>
            <w:tcBorders>
              <w:tl2br w:val="single" w:color="auto" w:sz="4" w:space="0"/>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482" w:firstLineChars="200"/>
              <w:jc w:val="center"/>
              <w:textAlignment w:val="auto"/>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zCs w:val="21"/>
                <w:highlight w:val="none"/>
                <w14:textFill>
                  <w14:solidFill>
                    <w14:schemeClr w14:val="tx1"/>
                  </w14:solidFill>
                </w14:textFill>
              </w:rPr>
              <w:t>内容</w:t>
            </w:r>
          </w:p>
          <w:p>
            <w:pPr>
              <w:keepNext w:val="0"/>
              <w:keepLines w:val="0"/>
              <w:pageBreakBefore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zCs w:val="21"/>
                <w:highlight w:val="none"/>
                <w14:textFill>
                  <w14:solidFill>
                    <w14:schemeClr w14:val="tx1"/>
                  </w14:solidFill>
                </w14:textFill>
              </w:rPr>
              <w:t>要素</w:t>
            </w:r>
          </w:p>
        </w:tc>
        <w:tc>
          <w:tcPr>
            <w:tcW w:w="169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zCs w:val="21"/>
                <w:highlight w:val="none"/>
                <w14:textFill>
                  <w14:solidFill>
                    <w14:schemeClr w14:val="tx1"/>
                  </w14:solidFill>
                </w14:textFill>
              </w:rPr>
              <w:t>排放口(编号、</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zCs w:val="21"/>
                <w:highlight w:val="none"/>
                <w14:textFill>
                  <w14:solidFill>
                    <w14:schemeClr w14:val="tx1"/>
                  </w14:solidFill>
                </w14:textFill>
              </w:rPr>
              <w:t>名称)/污染源</w:t>
            </w:r>
          </w:p>
        </w:tc>
        <w:tc>
          <w:tcPr>
            <w:tcW w:w="1057"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zCs w:val="21"/>
                <w:highlight w:val="none"/>
                <w14:textFill>
                  <w14:solidFill>
                    <w14:schemeClr w14:val="tx1"/>
                  </w14:solidFill>
                </w14:textFill>
              </w:rPr>
              <w:t>污染物项目</w:t>
            </w:r>
          </w:p>
        </w:tc>
        <w:tc>
          <w:tcPr>
            <w:tcW w:w="1266"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zCs w:val="21"/>
                <w:highlight w:val="none"/>
                <w14:textFill>
                  <w14:solidFill>
                    <w14:schemeClr w14:val="tx1"/>
                  </w14:solidFill>
                </w14:textFill>
              </w:rPr>
              <w:t>环境保护措施</w:t>
            </w:r>
          </w:p>
        </w:tc>
        <w:tc>
          <w:tcPr>
            <w:tcW w:w="3718"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zCs w:val="21"/>
                <w:highlight w:val="none"/>
                <w14:textFill>
                  <w14:solidFill>
                    <w14:schemeClr w14:val="tx1"/>
                  </w14:solidFill>
                </w14:textFill>
              </w:rPr>
            </w:pPr>
            <w:r>
              <w:rPr>
                <w:rFonts w:hint="default" w:ascii="Times New Roman" w:hAnsi="Times New Roman" w:eastAsia="宋体" w:cs="Times New Roman"/>
                <w:b/>
                <w:bCs/>
                <w:color w:val="000000" w:themeColor="text1"/>
                <w:szCs w:val="21"/>
                <w:highlight w:val="none"/>
                <w14:textFill>
                  <w14:solidFill>
                    <w14:schemeClr w14:val="tx1"/>
                  </w14:solidFill>
                </w14:textFill>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1"/>
                <w:szCs w:val="18"/>
                <w:highlight w:val="none"/>
                <w:lang w:val="en-US" w:eastAsia="zh-CN"/>
                <w14:textFill>
                  <w14:solidFill>
                    <w14:schemeClr w14:val="tx1"/>
                  </w14:solidFill>
                </w14:textFill>
              </w:rPr>
            </w:pPr>
            <w:r>
              <w:rPr>
                <w:rFonts w:hint="default" w:ascii="Times New Roman" w:hAnsi="Times New Roman" w:cs="Times New Roman"/>
                <w:b/>
                <w:bCs/>
                <w:color w:val="000000" w:themeColor="text1"/>
                <w:sz w:val="21"/>
                <w:szCs w:val="18"/>
                <w:highlight w:val="none"/>
                <w:lang w:val="en-US" w:eastAsia="zh-CN"/>
                <w14:textFill>
                  <w14:solidFill>
                    <w14:schemeClr w14:val="tx1"/>
                  </w14:solidFill>
                </w14:textFill>
              </w:rPr>
              <w:t>大气环境</w:t>
            </w:r>
          </w:p>
        </w:tc>
        <w:tc>
          <w:tcPr>
            <w:tcW w:w="1693"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原料暂存</w:t>
            </w:r>
          </w:p>
        </w:tc>
        <w:tc>
          <w:tcPr>
            <w:tcW w:w="1057"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颗粒物</w:t>
            </w:r>
          </w:p>
        </w:tc>
        <w:tc>
          <w:tcPr>
            <w:tcW w:w="1266" w:type="dxa"/>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上方设置喷淋装置处理后排放</w:t>
            </w:r>
          </w:p>
        </w:tc>
        <w:tc>
          <w:tcPr>
            <w:tcW w:w="3718" w:type="dxa"/>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《大气污染物综合排放标准》（GB16297-1996）中表2无组织排放监控浓度限值</w:t>
            </w:r>
            <w:r>
              <w:rPr>
                <w:rFonts w:hint="eastAsia" w:cs="Times New Roman"/>
                <w:color w:val="000000" w:themeColor="text1"/>
                <w:sz w:val="21"/>
                <w:szCs w:val="21"/>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mg/m³以及《秦皇岛市人民政府办公室关于执行钢铁等行业大气污染物排放特别要求的通知》（2021-10）中无组织排放浓度特别管控要求，即0.3mg/m³</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3" w:type="dxa"/>
            <w:vMerge w:val="restart"/>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1"/>
                <w:szCs w:val="18"/>
                <w:highlight w:val="none"/>
                <w:lang w:val="en-US" w:eastAsia="zh-CN"/>
                <w14:textFill>
                  <w14:solidFill>
                    <w14:schemeClr w14:val="tx1"/>
                  </w14:solidFill>
                </w14:textFill>
              </w:rPr>
            </w:pPr>
            <w:r>
              <w:rPr>
                <w:rFonts w:hint="default" w:ascii="Times New Roman" w:hAnsi="Times New Roman" w:cs="Times New Roman"/>
                <w:b/>
                <w:bCs/>
                <w:color w:val="000000" w:themeColor="text1"/>
                <w:sz w:val="21"/>
                <w:szCs w:val="18"/>
                <w:highlight w:val="none"/>
                <w:lang w:val="en-US" w:eastAsia="zh-CN"/>
                <w14:textFill>
                  <w14:solidFill>
                    <w14:schemeClr w14:val="tx1"/>
                  </w14:solidFill>
                </w14:textFill>
              </w:rPr>
              <w:t>水环境</w:t>
            </w:r>
          </w:p>
        </w:tc>
        <w:tc>
          <w:tcPr>
            <w:tcW w:w="1693"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炉渣工序用水、清洗地面用水、喷淋用水</w:t>
            </w:r>
          </w:p>
        </w:tc>
        <w:tc>
          <w:tcPr>
            <w:tcW w:w="1057"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COD、氨氮、SS</w:t>
            </w:r>
          </w:p>
        </w:tc>
        <w:tc>
          <w:tcPr>
            <w:tcW w:w="1266" w:type="dxa"/>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highlight w:val="none"/>
                <w:lang w:val="en-US" w:eastAsia="zh-CN"/>
                <w14:textFill>
                  <w14:solidFill>
                    <w14:schemeClr w14:val="tx1"/>
                  </w14:solidFill>
                </w14:textFill>
              </w:rPr>
              <w:t>沉淀池处理后回用不外排</w:t>
            </w:r>
          </w:p>
        </w:tc>
        <w:tc>
          <w:tcPr>
            <w:tcW w:w="3718" w:type="dxa"/>
            <w:vMerge w:val="restart"/>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3" w:type="dxa"/>
            <w:vMerge w:val="continue"/>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b/>
                <w:bCs/>
                <w:color w:val="000000" w:themeColor="text1"/>
                <w:sz w:val="21"/>
                <w:szCs w:val="18"/>
                <w:highlight w:val="none"/>
                <w:lang w:val="en-US" w:eastAsia="zh-CN"/>
                <w14:textFill>
                  <w14:solidFill>
                    <w14:schemeClr w14:val="tx1"/>
                  </w14:solidFill>
                </w14:textFill>
              </w:rPr>
            </w:pPr>
          </w:p>
        </w:tc>
        <w:tc>
          <w:tcPr>
            <w:tcW w:w="1693"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生活用水</w:t>
            </w:r>
          </w:p>
        </w:tc>
        <w:tc>
          <w:tcPr>
            <w:tcW w:w="1057"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COD、氨氮、SS</w:t>
            </w:r>
          </w:p>
        </w:tc>
        <w:tc>
          <w:tcPr>
            <w:tcW w:w="1266" w:type="dxa"/>
            <w:noWrap w:val="0"/>
            <w:vAlign w:val="center"/>
          </w:tcPr>
          <w:p>
            <w:pPr>
              <w:keepNext w:val="0"/>
              <w:keepLines w:val="0"/>
              <w:pageBreakBefore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进化粪池处理后定期</w:t>
            </w:r>
            <w:r>
              <w:rPr>
                <w:rFonts w:hint="eastAsia" w:cs="Times New Roman" w:eastAsiaTheme="minorEastAsia"/>
                <w:color w:val="000000" w:themeColor="text1"/>
                <w:sz w:val="21"/>
                <w:szCs w:val="21"/>
                <w:highlight w:val="none"/>
                <w:lang w:val="en-US" w:eastAsia="zh-CN"/>
                <w14:textFill>
                  <w14:solidFill>
                    <w14:schemeClr w14:val="tx1"/>
                  </w14:solidFill>
                </w14:textFill>
              </w:rPr>
              <w:t>由清污车清运</w:t>
            </w:r>
          </w:p>
        </w:tc>
        <w:tc>
          <w:tcPr>
            <w:tcW w:w="3718" w:type="dxa"/>
            <w:vMerge w:val="continue"/>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1"/>
                <w:szCs w:val="18"/>
                <w:highlight w:val="none"/>
                <w14:textFill>
                  <w14:solidFill>
                    <w14:schemeClr w14:val="tx1"/>
                  </w14:solidFill>
                </w14:textFill>
              </w:rPr>
            </w:pPr>
            <w:r>
              <w:rPr>
                <w:rFonts w:hint="default" w:ascii="Times New Roman" w:hAnsi="Times New Roman" w:eastAsia="宋体" w:cs="Times New Roman"/>
                <w:b/>
                <w:bCs/>
                <w:color w:val="000000" w:themeColor="text1"/>
                <w:sz w:val="21"/>
                <w:szCs w:val="18"/>
                <w:highlight w:val="none"/>
                <w14:textFill>
                  <w14:solidFill>
                    <w14:schemeClr w14:val="tx1"/>
                  </w14:solidFill>
                </w14:textFill>
              </w:rPr>
              <w:t>声环境</w:t>
            </w:r>
          </w:p>
        </w:tc>
        <w:tc>
          <w:tcPr>
            <w:tcW w:w="1693"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车间</w:t>
            </w:r>
          </w:p>
        </w:tc>
        <w:tc>
          <w:tcPr>
            <w:tcW w:w="1057"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等效A声级</w:t>
            </w:r>
          </w:p>
        </w:tc>
        <w:tc>
          <w:tcPr>
            <w:tcW w:w="1266"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建筑隔声、距离衰减、安装减振基础</w:t>
            </w:r>
          </w:p>
        </w:tc>
        <w:tc>
          <w:tcPr>
            <w:tcW w:w="3718" w:type="dxa"/>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《工业企业厂界环境噪声排放标准》(GB12348—2008)中的</w:t>
            </w:r>
            <w:r>
              <w:rPr>
                <w:rFonts w:hint="eastAsia" w:cs="Times New Roman"/>
                <w:color w:val="000000" w:themeColor="text1"/>
                <w:sz w:val="21"/>
                <w:szCs w:val="21"/>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类标准</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，昼间≤</w:t>
            </w:r>
            <w:r>
              <w:rPr>
                <w:rFonts w:hint="eastAsia" w:cs="Times New Roman"/>
                <w:color w:val="000000" w:themeColor="text1"/>
                <w:sz w:val="21"/>
                <w:szCs w:val="21"/>
                <w:highlight w:val="none"/>
                <w:lang w:val="en-US" w:eastAsia="zh-CN"/>
                <w14:textFill>
                  <w14:solidFill>
                    <w14:schemeClr w14:val="tx1"/>
                  </w14:solidFill>
                </w14:textFill>
              </w:rPr>
              <w:t>60</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dB(A)</w:t>
            </w:r>
            <w:r>
              <w:rPr>
                <w:rFonts w:hint="eastAsia" w:cs="Times New Roman"/>
                <w:color w:val="000000" w:themeColor="text1"/>
                <w:sz w:val="21"/>
                <w:szCs w:val="21"/>
                <w:highlight w:val="none"/>
                <w:lang w:val="en-US" w:eastAsia="zh-CN"/>
                <w14:textFill>
                  <w14:solidFill>
                    <w14:schemeClr w14:val="tx1"/>
                  </w14:solidFill>
                </w14:textFill>
              </w:rPr>
              <w:t>，夜间不生产</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1"/>
                <w:szCs w:val="18"/>
                <w:highlight w:val="none"/>
                <w14:textFill>
                  <w14:solidFill>
                    <w14:schemeClr w14:val="tx1"/>
                  </w14:solidFill>
                </w14:textFill>
              </w:rPr>
            </w:pPr>
            <w:r>
              <w:rPr>
                <w:rFonts w:hint="default" w:ascii="Times New Roman" w:hAnsi="Times New Roman" w:eastAsia="宋体" w:cs="Times New Roman"/>
                <w:b/>
                <w:bCs/>
                <w:color w:val="000000" w:themeColor="text1"/>
                <w:sz w:val="21"/>
                <w:szCs w:val="18"/>
                <w:highlight w:val="none"/>
                <w14:textFill>
                  <w14:solidFill>
                    <w14:schemeClr w14:val="tx1"/>
                  </w14:solidFill>
                </w14:textFill>
              </w:rPr>
              <w:t>电磁辐射</w:t>
            </w:r>
          </w:p>
        </w:tc>
        <w:tc>
          <w:tcPr>
            <w:tcW w:w="7734" w:type="dxa"/>
            <w:gridSpan w:val="4"/>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不涉及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1"/>
                <w:szCs w:val="18"/>
                <w:highlight w:val="none"/>
                <w14:textFill>
                  <w14:solidFill>
                    <w14:schemeClr w14:val="tx1"/>
                  </w14:solidFill>
                </w14:textFill>
              </w:rPr>
            </w:pPr>
            <w:r>
              <w:rPr>
                <w:rFonts w:hint="default" w:ascii="Times New Roman" w:hAnsi="Times New Roman" w:eastAsia="宋体" w:cs="Times New Roman"/>
                <w:b/>
                <w:bCs/>
                <w:color w:val="000000" w:themeColor="text1"/>
                <w:sz w:val="21"/>
                <w:szCs w:val="18"/>
                <w:highlight w:val="none"/>
                <w14:textFill>
                  <w14:solidFill>
                    <w14:schemeClr w14:val="tx1"/>
                  </w14:solidFill>
                </w14:textFill>
              </w:rPr>
              <w:t>固体废物</w:t>
            </w:r>
          </w:p>
        </w:tc>
        <w:tc>
          <w:tcPr>
            <w:tcW w:w="7734" w:type="dxa"/>
            <w:gridSpan w:val="4"/>
            <w:noWrap w:val="0"/>
            <w:vAlign w:val="center"/>
          </w:tcPr>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ascii="Times New Roman" w:hAnsi="Times New Roman" w:eastAsia="宋体" w:cs="Times New Roman"/>
                <w:color w:val="000000" w:themeColor="text1"/>
                <w:sz w:val="21"/>
                <w:szCs w:val="21"/>
                <w:highlight w:val="none"/>
                <w:lang w:val="en-US"/>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一般工业固体废物满足防渗漏、防扬散、防雨淋要求；</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危险废物</w:t>
            </w:r>
            <w:r>
              <w:rPr>
                <w:rFonts w:hint="eastAsia" w:cs="Times New Roman"/>
                <w:color w:val="000000" w:themeColor="text1"/>
                <w:sz w:val="21"/>
                <w:szCs w:val="21"/>
                <w:highlight w:val="none"/>
                <w:lang w:val="en-US" w:eastAsia="zh-CN"/>
                <w14:textFill>
                  <w14:solidFill>
                    <w14:schemeClr w14:val="tx1"/>
                  </w14:solidFill>
                </w14:textFill>
              </w:rPr>
              <w:t>废润滑油桶、废润滑油</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处置执行《危险废物贮存污染控制标准》（GB18597-2001）及修改单规定</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1"/>
                <w:szCs w:val="18"/>
                <w:highlight w:val="none"/>
                <w14:textFill>
                  <w14:solidFill>
                    <w14:schemeClr w14:val="tx1"/>
                  </w14:solidFill>
                </w14:textFill>
              </w:rPr>
            </w:pPr>
            <w:r>
              <w:rPr>
                <w:rFonts w:hint="default" w:ascii="Times New Roman" w:hAnsi="Times New Roman" w:eastAsia="宋体" w:cs="Times New Roman"/>
                <w:b/>
                <w:bCs/>
                <w:color w:val="000000" w:themeColor="text1"/>
                <w:sz w:val="21"/>
                <w:szCs w:val="18"/>
                <w:highlight w:val="none"/>
                <w14:textFill>
                  <w14:solidFill>
                    <w14:schemeClr w14:val="tx1"/>
                  </w14:solidFill>
                </w14:textFill>
              </w:rPr>
              <w:t>土壤及地下水污染防治措施</w:t>
            </w:r>
          </w:p>
        </w:tc>
        <w:tc>
          <w:tcPr>
            <w:tcW w:w="7734" w:type="dxa"/>
            <w:gridSpan w:val="4"/>
            <w:noWrap w:val="0"/>
            <w:vAlign w:val="center"/>
          </w:tcPr>
          <w:p>
            <w:pPr>
              <w:keepNext w:val="0"/>
              <w:keepLines w:val="0"/>
              <w:pageBreakBefore w:val="0"/>
              <w:kinsoku/>
              <w:wordWrap/>
              <w:overflowPunct/>
              <w:topLinePunct w:val="0"/>
              <w:autoSpaceDE/>
              <w:autoSpaceDN/>
              <w:bidi w:val="0"/>
              <w:spacing w:line="240" w:lineRule="auto"/>
              <w:ind w:firstLine="420" w:firstLineChars="200"/>
              <w:jc w:val="both"/>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危废间位于车间内，均做防腐防渗措施，车间及厂区内道路均做硬化措施</w:t>
            </w:r>
            <w:r>
              <w:rPr>
                <w:rFonts w:hint="default" w:ascii="Times New Roman" w:hAnsi="Times New Roman" w:cs="Times New Roman"/>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不会对土壤及地下水造成污染。</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z w:val="21"/>
                <w:szCs w:val="18"/>
                <w:highlight w:val="none"/>
                <w14:textFill>
                  <w14:solidFill>
                    <w14:schemeClr w14:val="tx1"/>
                  </w14:solidFill>
                </w14:textFill>
              </w:rPr>
            </w:pPr>
            <w:r>
              <w:rPr>
                <w:rFonts w:hint="default" w:ascii="Times New Roman" w:hAnsi="Times New Roman" w:eastAsia="宋体" w:cs="Times New Roman"/>
                <w:b/>
                <w:bCs/>
                <w:color w:val="000000" w:themeColor="text1"/>
                <w:sz w:val="21"/>
                <w:szCs w:val="18"/>
                <w:highlight w:val="none"/>
                <w14:textFill>
                  <w14:solidFill>
                    <w14:schemeClr w14:val="tx1"/>
                  </w14:solidFill>
                </w14:textFill>
              </w:rPr>
              <w:t>生态保护措施</w:t>
            </w:r>
          </w:p>
        </w:tc>
        <w:tc>
          <w:tcPr>
            <w:tcW w:w="7734" w:type="dxa"/>
            <w:gridSpan w:val="4"/>
            <w:noWrap w:val="0"/>
            <w:vAlign w:val="center"/>
          </w:tcPr>
          <w:p>
            <w:pPr>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213" w:type="dxa"/>
            <w:noWrap w:val="0"/>
            <w:vAlign w:val="center"/>
          </w:tcPr>
          <w:p>
            <w:pPr>
              <w:pStyle w:val="3"/>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color w:val="000000" w:themeColor="text1"/>
                <w:sz w:val="21"/>
                <w:szCs w:val="18"/>
                <w:highlight w:val="none"/>
                <w14:textFill>
                  <w14:solidFill>
                    <w14:schemeClr w14:val="tx1"/>
                  </w14:solidFill>
                </w14:textFill>
              </w:rPr>
            </w:pPr>
            <w:r>
              <w:rPr>
                <w:rFonts w:hint="default" w:ascii="Times New Roman" w:hAnsi="Times New Roman" w:eastAsia="宋体" w:cs="Times New Roman"/>
                <w:color w:val="000000" w:themeColor="text1"/>
                <w:sz w:val="21"/>
                <w:szCs w:val="18"/>
                <w:highlight w:val="none"/>
                <w14:textFill>
                  <w14:solidFill>
                    <w14:schemeClr w14:val="tx1"/>
                  </w14:solidFill>
                </w14:textFill>
              </w:rPr>
              <w:t>环境风险</w:t>
            </w:r>
          </w:p>
          <w:p>
            <w:pPr>
              <w:pStyle w:val="3"/>
              <w:keepNext w:val="0"/>
              <w:keepLines w:val="0"/>
              <w:pageBreakBefore w:val="0"/>
              <w:kinsoku/>
              <w:wordWrap/>
              <w:overflowPunct/>
              <w:topLinePunct w:val="0"/>
              <w:autoSpaceDE/>
              <w:autoSpaceDN/>
              <w:bidi w:val="0"/>
              <w:spacing w:line="240" w:lineRule="auto"/>
              <w:jc w:val="center"/>
              <w:textAlignment w:val="auto"/>
              <w:rPr>
                <w:rFonts w:hint="default" w:ascii="Times New Roman" w:hAnsi="Times New Roman" w:eastAsia="宋体" w:cs="Times New Roman"/>
                <w:b/>
                <w:bCs/>
                <w:color w:val="000000" w:themeColor="text1"/>
                <w:spacing w:val="-8"/>
                <w:sz w:val="21"/>
                <w:szCs w:val="18"/>
                <w:highlight w:val="none"/>
                <w14:textFill>
                  <w14:solidFill>
                    <w14:schemeClr w14:val="tx1"/>
                  </w14:solidFill>
                </w14:textFill>
              </w:rPr>
            </w:pPr>
            <w:r>
              <w:rPr>
                <w:rFonts w:hint="default" w:ascii="Times New Roman" w:hAnsi="Times New Roman" w:eastAsia="宋体" w:cs="Times New Roman"/>
                <w:color w:val="000000" w:themeColor="text1"/>
                <w:sz w:val="21"/>
                <w:szCs w:val="18"/>
                <w:highlight w:val="none"/>
                <w14:textFill>
                  <w14:solidFill>
                    <w14:schemeClr w14:val="tx1"/>
                  </w14:solidFill>
                </w14:textFill>
              </w:rPr>
              <w:t>防范措施</w:t>
            </w:r>
          </w:p>
        </w:tc>
        <w:tc>
          <w:tcPr>
            <w:tcW w:w="7734" w:type="dxa"/>
            <w:gridSpan w:val="4"/>
            <w:noWrap w:val="0"/>
            <w:vAlign w:val="center"/>
          </w:tcPr>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现场应当有警戒标识；</w:t>
            </w:r>
          </w:p>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设置专人保管，保管员要详细核对产品名称、规格、牌号、质量、数量、查清危险性质。遇有包装不良、质量异变、标号不符合等情况，应及时进行安全处理；</w:t>
            </w:r>
          </w:p>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避免无任何防护措施直接接触、工作区域保持良好通风状态；</w:t>
            </w:r>
          </w:p>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容器包装要密闭，完整无损、放置处防火防高温；</w:t>
            </w:r>
          </w:p>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厂区内禁止吸烟，严禁明火作业；</w:t>
            </w:r>
          </w:p>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进行定期和不定期的安全检查，查出隐患，要及时整改和上报。如发现不安全的紧急情况，应先停止工作，再报有关部门研究处理；</w:t>
            </w:r>
          </w:p>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各种安全防护装置设备要定期检查，不得随意拆除和非法占用；</w:t>
            </w:r>
          </w:p>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危废间</w:t>
            </w:r>
            <w:r>
              <w:rPr>
                <w:rFonts w:hint="eastAsia" w:cs="Times New Roman"/>
                <w:color w:val="000000" w:themeColor="text1"/>
                <w:sz w:val="21"/>
                <w:szCs w:val="21"/>
                <w:highlight w:val="none"/>
                <w:lang w:val="en-US" w:eastAsia="zh-CN"/>
                <w14:textFill>
                  <w14:solidFill>
                    <w14:schemeClr w14:val="tx1"/>
                  </w14:solidFill>
                </w14:textFill>
              </w:rPr>
              <w:t>以及油类暂存区</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做好防渗防漏措施，各个危险物质分类存放，且设置钢板托盘，防止泄露</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78" w:hRule="atLeast"/>
          <w:jc w:val="center"/>
        </w:trPr>
        <w:tc>
          <w:tcPr>
            <w:tcW w:w="1213" w:type="dxa"/>
            <w:noWrap w:val="0"/>
            <w:vAlign w:val="center"/>
          </w:tcPr>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
                <w:bCs/>
                <w:color w:val="000000" w:themeColor="text1"/>
                <w:spacing w:val="-8"/>
                <w:sz w:val="21"/>
                <w:szCs w:val="18"/>
                <w:highlight w:val="none"/>
                <w14:textFill>
                  <w14:solidFill>
                    <w14:schemeClr w14:val="tx1"/>
                  </w14:solidFill>
                </w14:textFill>
              </w:rPr>
            </w:pPr>
            <w:r>
              <w:rPr>
                <w:rFonts w:hint="default" w:ascii="Times New Roman" w:hAnsi="Times New Roman" w:eastAsia="宋体" w:cs="Times New Roman"/>
                <w:b/>
                <w:bCs/>
                <w:color w:val="000000" w:themeColor="text1"/>
                <w:spacing w:val="-8"/>
                <w:sz w:val="21"/>
                <w:szCs w:val="18"/>
                <w:highlight w:val="none"/>
                <w14:textFill>
                  <w14:solidFill>
                    <w14:schemeClr w14:val="tx1"/>
                  </w14:solidFill>
                </w14:textFill>
              </w:rPr>
              <w:t>其他环境</w:t>
            </w:r>
          </w:p>
          <w:p>
            <w:pPr>
              <w:keepNext w:val="0"/>
              <w:keepLines w:val="0"/>
              <w:pageBreakBefore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spacing w:val="-8"/>
                <w:sz w:val="21"/>
                <w:szCs w:val="18"/>
                <w:highlight w:val="none"/>
                <w14:textFill>
                  <w14:solidFill>
                    <w14:schemeClr w14:val="tx1"/>
                  </w14:solidFill>
                </w14:textFill>
              </w:rPr>
            </w:pPr>
            <w:r>
              <w:rPr>
                <w:rFonts w:hint="default" w:ascii="Times New Roman" w:hAnsi="Times New Roman" w:eastAsia="宋体" w:cs="Times New Roman"/>
                <w:b/>
                <w:bCs/>
                <w:color w:val="000000" w:themeColor="text1"/>
                <w:spacing w:val="-8"/>
                <w:sz w:val="21"/>
                <w:szCs w:val="18"/>
                <w:highlight w:val="none"/>
                <w14:textFill>
                  <w14:solidFill>
                    <w14:schemeClr w14:val="tx1"/>
                  </w14:solidFill>
                </w14:textFill>
              </w:rPr>
              <w:t>管理要求</w:t>
            </w:r>
          </w:p>
        </w:tc>
        <w:tc>
          <w:tcPr>
            <w:tcW w:w="7734" w:type="dxa"/>
            <w:gridSpan w:val="4"/>
            <w:noWrap w:val="0"/>
            <w:vAlign w:val="center"/>
          </w:tcPr>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1、</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环保管理制度：企业应制定环境保护规章制度，由专人负责，环保管理制度。</w:t>
            </w:r>
          </w:p>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2、</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竣工验收制度：根据《建设项目竣工环境保护验收暂行办法》，建设项目配套建设的环境保护设施竣工后，公开竣工日期；对配套建设的环境保护设施进行调试前，公开调试的起止日期；验收报告编制完成后5个工作日内，公开验收报告，公示的期限不得少于20个工作日；建设单位公开上述信息的同时，应当向所在地县级以上环境保护主管部门报送相关信息，并接受监督检查。</w:t>
            </w:r>
          </w:p>
          <w:p>
            <w:pPr>
              <w:keepNext w:val="0"/>
              <w:keepLines w:val="0"/>
              <w:pageBreakBefore w:val="0"/>
              <w:kinsoku/>
              <w:wordWrap/>
              <w:overflowPunct/>
              <w:topLinePunct w:val="0"/>
              <w:autoSpaceDE/>
              <w:autoSpaceDN/>
              <w:bidi w:val="0"/>
              <w:spacing w:line="240" w:lineRule="auto"/>
              <w:jc w:val="both"/>
              <w:textAlignment w:val="auto"/>
              <w:rPr>
                <w:rFonts w:hint="eastAsia" w:cs="Times New Roman"/>
                <w:color w:val="000000" w:themeColor="text1"/>
                <w:sz w:val="21"/>
                <w:szCs w:val="21"/>
                <w:highlight w:val="none"/>
                <w:lang w:val="en-US" w:eastAsia="zh-CN"/>
                <w14:textFill>
                  <w14:solidFill>
                    <w14:schemeClr w14:val="tx1"/>
                  </w14:solidFill>
                </w14:textFill>
              </w:rPr>
            </w:pPr>
            <w:r>
              <w:rPr>
                <w:rFonts w:hint="eastAsia" w:ascii="Times New Roman" w:hAnsi="Times New Roman" w:cs="Times New Roman"/>
                <w:color w:val="000000" w:themeColor="text1"/>
                <w:sz w:val="21"/>
                <w:szCs w:val="21"/>
                <w:highlight w:val="none"/>
                <w:lang w:val="en-US" w:eastAsia="zh-CN"/>
                <w14:textFill>
                  <w14:solidFill>
                    <w14:schemeClr w14:val="tx1"/>
                  </w14:solidFill>
                </w14:textFill>
              </w:rPr>
              <w:t>3、</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排污许可制度：企业应于环评审批后，验收前</w:t>
            </w:r>
            <w:r>
              <w:rPr>
                <w:rFonts w:hint="eastAsia" w:cs="Times New Roman"/>
                <w:color w:val="000000" w:themeColor="text1"/>
                <w:sz w:val="21"/>
                <w:szCs w:val="21"/>
                <w:highlight w:val="none"/>
                <w:lang w:val="en-US" w:eastAsia="zh-CN"/>
                <w14:textFill>
                  <w14:solidFill>
                    <w14:schemeClr w14:val="tx1"/>
                  </w14:solidFill>
                </w14:textFill>
              </w:rPr>
              <w:t>办理</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排污</w:t>
            </w:r>
            <w:r>
              <w:rPr>
                <w:rFonts w:hint="eastAsia" w:cs="Times New Roman"/>
                <w:color w:val="000000" w:themeColor="text1"/>
                <w:sz w:val="21"/>
                <w:szCs w:val="21"/>
                <w:highlight w:val="none"/>
                <w:lang w:val="en-US" w:eastAsia="zh-CN"/>
                <w14:textFill>
                  <w14:solidFill>
                    <w14:schemeClr w14:val="tx1"/>
                  </w14:solidFill>
                </w14:textFill>
              </w:rPr>
              <w:t>许可。</w:t>
            </w:r>
          </w:p>
          <w:p>
            <w:pPr>
              <w:keepNext w:val="0"/>
              <w:keepLines w:val="0"/>
              <w:pageBreakBefore w:val="0"/>
              <w:kinsoku/>
              <w:wordWrap/>
              <w:overflowPunct/>
              <w:topLinePunct w:val="0"/>
              <w:autoSpaceDE/>
              <w:autoSpaceDN/>
              <w:bidi w:val="0"/>
              <w:spacing w:line="240" w:lineRule="auto"/>
              <w:jc w:val="both"/>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eastAsia" w:cs="Times New Roman"/>
                <w:color w:val="000000" w:themeColor="text1"/>
                <w:sz w:val="21"/>
                <w:szCs w:val="21"/>
                <w:highlight w:val="none"/>
                <w:lang w:val="en-US" w:eastAsia="zh-CN"/>
                <w14:textFill>
                  <w14:solidFill>
                    <w14:schemeClr w14:val="tx1"/>
                  </w14:solidFill>
                </w14:textFill>
              </w:rPr>
              <w:t>4、</w:t>
            </w:r>
            <w:r>
              <w:rPr>
                <w:rFonts w:hint="eastAsia" w:ascii="Times New Roman" w:hAnsi="Times New Roman" w:cs="Times New Roman" w:eastAsiaTheme="minorEastAsia"/>
                <w:color w:val="000000" w:themeColor="text1"/>
                <w:sz w:val="21"/>
                <w:szCs w:val="21"/>
                <w:highlight w:val="none"/>
                <w:lang w:val="en-US" w:eastAsia="zh-CN"/>
                <w14:textFill>
                  <w14:solidFill>
                    <w14:schemeClr w14:val="tx1"/>
                  </w14:solidFill>
                </w14:textFill>
              </w:rPr>
              <w:t>按相关要求对非道路移动机械进行管理，并做好台账工作</w:t>
            </w:r>
            <w:r>
              <w:rPr>
                <w:rFonts w:hint="eastAsia" w:cs="Times New Roman"/>
                <w:color w:val="000000" w:themeColor="text1"/>
                <w:sz w:val="21"/>
                <w:szCs w:val="21"/>
                <w:highlight w:val="none"/>
                <w:lang w:val="en-US" w:eastAsia="zh-CN"/>
                <w14:textFill>
                  <w14:solidFill>
                    <w14:schemeClr w14:val="tx1"/>
                  </w14:solidFill>
                </w14:textFill>
              </w:rPr>
              <w:t>。</w:t>
            </w:r>
          </w:p>
        </w:tc>
      </w:tr>
    </w:tbl>
    <w:p>
      <w:pPr>
        <w:pStyle w:val="2"/>
        <w:bidi w:val="0"/>
        <w:jc w:val="center"/>
        <w:rPr>
          <w:rFonts w:hint="default" w:ascii="Times New Roman" w:hAnsi="Times New Roman" w:eastAsia="黑体" w:cs="Times New Roman"/>
          <w:snapToGrid w:val="0"/>
          <w:color w:val="000000" w:themeColor="text1"/>
          <w:sz w:val="30"/>
          <w:szCs w:val="30"/>
          <w:highlight w:val="none"/>
          <w14:textFill>
            <w14:solidFill>
              <w14:schemeClr w14:val="tx1"/>
            </w14:solidFill>
          </w14:textFill>
        </w:rPr>
      </w:pPr>
      <w:r>
        <w:rPr>
          <w:rFonts w:hint="default" w:ascii="Times New Roman" w:hAnsi="Times New Roman" w:cs="Times New Roman"/>
          <w:snapToGrid w:val="0"/>
          <w:color w:val="000000" w:themeColor="text1"/>
          <w:highlight w:val="none"/>
          <w14:textFill>
            <w14:solidFill>
              <w14:schemeClr w14:val="tx1"/>
            </w14:solidFill>
          </w14:textFill>
        </w:rPr>
        <w:br w:type="page"/>
      </w:r>
      <w:r>
        <w:rPr>
          <w:rFonts w:hint="default" w:ascii="黑体" w:hAnsi="黑体" w:eastAsia="黑体" w:cs="黑体"/>
          <w:b w:val="0"/>
          <w:bCs w:val="0"/>
          <w:color w:val="000000" w:themeColor="text1"/>
          <w:sz w:val="30"/>
          <w:szCs w:val="30"/>
          <w:highlight w:val="none"/>
          <w14:textFill>
            <w14:solidFill>
              <w14:schemeClr w14:val="tx1"/>
            </w14:solidFill>
          </w14:textFill>
        </w:rPr>
        <w:t>六、结论</w:t>
      </w:r>
    </w:p>
    <w:tbl>
      <w:tblPr>
        <w:tblStyle w:val="31"/>
        <w:tblW w:w="90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071"/>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991" w:hRule="atLeast"/>
          <w:jc w:val="center"/>
        </w:trPr>
        <w:tc>
          <w:tcPr>
            <w:tcW w:w="8865" w:type="dxa"/>
            <w:noWrap w:val="0"/>
            <w:vAlign w:val="center"/>
          </w:tcPr>
          <w:p>
            <w:pPr>
              <w:pStyle w:val="2"/>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1 项目概况</w:t>
            </w:r>
          </w:p>
          <w:p>
            <w:pPr>
              <w:pStyle w:val="3"/>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1.1 项目概述</w:t>
            </w:r>
          </w:p>
          <w:p>
            <w:pPr>
              <w:pStyle w:val="47"/>
              <w:bidi w:val="0"/>
              <w:rPr>
                <w:rFonts w:hint="eastAsia" w:cs="Times New Roman"/>
                <w:b w:val="0"/>
                <w:color w:val="000000" w:themeColor="text1"/>
                <w:kern w:val="2"/>
                <w:sz w:val="24"/>
                <w:szCs w:val="24"/>
                <w:highlight w:val="none"/>
                <w:lang w:val="en-US" w:eastAsia="zh-CN" w:bidi="ar-SA"/>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项目属于</w:t>
            </w:r>
            <w:r>
              <w:rPr>
                <w:rFonts w:hint="eastAsia" w:ascii="Times New Roman" w:hAnsi="Times New Roman" w:cs="Times New Roman"/>
                <w:color w:val="000000" w:themeColor="text1"/>
                <w:highlight w:val="none"/>
                <w:lang w:val="en-US" w:eastAsia="zh-CN"/>
                <w14:textFill>
                  <w14:solidFill>
                    <w14:schemeClr w14:val="tx1"/>
                  </w14:solidFill>
                </w14:textFill>
              </w:rPr>
              <w:t>新建</w:t>
            </w:r>
            <w:r>
              <w:rPr>
                <w:rFonts w:hint="default" w:ascii="Times New Roman" w:hAnsi="Times New Roman" w:cs="Times New Roman"/>
                <w:color w:val="000000" w:themeColor="text1"/>
                <w:highlight w:val="none"/>
                <w:lang w:val="en-US" w:eastAsia="zh-CN"/>
                <w14:textFill>
                  <w14:solidFill>
                    <w14:schemeClr w14:val="tx1"/>
                  </w14:solidFill>
                </w14:textFill>
              </w:rPr>
              <w:t>项目，项目位于</w:t>
            </w:r>
            <w:r>
              <w:rPr>
                <w:rFonts w:hint="default" w:ascii="Times New Roman" w:hAnsi="Times New Roman" w:cs="Times New Roman"/>
                <w:b w:val="0"/>
                <w:color w:val="000000" w:themeColor="text1"/>
                <w:kern w:val="2"/>
                <w:sz w:val="24"/>
                <w:szCs w:val="24"/>
                <w:highlight w:val="none"/>
                <w:lang w:val="en-US" w:eastAsia="zh-CN" w:bidi="ar-SA"/>
                <w14:textFill>
                  <w14:solidFill>
                    <w14:schemeClr w14:val="tx1"/>
                  </w14:solidFill>
                </w14:textFill>
              </w:rPr>
              <w:t>秦皇岛市抚宁区</w:t>
            </w:r>
            <w:r>
              <w:rPr>
                <w:rFonts w:hint="eastAsia" w:cs="Times New Roman"/>
                <w:b w:val="0"/>
                <w:color w:val="000000" w:themeColor="text1"/>
                <w:kern w:val="2"/>
                <w:sz w:val="24"/>
                <w:szCs w:val="24"/>
                <w:highlight w:val="none"/>
                <w:lang w:val="en-US" w:eastAsia="zh-CN" w:bidi="ar-SA"/>
                <w14:textFill>
                  <w14:solidFill>
                    <w14:schemeClr w14:val="tx1"/>
                  </w14:solidFill>
                </w14:textFill>
              </w:rPr>
              <w:t>留守营镇潘官营村南。</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项目总投资</w:t>
            </w:r>
            <w:r>
              <w:rPr>
                <w:rFonts w:hint="eastAsia" w:ascii="Times New Roman" w:hAnsi="Times New Roman" w:cs="Times New Roman"/>
                <w:color w:val="000000" w:themeColor="text1"/>
                <w:highlight w:val="none"/>
                <w:lang w:val="en-US" w:eastAsia="zh-CN"/>
                <w14:textFill>
                  <w14:solidFill>
                    <w14:schemeClr w14:val="tx1"/>
                  </w14:solidFill>
                </w14:textFill>
              </w:rPr>
              <w:t>1200</w:t>
            </w:r>
            <w:r>
              <w:rPr>
                <w:rFonts w:hint="default" w:ascii="Times New Roman" w:hAnsi="Times New Roman" w:cs="Times New Roman"/>
                <w:color w:val="000000" w:themeColor="text1"/>
                <w:highlight w:val="none"/>
                <w:lang w:val="en-US" w:eastAsia="zh-CN"/>
                <w14:textFill>
                  <w14:solidFill>
                    <w14:schemeClr w14:val="tx1"/>
                  </w14:solidFill>
                </w14:textFill>
              </w:rPr>
              <w:t>万元，其中环保投资</w:t>
            </w:r>
            <w:r>
              <w:rPr>
                <w:rFonts w:hint="eastAsia" w:ascii="Times New Roman" w:hAnsi="Times New Roman" w:cs="Times New Roman"/>
                <w:color w:val="000000" w:themeColor="text1"/>
                <w:highlight w:val="none"/>
                <w:lang w:val="en-US" w:eastAsia="zh-CN"/>
                <w14:textFill>
                  <w14:solidFill>
                    <w14:schemeClr w14:val="tx1"/>
                  </w14:solidFill>
                </w14:textFill>
              </w:rPr>
              <w:t>1</w:t>
            </w:r>
            <w:r>
              <w:rPr>
                <w:rFonts w:hint="default" w:ascii="Times New Roman" w:hAnsi="Times New Roman" w:cs="Times New Roman"/>
                <w:color w:val="000000" w:themeColor="text1"/>
                <w:highlight w:val="none"/>
                <w:lang w:val="en-US" w:eastAsia="zh-CN"/>
                <w14:textFill>
                  <w14:solidFill>
                    <w14:schemeClr w14:val="tx1"/>
                  </w14:solidFill>
                </w14:textFill>
              </w:rPr>
              <w:t>0万元，占总投资的</w:t>
            </w:r>
            <w:r>
              <w:rPr>
                <w:rFonts w:hint="eastAsia" w:ascii="Times New Roman" w:hAnsi="Times New Roman" w:cs="Times New Roman"/>
                <w:color w:val="000000" w:themeColor="text1"/>
                <w:highlight w:val="none"/>
                <w:lang w:val="en-US" w:eastAsia="zh-CN"/>
                <w14:textFill>
                  <w14:solidFill>
                    <w14:schemeClr w14:val="tx1"/>
                  </w14:solidFill>
                </w14:textFill>
              </w:rPr>
              <w:t>0.83</w:t>
            </w:r>
            <w:r>
              <w:rPr>
                <w:rFonts w:hint="default" w:ascii="Times New Roman" w:hAnsi="Times New Roman" w:cs="Times New Roman"/>
                <w:color w:val="000000" w:themeColor="text1"/>
                <w:highlight w:val="none"/>
                <w:lang w:val="en-US" w:eastAsia="zh-CN"/>
                <w14:textFill>
                  <w14:solidFill>
                    <w14:schemeClr w14:val="tx1"/>
                  </w14:solidFill>
                </w14:textFill>
              </w:rPr>
              <w:t>%。</w:t>
            </w:r>
            <w:r>
              <w:rPr>
                <w:rFonts w:hint="default" w:ascii="Times New Roman" w:hAnsi="Times New Roman" w:cs="Times New Roman"/>
                <w:color w:val="000000" w:themeColor="text1"/>
                <w:highlight w:val="none"/>
                <w:lang w:val="zh-CN" w:eastAsia="zh-CN"/>
                <w14:textFill>
                  <w14:solidFill>
                    <w14:schemeClr w14:val="tx1"/>
                  </w14:solidFill>
                </w14:textFill>
              </w:rPr>
              <w:t>环保投资主要用于</w:t>
            </w:r>
            <w:r>
              <w:rPr>
                <w:rFonts w:hint="default" w:ascii="Times New Roman" w:hAnsi="Times New Roman" w:cs="Times New Roman"/>
                <w:color w:val="000000" w:themeColor="text1"/>
                <w:highlight w:val="none"/>
                <w:lang w:val="en-US" w:eastAsia="zh-CN"/>
                <w14:textFill>
                  <w14:solidFill>
                    <w14:schemeClr w14:val="tx1"/>
                  </w14:solidFill>
                </w14:textFill>
              </w:rPr>
              <w:t>废气、</w:t>
            </w:r>
            <w:r>
              <w:rPr>
                <w:rFonts w:hint="eastAsia" w:ascii="Times New Roman" w:hAnsi="Times New Roman" w:cs="Times New Roman"/>
                <w:color w:val="000000" w:themeColor="text1"/>
                <w:highlight w:val="none"/>
                <w:lang w:val="en-US" w:eastAsia="zh-CN"/>
                <w14:textFill>
                  <w14:solidFill>
                    <w14:schemeClr w14:val="tx1"/>
                  </w14:solidFill>
                </w14:textFill>
              </w:rPr>
              <w:t>废水、</w:t>
            </w:r>
            <w:r>
              <w:rPr>
                <w:rFonts w:hint="default" w:ascii="Times New Roman" w:hAnsi="Times New Roman" w:cs="Times New Roman"/>
                <w:color w:val="000000" w:themeColor="text1"/>
                <w:highlight w:val="none"/>
                <w:lang w:val="zh-CN" w:eastAsia="zh-CN"/>
                <w14:textFill>
                  <w14:solidFill>
                    <w14:schemeClr w14:val="tx1"/>
                  </w14:solidFill>
                </w14:textFill>
              </w:rPr>
              <w:t>危险废物治理。</w:t>
            </w:r>
          </w:p>
          <w:p>
            <w:pPr>
              <w:pStyle w:val="3"/>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1.2 项目选址</w:t>
            </w:r>
          </w:p>
          <w:p>
            <w:pPr>
              <w:bidi w:val="0"/>
              <w:ind w:firstLine="480"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eastAsia" w:cs="Times New Roman"/>
                <w:b w:val="0"/>
                <w:color w:val="000000" w:themeColor="text1"/>
                <w:kern w:val="2"/>
                <w:sz w:val="24"/>
                <w:szCs w:val="24"/>
                <w:highlight w:val="none"/>
                <w:lang w:val="en-US" w:eastAsia="zh-CN" w:bidi="ar-SA"/>
                <w14:textFill>
                  <w14:solidFill>
                    <w14:schemeClr w14:val="tx1"/>
                  </w14:solidFill>
                </w14:textFill>
              </w:rPr>
              <w:t>项目</w:t>
            </w:r>
            <w:r>
              <w:rPr>
                <w:rFonts w:hint="default" w:ascii="Times New Roman" w:hAnsi="Times New Roman" w:eastAsia="宋体" w:cs="Times New Roman"/>
                <w:b w:val="0"/>
                <w:color w:val="000000" w:themeColor="text1"/>
                <w:kern w:val="2"/>
                <w:sz w:val="24"/>
                <w:szCs w:val="24"/>
                <w:highlight w:val="none"/>
                <w:lang w:val="en-US" w:eastAsia="zh-CN" w:bidi="ar-SA"/>
                <w14:textFill>
                  <w14:solidFill>
                    <w14:schemeClr w14:val="tx1"/>
                  </w14:solidFill>
                </w14:textFill>
              </w:rPr>
              <w:t>位于</w:t>
            </w:r>
            <w:r>
              <w:rPr>
                <w:rFonts w:hint="default" w:ascii="Times New Roman" w:hAnsi="Times New Roman" w:cs="Times New Roman"/>
                <w:b w:val="0"/>
                <w:color w:val="000000" w:themeColor="text1"/>
                <w:kern w:val="2"/>
                <w:sz w:val="24"/>
                <w:szCs w:val="24"/>
                <w:highlight w:val="none"/>
                <w:lang w:val="en-US" w:eastAsia="zh-CN" w:bidi="ar-SA"/>
                <w14:textFill>
                  <w14:solidFill>
                    <w14:schemeClr w14:val="tx1"/>
                  </w14:solidFill>
                </w14:textFill>
              </w:rPr>
              <w:t>秦皇岛市抚宁区</w:t>
            </w:r>
            <w:r>
              <w:rPr>
                <w:rFonts w:hint="eastAsia" w:cs="Times New Roman"/>
                <w:b w:val="0"/>
                <w:color w:val="000000" w:themeColor="text1"/>
                <w:kern w:val="2"/>
                <w:sz w:val="24"/>
                <w:szCs w:val="24"/>
                <w:highlight w:val="none"/>
                <w:lang w:val="en-US" w:eastAsia="zh-CN" w:bidi="ar-SA"/>
                <w14:textFill>
                  <w14:solidFill>
                    <w14:schemeClr w14:val="tx1"/>
                  </w14:solidFill>
                </w14:textFill>
              </w:rPr>
              <w:t>留守营镇潘官营村南</w:t>
            </w:r>
            <w:r>
              <w:rPr>
                <w:rFonts w:hint="default" w:ascii="Times New Roman" w:hAnsi="Times New Roman" w:eastAsia="宋体" w:cs="Times New Roman"/>
                <w:b w:val="0"/>
                <w:color w:val="000000" w:themeColor="text1"/>
                <w:kern w:val="2"/>
                <w:sz w:val="24"/>
                <w:szCs w:val="24"/>
                <w:highlight w:val="none"/>
                <w:lang w:val="en-US" w:eastAsia="zh-CN" w:bidi="ar-SA"/>
                <w14:textFill>
                  <w14:solidFill>
                    <w14:schemeClr w14:val="tx1"/>
                  </w14:solidFill>
                </w14:textFill>
              </w:rPr>
              <w:t>。厂址地理位置中心坐标为：</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东经119°17'51.273"，北纬39°53'9.524"</w:t>
            </w:r>
            <w:r>
              <w:rPr>
                <w:rFonts w:hint="default" w:ascii="Times New Roman" w:hAnsi="Times New Roman" w:eastAsia="宋体" w:cs="Times New Roman"/>
                <w:b w:val="0"/>
                <w:color w:val="000000" w:themeColor="text1"/>
                <w:kern w:val="2"/>
                <w:sz w:val="24"/>
                <w:szCs w:val="24"/>
                <w:highlight w:val="none"/>
                <w:lang w:val="en-US" w:eastAsia="zh-CN" w:bidi="ar-SA"/>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项目东侧为</w:t>
            </w:r>
            <w:r>
              <w:rPr>
                <w:rFonts w:hint="eastAsia" w:cs="Times New Roman"/>
                <w:color w:val="000000" w:themeColor="text1"/>
                <w:sz w:val="24"/>
                <w:szCs w:val="24"/>
                <w:highlight w:val="none"/>
                <w:lang w:val="en-US" w:eastAsia="zh-CN"/>
                <w14:textFill>
                  <w14:solidFill>
                    <w14:schemeClr w14:val="tx1"/>
                  </w14:solidFill>
                </w14:textFill>
              </w:rPr>
              <w:t>空地</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，西侧为空地，南侧为</w:t>
            </w:r>
            <w:r>
              <w:rPr>
                <w:rFonts w:hint="eastAsia" w:cs="Times New Roman"/>
                <w:color w:val="000000" w:themeColor="text1"/>
                <w:sz w:val="24"/>
                <w:szCs w:val="24"/>
                <w:highlight w:val="none"/>
                <w:lang w:val="en-US" w:eastAsia="zh-CN"/>
                <w14:textFill>
                  <w14:solidFill>
                    <w14:schemeClr w14:val="tx1"/>
                  </w14:solidFill>
                </w14:textFill>
              </w:rPr>
              <w:t>闲置厂房</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，北侧为</w:t>
            </w:r>
            <w:r>
              <w:rPr>
                <w:rFonts w:hint="eastAsia" w:cs="Times New Roman"/>
                <w:color w:val="000000" w:themeColor="text1"/>
                <w:sz w:val="24"/>
                <w:szCs w:val="24"/>
                <w:highlight w:val="none"/>
                <w:lang w:val="en-US" w:eastAsia="zh-CN"/>
                <w14:textFill>
                  <w14:solidFill>
                    <w14:schemeClr w14:val="tx1"/>
                  </w14:solidFill>
                </w14:textFill>
              </w:rPr>
              <w:t>农田</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w:t>
            </w:r>
            <w:r>
              <w:rPr>
                <w:rFonts w:hint="eastAsia" w:cs="Times New Roman"/>
                <w:color w:val="000000" w:themeColor="text1"/>
                <w:sz w:val="24"/>
                <w:szCs w:val="24"/>
                <w:highlight w:val="none"/>
                <w:lang w:val="en-US" w:eastAsia="zh-CN"/>
                <w14:textFill>
                  <w14:solidFill>
                    <w14:schemeClr w14:val="tx1"/>
                  </w14:solidFill>
                </w14:textFill>
              </w:rPr>
              <w:t>项目距离最近敏感点为东北侧140m潘官营村</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本项目用地类型为</w:t>
            </w:r>
            <w:r>
              <w:rPr>
                <w:rFonts w:hint="eastAsia" w:ascii="Times New Roman" w:hAnsi="Times New Roman" w:cs="Times New Roman"/>
                <w:color w:val="000000" w:themeColor="text1"/>
                <w:highlight w:val="none"/>
                <w:lang w:val="en-US" w:eastAsia="zh-CN"/>
                <w14:textFill>
                  <w14:solidFill>
                    <w14:schemeClr w14:val="tx1"/>
                  </w14:solidFill>
                </w14:textFill>
              </w:rPr>
              <w:t>建设</w:t>
            </w:r>
            <w:r>
              <w:rPr>
                <w:rFonts w:hint="default" w:ascii="Times New Roman" w:hAnsi="Times New Roman" w:cs="Times New Roman"/>
                <w:color w:val="000000" w:themeColor="text1"/>
                <w:highlight w:val="none"/>
                <w:lang w:val="en-US" w:eastAsia="zh-CN"/>
                <w14:textFill>
                  <w14:solidFill>
                    <w14:schemeClr w14:val="tx1"/>
                  </w14:solidFill>
                </w14:textFill>
              </w:rPr>
              <w:t>用地</w:t>
            </w:r>
            <w:r>
              <w:rPr>
                <w:rFonts w:hint="eastAsia" w:ascii="Times New Roman" w:hAnsi="Times New Roman" w:cs="Times New Roman"/>
                <w:color w:val="000000" w:themeColor="text1"/>
                <w:highlight w:val="none"/>
                <w:lang w:val="en-US" w:eastAsia="zh-CN"/>
                <w14:textFill>
                  <w14:solidFill>
                    <w14:schemeClr w14:val="tx1"/>
                  </w14:solidFill>
                </w14:textFill>
              </w:rPr>
              <w:t>，</w:t>
            </w:r>
            <w:r>
              <w:rPr>
                <w:rFonts w:hint="default" w:ascii="Times New Roman" w:hAnsi="Times New Roman" w:cs="Times New Roman"/>
                <w:color w:val="000000" w:themeColor="text1"/>
                <w:highlight w:val="none"/>
                <w:lang w:val="en-US" w:eastAsia="zh-CN"/>
                <w14:textFill>
                  <w14:solidFill>
                    <w14:schemeClr w14:val="tx1"/>
                  </w14:solidFill>
                </w14:textFill>
              </w:rPr>
              <w:t>符合</w:t>
            </w:r>
            <w:r>
              <w:rPr>
                <w:rFonts w:hint="eastAsia" w:ascii="Times New Roman" w:hAnsi="Times New Roman" w:cs="Times New Roman"/>
                <w:color w:val="000000" w:themeColor="text1"/>
                <w:highlight w:val="none"/>
                <w:lang w:val="en-US" w:eastAsia="zh-CN"/>
                <w14:textFill>
                  <w14:solidFill>
                    <w14:schemeClr w14:val="tx1"/>
                  </w14:solidFill>
                </w14:textFill>
              </w:rPr>
              <w:t>抚宁区土地利用规划，厂址为允许建设区</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pStyle w:val="3"/>
              <w:bidi w:val="0"/>
              <w:rPr>
                <w:rFonts w:hint="default" w:ascii="Times New Roman" w:hAnsi="Times New Roman" w:cs="Times New Roman"/>
                <w:color w:val="000000" w:themeColor="text1"/>
                <w:highlight w:val="yellow"/>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1.3 建设内容与产业政策</w:t>
            </w:r>
          </w:p>
          <w:p>
            <w:pPr>
              <w:pStyle w:val="47"/>
              <w:bidi w:val="0"/>
              <w:rPr>
                <w:rFonts w:hint="default" w:ascii="Times New Roman" w:hAnsi="Times New Roman" w:cs="Times New Roman"/>
                <w:color w:val="000000" w:themeColor="text1"/>
                <w:highlight w:val="yellow"/>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租用抚宁区留守营镇潘官营村委会所建厂房，新上一条炉渣综合利用生产线，本项目占地16.54亩（约11026.86平方米），购置投料系统、皮带输送机、除铁器、滚筒筛、破碎机、跳汰机、摇床等设备，建设完成后年处理炉渣20万吨。</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建设项目属于2019年10月30日国家发展改革委员会第29号令公布的《产业结构调整名录（2019年本）》中</w:t>
            </w:r>
            <w:r>
              <w:rPr>
                <w:rFonts w:hint="eastAsia" w:ascii="Times New Roman" w:hAnsi="Times New Roman" w:cs="Times New Roman"/>
                <w:color w:val="000000" w:themeColor="text1"/>
                <w:highlight w:val="none"/>
                <w:lang w:val="en-US" w:eastAsia="zh-CN"/>
                <w14:textFill>
                  <w14:solidFill>
                    <w14:schemeClr w14:val="tx1"/>
                  </w14:solidFill>
                </w14:textFill>
              </w:rPr>
              <w:t>鼓励</w:t>
            </w:r>
            <w:r>
              <w:rPr>
                <w:rFonts w:hint="default" w:ascii="Times New Roman" w:hAnsi="Times New Roman" w:cs="Times New Roman"/>
                <w:color w:val="000000" w:themeColor="text1"/>
                <w:highlight w:val="none"/>
                <w:lang w:val="en-US" w:eastAsia="zh-CN"/>
                <w14:textFill>
                  <w14:solidFill>
                    <w14:schemeClr w14:val="tx1"/>
                  </w14:solidFill>
                </w14:textFill>
              </w:rPr>
              <w:t>类，符合国家产业政策；不属于《关于河北省区域禁（限）批建项目的实施意见（试行）》（冀政[2009]89号）中区域禁止和限制建设项目，不在该文件规定的环境敏感区内，也不属于《河北省新增限制和淘汰类产业目录（2015年版）》中限制和淘汰类项目，符合河北省政策要求；不属于《秦皇岛市限制和禁止投资的产业目录（2020年版）》中的限制和禁止类。项目建设符合秦皇岛市政策要求；符合“三线一单”的要求。</w:t>
            </w:r>
          </w:p>
          <w:p>
            <w:pPr>
              <w:pStyle w:val="9"/>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1.4 项目衔接</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本项目供电</w:t>
            </w:r>
            <w:r>
              <w:rPr>
                <w:rFonts w:hint="eastAsia" w:cs="Times New Roman"/>
                <w:color w:val="000000" w:themeColor="text1"/>
                <w:highlight w:val="none"/>
                <w:lang w:val="en-US" w:eastAsia="zh-CN"/>
                <w14:textFill>
                  <w14:solidFill>
                    <w14:schemeClr w14:val="tx1"/>
                  </w14:solidFill>
                </w14:textFill>
              </w:rPr>
              <w:t>厂区自备变压器提供</w:t>
            </w:r>
            <w:r>
              <w:rPr>
                <w:rFonts w:hint="default" w:ascii="Times New Roman" w:hAnsi="Times New Roman" w:cs="Times New Roman"/>
                <w:color w:val="000000" w:themeColor="text1"/>
                <w:highlight w:val="none"/>
                <w:lang w:val="en-US" w:eastAsia="zh-CN"/>
                <w14:textFill>
                  <w14:solidFill>
                    <w14:schemeClr w14:val="tx1"/>
                  </w14:solidFill>
                </w14:textFill>
              </w:rPr>
              <w:t>，用水</w:t>
            </w:r>
            <w:r>
              <w:rPr>
                <w:rFonts w:hint="eastAsia" w:cs="Times New Roman"/>
                <w:color w:val="000000" w:themeColor="text1"/>
                <w:highlight w:val="none"/>
                <w:lang w:val="en-US" w:eastAsia="zh-CN"/>
                <w14:textFill>
                  <w14:solidFill>
                    <w14:schemeClr w14:val="tx1"/>
                  </w14:solidFill>
                </w14:textFill>
              </w:rPr>
              <w:t>外购，场地依托现有不新增占地</w:t>
            </w:r>
            <w:r>
              <w:rPr>
                <w:rFonts w:hint="default" w:ascii="Times New Roman" w:hAnsi="Times New Roman" w:cs="Times New Roman"/>
                <w:color w:val="000000" w:themeColor="text1"/>
                <w:highlight w:val="none"/>
                <w:lang w:val="en-US" w:eastAsia="zh-CN"/>
                <w14:textFill>
                  <w14:solidFill>
                    <w14:schemeClr w14:val="tx1"/>
                  </w14:solidFill>
                </w14:textFill>
              </w:rPr>
              <w:t>。</w:t>
            </w:r>
          </w:p>
          <w:p>
            <w:pPr>
              <w:pStyle w:val="2"/>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2 环境质量现状</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项目区域声环境</w:t>
            </w:r>
            <w:r>
              <w:rPr>
                <w:rFonts w:hint="eastAsia" w:ascii="Times New Roman" w:hAnsi="Times New Roman" w:cs="Times New Roman"/>
                <w:color w:val="000000" w:themeColor="text1"/>
                <w:highlight w:val="none"/>
                <w:lang w:val="en-US" w:eastAsia="zh-CN"/>
                <w14:textFill>
                  <w14:solidFill>
                    <w14:schemeClr w14:val="tx1"/>
                  </w14:solidFill>
                </w14:textFill>
              </w:rPr>
              <w:t>执行</w:t>
            </w:r>
            <w:r>
              <w:rPr>
                <w:rFonts w:hint="default" w:ascii="Times New Roman" w:hAnsi="Times New Roman" w:cs="Times New Roman"/>
                <w:color w:val="000000" w:themeColor="text1"/>
                <w:highlight w:val="none"/>
                <w:lang w:val="en-US" w:eastAsia="zh-CN"/>
                <w14:textFill>
                  <w14:solidFill>
                    <w14:schemeClr w14:val="tx1"/>
                  </w14:solidFill>
                </w14:textFill>
              </w:rPr>
              <w:t>《声环境质量标准》(GB3096-2008)</w:t>
            </w:r>
            <w:r>
              <w:rPr>
                <w:rFonts w:hint="eastAsia" w:ascii="Times New Roman" w:hAnsi="Times New Roman" w:cs="Times New Roman"/>
                <w:color w:val="000000" w:themeColor="text1"/>
                <w:highlight w:val="none"/>
                <w:lang w:val="en-US" w:eastAsia="zh-CN"/>
                <w14:textFill>
                  <w14:solidFill>
                    <w14:schemeClr w14:val="tx1"/>
                  </w14:solidFill>
                </w14:textFill>
              </w:rPr>
              <w:t>2</w:t>
            </w:r>
            <w:r>
              <w:rPr>
                <w:rFonts w:hint="default" w:ascii="Times New Roman" w:hAnsi="Times New Roman" w:cs="Times New Roman"/>
                <w:color w:val="000000" w:themeColor="text1"/>
                <w:highlight w:val="none"/>
                <w:lang w:val="en-US" w:eastAsia="zh-CN"/>
                <w14:textFill>
                  <w14:solidFill>
                    <w14:schemeClr w14:val="tx1"/>
                  </w14:solidFill>
                </w14:textFill>
              </w:rPr>
              <w:t>类区标准；大气环境满足《环境空气质量标准》(GB3095-2012)二级标准，为二类</w:t>
            </w:r>
            <w:r>
              <w:rPr>
                <w:rFonts w:hint="eastAsia" w:ascii="Times New Roman" w:hAnsi="Times New Roman" w:cs="Times New Roman"/>
                <w:color w:val="000000" w:themeColor="text1"/>
                <w:highlight w:val="none"/>
                <w:lang w:val="en-US" w:eastAsia="zh-CN"/>
                <w14:textFill>
                  <w14:solidFill>
                    <w14:schemeClr w14:val="tx1"/>
                  </w14:solidFill>
                </w14:textFill>
              </w:rPr>
              <w:t>不</w:t>
            </w:r>
            <w:r>
              <w:rPr>
                <w:rFonts w:hint="default" w:ascii="Times New Roman" w:hAnsi="Times New Roman" w:cs="Times New Roman"/>
                <w:color w:val="000000" w:themeColor="text1"/>
                <w:highlight w:val="none"/>
                <w:lang w:val="en-US" w:eastAsia="zh-CN"/>
                <w14:textFill>
                  <w14:solidFill>
                    <w14:schemeClr w14:val="tx1"/>
                  </w14:solidFill>
                </w14:textFill>
              </w:rPr>
              <w:t>达标区</w:t>
            </w:r>
            <w:r>
              <w:rPr>
                <w:rFonts w:hint="default" w:ascii="Times New Roman" w:hAnsi="Times New Roman" w:cs="Times New Roman"/>
                <w:color w:val="000000" w:themeColor="text1"/>
                <w:highlight w:val="none"/>
                <w:lang w:eastAsia="zh-CN"/>
                <w14:textFill>
                  <w14:solidFill>
                    <w14:schemeClr w14:val="tx1"/>
                  </w14:solidFill>
                </w14:textFill>
              </w:rPr>
              <w:t>。</w:t>
            </w:r>
          </w:p>
          <w:p>
            <w:pPr>
              <w:pStyle w:val="2"/>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3 拟采取的环保措施可行性</w:t>
            </w:r>
          </w:p>
          <w:p>
            <w:pPr>
              <w:pStyle w:val="3"/>
              <w:bidi w:val="0"/>
              <w:rPr>
                <w:rFonts w:hint="default" w:ascii="Times New Roman" w:hAnsi="Times New Roman" w:cs="Times New Roman"/>
                <w:color w:val="000000" w:themeColor="text1"/>
                <w:highlight w:val="none"/>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 xml:space="preserve">3.1 </w:t>
            </w:r>
            <w:r>
              <w:rPr>
                <w:rFonts w:hint="default" w:ascii="Times New Roman" w:hAnsi="Times New Roman" w:cs="Times New Roman"/>
                <w:color w:val="000000" w:themeColor="text1"/>
                <w:highlight w:val="none"/>
                <w14:textFill>
                  <w14:solidFill>
                    <w14:schemeClr w14:val="tx1"/>
                  </w14:solidFill>
                </w14:textFill>
              </w:rPr>
              <w:t>选址可行性结论</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本项目位于</w:t>
            </w:r>
            <w:r>
              <w:rPr>
                <w:rFonts w:hint="default" w:ascii="Times New Roman" w:hAnsi="Times New Roman" w:cs="Times New Roman"/>
                <w:b w:val="0"/>
                <w:color w:val="000000" w:themeColor="text1"/>
                <w:kern w:val="2"/>
                <w:sz w:val="24"/>
                <w:szCs w:val="24"/>
                <w:highlight w:val="none"/>
                <w:lang w:val="en-US" w:eastAsia="zh-CN" w:bidi="ar-SA"/>
                <w14:textFill>
                  <w14:solidFill>
                    <w14:schemeClr w14:val="tx1"/>
                  </w14:solidFill>
                </w14:textFill>
              </w:rPr>
              <w:t>秦皇岛市抚宁区留守营镇潘官营村南</w:t>
            </w:r>
            <w:r>
              <w:rPr>
                <w:rFonts w:hint="default" w:ascii="Times New Roman" w:hAnsi="Times New Roman" w:cs="Times New Roman"/>
                <w:color w:val="000000" w:themeColor="text1"/>
                <w:highlight w:val="none"/>
                <w:lang w:val="en-US" w:eastAsia="zh-CN"/>
                <w14:textFill>
                  <w14:solidFill>
                    <w14:schemeClr w14:val="tx1"/>
                  </w14:solidFill>
                </w14:textFill>
              </w:rPr>
              <w:t>，使用现有的场地，用地类型为</w:t>
            </w:r>
            <w:r>
              <w:rPr>
                <w:rFonts w:hint="eastAsia" w:ascii="Times New Roman" w:hAnsi="Times New Roman" w:cs="Times New Roman"/>
                <w:color w:val="000000" w:themeColor="text1"/>
                <w:highlight w:val="none"/>
                <w:lang w:val="en-US" w:eastAsia="zh-CN"/>
                <w14:textFill>
                  <w14:solidFill>
                    <w14:schemeClr w14:val="tx1"/>
                  </w14:solidFill>
                </w14:textFill>
              </w:rPr>
              <w:t>建设用地</w:t>
            </w:r>
            <w:r>
              <w:rPr>
                <w:rFonts w:hint="default" w:ascii="Times New Roman" w:hAnsi="Times New Roman" w:cs="Times New Roman"/>
                <w:color w:val="000000" w:themeColor="text1"/>
                <w:highlight w:val="none"/>
                <w:lang w:val="en-US" w:eastAsia="zh-CN"/>
                <w14:textFill>
                  <w14:solidFill>
                    <w14:schemeClr w14:val="tx1"/>
                  </w14:solidFill>
                </w14:textFill>
              </w:rPr>
              <w:t>，符合</w:t>
            </w:r>
            <w:r>
              <w:rPr>
                <w:rFonts w:hint="eastAsia" w:ascii="Times New Roman" w:hAnsi="Times New Roman" w:cs="Times New Roman"/>
                <w:color w:val="000000" w:themeColor="text1"/>
                <w:highlight w:val="none"/>
                <w:lang w:val="en-US" w:eastAsia="zh-CN"/>
                <w14:textFill>
                  <w14:solidFill>
                    <w14:schemeClr w14:val="tx1"/>
                  </w14:solidFill>
                </w14:textFill>
              </w:rPr>
              <w:t>抚宁区</w:t>
            </w:r>
            <w:r>
              <w:rPr>
                <w:rFonts w:hint="default" w:ascii="Times New Roman" w:hAnsi="Times New Roman" w:cs="Times New Roman"/>
                <w:color w:val="000000" w:themeColor="text1"/>
                <w:highlight w:val="none"/>
                <w:lang w:val="en-US" w:eastAsia="zh-CN"/>
                <w14:textFill>
                  <w14:solidFill>
                    <w14:schemeClr w14:val="tx1"/>
                  </w14:solidFill>
                </w14:textFill>
              </w:rPr>
              <w:t>土地利用总体规划要求同时符合秦皇岛市城乡规划要求。</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厂址周围无饮用水源保护区、自然保护区和风景名胜区等敏感区域。项目不在国土资源部、国家发展和改革委员会发布的《限制用地项目目录（2012年本）》和《禁止用地项目目录（2012年本）》的范围内，项目场地不在河北省冀政[2009]89号《关于河北省区域禁（限）批建设项目的实施意见（试行）》范围内，也不属于《河北省环境敏感区支持、限制及禁止建设项目名录（2005年本）》中的限制、禁止内容。</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项目用地类型为</w:t>
            </w:r>
            <w:r>
              <w:rPr>
                <w:rFonts w:hint="eastAsia" w:ascii="Times New Roman" w:hAnsi="Times New Roman" w:cs="Times New Roman"/>
                <w:color w:val="000000" w:themeColor="text1"/>
                <w:highlight w:val="none"/>
                <w:lang w:val="en-US" w:eastAsia="zh-CN"/>
                <w14:textFill>
                  <w14:solidFill>
                    <w14:schemeClr w14:val="tx1"/>
                  </w14:solidFill>
                </w14:textFill>
              </w:rPr>
              <w:t>建设</w:t>
            </w:r>
            <w:r>
              <w:rPr>
                <w:rFonts w:hint="default" w:ascii="Times New Roman" w:hAnsi="Times New Roman" w:cs="Times New Roman"/>
                <w:color w:val="000000" w:themeColor="text1"/>
                <w:highlight w:val="none"/>
                <w:lang w:val="en-US" w:eastAsia="zh-CN"/>
                <w14:textFill>
                  <w14:solidFill>
                    <w14:schemeClr w14:val="tx1"/>
                  </w14:solidFill>
                </w14:textFill>
              </w:rPr>
              <w:t>用地，</w:t>
            </w:r>
            <w:r>
              <w:rPr>
                <w:rFonts w:hint="eastAsia" w:ascii="Times New Roman" w:hAnsi="Times New Roman" w:cs="Times New Roman"/>
                <w:color w:val="000000" w:themeColor="text1"/>
                <w:highlight w:val="none"/>
                <w:lang w:val="en-US" w:eastAsia="zh-CN"/>
                <w14:textFill>
                  <w14:solidFill>
                    <w14:schemeClr w14:val="tx1"/>
                  </w14:solidFill>
                </w14:textFill>
              </w:rPr>
              <w:t>符合抚宁区土地利用规划，厂址为允许建设区</w:t>
            </w:r>
            <w:r>
              <w:rPr>
                <w:rFonts w:hint="default" w:ascii="Times New Roman" w:hAnsi="Times New Roman" w:cs="Times New Roman"/>
                <w:color w:val="000000" w:themeColor="text1"/>
                <w:highlight w:val="none"/>
                <w14:textFill>
                  <w14:solidFill>
                    <w14:schemeClr w14:val="tx1"/>
                  </w14:solidFill>
                </w14:textFill>
              </w:rPr>
              <w:t>。</w:t>
            </w:r>
          </w:p>
          <w:p>
            <w:pPr>
              <w:pStyle w:val="3"/>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3.</w:t>
            </w:r>
            <w:r>
              <w:rPr>
                <w:rFonts w:hint="eastAsia" w:cs="Times New Roman"/>
                <w:color w:val="000000" w:themeColor="text1"/>
                <w:highlight w:val="none"/>
                <w:lang w:val="en-US" w:eastAsia="zh-CN"/>
                <w14:textFill>
                  <w14:solidFill>
                    <w14:schemeClr w14:val="tx1"/>
                  </w14:solidFill>
                </w14:textFill>
              </w:rPr>
              <w:t>2</w:t>
            </w:r>
            <w:r>
              <w:rPr>
                <w:rFonts w:hint="default" w:ascii="Times New Roman" w:hAnsi="Times New Roman" w:cs="Times New Roman"/>
                <w:color w:val="000000" w:themeColor="text1"/>
                <w:highlight w:val="none"/>
                <w:lang w:val="en-US" w:eastAsia="zh-CN"/>
                <w14:textFill>
                  <w14:solidFill>
                    <w14:schemeClr w14:val="tx1"/>
                  </w14:solidFill>
                </w14:textFill>
              </w:rPr>
              <w:t xml:space="preserve"> 运营期污染防治措施结论</w:t>
            </w:r>
          </w:p>
          <w:p>
            <w:pPr>
              <w:pStyle w:val="8"/>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3.</w:t>
            </w:r>
            <w:r>
              <w:rPr>
                <w:rFonts w:hint="eastAsia" w:cs="Times New Roman"/>
                <w:color w:val="000000" w:themeColor="text1"/>
                <w:highlight w:val="none"/>
                <w:lang w:val="en-US" w:eastAsia="zh-CN"/>
                <w14:textFill>
                  <w14:solidFill>
                    <w14:schemeClr w14:val="tx1"/>
                  </w14:solidFill>
                </w14:textFill>
              </w:rPr>
              <w:t>2.</w:t>
            </w:r>
            <w:r>
              <w:rPr>
                <w:rFonts w:hint="default" w:ascii="Times New Roman" w:hAnsi="Times New Roman" w:cs="Times New Roman"/>
                <w:color w:val="000000" w:themeColor="text1"/>
                <w:highlight w:val="none"/>
                <w:lang w:val="en-US" w:eastAsia="zh-CN"/>
                <w14:textFill>
                  <w14:solidFill>
                    <w14:schemeClr w14:val="tx1"/>
                  </w14:solidFill>
                </w14:textFill>
              </w:rPr>
              <w:t>1大气环境影响评价结论</w:t>
            </w:r>
          </w:p>
          <w:p>
            <w:pPr>
              <w:ind w:firstLine="480" w:firstLineChars="200"/>
              <w:jc w:val="both"/>
              <w:rPr>
                <w:rFonts w:hint="default" w:ascii="Times New Roman" w:hAnsi="Times New Roman" w:cs="Times New Roman"/>
                <w:color w:val="000000" w:themeColor="text1"/>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炉渣堆放无组织颗粒物执行《大气污染物综合排放标准》（GB16297-1996）中表2无组织排放监控浓度限值</w:t>
            </w:r>
            <w:r>
              <w:rPr>
                <w:rFonts w:hint="eastAsia" w:cs="Times New Roman"/>
                <w:color w:val="000000" w:themeColor="text1"/>
                <w:highlight w:val="none"/>
                <w:lang w:val="en-US" w:eastAsia="zh-CN"/>
                <w14:textFill>
                  <w14:solidFill>
                    <w14:schemeClr w14:val="tx1"/>
                  </w14:solidFill>
                </w14:textFill>
              </w:rPr>
              <w:t>：1.0</w:t>
            </w:r>
            <w:r>
              <w:rPr>
                <w:rFonts w:hint="default" w:ascii="Times New Roman" w:hAnsi="Times New Roman" w:cs="Times New Roman"/>
                <w:color w:val="000000" w:themeColor="text1"/>
                <w:highlight w:val="none"/>
                <w:lang w:val="en-US" w:eastAsia="zh-CN"/>
                <w14:textFill>
                  <w14:solidFill>
                    <w14:schemeClr w14:val="tx1"/>
                  </w14:solidFill>
                </w14:textFill>
              </w:rPr>
              <w:t>mg/m³以及《秦皇岛市人民政府办公室关于执行钢铁等行业大气污染物排放特别要求的通知》（2021-10）中无组织排放浓度特别管控要求，即0.3mg/m³。</w:t>
            </w:r>
          </w:p>
          <w:p>
            <w:pPr>
              <w:pStyle w:val="8"/>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3.</w:t>
            </w:r>
            <w:r>
              <w:rPr>
                <w:rFonts w:hint="eastAsia" w:cs="Times New Roman"/>
                <w:color w:val="000000" w:themeColor="text1"/>
                <w:highlight w:val="none"/>
                <w:lang w:val="en-US" w:eastAsia="zh-CN"/>
                <w14:textFill>
                  <w14:solidFill>
                    <w14:schemeClr w14:val="tx1"/>
                  </w14:solidFill>
                </w14:textFill>
              </w:rPr>
              <w:t>2</w:t>
            </w:r>
            <w:r>
              <w:rPr>
                <w:rFonts w:hint="default" w:ascii="Times New Roman" w:hAnsi="Times New Roman" w:cs="Times New Roman"/>
                <w:color w:val="000000" w:themeColor="text1"/>
                <w:highlight w:val="none"/>
                <w:lang w:val="en-US" w:eastAsia="zh-CN"/>
                <w14:textFill>
                  <w14:solidFill>
                    <w14:schemeClr w14:val="tx1"/>
                  </w14:solidFill>
                </w14:textFill>
              </w:rPr>
              <w:t>.2 水环境影响评价结论</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本项目生产</w:t>
            </w:r>
            <w:r>
              <w:rPr>
                <w:rFonts w:hint="eastAsia" w:ascii="Times New Roman" w:hAnsi="Times New Roman" w:cs="Times New Roman"/>
                <w:color w:val="000000" w:themeColor="text1"/>
                <w:highlight w:val="none"/>
                <w:lang w:val="en-US" w:eastAsia="zh-CN"/>
                <w14:textFill>
                  <w14:solidFill>
                    <w14:schemeClr w14:val="tx1"/>
                  </w14:solidFill>
                </w14:textFill>
              </w:rPr>
              <w:t>废水，循环使用</w:t>
            </w:r>
            <w:r>
              <w:rPr>
                <w:rFonts w:hint="default" w:ascii="Times New Roman" w:hAnsi="Times New Roman" w:cs="Times New Roman"/>
                <w:color w:val="000000" w:themeColor="text1"/>
                <w:highlight w:val="none"/>
                <w:lang w:val="en-US" w:eastAsia="zh-CN"/>
                <w14:textFill>
                  <w14:solidFill>
                    <w14:schemeClr w14:val="tx1"/>
                  </w14:solidFill>
                </w14:textFill>
              </w:rPr>
              <w:t>不外排</w:t>
            </w:r>
            <w:r>
              <w:rPr>
                <w:rFonts w:hint="eastAsia" w:ascii="Times New Roman" w:hAnsi="Times New Roman" w:cs="Times New Roman"/>
                <w:color w:val="000000" w:themeColor="text1"/>
                <w:highlight w:val="none"/>
                <w:lang w:val="en-US" w:eastAsia="zh-CN"/>
                <w14:textFill>
                  <w14:solidFill>
                    <w14:schemeClr w14:val="tx1"/>
                  </w14:solidFill>
                </w14:textFill>
              </w:rPr>
              <w:t>；生活废水排入化粪池后由清污车清运</w:t>
            </w:r>
            <w:r>
              <w:rPr>
                <w:rFonts w:hint="default" w:ascii="Times New Roman" w:hAnsi="Times New Roman" w:cs="Times New Roman"/>
                <w:color w:val="000000" w:themeColor="text1"/>
                <w:lang w:val="en-US" w:eastAsia="zh-CN"/>
                <w14:textFill>
                  <w14:solidFill>
                    <w14:schemeClr w14:val="tx1"/>
                  </w14:solidFill>
                </w14:textFill>
              </w:rPr>
              <w:t>。</w:t>
            </w:r>
          </w:p>
          <w:p>
            <w:pPr>
              <w:pStyle w:val="8"/>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3.</w:t>
            </w:r>
            <w:r>
              <w:rPr>
                <w:rFonts w:hint="eastAsia" w:cs="Times New Roman"/>
                <w:color w:val="000000" w:themeColor="text1"/>
                <w:highlight w:val="none"/>
                <w:lang w:val="en-US" w:eastAsia="zh-CN"/>
                <w14:textFill>
                  <w14:solidFill>
                    <w14:schemeClr w14:val="tx1"/>
                  </w14:solidFill>
                </w14:textFill>
              </w:rPr>
              <w:t>2</w:t>
            </w:r>
            <w:r>
              <w:rPr>
                <w:rFonts w:hint="default" w:ascii="Times New Roman" w:hAnsi="Times New Roman" w:cs="Times New Roman"/>
                <w:color w:val="000000" w:themeColor="text1"/>
                <w:highlight w:val="none"/>
                <w:lang w:val="en-US" w:eastAsia="zh-CN"/>
                <w14:textFill>
                  <w14:solidFill>
                    <w14:schemeClr w14:val="tx1"/>
                  </w14:solidFill>
                </w14:textFill>
              </w:rPr>
              <w:t>.3 声环境影响评价结论</w:t>
            </w:r>
          </w:p>
          <w:p>
            <w:pPr>
              <w:keepNext w:val="0"/>
              <w:keepLines w:val="0"/>
              <w:pageBreakBefore w:val="0"/>
              <w:widowControl w:val="0"/>
              <w:kinsoku/>
              <w:wordWrap/>
              <w:overflowPunct/>
              <w:topLinePunct w:val="0"/>
              <w:autoSpaceDE/>
              <w:autoSpaceDN/>
              <w:bidi w:val="0"/>
              <w:adjustRightInd/>
              <w:snapToGrid/>
              <w:ind w:firstLine="480" w:firstLineChars="200"/>
              <w:jc w:val="both"/>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 本项目噪声来源主要为设备噪声，噪声值为</w:t>
            </w:r>
            <w:r>
              <w:rPr>
                <w:rFonts w:hint="eastAsia" w:cs="Times New Roman"/>
                <w:color w:val="000000" w:themeColor="text1"/>
                <w:lang w:val="en-US" w:eastAsia="zh-CN"/>
                <w14:textFill>
                  <w14:solidFill>
                    <w14:schemeClr w14:val="tx1"/>
                  </w14:solidFill>
                </w14:textFill>
              </w:rPr>
              <w:t>75</w:t>
            </w:r>
            <w:r>
              <w:rPr>
                <w:rFonts w:hint="default" w:ascii="Times New Roman" w:hAnsi="Times New Roman" w:cs="Times New Roman"/>
                <w:color w:val="000000" w:themeColor="text1"/>
                <w14:textFill>
                  <w14:solidFill>
                    <w14:schemeClr w14:val="tx1"/>
                  </w14:solidFill>
                </w14:textFill>
              </w:rPr>
              <w:t>-</w:t>
            </w:r>
            <w:r>
              <w:rPr>
                <w:rFonts w:hint="default" w:ascii="Times New Roman" w:hAnsi="Times New Roman" w:cs="Times New Roman"/>
                <w:color w:val="000000" w:themeColor="text1"/>
                <w:lang w:val="en-US" w:eastAsia="zh-CN"/>
                <w14:textFill>
                  <w14:solidFill>
                    <w14:schemeClr w14:val="tx1"/>
                  </w14:solidFill>
                </w14:textFill>
              </w:rPr>
              <w:t>85</w:t>
            </w:r>
            <w:r>
              <w:rPr>
                <w:rFonts w:hint="default" w:ascii="Times New Roman" w:hAnsi="Times New Roman" w:cs="Times New Roman"/>
                <w:color w:val="000000" w:themeColor="text1"/>
                <w:highlight w:val="none"/>
                <w:lang w:val="en-US" w:eastAsia="zh-CN"/>
                <w14:textFill>
                  <w14:solidFill>
                    <w14:schemeClr w14:val="tx1"/>
                  </w14:solidFill>
                </w14:textFill>
              </w:rPr>
              <w:t>dB(A)，项目经建筑隔声，距离衰减，设置减振基础，可满足《工业企业厂界环境噪声排放标准》(GB12348</w:t>
            </w:r>
            <w:r>
              <w:rPr>
                <w:rFonts w:hint="eastAsia" w:cs="Times New Roman"/>
                <w:color w:val="000000" w:themeColor="text1"/>
                <w:highlight w:val="none"/>
                <w:lang w:val="en-US" w:eastAsia="zh-CN"/>
                <w14:textFill>
                  <w14:solidFill>
                    <w14:schemeClr w14:val="tx1"/>
                  </w14:solidFill>
                </w14:textFill>
              </w:rPr>
              <w:t>-</w:t>
            </w:r>
            <w:r>
              <w:rPr>
                <w:rFonts w:hint="default" w:ascii="Times New Roman" w:hAnsi="Times New Roman" w:cs="Times New Roman"/>
                <w:color w:val="000000" w:themeColor="text1"/>
                <w:highlight w:val="none"/>
                <w:lang w:val="en-US" w:eastAsia="zh-CN"/>
                <w14:textFill>
                  <w14:solidFill>
                    <w14:schemeClr w14:val="tx1"/>
                  </w14:solidFill>
                </w14:textFill>
              </w:rPr>
              <w:t>2008)中的</w:t>
            </w:r>
            <w:r>
              <w:rPr>
                <w:rFonts w:hint="eastAsia" w:cs="Times New Roman"/>
                <w:color w:val="000000" w:themeColor="text1"/>
                <w:highlight w:val="none"/>
                <w:lang w:val="en-US" w:eastAsia="zh-CN"/>
                <w14:textFill>
                  <w14:solidFill>
                    <w14:schemeClr w14:val="tx1"/>
                  </w14:solidFill>
                </w14:textFill>
              </w:rPr>
              <w:t>2</w:t>
            </w:r>
            <w:r>
              <w:rPr>
                <w:rFonts w:hint="default" w:ascii="Times New Roman" w:hAnsi="Times New Roman" w:cs="Times New Roman"/>
                <w:color w:val="000000" w:themeColor="text1"/>
                <w:highlight w:val="none"/>
                <w:lang w:val="en-US" w:eastAsia="zh-CN"/>
                <w14:textFill>
                  <w14:solidFill>
                    <w14:schemeClr w14:val="tx1"/>
                  </w14:solidFill>
                </w14:textFill>
              </w:rPr>
              <w:t>类标准，昼间≤</w:t>
            </w:r>
            <w:r>
              <w:rPr>
                <w:rFonts w:hint="eastAsia" w:cs="Times New Roman"/>
                <w:color w:val="000000" w:themeColor="text1"/>
                <w:highlight w:val="none"/>
                <w:lang w:val="en-US" w:eastAsia="zh-CN"/>
                <w14:textFill>
                  <w14:solidFill>
                    <w14:schemeClr w14:val="tx1"/>
                  </w14:solidFill>
                </w14:textFill>
              </w:rPr>
              <w:t>60</w:t>
            </w:r>
            <w:r>
              <w:rPr>
                <w:rFonts w:hint="default" w:ascii="Times New Roman" w:hAnsi="Times New Roman" w:cs="Times New Roman"/>
                <w:color w:val="000000" w:themeColor="text1"/>
                <w:highlight w:val="none"/>
                <w:lang w:val="en-US" w:eastAsia="zh-CN"/>
                <w14:textFill>
                  <w14:solidFill>
                    <w14:schemeClr w14:val="tx1"/>
                  </w14:solidFill>
                </w14:textFill>
              </w:rPr>
              <w:t>dB(A)</w:t>
            </w:r>
            <w:r>
              <w:rPr>
                <w:rFonts w:hint="eastAsia" w:ascii="Times New Roman" w:hAnsi="Times New Roman" w:cs="Times New Roman"/>
                <w:color w:val="000000" w:themeColor="text1"/>
                <w:highlight w:val="none"/>
                <w:lang w:val="en-US" w:eastAsia="zh-CN"/>
                <w14:textFill>
                  <w14:solidFill>
                    <w14:schemeClr w14:val="tx1"/>
                  </w14:solidFill>
                </w14:textFill>
              </w:rPr>
              <w:t>，</w:t>
            </w:r>
            <w:r>
              <w:rPr>
                <w:rFonts w:hint="eastAsia" w:cs="Times New Roman"/>
                <w:color w:val="000000" w:themeColor="text1"/>
                <w:highlight w:val="none"/>
                <w:lang w:val="en-US" w:eastAsia="zh-CN"/>
                <w14:textFill>
                  <w14:solidFill>
                    <w14:schemeClr w14:val="tx1"/>
                  </w14:solidFill>
                </w14:textFill>
              </w:rPr>
              <w:t>夜间不生产。</w:t>
            </w:r>
            <w:r>
              <w:rPr>
                <w:rFonts w:hint="default" w:ascii="Times New Roman" w:hAnsi="Times New Roman" w:cs="Times New Roman"/>
                <w:color w:val="000000" w:themeColor="text1"/>
                <w:highlight w:val="none"/>
                <w:lang w:val="en-US" w:eastAsia="zh-CN"/>
                <w14:textFill>
                  <w14:solidFill>
                    <w14:schemeClr w14:val="tx1"/>
                  </w14:solidFill>
                </w14:textFill>
              </w:rPr>
              <w:t>措施可行。</w:t>
            </w:r>
          </w:p>
          <w:p>
            <w:pPr>
              <w:pStyle w:val="8"/>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3.</w:t>
            </w:r>
            <w:r>
              <w:rPr>
                <w:rFonts w:hint="eastAsia" w:cs="Times New Roman"/>
                <w:color w:val="000000" w:themeColor="text1"/>
                <w:highlight w:val="none"/>
                <w:lang w:val="en-US" w:eastAsia="zh-CN"/>
                <w14:textFill>
                  <w14:solidFill>
                    <w14:schemeClr w14:val="tx1"/>
                  </w14:solidFill>
                </w14:textFill>
              </w:rPr>
              <w:t>2</w:t>
            </w:r>
            <w:r>
              <w:rPr>
                <w:rFonts w:hint="default" w:ascii="Times New Roman" w:hAnsi="Times New Roman" w:cs="Times New Roman"/>
                <w:color w:val="000000" w:themeColor="text1"/>
                <w:highlight w:val="none"/>
                <w:lang w:val="en-US" w:eastAsia="zh-CN"/>
                <w14:textFill>
                  <w14:solidFill>
                    <w14:schemeClr w14:val="tx1"/>
                  </w14:solidFill>
                </w14:textFill>
              </w:rPr>
              <w:t>.4 固废环境影响评价结论</w:t>
            </w:r>
          </w:p>
          <w:p>
            <w:pPr>
              <w:pStyle w:val="47"/>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lang w:val="en-US" w:eastAsia="zh-CN"/>
                <w14:textFill>
                  <w14:solidFill>
                    <w14:schemeClr w14:val="tx1"/>
                  </w14:solidFill>
                </w14:textFill>
              </w:rPr>
              <w:t>一般工业固体废物主要为沉淀池泥沙压滤成泥饼后暂存固废暂存区后统一外售，未燃尽垃圾集中收集后，电厂回收利用；</w:t>
            </w:r>
            <w:r>
              <w:rPr>
                <w:rFonts w:hint="default" w:ascii="Times New Roman" w:hAnsi="Times New Roman" w:cs="Times New Roman"/>
                <w:color w:val="000000" w:themeColor="text1"/>
                <w:lang w:val="en-US" w:eastAsia="zh-CN"/>
                <w14:textFill>
                  <w14:solidFill>
                    <w14:schemeClr w14:val="tx1"/>
                  </w14:solidFill>
                </w14:textFill>
              </w:rPr>
              <w:t>危险废物主要为</w:t>
            </w:r>
            <w:r>
              <w:rPr>
                <w:rFonts w:hint="eastAsia" w:ascii="Times New Roman" w:hAnsi="Times New Roman" w:cs="Times New Roman"/>
                <w:color w:val="000000" w:themeColor="text1"/>
                <w:lang w:val="en-US" w:eastAsia="zh-CN"/>
                <w14:textFill>
                  <w14:solidFill>
                    <w14:schemeClr w14:val="tx1"/>
                  </w14:solidFill>
                </w14:textFill>
              </w:rPr>
              <w:t>废润滑油桶、废润滑油</w:t>
            </w:r>
            <w:r>
              <w:rPr>
                <w:rFonts w:hint="default" w:ascii="Times New Roman" w:hAnsi="Times New Roman" w:cs="Times New Roman"/>
                <w:color w:val="000000" w:themeColor="text1"/>
                <w:lang w:val="en-US" w:eastAsia="zh-CN"/>
                <w14:textFill>
                  <w14:solidFill>
                    <w14:schemeClr w14:val="tx1"/>
                  </w14:solidFill>
                </w14:textFill>
              </w:rPr>
              <w:t>，将其暂存至危废间内，交由有资质单位定期运输并处置</w:t>
            </w:r>
            <w:r>
              <w:rPr>
                <w:rFonts w:hint="default" w:ascii="Times New Roman" w:hAnsi="Times New Roman" w:cs="Times New Roman"/>
                <w:color w:val="000000" w:themeColor="text1"/>
                <w:highlight w:val="none"/>
                <w:lang w:val="en-US" w:eastAsia="zh-CN"/>
                <w14:textFill>
                  <w14:solidFill>
                    <w14:schemeClr w14:val="tx1"/>
                  </w14:solidFill>
                </w14:textFill>
              </w:rPr>
              <w:t>。所有固体废物均得到合理处置，措施可行。</w:t>
            </w:r>
          </w:p>
          <w:p>
            <w:pPr>
              <w:pStyle w:val="8"/>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3.</w:t>
            </w:r>
            <w:r>
              <w:rPr>
                <w:rFonts w:hint="eastAsia" w:cs="Times New Roman"/>
                <w:color w:val="000000" w:themeColor="text1"/>
                <w:highlight w:val="none"/>
                <w:lang w:val="en-US" w:eastAsia="zh-CN"/>
                <w14:textFill>
                  <w14:solidFill>
                    <w14:schemeClr w14:val="tx1"/>
                  </w14:solidFill>
                </w14:textFill>
              </w:rPr>
              <w:t>2</w:t>
            </w:r>
            <w:r>
              <w:rPr>
                <w:rFonts w:hint="default" w:ascii="Times New Roman" w:hAnsi="Times New Roman" w:cs="Times New Roman"/>
                <w:color w:val="000000" w:themeColor="text1"/>
                <w:highlight w:val="none"/>
                <w:lang w:val="en-US" w:eastAsia="zh-CN"/>
                <w14:textFill>
                  <w14:solidFill>
                    <w14:schemeClr w14:val="tx1"/>
                  </w14:solidFill>
                </w14:textFill>
              </w:rPr>
              <w:t>.5 土壤环境影响结论</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本项目</w:t>
            </w:r>
            <w:r>
              <w:rPr>
                <w:rFonts w:hint="default" w:ascii="Times New Roman" w:hAnsi="Times New Roman" w:cs="Times New Roman"/>
                <w:color w:val="000000" w:themeColor="text1"/>
                <w:lang w:val="en-US" w:eastAsia="zh-CN"/>
                <w14:textFill>
                  <w14:solidFill>
                    <w14:schemeClr w14:val="tx1"/>
                  </w14:solidFill>
                </w14:textFill>
              </w:rPr>
              <w:t>危险废物暂存于危废间内，危废间符合基础的防腐防渗要求，危废间位于车间内，且车间地面均硬化处理，不会对地下水及土壤造成影响</w:t>
            </w:r>
            <w:r>
              <w:rPr>
                <w:rFonts w:hint="default" w:ascii="Times New Roman" w:hAnsi="Times New Roman" w:cs="Times New Roman"/>
                <w:color w:val="000000" w:themeColor="text1"/>
                <w:highlight w:val="none"/>
                <w:lang w:val="en-US" w:eastAsia="zh-CN"/>
                <w14:textFill>
                  <w14:solidFill>
                    <w14:schemeClr w14:val="tx1"/>
                  </w14:solidFill>
                </w14:textFill>
              </w:rPr>
              <w:t>，措施可行。</w:t>
            </w:r>
          </w:p>
          <w:p>
            <w:pPr>
              <w:pStyle w:val="2"/>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cs="Times New Roman"/>
                <w:color w:val="000000" w:themeColor="text1"/>
                <w:highlight w:val="none"/>
                <w:lang w:val="en-US" w:eastAsia="zh-CN"/>
                <w14:textFill>
                  <w14:solidFill>
                    <w14:schemeClr w14:val="tx1"/>
                  </w14:solidFill>
                </w14:textFill>
              </w:rPr>
              <w:t>4</w:t>
            </w:r>
            <w:r>
              <w:rPr>
                <w:rFonts w:hint="default" w:ascii="Times New Roman" w:hAnsi="Times New Roman" w:cs="Times New Roman"/>
                <w:color w:val="000000" w:themeColor="text1"/>
                <w:highlight w:val="none"/>
                <w:lang w:val="en-US" w:eastAsia="zh-CN"/>
                <w14:textFill>
                  <w14:solidFill>
                    <w14:schemeClr w14:val="tx1"/>
                  </w14:solidFill>
                </w14:textFill>
              </w:rPr>
              <w:t xml:space="preserve"> 综合结论</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综上所述，该项目符合国家产业政策，厂址选择可行，工程采取了较为完善的污染防治措施，可确保达标排放，项目的建设不会对周围环境产生明显的污染影响。在全面加强监督管理，严格执行“三同时”前提下，从环保角度分析项目的建设可行。</w:t>
            </w:r>
          </w:p>
          <w:p>
            <w:pPr>
              <w:pStyle w:val="2"/>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5</w:t>
            </w:r>
            <w:r>
              <w:rPr>
                <w:rFonts w:hint="default" w:ascii="Times New Roman" w:hAnsi="Times New Roman" w:cs="Times New Roman"/>
                <w:color w:val="000000" w:themeColor="text1"/>
                <w:highlight w:val="none"/>
                <w:lang w:val="en-US" w:eastAsia="zh-CN"/>
                <w14:textFill>
                  <w14:solidFill>
                    <w14:schemeClr w14:val="tx1"/>
                  </w14:solidFill>
                </w14:textFill>
              </w:rPr>
              <w:t>建议</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（1）加强环境管理。</w:t>
            </w:r>
          </w:p>
          <w:p>
            <w:pPr>
              <w:keepNext w:val="0"/>
              <w:keepLines w:val="0"/>
              <w:pageBreakBefore w:val="0"/>
              <w:widowControl w:val="0"/>
              <w:kinsoku/>
              <w:wordWrap/>
              <w:overflowPunct/>
              <w:topLinePunct w:val="0"/>
              <w:autoSpaceDE/>
              <w:autoSpaceDN/>
              <w:bidi w:val="0"/>
              <w:adjustRightInd/>
              <w:snapToGrid/>
              <w:ind w:firstLine="480" w:firstLineChars="200"/>
              <w:textAlignment w:val="auto"/>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（2）加强各生产环节管理，实施清洁生产管理，从源头抓起，确保环保设施正常运行，最大限度地减少污染物的排放量。</w:t>
            </w:r>
          </w:p>
          <w:p>
            <w:pPr>
              <w:pStyle w:val="30"/>
              <w:rPr>
                <w:rFonts w:hint="default" w:ascii="Times New Roman" w:hAnsi="Times New Roman" w:cs="Times New Roman"/>
                <w:color w:val="000000" w:themeColor="text1"/>
                <w:highlight w:val="none"/>
                <w:lang w:val="en-US" w:eastAsia="zh-CN"/>
                <w14:textFill>
                  <w14:solidFill>
                    <w14:schemeClr w14:val="tx1"/>
                  </w14:solidFill>
                </w14:textFill>
              </w:rPr>
            </w:pPr>
          </w:p>
          <w:p>
            <w:pPr>
              <w:pStyle w:val="29"/>
              <w:rPr>
                <w:rFonts w:hint="default" w:ascii="Times New Roman" w:hAnsi="Times New Roman" w:eastAsia="宋体" w:cs="Times New Roman"/>
                <w:color w:val="000000" w:themeColor="text1"/>
                <w:highlight w:val="none"/>
                <w14:textFill>
                  <w14:solidFill>
                    <w14:schemeClr w14:val="tx1"/>
                  </w14:solidFill>
                </w14:textFill>
              </w:rPr>
            </w:pPr>
          </w:p>
          <w:p>
            <w:pPr>
              <w:pStyle w:val="29"/>
              <w:ind w:left="0" w:leftChars="0" w:firstLine="0" w:firstLineChars="0"/>
              <w:rPr>
                <w:rFonts w:hint="default" w:ascii="Times New Roman" w:hAnsi="Times New Roman" w:eastAsia="宋体" w:cs="Times New Roman"/>
                <w:color w:val="000000" w:themeColor="text1"/>
                <w:highlight w:val="none"/>
                <w14:textFill>
                  <w14:solidFill>
                    <w14:schemeClr w14:val="tx1"/>
                  </w14:solidFill>
                </w14:textFill>
              </w:rPr>
            </w:pPr>
          </w:p>
        </w:tc>
      </w:tr>
    </w:tbl>
    <w:p>
      <w:pPr>
        <w:rPr>
          <w:rFonts w:hint="default" w:ascii="Times New Roman" w:hAnsi="Times New Roman" w:cs="Times New Roman"/>
          <w:color w:val="000000" w:themeColor="text1"/>
          <w:highlight w:val="none"/>
          <w14:textFill>
            <w14:solidFill>
              <w14:schemeClr w14:val="tx1"/>
            </w14:solidFill>
          </w14:textFill>
        </w:rPr>
        <w:sectPr>
          <w:pgSz w:w="11905" w:h="16838"/>
          <w:pgMar w:top="1440" w:right="1587" w:bottom="1440" w:left="1587" w:header="851" w:footer="850" w:gutter="0"/>
          <w:pgBorders>
            <w:top w:val="none" w:sz="0" w:space="0"/>
            <w:left w:val="none" w:sz="0" w:space="0"/>
            <w:bottom w:val="none" w:sz="0" w:space="0"/>
            <w:right w:val="none" w:sz="0" w:space="0"/>
          </w:pgBorders>
          <w:pgNumType w:fmt="decimal"/>
          <w:cols w:space="0" w:num="1"/>
          <w:rtlGutter w:val="0"/>
          <w:docGrid w:linePitch="312" w:charSpace="0"/>
        </w:sectPr>
      </w:pPr>
    </w:p>
    <w:p>
      <w:pPr>
        <w:pStyle w:val="2"/>
        <w:bidi w:val="0"/>
        <w:jc w:val="both"/>
        <w:rPr>
          <w:rFonts w:hint="default" w:ascii="黑体" w:hAnsi="黑体" w:eastAsia="黑体" w:cs="黑体"/>
          <w:b w:val="0"/>
          <w:bCs w:val="0"/>
          <w:color w:val="000000" w:themeColor="text1"/>
          <w:sz w:val="30"/>
          <w:szCs w:val="30"/>
          <w:highlight w:val="none"/>
          <w14:textFill>
            <w14:solidFill>
              <w14:schemeClr w14:val="tx1"/>
            </w14:solidFill>
          </w14:textFill>
        </w:rPr>
      </w:pPr>
      <w:r>
        <w:rPr>
          <w:rFonts w:hint="default" w:ascii="黑体" w:hAnsi="黑体" w:eastAsia="黑体" w:cs="黑体"/>
          <w:b w:val="0"/>
          <w:bCs w:val="0"/>
          <w:color w:val="000000" w:themeColor="text1"/>
          <w:sz w:val="30"/>
          <w:szCs w:val="30"/>
          <w:highlight w:val="none"/>
          <w14:textFill>
            <w14:solidFill>
              <w14:schemeClr w14:val="tx1"/>
            </w14:solidFill>
          </w14:textFill>
        </w:rPr>
        <w:t>附表</w:t>
      </w:r>
    </w:p>
    <w:p>
      <w:pPr>
        <w:pStyle w:val="27"/>
        <w:keepNext w:val="0"/>
        <w:keepLines w:val="0"/>
        <w:pageBreakBefore w:val="0"/>
        <w:widowControl/>
        <w:kinsoku/>
        <w:wordWrap/>
        <w:overflowPunct/>
        <w:topLinePunct w:val="0"/>
        <w:autoSpaceDE/>
        <w:autoSpaceDN/>
        <w:bidi w:val="0"/>
        <w:adjustRightInd w:val="0"/>
        <w:snapToGrid w:val="0"/>
        <w:spacing w:before="0" w:beforeAutospacing="0" w:after="0" w:afterAutospacing="0" w:line="360" w:lineRule="auto"/>
        <w:jc w:val="center"/>
        <w:textAlignment w:val="auto"/>
        <w:outlineLvl w:val="0"/>
        <w:rPr>
          <w:rFonts w:hint="default" w:ascii="Times New Roman" w:hAnsi="Times New Roman" w:eastAsia="黑体" w:cs="Times New Roman"/>
          <w:snapToGrid w:val="0"/>
          <w:color w:val="000000" w:themeColor="text1"/>
          <w:sz w:val="36"/>
          <w:szCs w:val="36"/>
          <w:highlight w:val="none"/>
          <w14:textFill>
            <w14:solidFill>
              <w14:schemeClr w14:val="tx1"/>
            </w14:solidFill>
          </w14:textFill>
        </w:rPr>
      </w:pPr>
      <w:r>
        <w:rPr>
          <w:rFonts w:hint="default" w:ascii="Times New Roman" w:hAnsi="Times New Roman" w:eastAsia="黑体" w:cs="Times New Roman"/>
          <w:snapToGrid w:val="0"/>
          <w:color w:val="000000" w:themeColor="text1"/>
          <w:sz w:val="36"/>
          <w:szCs w:val="36"/>
          <w:highlight w:val="none"/>
          <w14:textFill>
            <w14:solidFill>
              <w14:schemeClr w14:val="tx1"/>
            </w14:solidFill>
          </w14:textFill>
        </w:rPr>
        <w:t>建设项目污染物排放量汇总表</w:t>
      </w:r>
    </w:p>
    <w:tbl>
      <w:tblPr>
        <w:tblStyle w:val="31"/>
        <w:tblW w:w="5000"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613"/>
        <w:gridCol w:w="1552"/>
        <w:gridCol w:w="1617"/>
        <w:gridCol w:w="1298"/>
        <w:gridCol w:w="1728"/>
        <w:gridCol w:w="1585"/>
        <w:gridCol w:w="1789"/>
        <w:gridCol w:w="1759"/>
        <w:gridCol w:w="107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tcBorders>
              <w:tl2br w:val="single" w:color="auto" w:sz="4" w:space="0"/>
            </w:tcBorders>
            <w:noWrap w:val="0"/>
            <w:tcMar>
              <w:left w:w="28" w:type="dxa"/>
              <w:right w:w="28"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 xml:space="preserve">      </w:t>
            </w:r>
            <w:r>
              <w:rPr>
                <w:rFonts w:hint="default" w:ascii="Times New Roman" w:hAnsi="Times New Roman" w:eastAsia="宋体" w:cs="Times New Roman"/>
                <w:color w:val="000000" w:themeColor="text1"/>
                <w:lang w:val="en-US" w:eastAsia="zh-CN"/>
                <w14:textFill>
                  <w14:solidFill>
                    <w14:schemeClr w14:val="tx1"/>
                  </w14:solidFill>
                </w14:textFill>
              </w:rPr>
              <w:t>项目</w:t>
            </w:r>
          </w:p>
          <w:p>
            <w:pPr>
              <w:pStyle w:val="57"/>
              <w:spacing w:line="240" w:lineRule="auto"/>
              <w:ind w:firstLine="210" w:firstLineChars="100"/>
              <w:jc w:val="both"/>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分类</w:t>
            </w:r>
          </w:p>
        </w:tc>
        <w:tc>
          <w:tcPr>
            <w:tcW w:w="1552" w:type="dxa"/>
            <w:noWrap w:val="0"/>
            <w:tcMar>
              <w:left w:w="28" w:type="dxa"/>
              <w:right w:w="28"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污染物名称</w:t>
            </w:r>
          </w:p>
        </w:tc>
        <w:tc>
          <w:tcPr>
            <w:tcW w:w="1617" w:type="dxa"/>
            <w:noWrap w:val="0"/>
            <w:tcMar>
              <w:left w:w="28" w:type="dxa"/>
              <w:right w:w="28"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现有工程</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排放量（固体废物产生量）</w:t>
            </w:r>
            <w:r>
              <w:rPr>
                <w:rFonts w:hint="default" w:ascii="Times New Roman" w:hAnsi="Times New Roman" w:eastAsia="宋体" w:cs="Times New Roman"/>
                <w:color w:val="000000" w:themeColor="text1"/>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lang w:val="en-US" w:eastAsia="zh-CN"/>
                <w14:textFill>
                  <w14:solidFill>
                    <w14:schemeClr w14:val="tx1"/>
                  </w14:solidFill>
                </w14:textFill>
              </w:rPr>
              <w:instrText xml:space="preserve"> = 1 \* GB3 \* MERGEFORMAT </w:instrText>
            </w:r>
            <w:r>
              <w:rPr>
                <w:rFonts w:hint="default" w:ascii="Times New Roman" w:hAnsi="Times New Roman" w:eastAsia="宋体" w:cs="Times New Roman"/>
                <w:color w:val="000000" w:themeColor="text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lang w:val="en-US" w:eastAsia="zh-CN"/>
                <w14:textFill>
                  <w14:solidFill>
                    <w14:schemeClr w14:val="tx1"/>
                  </w14:solidFill>
                </w14:textFill>
              </w:rPr>
              <w:t>①</w:t>
            </w:r>
            <w:r>
              <w:rPr>
                <w:rFonts w:hint="default" w:ascii="Times New Roman" w:hAnsi="Times New Roman" w:eastAsia="宋体" w:cs="Times New Roman"/>
                <w:color w:val="000000" w:themeColor="text1"/>
                <w:lang w:val="en-US" w:eastAsia="zh-CN"/>
                <w14:textFill>
                  <w14:solidFill>
                    <w14:schemeClr w14:val="tx1"/>
                  </w14:solidFill>
                </w14:textFill>
              </w:rPr>
              <w:fldChar w:fldCharType="end"/>
            </w:r>
          </w:p>
        </w:tc>
        <w:tc>
          <w:tcPr>
            <w:tcW w:w="1298" w:type="dxa"/>
            <w:noWrap w:val="0"/>
            <w:tcMar>
              <w:left w:w="28" w:type="dxa"/>
              <w:right w:w="28"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现有工程</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许可排放量</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lang w:val="en-US" w:eastAsia="zh-CN"/>
                <w14:textFill>
                  <w14:solidFill>
                    <w14:schemeClr w14:val="tx1"/>
                  </w14:solidFill>
                </w14:textFill>
              </w:rPr>
              <w:instrText xml:space="preserve"> = 2 \* GB3 \* MERGEFORMAT </w:instrText>
            </w:r>
            <w:r>
              <w:rPr>
                <w:rFonts w:hint="default" w:ascii="Times New Roman" w:hAnsi="Times New Roman" w:eastAsia="宋体" w:cs="Times New Roman"/>
                <w:color w:val="000000" w:themeColor="text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lang w:val="en-US" w:eastAsia="zh-CN"/>
                <w14:textFill>
                  <w14:solidFill>
                    <w14:schemeClr w14:val="tx1"/>
                  </w14:solidFill>
                </w14:textFill>
              </w:rPr>
              <w:t>②</w:t>
            </w:r>
            <w:r>
              <w:rPr>
                <w:rFonts w:hint="default" w:ascii="Times New Roman" w:hAnsi="Times New Roman" w:eastAsia="宋体" w:cs="Times New Roman"/>
                <w:color w:val="000000" w:themeColor="text1"/>
                <w:lang w:val="en-US" w:eastAsia="zh-CN"/>
                <w14:textFill>
                  <w14:solidFill>
                    <w14:schemeClr w14:val="tx1"/>
                  </w14:solidFill>
                </w14:textFill>
              </w:rPr>
              <w:fldChar w:fldCharType="end"/>
            </w:r>
          </w:p>
        </w:tc>
        <w:tc>
          <w:tcPr>
            <w:tcW w:w="1728" w:type="dxa"/>
            <w:noWrap w:val="0"/>
            <w:tcMar>
              <w:left w:w="28" w:type="dxa"/>
              <w:right w:w="28"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在建工程</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排放量（固体废物产生量）</w:t>
            </w:r>
            <w:r>
              <w:rPr>
                <w:rFonts w:hint="default" w:ascii="Times New Roman" w:hAnsi="Times New Roman" w:eastAsia="宋体" w:cs="Times New Roman"/>
                <w:color w:val="000000" w:themeColor="text1"/>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lang w:val="en-US" w:eastAsia="zh-CN"/>
                <w14:textFill>
                  <w14:solidFill>
                    <w14:schemeClr w14:val="tx1"/>
                  </w14:solidFill>
                </w14:textFill>
              </w:rPr>
              <w:instrText xml:space="preserve"> = 3 \* GB3 \* MERGEFORMAT </w:instrText>
            </w:r>
            <w:r>
              <w:rPr>
                <w:rFonts w:hint="default" w:ascii="Times New Roman" w:hAnsi="Times New Roman" w:eastAsia="宋体" w:cs="Times New Roman"/>
                <w:color w:val="000000" w:themeColor="text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lang w:val="en-US" w:eastAsia="zh-CN"/>
                <w14:textFill>
                  <w14:solidFill>
                    <w14:schemeClr w14:val="tx1"/>
                  </w14:solidFill>
                </w14:textFill>
              </w:rPr>
              <w:t>③</w:t>
            </w:r>
            <w:r>
              <w:rPr>
                <w:rFonts w:hint="default" w:ascii="Times New Roman" w:hAnsi="Times New Roman" w:eastAsia="宋体" w:cs="Times New Roman"/>
                <w:color w:val="000000" w:themeColor="text1"/>
                <w:lang w:val="en-US" w:eastAsia="zh-CN"/>
                <w14:textFill>
                  <w14:solidFill>
                    <w14:schemeClr w14:val="tx1"/>
                  </w14:solidFill>
                </w14:textFill>
              </w:rPr>
              <w:fldChar w:fldCharType="end"/>
            </w:r>
          </w:p>
        </w:tc>
        <w:tc>
          <w:tcPr>
            <w:tcW w:w="1585" w:type="dxa"/>
            <w:noWrap w:val="0"/>
            <w:tcMar>
              <w:left w:w="28" w:type="dxa"/>
              <w:right w:w="28"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本项目</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排放量（固体废物产生量）</w:t>
            </w:r>
            <w:r>
              <w:rPr>
                <w:rFonts w:hint="default" w:ascii="Times New Roman" w:hAnsi="Times New Roman" w:eastAsia="宋体" w:cs="Times New Roman"/>
                <w:color w:val="000000" w:themeColor="text1"/>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lang w:val="en-US" w:eastAsia="zh-CN"/>
                <w14:textFill>
                  <w14:solidFill>
                    <w14:schemeClr w14:val="tx1"/>
                  </w14:solidFill>
                </w14:textFill>
              </w:rPr>
              <w:instrText xml:space="preserve"> = 4 \* GB3 \* MERGEFORMAT </w:instrText>
            </w:r>
            <w:r>
              <w:rPr>
                <w:rFonts w:hint="default" w:ascii="Times New Roman" w:hAnsi="Times New Roman" w:eastAsia="宋体" w:cs="Times New Roman"/>
                <w:color w:val="000000" w:themeColor="text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lang w:val="en-US" w:eastAsia="zh-CN"/>
                <w14:textFill>
                  <w14:solidFill>
                    <w14:schemeClr w14:val="tx1"/>
                  </w14:solidFill>
                </w14:textFill>
              </w:rPr>
              <w:t>④</w:t>
            </w:r>
            <w:r>
              <w:rPr>
                <w:rFonts w:hint="default" w:ascii="Times New Roman" w:hAnsi="Times New Roman" w:eastAsia="宋体" w:cs="Times New Roman"/>
                <w:color w:val="000000" w:themeColor="text1"/>
                <w:lang w:val="en-US" w:eastAsia="zh-CN"/>
                <w14:textFill>
                  <w14:solidFill>
                    <w14:schemeClr w14:val="tx1"/>
                  </w14:solidFill>
                </w14:textFill>
              </w:rPr>
              <w:fldChar w:fldCharType="end"/>
            </w:r>
          </w:p>
        </w:tc>
        <w:tc>
          <w:tcPr>
            <w:tcW w:w="1789" w:type="dxa"/>
            <w:noWrap w:val="0"/>
            <w:tcMar>
              <w:left w:w="28" w:type="dxa"/>
              <w:right w:w="28"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以新带老削减量</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（新建项目不填）</w:t>
            </w:r>
            <w:r>
              <w:rPr>
                <w:rFonts w:hint="default" w:ascii="Times New Roman" w:hAnsi="Times New Roman" w:eastAsia="宋体" w:cs="Times New Roman"/>
                <w:color w:val="000000" w:themeColor="text1"/>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lang w:val="en-US" w:eastAsia="zh-CN"/>
                <w14:textFill>
                  <w14:solidFill>
                    <w14:schemeClr w14:val="tx1"/>
                  </w14:solidFill>
                </w14:textFill>
              </w:rPr>
              <w:instrText xml:space="preserve"> = 5 \* GB3 \* MERGEFORMAT </w:instrText>
            </w:r>
            <w:r>
              <w:rPr>
                <w:rFonts w:hint="default" w:ascii="Times New Roman" w:hAnsi="Times New Roman" w:eastAsia="宋体" w:cs="Times New Roman"/>
                <w:color w:val="000000" w:themeColor="text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lang w:val="en-US" w:eastAsia="zh-CN"/>
                <w14:textFill>
                  <w14:solidFill>
                    <w14:schemeClr w14:val="tx1"/>
                  </w14:solidFill>
                </w14:textFill>
              </w:rPr>
              <w:t>⑤</w:t>
            </w:r>
            <w:r>
              <w:rPr>
                <w:rFonts w:hint="default" w:ascii="Times New Roman" w:hAnsi="Times New Roman" w:eastAsia="宋体" w:cs="Times New Roman"/>
                <w:color w:val="000000" w:themeColor="text1"/>
                <w:lang w:val="en-US" w:eastAsia="zh-CN"/>
                <w14:textFill>
                  <w14:solidFill>
                    <w14:schemeClr w14:val="tx1"/>
                  </w14:solidFill>
                </w14:textFill>
              </w:rPr>
              <w:fldChar w:fldCharType="end"/>
            </w:r>
          </w:p>
        </w:tc>
        <w:tc>
          <w:tcPr>
            <w:tcW w:w="1759" w:type="dxa"/>
            <w:noWrap w:val="0"/>
            <w:tcMar>
              <w:left w:w="28" w:type="dxa"/>
              <w:right w:w="28"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本项目建成后</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全厂排放量（固体废物产生量）</w:t>
            </w:r>
            <w:r>
              <w:rPr>
                <w:rFonts w:hint="default" w:ascii="Times New Roman" w:hAnsi="Times New Roman" w:eastAsia="宋体" w:cs="Times New Roman"/>
                <w:color w:val="000000" w:themeColor="text1"/>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lang w:val="en-US" w:eastAsia="zh-CN"/>
                <w14:textFill>
                  <w14:solidFill>
                    <w14:schemeClr w14:val="tx1"/>
                  </w14:solidFill>
                </w14:textFill>
              </w:rPr>
              <w:instrText xml:space="preserve"> = 6 \* GB3 \* MERGEFORMAT </w:instrText>
            </w:r>
            <w:r>
              <w:rPr>
                <w:rFonts w:hint="default" w:ascii="Times New Roman" w:hAnsi="Times New Roman" w:eastAsia="宋体" w:cs="Times New Roman"/>
                <w:color w:val="000000" w:themeColor="text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lang w:val="en-US" w:eastAsia="zh-CN"/>
                <w14:textFill>
                  <w14:solidFill>
                    <w14:schemeClr w14:val="tx1"/>
                  </w14:solidFill>
                </w14:textFill>
              </w:rPr>
              <w:t>⑥</w:t>
            </w:r>
            <w:r>
              <w:rPr>
                <w:rFonts w:hint="default" w:ascii="Times New Roman" w:hAnsi="Times New Roman" w:eastAsia="宋体" w:cs="Times New Roman"/>
                <w:color w:val="000000" w:themeColor="text1"/>
                <w:lang w:val="en-US" w:eastAsia="zh-CN"/>
                <w14:textFill>
                  <w14:solidFill>
                    <w14:schemeClr w14:val="tx1"/>
                  </w14:solidFill>
                </w14:textFill>
              </w:rPr>
              <w:fldChar w:fldCharType="end"/>
            </w:r>
          </w:p>
        </w:tc>
        <w:tc>
          <w:tcPr>
            <w:tcW w:w="1073" w:type="dxa"/>
            <w:noWrap w:val="0"/>
            <w:tcMar>
              <w:left w:w="28" w:type="dxa"/>
              <w:right w:w="28" w:type="dxa"/>
            </w:tcMar>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变化量</w:t>
            </w:r>
          </w:p>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lang w:val="en-US" w:eastAsia="zh-CN"/>
                <w14:textFill>
                  <w14:solidFill>
                    <w14:schemeClr w14:val="tx1"/>
                  </w14:solidFill>
                </w14:textFill>
              </w:rPr>
              <w:instrText xml:space="preserve"> = 7 \* GB3 \* MERGEFORMAT </w:instrText>
            </w:r>
            <w:r>
              <w:rPr>
                <w:rFonts w:hint="default" w:ascii="Times New Roman" w:hAnsi="Times New Roman" w:eastAsia="宋体" w:cs="Times New Roman"/>
                <w:color w:val="000000" w:themeColor="text1"/>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lang w:val="en-US" w:eastAsia="zh-CN"/>
                <w14:textFill>
                  <w14:solidFill>
                    <w14:schemeClr w14:val="tx1"/>
                  </w14:solidFill>
                </w14:textFill>
              </w:rPr>
              <w:t>⑦</w:t>
            </w:r>
            <w:r>
              <w:rPr>
                <w:rFonts w:hint="default" w:ascii="Times New Roman" w:hAnsi="Times New Roman" w:eastAsia="宋体" w:cs="Times New Roman"/>
                <w:color w:val="000000" w:themeColor="text1"/>
                <w:lang w:val="en-US" w:eastAsia="zh-CN"/>
                <w14:textFill>
                  <w14:solidFill>
                    <w14:schemeClr w14:val="tx1"/>
                  </w14:solidFill>
                </w14:textFill>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13" w:hRule="atLeast"/>
          <w:jc w:val="center"/>
        </w:trPr>
        <w:tc>
          <w:tcPr>
            <w:tcW w:w="1613" w:type="dxa"/>
            <w:vMerge w:val="restar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废气</w:t>
            </w:r>
          </w:p>
        </w:tc>
        <w:tc>
          <w:tcPr>
            <w:tcW w:w="1552"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二氧化硫</w:t>
            </w:r>
          </w:p>
        </w:tc>
        <w:tc>
          <w:tcPr>
            <w:tcW w:w="1617"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129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172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1585"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178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175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1073"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vMerge w:val="continue"/>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552"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氮氧化物</w:t>
            </w:r>
          </w:p>
        </w:tc>
        <w:tc>
          <w:tcPr>
            <w:tcW w:w="1617"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129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172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1585"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178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175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c>
          <w:tcPr>
            <w:tcW w:w="1073"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vMerge w:val="restar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废水</w:t>
            </w:r>
          </w:p>
        </w:tc>
        <w:tc>
          <w:tcPr>
            <w:tcW w:w="1552"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COD</w:t>
            </w:r>
          </w:p>
        </w:tc>
        <w:tc>
          <w:tcPr>
            <w:tcW w:w="1617"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29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2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585"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8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5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073"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vMerge w:val="continue"/>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552"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氨氮</w:t>
            </w:r>
          </w:p>
        </w:tc>
        <w:tc>
          <w:tcPr>
            <w:tcW w:w="1617"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29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2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585"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8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5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073"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vMerge w:val="restar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一般工业固体废物</w:t>
            </w:r>
          </w:p>
        </w:tc>
        <w:tc>
          <w:tcPr>
            <w:tcW w:w="1552"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沉淀池泥沙</w:t>
            </w:r>
          </w:p>
        </w:tc>
        <w:tc>
          <w:tcPr>
            <w:tcW w:w="1617"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29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2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585"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23996t/a</w:t>
            </w:r>
          </w:p>
        </w:tc>
        <w:tc>
          <w:tcPr>
            <w:tcW w:w="178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5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23996t/a</w:t>
            </w:r>
          </w:p>
        </w:tc>
        <w:tc>
          <w:tcPr>
            <w:tcW w:w="1073"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23996t/a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vMerge w:val="continue"/>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552"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未燃尽垃圾</w:t>
            </w:r>
          </w:p>
        </w:tc>
        <w:tc>
          <w:tcPr>
            <w:tcW w:w="1617"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29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2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585"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30263.9706t/a</w:t>
            </w:r>
          </w:p>
        </w:tc>
        <w:tc>
          <w:tcPr>
            <w:tcW w:w="178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5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30263.9706t/a</w:t>
            </w:r>
          </w:p>
        </w:tc>
        <w:tc>
          <w:tcPr>
            <w:tcW w:w="1073"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eastAsiaTheme="minorEastAsia"/>
                <w:color w:val="000000" w:themeColor="text1"/>
                <w:sz w:val="21"/>
                <w:szCs w:val="21"/>
                <w:highlight w:val="none"/>
                <w:lang w:val="en-US" w:eastAsia="zh-CN"/>
                <w14:textFill>
                  <w14:solidFill>
                    <w14:schemeClr w14:val="tx1"/>
                  </w14:solidFill>
                </w14:textFill>
              </w:rPr>
              <w:t>30263.9706t/a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vMerge w:val="restart"/>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default" w:ascii="Times New Roman" w:hAnsi="Times New Roman" w:eastAsia="宋体" w:cs="Times New Roman"/>
                <w:color w:val="000000" w:themeColor="text1"/>
                <w:lang w:val="en-US" w:eastAsia="zh-CN"/>
                <w14:textFill>
                  <w14:solidFill>
                    <w14:schemeClr w14:val="tx1"/>
                  </w14:solidFill>
                </w14:textFill>
              </w:rPr>
              <w:t>危险废物</w:t>
            </w:r>
          </w:p>
        </w:tc>
        <w:tc>
          <w:tcPr>
            <w:tcW w:w="1552"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废润滑油桶</w:t>
            </w:r>
          </w:p>
        </w:tc>
        <w:tc>
          <w:tcPr>
            <w:tcW w:w="1617"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29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2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585"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0.05t/a</w:t>
            </w:r>
          </w:p>
        </w:tc>
        <w:tc>
          <w:tcPr>
            <w:tcW w:w="178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5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lang w:val="en-US" w:eastAsia="zh-CN"/>
                <w14:textFill>
                  <w14:solidFill>
                    <w14:schemeClr w14:val="tx1"/>
                  </w14:solidFill>
                </w14:textFill>
              </w:rPr>
              <w:t>0.05t/a</w:t>
            </w:r>
          </w:p>
        </w:tc>
        <w:tc>
          <w:tcPr>
            <w:tcW w:w="1073"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kern w:val="2"/>
                <w:sz w:val="21"/>
                <w:szCs w:val="21"/>
                <w:lang w:val="en-US" w:eastAsia="zh-CN" w:bidi="ar-SA"/>
                <w14:textFill>
                  <w14:solidFill>
                    <w14:schemeClr w14:val="tx1"/>
                  </w14:solidFill>
                </w14:textFill>
              </w:rPr>
            </w:pPr>
            <w:r>
              <w:rPr>
                <w:rFonts w:hint="eastAsia" w:cs="Times New Roman"/>
                <w:color w:val="000000" w:themeColor="text1"/>
                <w:lang w:val="en-US" w:eastAsia="zh-CN"/>
                <w14:textFill>
                  <w14:solidFill>
                    <w14:schemeClr w14:val="tx1"/>
                  </w14:solidFill>
                </w14:textFill>
              </w:rPr>
              <w:t>0.05t/a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613" w:type="dxa"/>
            <w:vMerge w:val="continue"/>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552" w:type="dxa"/>
            <w:noWrap w:val="0"/>
            <w:vAlign w:val="center"/>
          </w:tcPr>
          <w:p>
            <w:pPr>
              <w:pStyle w:val="57"/>
              <w:spacing w:line="240" w:lineRule="auto"/>
              <w:ind w:firstLine="0" w:firstLineChars="0"/>
              <w:jc w:val="center"/>
              <w:rPr>
                <w:rFonts w:hint="default"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废润滑油</w:t>
            </w:r>
          </w:p>
        </w:tc>
        <w:tc>
          <w:tcPr>
            <w:tcW w:w="1617"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29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28"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585" w:type="dxa"/>
            <w:noWrap w:val="0"/>
            <w:vAlign w:val="center"/>
          </w:tcPr>
          <w:p>
            <w:pPr>
              <w:pStyle w:val="57"/>
              <w:spacing w:line="240" w:lineRule="auto"/>
              <w:ind w:firstLine="0" w:firstLineChars="0"/>
              <w:jc w:val="center"/>
              <w:rPr>
                <w:rFonts w:hint="default"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0.01t/a</w:t>
            </w:r>
          </w:p>
        </w:tc>
        <w:tc>
          <w:tcPr>
            <w:tcW w:w="1789" w:type="dxa"/>
            <w:noWrap w:val="0"/>
            <w:vAlign w:val="center"/>
          </w:tcPr>
          <w:p>
            <w:pPr>
              <w:pStyle w:val="57"/>
              <w:spacing w:line="240" w:lineRule="auto"/>
              <w:ind w:firstLine="0" w:firstLineChars="0"/>
              <w:jc w:val="center"/>
              <w:rPr>
                <w:rFonts w:hint="default" w:ascii="Times New Roman" w:hAnsi="Times New Roman" w:eastAsia="宋体" w:cs="Times New Roman"/>
                <w:color w:val="000000" w:themeColor="text1"/>
                <w:lang w:val="en-US" w:eastAsia="zh-CN"/>
                <w14:textFill>
                  <w14:solidFill>
                    <w14:schemeClr w14:val="tx1"/>
                  </w14:solidFill>
                </w14:textFill>
              </w:rPr>
            </w:pPr>
          </w:p>
        </w:tc>
        <w:tc>
          <w:tcPr>
            <w:tcW w:w="1759" w:type="dxa"/>
            <w:noWrap w:val="0"/>
            <w:vAlign w:val="center"/>
          </w:tcPr>
          <w:p>
            <w:pPr>
              <w:pStyle w:val="57"/>
              <w:spacing w:line="240" w:lineRule="auto"/>
              <w:ind w:firstLine="0" w:firstLineChars="0"/>
              <w:jc w:val="center"/>
              <w:rPr>
                <w:rFonts w:hint="eastAsia"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0.01t/a</w:t>
            </w:r>
          </w:p>
        </w:tc>
        <w:tc>
          <w:tcPr>
            <w:tcW w:w="1073" w:type="dxa"/>
            <w:noWrap w:val="0"/>
            <w:vAlign w:val="center"/>
          </w:tcPr>
          <w:p>
            <w:pPr>
              <w:pStyle w:val="57"/>
              <w:spacing w:line="240" w:lineRule="auto"/>
              <w:ind w:firstLine="0" w:firstLineChars="0"/>
              <w:jc w:val="center"/>
              <w:rPr>
                <w:rFonts w:hint="eastAsia" w:cs="Times New Roman"/>
                <w:color w:val="000000" w:themeColor="text1"/>
                <w:lang w:val="en-US" w:eastAsia="zh-CN"/>
                <w14:textFill>
                  <w14:solidFill>
                    <w14:schemeClr w14:val="tx1"/>
                  </w14:solidFill>
                </w14:textFill>
              </w:rPr>
            </w:pPr>
            <w:r>
              <w:rPr>
                <w:rFonts w:hint="eastAsia" w:cs="Times New Roman"/>
                <w:color w:val="000000" w:themeColor="text1"/>
                <w:lang w:val="en-US" w:eastAsia="zh-CN"/>
                <w14:textFill>
                  <w14:solidFill>
                    <w14:schemeClr w14:val="tx1"/>
                  </w14:solidFill>
                </w14:textFill>
              </w:rPr>
              <w:t>0.01t/a</w:t>
            </w:r>
          </w:p>
        </w:tc>
      </w:tr>
    </w:tbl>
    <w:p>
      <w:pPr>
        <w:pStyle w:val="78"/>
        <w:spacing w:before="192" w:beforeLines="80" w:after="24"/>
        <w:jc w:val="left"/>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pPr>
      <w:r>
        <w:rPr>
          <w:rFonts w:hint="default" w:ascii="Times New Roman" w:hAnsi="Times New Roman" w:cs="Times New Roman"/>
          <w:snapToGrid w:val="0"/>
          <w:color w:val="000000" w:themeColor="text1"/>
          <w:kern w:val="21"/>
          <w:szCs w:val="21"/>
          <w:highlight w:val="none"/>
          <w14:textFill>
            <w14:solidFill>
              <w14:schemeClr w14:val="tx1"/>
            </w14:solidFill>
          </w14:textFill>
        </w:rPr>
        <w:t>注：</w: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instrText xml:space="preserve"> = 6 \* GB3 \* MERGEFORMAT </w:instrTex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⑥</w: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instrText xml:space="preserve"> = 1 \* GB3 \* MERGEFORMAT </w:instrTex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①</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instrText xml:space="preserve"> = 3 \* GB3 \* MERGEFORMAT </w:instrTex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③</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instrText xml:space="preserve"> = 4 \* GB3 \* MERGEFORMAT </w:instrTex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④</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instrText xml:space="preserve"> = 5 \* GB3 \* MERGEFORMAT </w:instrTex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⑤</w: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instrText xml:space="preserve"> = 7 \* GB3 \* MERGEFORMAT </w:instrTex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⑦</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instrText xml:space="preserve"> = 6 \* GB3 \* MERGEFORMAT </w:instrTex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⑥</w:t>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fldChar w:fldCharType="end"/>
      </w:r>
      <w:r>
        <w:rPr>
          <w:rFonts w:hint="default" w:ascii="Times New Roman" w:hAnsi="Times New Roman" w:cs="Times New Roman"/>
          <w:snapToGrid w:val="0"/>
          <w:color w:val="000000" w:themeColor="text1"/>
          <w:spacing w:val="-16"/>
          <w:kern w:val="21"/>
          <w:szCs w:val="21"/>
          <w:highlight w:val="none"/>
          <w14:textFill>
            <w14:solidFill>
              <w14:schemeClr w14:val="tx1"/>
            </w14:solidFill>
          </w14:textFill>
        </w:rPr>
        <w:t>-</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begin"/>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instrText xml:space="preserve"> = 1 \* GB3 \* MERGEFORMAT </w:instrTex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separate"/>
      </w:r>
      <w:r>
        <w:rPr>
          <w:rFonts w:hint="default" w:ascii="Times New Roman" w:hAnsi="Times New Roman" w:cs="Times New Roman"/>
          <w:color w:val="000000" w:themeColor="text1"/>
          <w:szCs w:val="21"/>
          <w:highlight w:val="none"/>
          <w14:textFill>
            <w14:solidFill>
              <w14:schemeClr w14:val="tx1"/>
            </w14:solidFill>
          </w14:textFill>
        </w:rPr>
        <w:t>①</w:t>
      </w:r>
      <w:r>
        <w:rPr>
          <w:rFonts w:hint="default" w:ascii="Times New Roman" w:hAnsi="Times New Roman" w:cs="Times New Roman"/>
          <w:snapToGrid w:val="0"/>
          <w:color w:val="000000" w:themeColor="text1"/>
          <w:spacing w:val="-6"/>
          <w:kern w:val="21"/>
          <w:szCs w:val="21"/>
          <w:highlight w:val="none"/>
          <w14:textFill>
            <w14:solidFill>
              <w14:schemeClr w14:val="tx1"/>
            </w14:solidFill>
          </w14:textFill>
        </w:rPr>
        <w:fldChar w:fldCharType="end"/>
      </w:r>
    </w:p>
    <w:p>
      <w:pPr>
        <w:rPr>
          <w:rFonts w:hint="default" w:ascii="Times New Roman" w:hAnsi="Times New Roman" w:cs="Times New Roman"/>
          <w:color w:val="000000" w:themeColor="text1"/>
          <w:highlight w:val="none"/>
          <w14:textFill>
            <w14:solidFill>
              <w14:schemeClr w14:val="tx1"/>
            </w14:solidFill>
          </w14:textFill>
        </w:rPr>
        <w:sectPr>
          <w:footerReference r:id="rId6" w:type="default"/>
          <w:pgSz w:w="16838" w:h="11905" w:orient="landscape"/>
          <w:pgMar w:top="1587" w:right="1440" w:bottom="1587" w:left="1440" w:header="851" w:footer="850" w:gutter="0"/>
          <w:pgBorders>
            <w:top w:val="none" w:sz="0" w:space="0"/>
            <w:left w:val="none" w:sz="0" w:space="0"/>
            <w:bottom w:val="none" w:sz="0" w:space="0"/>
            <w:right w:val="none" w:sz="0" w:space="0"/>
          </w:pgBorders>
          <w:pgNumType w:fmt="decimal"/>
          <w:cols w:space="0" w:num="1"/>
          <w:rtlGutter w:val="0"/>
          <w:docGrid w:linePitch="312" w:charSpace="0"/>
        </w:sectPr>
      </w:pPr>
    </w:p>
    <w:tbl>
      <w:tblPr>
        <w:tblStyle w:val="32"/>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60" w:type="dxa"/>
            <w:noWrap w:val="0"/>
            <w:vAlign w:val="top"/>
          </w:tcPr>
          <w:p>
            <w:pPr>
              <w:pStyle w:val="2"/>
              <w:bidi w:val="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附图及附件</w:t>
            </w:r>
          </w:p>
          <w:p>
            <w:pPr>
              <w:bidi w:val="0"/>
              <w:rPr>
                <w:rFonts w:hint="default" w:ascii="Times New Roman" w:hAnsi="Times New Roman" w:cs="Times New Roman"/>
                <w:color w:val="000000" w:themeColor="text1"/>
                <w:highlight w:val="none"/>
                <w:lang w:val="en-US" w:eastAsia="zh-CN"/>
                <w14:textFill>
                  <w14:solidFill>
                    <w14:schemeClr w14:val="tx1"/>
                  </w14:solidFill>
                </w14:textFill>
              </w:rPr>
            </w:pPr>
          </w:p>
          <w:p>
            <w:pPr>
              <w:bidi w:val="0"/>
              <w:ind w:firstLine="480"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 xml:space="preserve">附件1  </w:t>
            </w:r>
            <w:r>
              <w:rPr>
                <w:rFonts w:hint="eastAsia" w:cs="Times New Roman"/>
                <w:color w:val="000000" w:themeColor="text1"/>
                <w:highlight w:val="none"/>
                <w:lang w:val="en-US" w:eastAsia="zh-CN"/>
                <w14:textFill>
                  <w14:solidFill>
                    <w14:schemeClr w14:val="tx1"/>
                  </w14:solidFill>
                </w14:textFill>
              </w:rPr>
              <w:t>租赁协议及土地证明</w:t>
            </w:r>
          </w:p>
          <w:p>
            <w:pPr>
              <w:pStyle w:val="4"/>
              <w:ind w:left="0" w:leftChars="0" w:firstLine="480" w:firstLineChars="20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附件2  营业执</w:t>
            </w:r>
            <w:r>
              <w:rPr>
                <w:rFonts w:hint="default" w:ascii="Times New Roman" w:hAnsi="Times New Roman" w:cs="Times New Roman"/>
                <w:color w:val="000000" w:themeColor="text1"/>
                <w:highlight w:val="none"/>
                <w:lang w:val="en-US" w:eastAsia="zh-CN"/>
                <w14:textFill>
                  <w14:solidFill>
                    <w14:schemeClr w14:val="tx1"/>
                  </w14:solidFill>
                </w14:textFill>
              </w:rPr>
              <w:t>照</w:t>
            </w:r>
          </w:p>
          <w:p>
            <w:pPr>
              <w:pStyle w:val="4"/>
              <w:ind w:left="0" w:leftChars="0" w:firstLine="480" w:firstLineChars="200"/>
              <w:rPr>
                <w:rFonts w:hint="default" w:ascii="Times New Roman" w:hAnsi="Times New Roman" w:cs="Times New Roman"/>
                <w:color w:val="000000" w:themeColor="text1"/>
                <w:highlight w:val="none"/>
                <w:lang w:val="en-US" w:eastAsia="zh-CN"/>
                <w14:textFill>
                  <w14:solidFill>
                    <w14:schemeClr w14:val="tx1"/>
                  </w14:solidFill>
                </w14:textFill>
              </w:rPr>
            </w:pPr>
            <w:r>
              <w:rPr>
                <w:rFonts w:hint="default" w:ascii="Times New Roman" w:hAnsi="Times New Roman" w:cs="Times New Roman"/>
                <w:color w:val="000000" w:themeColor="text1"/>
                <w:highlight w:val="none"/>
                <w:lang w:val="en-US" w:eastAsia="zh-CN"/>
                <w14:textFill>
                  <w14:solidFill>
                    <w14:schemeClr w14:val="tx1"/>
                  </w14:solidFill>
                </w14:textFill>
              </w:rPr>
              <w:t>附件</w:t>
            </w:r>
            <w:r>
              <w:rPr>
                <w:rFonts w:hint="eastAsia" w:ascii="Times New Roman" w:hAnsi="Times New Roman" w:cs="Times New Roman"/>
                <w:color w:val="000000" w:themeColor="text1"/>
                <w:highlight w:val="none"/>
                <w:lang w:val="en-US" w:eastAsia="zh-CN"/>
                <w14:textFill>
                  <w14:solidFill>
                    <w14:schemeClr w14:val="tx1"/>
                  </w14:solidFill>
                </w14:textFill>
              </w:rPr>
              <w:t>3</w:t>
            </w:r>
            <w:r>
              <w:rPr>
                <w:rFonts w:hint="default" w:ascii="Times New Roman" w:hAnsi="Times New Roman" w:cs="Times New Roman"/>
                <w:color w:val="000000" w:themeColor="text1"/>
                <w:highlight w:val="none"/>
                <w:lang w:val="en-US" w:eastAsia="zh-CN"/>
                <w14:textFill>
                  <w14:solidFill>
                    <w14:schemeClr w14:val="tx1"/>
                  </w14:solidFill>
                </w14:textFill>
              </w:rPr>
              <w:t xml:space="preserve">  投资备案</w:t>
            </w:r>
          </w:p>
          <w:p>
            <w:pPr>
              <w:pStyle w:val="4"/>
              <w:ind w:left="0" w:leftChars="0" w:firstLine="480" w:firstLineChars="200"/>
              <w:rPr>
                <w:rFonts w:hint="default" w:ascii="Times New Roman" w:hAnsi="Times New Roman" w:cs="Times New Roman"/>
                <w:color w:val="000000" w:themeColor="text1"/>
                <w:highlight w:val="none"/>
                <w:lang w:val="en-US" w:eastAsia="zh-CN"/>
                <w14:textFill>
                  <w14:solidFill>
                    <w14:schemeClr w14:val="tx1"/>
                  </w14:solidFill>
                </w14:textFill>
              </w:rPr>
            </w:pPr>
            <w:r>
              <w:rPr>
                <w:rFonts w:hint="eastAsia" w:ascii="Times New Roman" w:hAnsi="Times New Roman" w:cs="Times New Roman"/>
                <w:color w:val="000000" w:themeColor="text1"/>
                <w:highlight w:val="none"/>
                <w:lang w:val="en-US" w:eastAsia="zh-CN"/>
                <w14:textFill>
                  <w14:solidFill>
                    <w14:schemeClr w14:val="tx1"/>
                  </w14:solidFill>
                </w14:textFill>
              </w:rPr>
              <w:t>附件4 炉渣检测报告</w:t>
            </w:r>
          </w:p>
          <w:p>
            <w:pPr>
              <w:bidi w:val="0"/>
              <w:rPr>
                <w:rFonts w:hint="default" w:ascii="Times New Roman" w:hAnsi="Times New Roman" w:eastAsia="宋体" w:cs="Times New Roman"/>
                <w:color w:val="000000" w:themeColor="text1"/>
                <w:highlight w:val="none"/>
                <w:lang w:val="en-US" w:eastAsia="zh-CN"/>
                <w14:textFill>
                  <w14:solidFill>
                    <w14:schemeClr w14:val="tx1"/>
                  </w14:solidFill>
                </w14:textFill>
              </w:rPr>
            </w:pPr>
          </w:p>
          <w:p>
            <w:pPr>
              <w:bidi w:val="0"/>
              <w:ind w:firstLine="480"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附图1  项目地理位置图</w:t>
            </w:r>
          </w:p>
          <w:p>
            <w:pPr>
              <w:bidi w:val="0"/>
              <w:ind w:firstLine="480"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附图2  厂区平面布置图</w:t>
            </w:r>
          </w:p>
          <w:p>
            <w:pPr>
              <w:bidi w:val="0"/>
              <w:ind w:firstLine="480" w:firstLineChars="200"/>
              <w:rPr>
                <w:rFonts w:hint="default" w:ascii="Times New Roman" w:hAnsi="Times New Roman" w:eastAsia="宋体" w:cs="Times New Roman"/>
                <w:color w:val="000000" w:themeColor="text1"/>
                <w:highlight w:val="none"/>
                <w:lang w:val="en-US" w:eastAsia="zh-CN"/>
                <w14:textFill>
                  <w14:solidFill>
                    <w14:schemeClr w14:val="tx1"/>
                  </w14:solidFill>
                </w14:textFill>
              </w:rPr>
            </w:pPr>
            <w:r>
              <w:rPr>
                <w:rFonts w:hint="default" w:ascii="Times New Roman" w:hAnsi="Times New Roman" w:eastAsia="宋体" w:cs="Times New Roman"/>
                <w:color w:val="000000" w:themeColor="text1"/>
                <w:highlight w:val="none"/>
                <w:lang w:val="en-US" w:eastAsia="zh-CN"/>
                <w14:textFill>
                  <w14:solidFill>
                    <w14:schemeClr w14:val="tx1"/>
                  </w14:solidFill>
                </w14:textFill>
              </w:rPr>
              <w:t>附图</w:t>
            </w:r>
            <w:r>
              <w:rPr>
                <w:rFonts w:hint="eastAsia" w:cs="Times New Roman"/>
                <w:color w:val="000000" w:themeColor="text1"/>
                <w:highlight w:val="none"/>
                <w:lang w:val="en-US" w:eastAsia="zh-CN"/>
                <w14:textFill>
                  <w14:solidFill>
                    <w14:schemeClr w14:val="tx1"/>
                  </w14:solidFill>
                </w14:textFill>
              </w:rPr>
              <w:t>3</w:t>
            </w:r>
            <w:r>
              <w:rPr>
                <w:rFonts w:hint="default" w:ascii="Times New Roman" w:hAnsi="Times New Roman" w:eastAsia="宋体" w:cs="Times New Roman"/>
                <w:color w:val="000000" w:themeColor="text1"/>
                <w:highlight w:val="none"/>
                <w:lang w:val="en-US" w:eastAsia="zh-CN"/>
                <w14:textFill>
                  <w14:solidFill>
                    <w14:schemeClr w14:val="tx1"/>
                  </w14:solidFill>
                </w14:textFill>
              </w:rPr>
              <w:t xml:space="preserve">  项目周边关系图</w:t>
            </w: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firstLine="480" w:firstLineChars="200"/>
              <w:jc w:val="left"/>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p>
            <w:pPr>
              <w:pStyle w:val="2"/>
              <w:rPr>
                <w:rFonts w:hint="default" w:ascii="Times New Roman" w:hAnsi="Times New Roman" w:cs="Times New Roman"/>
                <w:color w:val="000000" w:themeColor="text1"/>
                <w:highlight w:val="none"/>
                <w:lang w:val="en-US" w:eastAsia="zh-CN"/>
                <w14:textFill>
                  <w14:solidFill>
                    <w14:schemeClr w14:val="tx1"/>
                  </w14:solidFill>
                </w14:textFill>
              </w:rPr>
            </w:pPr>
          </w:p>
        </w:tc>
      </w:tr>
    </w:tbl>
    <w:p>
      <w:pPr>
        <w:pStyle w:val="48"/>
        <w:bidi w:val="0"/>
        <w:rPr>
          <w:rFonts w:hint="default" w:ascii="Times New Roman" w:hAnsi="Times New Roman" w:cs="Times New Roman"/>
          <w:color w:val="000000" w:themeColor="text1"/>
          <w:highlight w:val="none"/>
          <w:lang w:val="en-US" w:eastAsia="zh-CN"/>
          <w14:textFill>
            <w14:solidFill>
              <w14:schemeClr w14:val="tx1"/>
            </w14:solidFill>
          </w14:textFill>
        </w:rPr>
      </w:pPr>
    </w:p>
    <w:sectPr>
      <w:footerReference r:id="rId7" w:type="default"/>
      <w:pgSz w:w="11905" w:h="16838"/>
      <w:pgMar w:top="1440" w:right="1587" w:bottom="1440" w:left="1587" w:header="851" w:footer="850" w:gutter="0"/>
      <w:pgBorders>
        <w:top w:val="none" w:sz="0" w:space="0"/>
        <w:left w:val="none" w:sz="0" w:space="0"/>
        <w:bottom w:val="none" w:sz="0" w:space="0"/>
        <w:right w:val="none" w:sz="0" w:space="0"/>
      </w:pgBorders>
      <w:pgNumType w:fmt="decimal"/>
      <w:cols w:space="0" w:num="1"/>
      <w:rtlGutter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FangSong_GB2312">
    <w:altName w:val="仿宋"/>
    <w:panose1 w:val="02010609060101010101"/>
    <w:charset w:val="86"/>
    <w:family w:val="modern"/>
    <w:pitch w:val="default"/>
    <w:sig w:usb0="00000000" w:usb1="00000000" w:usb2="00000016" w:usb3="00000000" w:csb0="00040001" w:csb1="00000000"/>
  </w:font>
  <w:font w:name="Arial Black">
    <w:panose1 w:val="020B0A04020102020204"/>
    <w:charset w:val="00"/>
    <w:family w:val="swiss"/>
    <w:pitch w:val="default"/>
    <w:sig w:usb0="A00002AF" w:usb1="400078FB" w:usb2="00000000" w:usb3="00000000" w:csb0="6000009F" w:csb1="DFD70000"/>
  </w:font>
  <w:font w:name="Wingdings 2">
    <w:panose1 w:val="05020102010507070707"/>
    <w:charset w:val="00"/>
    <w:family w:val="auto"/>
    <w:pitch w:val="default"/>
    <w:sig w:usb0="00000000" w:usb1="00000000" w:usb2="00000000" w:usb3="00000000" w:csb0="80000000" w:csb1="00000000"/>
  </w:font>
  <w:font w:name="Cambria Math">
    <w:panose1 w:val="02040503050406030204"/>
    <w:charset w:val="00"/>
    <w:family w:val="auto"/>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S PGothic">
    <w:panose1 w:val="020B0600070205080204"/>
    <w:charset w:val="80"/>
    <w:family w:val="auto"/>
    <w:pitch w:val="default"/>
    <w:sig w:usb0="E00002FF" w:usb1="6AC7FDFB" w:usb2="08000012" w:usb3="00000000" w:csb0="4002009F" w:csb1="DFD7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33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33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right="360" w:firstLine="360"/>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7F1547"/>
    <w:multiLevelType w:val="singleLevel"/>
    <w:tmpl w:val="BE7F1547"/>
    <w:lvl w:ilvl="0" w:tentative="0">
      <w:start w:val="1"/>
      <w:numFmt w:val="decimal"/>
      <w:suff w:val="nothing"/>
      <w:lvlText w:val="%1、"/>
      <w:lvlJc w:val="left"/>
    </w:lvl>
  </w:abstractNum>
  <w:abstractNum w:abstractNumId="1">
    <w:nsid w:val="0D6D367F"/>
    <w:multiLevelType w:val="singleLevel"/>
    <w:tmpl w:val="0D6D367F"/>
    <w:lvl w:ilvl="0" w:tentative="0">
      <w:start w:val="1"/>
      <w:numFmt w:val="decimal"/>
      <w:suff w:val="nothing"/>
      <w:lvlText w:val="%1、"/>
      <w:lvlJc w:val="left"/>
    </w:lvl>
  </w:abstractNum>
  <w:abstractNum w:abstractNumId="2">
    <w:nsid w:val="6C35363A"/>
    <w:multiLevelType w:val="singleLevel"/>
    <w:tmpl w:val="6C35363A"/>
    <w:lvl w:ilvl="0" w:tentative="0">
      <w:start w:val="1"/>
      <w:numFmt w:val="decimal"/>
      <w:lvlText w:val="%1."/>
      <w:lvlJc w:val="left"/>
      <w:pPr>
        <w:tabs>
          <w:tab w:val="left" w:pos="312"/>
        </w:tabs>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dit="trackedChanges" w:enforcement="0"/>
  <w:defaultTabStop w:val="420"/>
  <w:hyphenationZone w:val="36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FmZDgxZDVmMzU3YjdkODRkNmJkMmM4MDJjYWZjZjQifQ=="/>
  </w:docVars>
  <w:rsids>
    <w:rsidRoot w:val="00A14947"/>
    <w:rsid w:val="000060B3"/>
    <w:rsid w:val="0004364B"/>
    <w:rsid w:val="00061B1F"/>
    <w:rsid w:val="000733C4"/>
    <w:rsid w:val="00074783"/>
    <w:rsid w:val="0008070B"/>
    <w:rsid w:val="000810AC"/>
    <w:rsid w:val="00081A02"/>
    <w:rsid w:val="00082231"/>
    <w:rsid w:val="00084804"/>
    <w:rsid w:val="00092D38"/>
    <w:rsid w:val="0009377B"/>
    <w:rsid w:val="000A20C9"/>
    <w:rsid w:val="000B058F"/>
    <w:rsid w:val="000B4467"/>
    <w:rsid w:val="000B4DB9"/>
    <w:rsid w:val="000C09AC"/>
    <w:rsid w:val="000C767F"/>
    <w:rsid w:val="000D5A44"/>
    <w:rsid w:val="000E3ED2"/>
    <w:rsid w:val="00131F42"/>
    <w:rsid w:val="001357F1"/>
    <w:rsid w:val="00140FA8"/>
    <w:rsid w:val="00142FEB"/>
    <w:rsid w:val="00143A2D"/>
    <w:rsid w:val="00145A41"/>
    <w:rsid w:val="00151675"/>
    <w:rsid w:val="00157435"/>
    <w:rsid w:val="0017504D"/>
    <w:rsid w:val="0017671A"/>
    <w:rsid w:val="00177422"/>
    <w:rsid w:val="00184590"/>
    <w:rsid w:val="001870D1"/>
    <w:rsid w:val="0018781E"/>
    <w:rsid w:val="0019262D"/>
    <w:rsid w:val="001A1B35"/>
    <w:rsid w:val="001A48A2"/>
    <w:rsid w:val="001A6F61"/>
    <w:rsid w:val="001B72B8"/>
    <w:rsid w:val="001C69B3"/>
    <w:rsid w:val="001D5595"/>
    <w:rsid w:val="001D7874"/>
    <w:rsid w:val="001D7F22"/>
    <w:rsid w:val="001F0F17"/>
    <w:rsid w:val="001F3347"/>
    <w:rsid w:val="001F69E4"/>
    <w:rsid w:val="002125B4"/>
    <w:rsid w:val="002155B8"/>
    <w:rsid w:val="00224839"/>
    <w:rsid w:val="002249B2"/>
    <w:rsid w:val="00226574"/>
    <w:rsid w:val="002278EC"/>
    <w:rsid w:val="0023280E"/>
    <w:rsid w:val="002377D1"/>
    <w:rsid w:val="002506BC"/>
    <w:rsid w:val="00254345"/>
    <w:rsid w:val="00264557"/>
    <w:rsid w:val="002805AB"/>
    <w:rsid w:val="00284204"/>
    <w:rsid w:val="00291773"/>
    <w:rsid w:val="002A168C"/>
    <w:rsid w:val="002A3DC7"/>
    <w:rsid w:val="002B49E2"/>
    <w:rsid w:val="002B7B00"/>
    <w:rsid w:val="002B7C44"/>
    <w:rsid w:val="002C2B17"/>
    <w:rsid w:val="002D3DD0"/>
    <w:rsid w:val="002E1F3A"/>
    <w:rsid w:val="002E298A"/>
    <w:rsid w:val="00301978"/>
    <w:rsid w:val="0030332C"/>
    <w:rsid w:val="003051C2"/>
    <w:rsid w:val="00312296"/>
    <w:rsid w:val="00314F0E"/>
    <w:rsid w:val="00321D8E"/>
    <w:rsid w:val="00325928"/>
    <w:rsid w:val="00332863"/>
    <w:rsid w:val="0033684D"/>
    <w:rsid w:val="00337B42"/>
    <w:rsid w:val="00341B42"/>
    <w:rsid w:val="0034348F"/>
    <w:rsid w:val="00356653"/>
    <w:rsid w:val="0035743F"/>
    <w:rsid w:val="00357BE2"/>
    <w:rsid w:val="0036170C"/>
    <w:rsid w:val="00366E0F"/>
    <w:rsid w:val="00381A72"/>
    <w:rsid w:val="00384676"/>
    <w:rsid w:val="00390857"/>
    <w:rsid w:val="003A4BF3"/>
    <w:rsid w:val="003B420D"/>
    <w:rsid w:val="003C6C16"/>
    <w:rsid w:val="003D794D"/>
    <w:rsid w:val="003E3058"/>
    <w:rsid w:val="003E76A9"/>
    <w:rsid w:val="003F0809"/>
    <w:rsid w:val="003F6A8C"/>
    <w:rsid w:val="003F755C"/>
    <w:rsid w:val="00406F01"/>
    <w:rsid w:val="00416D50"/>
    <w:rsid w:val="00416FD5"/>
    <w:rsid w:val="00417772"/>
    <w:rsid w:val="00420E6A"/>
    <w:rsid w:val="00425A9E"/>
    <w:rsid w:val="00426D6B"/>
    <w:rsid w:val="00431E6C"/>
    <w:rsid w:val="00433CE7"/>
    <w:rsid w:val="00452738"/>
    <w:rsid w:val="00456091"/>
    <w:rsid w:val="00466321"/>
    <w:rsid w:val="00484B9B"/>
    <w:rsid w:val="004855F6"/>
    <w:rsid w:val="0048661E"/>
    <w:rsid w:val="00494670"/>
    <w:rsid w:val="004A3823"/>
    <w:rsid w:val="004E6946"/>
    <w:rsid w:val="004F1AD8"/>
    <w:rsid w:val="005039CB"/>
    <w:rsid w:val="0050558F"/>
    <w:rsid w:val="00506286"/>
    <w:rsid w:val="00510813"/>
    <w:rsid w:val="00511990"/>
    <w:rsid w:val="00511DE0"/>
    <w:rsid w:val="00514870"/>
    <w:rsid w:val="00514B9B"/>
    <w:rsid w:val="00517F02"/>
    <w:rsid w:val="00524303"/>
    <w:rsid w:val="005258A2"/>
    <w:rsid w:val="005401AE"/>
    <w:rsid w:val="00542E07"/>
    <w:rsid w:val="00545424"/>
    <w:rsid w:val="00554A7B"/>
    <w:rsid w:val="0055572C"/>
    <w:rsid w:val="0056106A"/>
    <w:rsid w:val="005720AE"/>
    <w:rsid w:val="00594D77"/>
    <w:rsid w:val="005969E4"/>
    <w:rsid w:val="005A06B7"/>
    <w:rsid w:val="005A1759"/>
    <w:rsid w:val="005A68A7"/>
    <w:rsid w:val="005D36AB"/>
    <w:rsid w:val="00617CC3"/>
    <w:rsid w:val="006377A6"/>
    <w:rsid w:val="00637A3D"/>
    <w:rsid w:val="006411EF"/>
    <w:rsid w:val="006534CD"/>
    <w:rsid w:val="006748B8"/>
    <w:rsid w:val="006775C3"/>
    <w:rsid w:val="0069290A"/>
    <w:rsid w:val="0069775A"/>
    <w:rsid w:val="00697813"/>
    <w:rsid w:val="006A3EE8"/>
    <w:rsid w:val="006A72BF"/>
    <w:rsid w:val="006B03F2"/>
    <w:rsid w:val="006B37DC"/>
    <w:rsid w:val="006B4F68"/>
    <w:rsid w:val="006C0592"/>
    <w:rsid w:val="006C272E"/>
    <w:rsid w:val="006C5479"/>
    <w:rsid w:val="006D13B5"/>
    <w:rsid w:val="006E12FF"/>
    <w:rsid w:val="006E607E"/>
    <w:rsid w:val="00704336"/>
    <w:rsid w:val="00706C5D"/>
    <w:rsid w:val="007256C0"/>
    <w:rsid w:val="00732922"/>
    <w:rsid w:val="0075162E"/>
    <w:rsid w:val="00754034"/>
    <w:rsid w:val="00756556"/>
    <w:rsid w:val="007618C4"/>
    <w:rsid w:val="00767980"/>
    <w:rsid w:val="00770B19"/>
    <w:rsid w:val="0077463F"/>
    <w:rsid w:val="007836EA"/>
    <w:rsid w:val="00784CDA"/>
    <w:rsid w:val="007906C4"/>
    <w:rsid w:val="007940EA"/>
    <w:rsid w:val="007967E8"/>
    <w:rsid w:val="007A2170"/>
    <w:rsid w:val="007A22BF"/>
    <w:rsid w:val="007A3323"/>
    <w:rsid w:val="007B72B8"/>
    <w:rsid w:val="007B7A58"/>
    <w:rsid w:val="007C21B5"/>
    <w:rsid w:val="007E4BD2"/>
    <w:rsid w:val="00801393"/>
    <w:rsid w:val="00802F88"/>
    <w:rsid w:val="0081293E"/>
    <w:rsid w:val="00815465"/>
    <w:rsid w:val="00817E9A"/>
    <w:rsid w:val="008306BD"/>
    <w:rsid w:val="00831A80"/>
    <w:rsid w:val="00833743"/>
    <w:rsid w:val="008340A4"/>
    <w:rsid w:val="0087135F"/>
    <w:rsid w:val="00872D94"/>
    <w:rsid w:val="00880364"/>
    <w:rsid w:val="00891592"/>
    <w:rsid w:val="00891E9E"/>
    <w:rsid w:val="008A2F68"/>
    <w:rsid w:val="008B4FA6"/>
    <w:rsid w:val="008B5282"/>
    <w:rsid w:val="008B7C17"/>
    <w:rsid w:val="008C2D01"/>
    <w:rsid w:val="008C40E6"/>
    <w:rsid w:val="008D0F7A"/>
    <w:rsid w:val="008D68E4"/>
    <w:rsid w:val="008E0506"/>
    <w:rsid w:val="008E0CFF"/>
    <w:rsid w:val="008E5D6B"/>
    <w:rsid w:val="008E76F0"/>
    <w:rsid w:val="008F15FE"/>
    <w:rsid w:val="008F2D29"/>
    <w:rsid w:val="008F5187"/>
    <w:rsid w:val="008F60D8"/>
    <w:rsid w:val="00902727"/>
    <w:rsid w:val="0090312B"/>
    <w:rsid w:val="0091736D"/>
    <w:rsid w:val="0093037A"/>
    <w:rsid w:val="0094154D"/>
    <w:rsid w:val="00950240"/>
    <w:rsid w:val="0095155F"/>
    <w:rsid w:val="00954429"/>
    <w:rsid w:val="009563CE"/>
    <w:rsid w:val="00976328"/>
    <w:rsid w:val="0097680D"/>
    <w:rsid w:val="00982438"/>
    <w:rsid w:val="0098404C"/>
    <w:rsid w:val="00985283"/>
    <w:rsid w:val="00995992"/>
    <w:rsid w:val="009A03E5"/>
    <w:rsid w:val="009A0F3B"/>
    <w:rsid w:val="009A1BB4"/>
    <w:rsid w:val="009A2628"/>
    <w:rsid w:val="009A3200"/>
    <w:rsid w:val="009B0897"/>
    <w:rsid w:val="009B7BD9"/>
    <w:rsid w:val="009C7DD5"/>
    <w:rsid w:val="009E227D"/>
    <w:rsid w:val="009E5019"/>
    <w:rsid w:val="00A04F1B"/>
    <w:rsid w:val="00A0501B"/>
    <w:rsid w:val="00A14947"/>
    <w:rsid w:val="00A32A83"/>
    <w:rsid w:val="00A368DB"/>
    <w:rsid w:val="00A423AA"/>
    <w:rsid w:val="00A53EC6"/>
    <w:rsid w:val="00A55C0F"/>
    <w:rsid w:val="00A8713F"/>
    <w:rsid w:val="00A90BA1"/>
    <w:rsid w:val="00A97A9A"/>
    <w:rsid w:val="00AA0671"/>
    <w:rsid w:val="00AA2531"/>
    <w:rsid w:val="00AB1E09"/>
    <w:rsid w:val="00AB5330"/>
    <w:rsid w:val="00AB7747"/>
    <w:rsid w:val="00AC14CE"/>
    <w:rsid w:val="00AC2A56"/>
    <w:rsid w:val="00AD055E"/>
    <w:rsid w:val="00AD47A7"/>
    <w:rsid w:val="00AF0CBF"/>
    <w:rsid w:val="00AF257F"/>
    <w:rsid w:val="00AF33CF"/>
    <w:rsid w:val="00AF4D50"/>
    <w:rsid w:val="00AF6179"/>
    <w:rsid w:val="00B1295A"/>
    <w:rsid w:val="00B20A45"/>
    <w:rsid w:val="00B22C5C"/>
    <w:rsid w:val="00B24F30"/>
    <w:rsid w:val="00B31ABF"/>
    <w:rsid w:val="00B33BE3"/>
    <w:rsid w:val="00B34E98"/>
    <w:rsid w:val="00B53B5D"/>
    <w:rsid w:val="00B6055E"/>
    <w:rsid w:val="00B6317D"/>
    <w:rsid w:val="00B7723F"/>
    <w:rsid w:val="00B80534"/>
    <w:rsid w:val="00B8433C"/>
    <w:rsid w:val="00B87491"/>
    <w:rsid w:val="00BA29E9"/>
    <w:rsid w:val="00BA7142"/>
    <w:rsid w:val="00BB237C"/>
    <w:rsid w:val="00BB41A3"/>
    <w:rsid w:val="00BC32DC"/>
    <w:rsid w:val="00BC35B6"/>
    <w:rsid w:val="00BD1B51"/>
    <w:rsid w:val="00BD4596"/>
    <w:rsid w:val="00BE1405"/>
    <w:rsid w:val="00BE312D"/>
    <w:rsid w:val="00BF1C20"/>
    <w:rsid w:val="00C10578"/>
    <w:rsid w:val="00C135BC"/>
    <w:rsid w:val="00C15C95"/>
    <w:rsid w:val="00C2596A"/>
    <w:rsid w:val="00C27537"/>
    <w:rsid w:val="00C328FE"/>
    <w:rsid w:val="00C33507"/>
    <w:rsid w:val="00C33E5A"/>
    <w:rsid w:val="00C4409D"/>
    <w:rsid w:val="00C44E72"/>
    <w:rsid w:val="00C45A06"/>
    <w:rsid w:val="00C47E5B"/>
    <w:rsid w:val="00C61E4B"/>
    <w:rsid w:val="00C64BFF"/>
    <w:rsid w:val="00C704E9"/>
    <w:rsid w:val="00C763C9"/>
    <w:rsid w:val="00C80057"/>
    <w:rsid w:val="00C82232"/>
    <w:rsid w:val="00C82913"/>
    <w:rsid w:val="00C972B1"/>
    <w:rsid w:val="00CA2CCE"/>
    <w:rsid w:val="00CA43FD"/>
    <w:rsid w:val="00CA7EF8"/>
    <w:rsid w:val="00CC489B"/>
    <w:rsid w:val="00CD2BCD"/>
    <w:rsid w:val="00CD3A4C"/>
    <w:rsid w:val="00CE10E9"/>
    <w:rsid w:val="00CE2910"/>
    <w:rsid w:val="00CE5393"/>
    <w:rsid w:val="00CF36BE"/>
    <w:rsid w:val="00CF6000"/>
    <w:rsid w:val="00D003F3"/>
    <w:rsid w:val="00D0364F"/>
    <w:rsid w:val="00D06834"/>
    <w:rsid w:val="00D23242"/>
    <w:rsid w:val="00D308ED"/>
    <w:rsid w:val="00D36D86"/>
    <w:rsid w:val="00D428AA"/>
    <w:rsid w:val="00D50A34"/>
    <w:rsid w:val="00D53EFA"/>
    <w:rsid w:val="00D94A7C"/>
    <w:rsid w:val="00D95896"/>
    <w:rsid w:val="00DB2983"/>
    <w:rsid w:val="00DC1257"/>
    <w:rsid w:val="00DC3DC0"/>
    <w:rsid w:val="00DC5B2B"/>
    <w:rsid w:val="00DD318D"/>
    <w:rsid w:val="00DF2E12"/>
    <w:rsid w:val="00DF514A"/>
    <w:rsid w:val="00DF6690"/>
    <w:rsid w:val="00DF6804"/>
    <w:rsid w:val="00E0358D"/>
    <w:rsid w:val="00E04323"/>
    <w:rsid w:val="00E070A2"/>
    <w:rsid w:val="00E2656A"/>
    <w:rsid w:val="00E346D9"/>
    <w:rsid w:val="00E412D0"/>
    <w:rsid w:val="00E56322"/>
    <w:rsid w:val="00E60982"/>
    <w:rsid w:val="00E62C62"/>
    <w:rsid w:val="00E654C1"/>
    <w:rsid w:val="00E65D97"/>
    <w:rsid w:val="00E72A5A"/>
    <w:rsid w:val="00E73354"/>
    <w:rsid w:val="00E9242D"/>
    <w:rsid w:val="00EB5255"/>
    <w:rsid w:val="00EB5C47"/>
    <w:rsid w:val="00ED0639"/>
    <w:rsid w:val="00EF4755"/>
    <w:rsid w:val="00EF7135"/>
    <w:rsid w:val="00F027DB"/>
    <w:rsid w:val="00F14A7A"/>
    <w:rsid w:val="00F22985"/>
    <w:rsid w:val="00F3383E"/>
    <w:rsid w:val="00F465A7"/>
    <w:rsid w:val="00F50B7C"/>
    <w:rsid w:val="00F550E6"/>
    <w:rsid w:val="00F74345"/>
    <w:rsid w:val="00F80A0A"/>
    <w:rsid w:val="00F82B19"/>
    <w:rsid w:val="00F9212D"/>
    <w:rsid w:val="00F965DA"/>
    <w:rsid w:val="00FA406A"/>
    <w:rsid w:val="00FB503A"/>
    <w:rsid w:val="00FB516C"/>
    <w:rsid w:val="00FD0236"/>
    <w:rsid w:val="00FD18F4"/>
    <w:rsid w:val="00FD54DB"/>
    <w:rsid w:val="00FD619F"/>
    <w:rsid w:val="01290F7E"/>
    <w:rsid w:val="013C2EE0"/>
    <w:rsid w:val="015A485D"/>
    <w:rsid w:val="015D1E09"/>
    <w:rsid w:val="01671BDD"/>
    <w:rsid w:val="017C09B1"/>
    <w:rsid w:val="01966220"/>
    <w:rsid w:val="01AA727F"/>
    <w:rsid w:val="01DA3596"/>
    <w:rsid w:val="01F3017A"/>
    <w:rsid w:val="02047A52"/>
    <w:rsid w:val="022C3051"/>
    <w:rsid w:val="023D5AE1"/>
    <w:rsid w:val="02697903"/>
    <w:rsid w:val="02820350"/>
    <w:rsid w:val="02CD1F73"/>
    <w:rsid w:val="02F96569"/>
    <w:rsid w:val="030C7DAC"/>
    <w:rsid w:val="03253AFD"/>
    <w:rsid w:val="03307A30"/>
    <w:rsid w:val="03577A2F"/>
    <w:rsid w:val="036D53D0"/>
    <w:rsid w:val="036F6B27"/>
    <w:rsid w:val="039667A9"/>
    <w:rsid w:val="03EA7B21"/>
    <w:rsid w:val="03F01A1B"/>
    <w:rsid w:val="03F569C0"/>
    <w:rsid w:val="040E189C"/>
    <w:rsid w:val="04113507"/>
    <w:rsid w:val="041B5288"/>
    <w:rsid w:val="041B7614"/>
    <w:rsid w:val="042B3F40"/>
    <w:rsid w:val="0469127A"/>
    <w:rsid w:val="04726FC9"/>
    <w:rsid w:val="04781A0B"/>
    <w:rsid w:val="051450E4"/>
    <w:rsid w:val="056106F1"/>
    <w:rsid w:val="056A623F"/>
    <w:rsid w:val="059522D5"/>
    <w:rsid w:val="05962A91"/>
    <w:rsid w:val="059900DE"/>
    <w:rsid w:val="05C375FE"/>
    <w:rsid w:val="05F83EAE"/>
    <w:rsid w:val="0600615C"/>
    <w:rsid w:val="060C045C"/>
    <w:rsid w:val="061834A6"/>
    <w:rsid w:val="063619E2"/>
    <w:rsid w:val="063E7D85"/>
    <w:rsid w:val="06436049"/>
    <w:rsid w:val="06DD14B3"/>
    <w:rsid w:val="06FF4665"/>
    <w:rsid w:val="0721282E"/>
    <w:rsid w:val="07293586"/>
    <w:rsid w:val="07295285"/>
    <w:rsid w:val="0744651C"/>
    <w:rsid w:val="07454E7C"/>
    <w:rsid w:val="07487DBA"/>
    <w:rsid w:val="07636392"/>
    <w:rsid w:val="07770C56"/>
    <w:rsid w:val="079A613C"/>
    <w:rsid w:val="079A7F04"/>
    <w:rsid w:val="07B05960"/>
    <w:rsid w:val="07B13FA0"/>
    <w:rsid w:val="07F57C61"/>
    <w:rsid w:val="07FE66CB"/>
    <w:rsid w:val="07FF31D7"/>
    <w:rsid w:val="082D4BF9"/>
    <w:rsid w:val="0842480A"/>
    <w:rsid w:val="084560A8"/>
    <w:rsid w:val="08464EE5"/>
    <w:rsid w:val="08512C9F"/>
    <w:rsid w:val="087F635C"/>
    <w:rsid w:val="08C97472"/>
    <w:rsid w:val="08D613F6"/>
    <w:rsid w:val="08F82F0D"/>
    <w:rsid w:val="08FE77F2"/>
    <w:rsid w:val="08FF201E"/>
    <w:rsid w:val="09144729"/>
    <w:rsid w:val="092217DD"/>
    <w:rsid w:val="092D370C"/>
    <w:rsid w:val="093A7294"/>
    <w:rsid w:val="094E2F83"/>
    <w:rsid w:val="09577D3C"/>
    <w:rsid w:val="09581E0B"/>
    <w:rsid w:val="09866978"/>
    <w:rsid w:val="09BD7274"/>
    <w:rsid w:val="09C315DC"/>
    <w:rsid w:val="09F20147"/>
    <w:rsid w:val="09F71624"/>
    <w:rsid w:val="09FE6CA1"/>
    <w:rsid w:val="0A0855DF"/>
    <w:rsid w:val="0A263993"/>
    <w:rsid w:val="0A2D3AC2"/>
    <w:rsid w:val="0A57754B"/>
    <w:rsid w:val="0A834C59"/>
    <w:rsid w:val="0A8C7CD5"/>
    <w:rsid w:val="0A9450C5"/>
    <w:rsid w:val="0A9652E1"/>
    <w:rsid w:val="0AA755DF"/>
    <w:rsid w:val="0B120D44"/>
    <w:rsid w:val="0B2E376B"/>
    <w:rsid w:val="0B304DED"/>
    <w:rsid w:val="0B584344"/>
    <w:rsid w:val="0B982A44"/>
    <w:rsid w:val="0BD27BF6"/>
    <w:rsid w:val="0C2A0948"/>
    <w:rsid w:val="0C3B3C7D"/>
    <w:rsid w:val="0C5B2FCE"/>
    <w:rsid w:val="0C6C43F7"/>
    <w:rsid w:val="0C833643"/>
    <w:rsid w:val="0CAB2EAE"/>
    <w:rsid w:val="0CB8153E"/>
    <w:rsid w:val="0CBA1929"/>
    <w:rsid w:val="0CCF3824"/>
    <w:rsid w:val="0CD65E68"/>
    <w:rsid w:val="0D1606D7"/>
    <w:rsid w:val="0D164953"/>
    <w:rsid w:val="0D215B8E"/>
    <w:rsid w:val="0D556D8D"/>
    <w:rsid w:val="0D621C7D"/>
    <w:rsid w:val="0D6C3380"/>
    <w:rsid w:val="0D991A7F"/>
    <w:rsid w:val="0DA67E5A"/>
    <w:rsid w:val="0DF12AD3"/>
    <w:rsid w:val="0E161B9F"/>
    <w:rsid w:val="0E214EC1"/>
    <w:rsid w:val="0E4534B6"/>
    <w:rsid w:val="0E627F7C"/>
    <w:rsid w:val="0E73034D"/>
    <w:rsid w:val="0E7E2314"/>
    <w:rsid w:val="0EA25651"/>
    <w:rsid w:val="0EA34998"/>
    <w:rsid w:val="0F0B425C"/>
    <w:rsid w:val="0F0D6BD6"/>
    <w:rsid w:val="0F13775A"/>
    <w:rsid w:val="0F252E43"/>
    <w:rsid w:val="0F5F45FE"/>
    <w:rsid w:val="0F6432FC"/>
    <w:rsid w:val="0F7D25CB"/>
    <w:rsid w:val="0F8B4CE8"/>
    <w:rsid w:val="0F9A112B"/>
    <w:rsid w:val="0FC6203C"/>
    <w:rsid w:val="0FCF7645"/>
    <w:rsid w:val="0FF504BC"/>
    <w:rsid w:val="10021FC9"/>
    <w:rsid w:val="102325D8"/>
    <w:rsid w:val="103056BF"/>
    <w:rsid w:val="105A6AE1"/>
    <w:rsid w:val="10637A13"/>
    <w:rsid w:val="106D2F64"/>
    <w:rsid w:val="107647A0"/>
    <w:rsid w:val="1090579E"/>
    <w:rsid w:val="10A50CAE"/>
    <w:rsid w:val="10B63710"/>
    <w:rsid w:val="10DB051D"/>
    <w:rsid w:val="10DC18BD"/>
    <w:rsid w:val="10DD5B5F"/>
    <w:rsid w:val="10F10820"/>
    <w:rsid w:val="11140D0D"/>
    <w:rsid w:val="111C2F7A"/>
    <w:rsid w:val="11390774"/>
    <w:rsid w:val="113D2012"/>
    <w:rsid w:val="11665CA1"/>
    <w:rsid w:val="11845235"/>
    <w:rsid w:val="118C4243"/>
    <w:rsid w:val="12443874"/>
    <w:rsid w:val="126E19A9"/>
    <w:rsid w:val="12D964D9"/>
    <w:rsid w:val="12EC1CA5"/>
    <w:rsid w:val="130B12A4"/>
    <w:rsid w:val="13151109"/>
    <w:rsid w:val="13392190"/>
    <w:rsid w:val="13446F06"/>
    <w:rsid w:val="13951726"/>
    <w:rsid w:val="13A22598"/>
    <w:rsid w:val="141F6347"/>
    <w:rsid w:val="14216C3A"/>
    <w:rsid w:val="142868B8"/>
    <w:rsid w:val="142D3110"/>
    <w:rsid w:val="14396509"/>
    <w:rsid w:val="14557541"/>
    <w:rsid w:val="147C10A3"/>
    <w:rsid w:val="148431E7"/>
    <w:rsid w:val="14861F22"/>
    <w:rsid w:val="14927E49"/>
    <w:rsid w:val="14CB44CC"/>
    <w:rsid w:val="14DD2C3C"/>
    <w:rsid w:val="14FA3B77"/>
    <w:rsid w:val="1514752E"/>
    <w:rsid w:val="1525627F"/>
    <w:rsid w:val="1537146E"/>
    <w:rsid w:val="15372F18"/>
    <w:rsid w:val="156127C7"/>
    <w:rsid w:val="157D3B2A"/>
    <w:rsid w:val="158C2113"/>
    <w:rsid w:val="15A3568B"/>
    <w:rsid w:val="15A543F6"/>
    <w:rsid w:val="15A703A2"/>
    <w:rsid w:val="15B13177"/>
    <w:rsid w:val="15C303A3"/>
    <w:rsid w:val="15E21563"/>
    <w:rsid w:val="15E96C0C"/>
    <w:rsid w:val="15F553A0"/>
    <w:rsid w:val="16087E1D"/>
    <w:rsid w:val="163A442E"/>
    <w:rsid w:val="1654783B"/>
    <w:rsid w:val="165B5A0B"/>
    <w:rsid w:val="1675655A"/>
    <w:rsid w:val="16F87F55"/>
    <w:rsid w:val="17254D7D"/>
    <w:rsid w:val="1740460A"/>
    <w:rsid w:val="17481711"/>
    <w:rsid w:val="17596F43"/>
    <w:rsid w:val="17701D14"/>
    <w:rsid w:val="17735226"/>
    <w:rsid w:val="1796529C"/>
    <w:rsid w:val="17A27073"/>
    <w:rsid w:val="17D31922"/>
    <w:rsid w:val="18057602"/>
    <w:rsid w:val="189F624C"/>
    <w:rsid w:val="18B74823"/>
    <w:rsid w:val="18BC2B7E"/>
    <w:rsid w:val="18BF1EA7"/>
    <w:rsid w:val="18ED431E"/>
    <w:rsid w:val="18F54C3F"/>
    <w:rsid w:val="192F4830"/>
    <w:rsid w:val="19506389"/>
    <w:rsid w:val="195645B9"/>
    <w:rsid w:val="19772055"/>
    <w:rsid w:val="199B1FCC"/>
    <w:rsid w:val="19C1019B"/>
    <w:rsid w:val="19C76EF5"/>
    <w:rsid w:val="19D0048B"/>
    <w:rsid w:val="1A1C66C0"/>
    <w:rsid w:val="1A34698A"/>
    <w:rsid w:val="1A42393B"/>
    <w:rsid w:val="1A4F2DB6"/>
    <w:rsid w:val="1A705206"/>
    <w:rsid w:val="1A766595"/>
    <w:rsid w:val="1A7D4805"/>
    <w:rsid w:val="1A7E33A5"/>
    <w:rsid w:val="1A807414"/>
    <w:rsid w:val="1A8C5D7F"/>
    <w:rsid w:val="1A8D59CC"/>
    <w:rsid w:val="1A9B7FF4"/>
    <w:rsid w:val="1AA41354"/>
    <w:rsid w:val="1AAD45DE"/>
    <w:rsid w:val="1AAF1E51"/>
    <w:rsid w:val="1AB428A4"/>
    <w:rsid w:val="1AD42ECA"/>
    <w:rsid w:val="1AFA24DA"/>
    <w:rsid w:val="1B046F80"/>
    <w:rsid w:val="1B261D69"/>
    <w:rsid w:val="1B3267B5"/>
    <w:rsid w:val="1B3E4FE8"/>
    <w:rsid w:val="1B40161D"/>
    <w:rsid w:val="1B441859"/>
    <w:rsid w:val="1B6606B1"/>
    <w:rsid w:val="1B8F3DB2"/>
    <w:rsid w:val="1BA84E74"/>
    <w:rsid w:val="1BCA303C"/>
    <w:rsid w:val="1C057024"/>
    <w:rsid w:val="1C241CDB"/>
    <w:rsid w:val="1C3B30F7"/>
    <w:rsid w:val="1C5E7925"/>
    <w:rsid w:val="1C622D8A"/>
    <w:rsid w:val="1C80233F"/>
    <w:rsid w:val="1C942349"/>
    <w:rsid w:val="1CA218C3"/>
    <w:rsid w:val="1CA91A36"/>
    <w:rsid w:val="1CB00C23"/>
    <w:rsid w:val="1CFD070F"/>
    <w:rsid w:val="1D0A6375"/>
    <w:rsid w:val="1D5B04BF"/>
    <w:rsid w:val="1D5F6196"/>
    <w:rsid w:val="1D6132A5"/>
    <w:rsid w:val="1D8E56D5"/>
    <w:rsid w:val="1DAA6ECD"/>
    <w:rsid w:val="1DD40345"/>
    <w:rsid w:val="1DE71025"/>
    <w:rsid w:val="1E316B10"/>
    <w:rsid w:val="1E6257AE"/>
    <w:rsid w:val="1E7A43DA"/>
    <w:rsid w:val="1E836D7E"/>
    <w:rsid w:val="1EFD4A06"/>
    <w:rsid w:val="1F275059"/>
    <w:rsid w:val="1F394213"/>
    <w:rsid w:val="1F607812"/>
    <w:rsid w:val="1F694CAC"/>
    <w:rsid w:val="1F7D0EBD"/>
    <w:rsid w:val="1F7E03C6"/>
    <w:rsid w:val="1F7F25CA"/>
    <w:rsid w:val="1FCF29CF"/>
    <w:rsid w:val="1FD05269"/>
    <w:rsid w:val="1FD5059D"/>
    <w:rsid w:val="1FD8637D"/>
    <w:rsid w:val="1FE7539E"/>
    <w:rsid w:val="20147E0C"/>
    <w:rsid w:val="20671BE0"/>
    <w:rsid w:val="20963CB8"/>
    <w:rsid w:val="20A81A1B"/>
    <w:rsid w:val="20B07FB6"/>
    <w:rsid w:val="20B646FB"/>
    <w:rsid w:val="20DB1848"/>
    <w:rsid w:val="20F94B3B"/>
    <w:rsid w:val="213A39F8"/>
    <w:rsid w:val="213B74B1"/>
    <w:rsid w:val="213C51D4"/>
    <w:rsid w:val="215A2310"/>
    <w:rsid w:val="21674E89"/>
    <w:rsid w:val="216B420D"/>
    <w:rsid w:val="21DE318A"/>
    <w:rsid w:val="21E5472C"/>
    <w:rsid w:val="21EF5B80"/>
    <w:rsid w:val="2219492B"/>
    <w:rsid w:val="221D30A5"/>
    <w:rsid w:val="224A27E1"/>
    <w:rsid w:val="22576990"/>
    <w:rsid w:val="226A69DF"/>
    <w:rsid w:val="22765384"/>
    <w:rsid w:val="227D5FFA"/>
    <w:rsid w:val="22E737AC"/>
    <w:rsid w:val="22E74B9C"/>
    <w:rsid w:val="22E95241"/>
    <w:rsid w:val="22F47480"/>
    <w:rsid w:val="23182A50"/>
    <w:rsid w:val="23215CC3"/>
    <w:rsid w:val="236A7C99"/>
    <w:rsid w:val="238816BA"/>
    <w:rsid w:val="23963804"/>
    <w:rsid w:val="23A203FB"/>
    <w:rsid w:val="23C56EF3"/>
    <w:rsid w:val="23DE1C48"/>
    <w:rsid w:val="24002CCB"/>
    <w:rsid w:val="240210CD"/>
    <w:rsid w:val="243E0B90"/>
    <w:rsid w:val="244A6AC8"/>
    <w:rsid w:val="249266C1"/>
    <w:rsid w:val="24A257C2"/>
    <w:rsid w:val="24BB5C18"/>
    <w:rsid w:val="24BF09F7"/>
    <w:rsid w:val="24CE594B"/>
    <w:rsid w:val="24E231A5"/>
    <w:rsid w:val="250D077C"/>
    <w:rsid w:val="251610A0"/>
    <w:rsid w:val="25292B82"/>
    <w:rsid w:val="252D53FE"/>
    <w:rsid w:val="2540611D"/>
    <w:rsid w:val="2563786A"/>
    <w:rsid w:val="256C2FEB"/>
    <w:rsid w:val="25D95E65"/>
    <w:rsid w:val="25EC2D81"/>
    <w:rsid w:val="25F807A6"/>
    <w:rsid w:val="260169C7"/>
    <w:rsid w:val="264136D1"/>
    <w:rsid w:val="266F0A68"/>
    <w:rsid w:val="26793695"/>
    <w:rsid w:val="26DA3FAC"/>
    <w:rsid w:val="277057A2"/>
    <w:rsid w:val="277D5407"/>
    <w:rsid w:val="277F16E3"/>
    <w:rsid w:val="27A62207"/>
    <w:rsid w:val="27AE55C0"/>
    <w:rsid w:val="2826784C"/>
    <w:rsid w:val="282910EA"/>
    <w:rsid w:val="282C19F5"/>
    <w:rsid w:val="288B5901"/>
    <w:rsid w:val="28927979"/>
    <w:rsid w:val="28AD1D1C"/>
    <w:rsid w:val="28CC03F4"/>
    <w:rsid w:val="28D62B07"/>
    <w:rsid w:val="29206EB8"/>
    <w:rsid w:val="29495AC0"/>
    <w:rsid w:val="29595666"/>
    <w:rsid w:val="29874881"/>
    <w:rsid w:val="29954C89"/>
    <w:rsid w:val="29D82DC8"/>
    <w:rsid w:val="29D84B76"/>
    <w:rsid w:val="29E325E0"/>
    <w:rsid w:val="2A452503"/>
    <w:rsid w:val="2A5F4D16"/>
    <w:rsid w:val="2A66694D"/>
    <w:rsid w:val="2AAB228B"/>
    <w:rsid w:val="2AB50F6F"/>
    <w:rsid w:val="2AC85DB9"/>
    <w:rsid w:val="2B544CFA"/>
    <w:rsid w:val="2B5B4B1C"/>
    <w:rsid w:val="2BA240E7"/>
    <w:rsid w:val="2BA936A8"/>
    <w:rsid w:val="2BD8301C"/>
    <w:rsid w:val="2BEC2B5B"/>
    <w:rsid w:val="2C136339"/>
    <w:rsid w:val="2C2C3080"/>
    <w:rsid w:val="2C315A5A"/>
    <w:rsid w:val="2C32277E"/>
    <w:rsid w:val="2C4B1C25"/>
    <w:rsid w:val="2C9E0453"/>
    <w:rsid w:val="2C9F3729"/>
    <w:rsid w:val="2CBE62A5"/>
    <w:rsid w:val="2CDD4252"/>
    <w:rsid w:val="2D055557"/>
    <w:rsid w:val="2D1D6730"/>
    <w:rsid w:val="2D200B99"/>
    <w:rsid w:val="2D49431F"/>
    <w:rsid w:val="2D53501C"/>
    <w:rsid w:val="2D850B71"/>
    <w:rsid w:val="2D9E56F5"/>
    <w:rsid w:val="2E19379E"/>
    <w:rsid w:val="2E19750B"/>
    <w:rsid w:val="2E231C4F"/>
    <w:rsid w:val="2E5F5866"/>
    <w:rsid w:val="2E667F96"/>
    <w:rsid w:val="2E7C6DB5"/>
    <w:rsid w:val="2E8226AB"/>
    <w:rsid w:val="2E8265D6"/>
    <w:rsid w:val="2EA13E0B"/>
    <w:rsid w:val="2EA66346"/>
    <w:rsid w:val="2EB85D4C"/>
    <w:rsid w:val="2F051F6C"/>
    <w:rsid w:val="2F2E6FE6"/>
    <w:rsid w:val="2F5910E2"/>
    <w:rsid w:val="2F742566"/>
    <w:rsid w:val="2F754C15"/>
    <w:rsid w:val="2F917CA1"/>
    <w:rsid w:val="2FA03738"/>
    <w:rsid w:val="2FA23A9F"/>
    <w:rsid w:val="2FD065E6"/>
    <w:rsid w:val="2FD96870"/>
    <w:rsid w:val="2FE778C1"/>
    <w:rsid w:val="30161909"/>
    <w:rsid w:val="301B507F"/>
    <w:rsid w:val="30580BC9"/>
    <w:rsid w:val="30915D32"/>
    <w:rsid w:val="309978F6"/>
    <w:rsid w:val="30C41A60"/>
    <w:rsid w:val="30D10890"/>
    <w:rsid w:val="30E23757"/>
    <w:rsid w:val="311E2ED7"/>
    <w:rsid w:val="31456F95"/>
    <w:rsid w:val="315619EE"/>
    <w:rsid w:val="315728F1"/>
    <w:rsid w:val="315C449C"/>
    <w:rsid w:val="3173284C"/>
    <w:rsid w:val="317E6DB6"/>
    <w:rsid w:val="3183186B"/>
    <w:rsid w:val="31B82709"/>
    <w:rsid w:val="31C143D8"/>
    <w:rsid w:val="31C37EBA"/>
    <w:rsid w:val="31CE47F4"/>
    <w:rsid w:val="31D05482"/>
    <w:rsid w:val="3207424B"/>
    <w:rsid w:val="320C6C70"/>
    <w:rsid w:val="3216623C"/>
    <w:rsid w:val="32201157"/>
    <w:rsid w:val="32400B34"/>
    <w:rsid w:val="324D54CA"/>
    <w:rsid w:val="32790CE2"/>
    <w:rsid w:val="328F2C68"/>
    <w:rsid w:val="329B1059"/>
    <w:rsid w:val="329E6876"/>
    <w:rsid w:val="32BD0BEB"/>
    <w:rsid w:val="32EB1216"/>
    <w:rsid w:val="32EB2C4E"/>
    <w:rsid w:val="33100082"/>
    <w:rsid w:val="333015F2"/>
    <w:rsid w:val="333559FB"/>
    <w:rsid w:val="334119DE"/>
    <w:rsid w:val="334212B2"/>
    <w:rsid w:val="334B6320"/>
    <w:rsid w:val="33AB1A78"/>
    <w:rsid w:val="33AD497E"/>
    <w:rsid w:val="33BA37DB"/>
    <w:rsid w:val="33D343FB"/>
    <w:rsid w:val="33D934D4"/>
    <w:rsid w:val="33E3258B"/>
    <w:rsid w:val="33FE2F6A"/>
    <w:rsid w:val="340E07E5"/>
    <w:rsid w:val="341F0841"/>
    <w:rsid w:val="34235BF7"/>
    <w:rsid w:val="343B77AA"/>
    <w:rsid w:val="347D6A46"/>
    <w:rsid w:val="34813FF8"/>
    <w:rsid w:val="3483024B"/>
    <w:rsid w:val="34985205"/>
    <w:rsid w:val="349921D7"/>
    <w:rsid w:val="34B87A7E"/>
    <w:rsid w:val="34BC5B05"/>
    <w:rsid w:val="34CB3FA2"/>
    <w:rsid w:val="34CF6B76"/>
    <w:rsid w:val="34D60461"/>
    <w:rsid w:val="34E41423"/>
    <w:rsid w:val="35026E4C"/>
    <w:rsid w:val="351B1D0B"/>
    <w:rsid w:val="35466E38"/>
    <w:rsid w:val="3566572C"/>
    <w:rsid w:val="358C5FA8"/>
    <w:rsid w:val="35A83757"/>
    <w:rsid w:val="35C13290"/>
    <w:rsid w:val="35C15DF1"/>
    <w:rsid w:val="35D46B3A"/>
    <w:rsid w:val="35F03248"/>
    <w:rsid w:val="35F8709C"/>
    <w:rsid w:val="36074A7F"/>
    <w:rsid w:val="36250A64"/>
    <w:rsid w:val="36284148"/>
    <w:rsid w:val="367E011C"/>
    <w:rsid w:val="36923549"/>
    <w:rsid w:val="3699568D"/>
    <w:rsid w:val="36A80EBB"/>
    <w:rsid w:val="36B75FBF"/>
    <w:rsid w:val="36BD0C45"/>
    <w:rsid w:val="37285FA6"/>
    <w:rsid w:val="373D3686"/>
    <w:rsid w:val="374B4BD9"/>
    <w:rsid w:val="375B525D"/>
    <w:rsid w:val="37CD35E2"/>
    <w:rsid w:val="37E00298"/>
    <w:rsid w:val="37EC00D8"/>
    <w:rsid w:val="37F449ED"/>
    <w:rsid w:val="38474006"/>
    <w:rsid w:val="384B0C09"/>
    <w:rsid w:val="386D241A"/>
    <w:rsid w:val="38971A2F"/>
    <w:rsid w:val="389D0587"/>
    <w:rsid w:val="389E51DD"/>
    <w:rsid w:val="38B302F9"/>
    <w:rsid w:val="38DA238F"/>
    <w:rsid w:val="38F12CD3"/>
    <w:rsid w:val="38F94775"/>
    <w:rsid w:val="390A4620"/>
    <w:rsid w:val="392971ED"/>
    <w:rsid w:val="39325651"/>
    <w:rsid w:val="39387D98"/>
    <w:rsid w:val="393D1464"/>
    <w:rsid w:val="397320CE"/>
    <w:rsid w:val="3A025120"/>
    <w:rsid w:val="3A410326"/>
    <w:rsid w:val="3A430524"/>
    <w:rsid w:val="3A623524"/>
    <w:rsid w:val="3A872856"/>
    <w:rsid w:val="3A9F72CE"/>
    <w:rsid w:val="3AB23753"/>
    <w:rsid w:val="3AE07D2F"/>
    <w:rsid w:val="3B060262"/>
    <w:rsid w:val="3B0A04B5"/>
    <w:rsid w:val="3B133C60"/>
    <w:rsid w:val="3B3763D1"/>
    <w:rsid w:val="3B3F4A55"/>
    <w:rsid w:val="3B7364AD"/>
    <w:rsid w:val="3B913975"/>
    <w:rsid w:val="3B9D0BB8"/>
    <w:rsid w:val="3BAB3E99"/>
    <w:rsid w:val="3BB765CE"/>
    <w:rsid w:val="3BBC3FE2"/>
    <w:rsid w:val="3BC3268F"/>
    <w:rsid w:val="3BF375EE"/>
    <w:rsid w:val="3C2F6E1E"/>
    <w:rsid w:val="3C460065"/>
    <w:rsid w:val="3C4F64BA"/>
    <w:rsid w:val="3C512748"/>
    <w:rsid w:val="3C583E04"/>
    <w:rsid w:val="3C8025E4"/>
    <w:rsid w:val="3CAD1E92"/>
    <w:rsid w:val="3CDA245A"/>
    <w:rsid w:val="3CE4770F"/>
    <w:rsid w:val="3CE8111C"/>
    <w:rsid w:val="3D0F66A9"/>
    <w:rsid w:val="3D11534D"/>
    <w:rsid w:val="3D1E06B7"/>
    <w:rsid w:val="3D27522F"/>
    <w:rsid w:val="3D7514ED"/>
    <w:rsid w:val="3DBB446A"/>
    <w:rsid w:val="3DF74E75"/>
    <w:rsid w:val="3E261FF6"/>
    <w:rsid w:val="3E554590"/>
    <w:rsid w:val="3E9F547E"/>
    <w:rsid w:val="3EAA36B5"/>
    <w:rsid w:val="3EAB206A"/>
    <w:rsid w:val="3EC17BBB"/>
    <w:rsid w:val="3EC419A3"/>
    <w:rsid w:val="3EC51324"/>
    <w:rsid w:val="3EDA0523"/>
    <w:rsid w:val="3EE85004"/>
    <w:rsid w:val="3EEA4CD8"/>
    <w:rsid w:val="3F275F2C"/>
    <w:rsid w:val="3F2F4DE1"/>
    <w:rsid w:val="3F5F776B"/>
    <w:rsid w:val="3F714632"/>
    <w:rsid w:val="3F780CFF"/>
    <w:rsid w:val="3F8A64BB"/>
    <w:rsid w:val="3F9609BC"/>
    <w:rsid w:val="402C30CE"/>
    <w:rsid w:val="40451A1A"/>
    <w:rsid w:val="406120A5"/>
    <w:rsid w:val="407A6407"/>
    <w:rsid w:val="40874ED6"/>
    <w:rsid w:val="408E37C2"/>
    <w:rsid w:val="4090365D"/>
    <w:rsid w:val="40A95F50"/>
    <w:rsid w:val="40E51376"/>
    <w:rsid w:val="411A73CB"/>
    <w:rsid w:val="41596145"/>
    <w:rsid w:val="4200449D"/>
    <w:rsid w:val="42073DF3"/>
    <w:rsid w:val="42312C1E"/>
    <w:rsid w:val="423A3BCC"/>
    <w:rsid w:val="424E57D2"/>
    <w:rsid w:val="427F1BDB"/>
    <w:rsid w:val="42B26C49"/>
    <w:rsid w:val="42D17B5E"/>
    <w:rsid w:val="42DA1507"/>
    <w:rsid w:val="42EB101F"/>
    <w:rsid w:val="431467C7"/>
    <w:rsid w:val="431A7B56"/>
    <w:rsid w:val="433A6FE6"/>
    <w:rsid w:val="43480868"/>
    <w:rsid w:val="4350713C"/>
    <w:rsid w:val="436653E0"/>
    <w:rsid w:val="43AE7C16"/>
    <w:rsid w:val="43C4431A"/>
    <w:rsid w:val="43D16466"/>
    <w:rsid w:val="43D61CCF"/>
    <w:rsid w:val="440700DA"/>
    <w:rsid w:val="444924A1"/>
    <w:rsid w:val="44784B34"/>
    <w:rsid w:val="447C211A"/>
    <w:rsid w:val="449C48E3"/>
    <w:rsid w:val="44A41DCD"/>
    <w:rsid w:val="44AA2C8E"/>
    <w:rsid w:val="44B951CC"/>
    <w:rsid w:val="44BA0A82"/>
    <w:rsid w:val="44CD14E0"/>
    <w:rsid w:val="44E126D9"/>
    <w:rsid w:val="44F06DC0"/>
    <w:rsid w:val="44F20B0B"/>
    <w:rsid w:val="45085EB8"/>
    <w:rsid w:val="45244CBC"/>
    <w:rsid w:val="45280575"/>
    <w:rsid w:val="452C5D03"/>
    <w:rsid w:val="452E5F4C"/>
    <w:rsid w:val="45612018"/>
    <w:rsid w:val="4585575A"/>
    <w:rsid w:val="458946E9"/>
    <w:rsid w:val="45A47C0E"/>
    <w:rsid w:val="45C757DF"/>
    <w:rsid w:val="45E15F33"/>
    <w:rsid w:val="45EC3A2B"/>
    <w:rsid w:val="45F13B3D"/>
    <w:rsid w:val="461933F6"/>
    <w:rsid w:val="461D3BE5"/>
    <w:rsid w:val="46577FD6"/>
    <w:rsid w:val="465A4F2F"/>
    <w:rsid w:val="466F5DB0"/>
    <w:rsid w:val="46C774E3"/>
    <w:rsid w:val="46D955A7"/>
    <w:rsid w:val="46ED61DB"/>
    <w:rsid w:val="46F81887"/>
    <w:rsid w:val="470703F1"/>
    <w:rsid w:val="47133957"/>
    <w:rsid w:val="471A66D8"/>
    <w:rsid w:val="471E5E67"/>
    <w:rsid w:val="47481CF8"/>
    <w:rsid w:val="477C493B"/>
    <w:rsid w:val="477F442B"/>
    <w:rsid w:val="479C7DAA"/>
    <w:rsid w:val="47A07E0C"/>
    <w:rsid w:val="4812652E"/>
    <w:rsid w:val="4870272E"/>
    <w:rsid w:val="48755BF9"/>
    <w:rsid w:val="487A531F"/>
    <w:rsid w:val="487B4BF3"/>
    <w:rsid w:val="48852288"/>
    <w:rsid w:val="48912668"/>
    <w:rsid w:val="48A3140C"/>
    <w:rsid w:val="48DC090D"/>
    <w:rsid w:val="48E44E8E"/>
    <w:rsid w:val="48E676FD"/>
    <w:rsid w:val="48EC68C7"/>
    <w:rsid w:val="490C1A30"/>
    <w:rsid w:val="49134BDB"/>
    <w:rsid w:val="4924528A"/>
    <w:rsid w:val="4966775F"/>
    <w:rsid w:val="49BF4FB3"/>
    <w:rsid w:val="49C34AA3"/>
    <w:rsid w:val="49DC7715"/>
    <w:rsid w:val="49E05655"/>
    <w:rsid w:val="4A023139"/>
    <w:rsid w:val="4A3961AC"/>
    <w:rsid w:val="4A754ADE"/>
    <w:rsid w:val="4A7B576F"/>
    <w:rsid w:val="4A8038E4"/>
    <w:rsid w:val="4AE747C1"/>
    <w:rsid w:val="4AF561A9"/>
    <w:rsid w:val="4B246B6D"/>
    <w:rsid w:val="4B2509CF"/>
    <w:rsid w:val="4B29302C"/>
    <w:rsid w:val="4B364751"/>
    <w:rsid w:val="4B3F45FD"/>
    <w:rsid w:val="4B5005B9"/>
    <w:rsid w:val="4BFA0524"/>
    <w:rsid w:val="4C0F6FA6"/>
    <w:rsid w:val="4C1559E9"/>
    <w:rsid w:val="4C3861A2"/>
    <w:rsid w:val="4C4A0649"/>
    <w:rsid w:val="4C5365B2"/>
    <w:rsid w:val="4C602A7D"/>
    <w:rsid w:val="4C7E5ECA"/>
    <w:rsid w:val="4C876AA5"/>
    <w:rsid w:val="4D0E00FB"/>
    <w:rsid w:val="4D176606"/>
    <w:rsid w:val="4D1E40A2"/>
    <w:rsid w:val="4D215DDF"/>
    <w:rsid w:val="4D28463C"/>
    <w:rsid w:val="4D40606D"/>
    <w:rsid w:val="4D5D6FBD"/>
    <w:rsid w:val="4D930C1A"/>
    <w:rsid w:val="4D9E1AAF"/>
    <w:rsid w:val="4DAB1AD6"/>
    <w:rsid w:val="4DB75F3D"/>
    <w:rsid w:val="4DB82445"/>
    <w:rsid w:val="4DEC4FB0"/>
    <w:rsid w:val="4DF5104E"/>
    <w:rsid w:val="4E075D8A"/>
    <w:rsid w:val="4E0909D2"/>
    <w:rsid w:val="4E140649"/>
    <w:rsid w:val="4E235B10"/>
    <w:rsid w:val="4E355844"/>
    <w:rsid w:val="4E4A12EF"/>
    <w:rsid w:val="4E611B8B"/>
    <w:rsid w:val="4EA01857"/>
    <w:rsid w:val="4EA316A1"/>
    <w:rsid w:val="4EA40FCB"/>
    <w:rsid w:val="4EC00FAD"/>
    <w:rsid w:val="4ECE0172"/>
    <w:rsid w:val="4F0B3174"/>
    <w:rsid w:val="4F1C75DD"/>
    <w:rsid w:val="4F22401A"/>
    <w:rsid w:val="4F3C4E12"/>
    <w:rsid w:val="4F3D2C02"/>
    <w:rsid w:val="4F4A3DFE"/>
    <w:rsid w:val="4F510191"/>
    <w:rsid w:val="4F600D9A"/>
    <w:rsid w:val="4F980780"/>
    <w:rsid w:val="4F9843DC"/>
    <w:rsid w:val="4F9D18F3"/>
    <w:rsid w:val="4FC13833"/>
    <w:rsid w:val="4FC41575"/>
    <w:rsid w:val="4FC62A8C"/>
    <w:rsid w:val="4FD113F6"/>
    <w:rsid w:val="4FE20F0D"/>
    <w:rsid w:val="4FE51552"/>
    <w:rsid w:val="50120532"/>
    <w:rsid w:val="503404A9"/>
    <w:rsid w:val="50504C4B"/>
    <w:rsid w:val="50580167"/>
    <w:rsid w:val="505C355C"/>
    <w:rsid w:val="50842909"/>
    <w:rsid w:val="509C6E7C"/>
    <w:rsid w:val="50F11284"/>
    <w:rsid w:val="50F86586"/>
    <w:rsid w:val="510819DD"/>
    <w:rsid w:val="514324CE"/>
    <w:rsid w:val="5162104E"/>
    <w:rsid w:val="517448D5"/>
    <w:rsid w:val="51B761EE"/>
    <w:rsid w:val="51DD691E"/>
    <w:rsid w:val="51FF6019"/>
    <w:rsid w:val="522307D5"/>
    <w:rsid w:val="52302EF2"/>
    <w:rsid w:val="52855B2A"/>
    <w:rsid w:val="528D42FA"/>
    <w:rsid w:val="52C134E5"/>
    <w:rsid w:val="52E22421"/>
    <w:rsid w:val="52F35D43"/>
    <w:rsid w:val="530D6D8F"/>
    <w:rsid w:val="53424C8B"/>
    <w:rsid w:val="535350EA"/>
    <w:rsid w:val="53605111"/>
    <w:rsid w:val="539B25ED"/>
    <w:rsid w:val="53A039CC"/>
    <w:rsid w:val="53A1505A"/>
    <w:rsid w:val="53D46B79"/>
    <w:rsid w:val="53E421E6"/>
    <w:rsid w:val="53E61ABA"/>
    <w:rsid w:val="54063E08"/>
    <w:rsid w:val="540672D6"/>
    <w:rsid w:val="54181E8F"/>
    <w:rsid w:val="543437E8"/>
    <w:rsid w:val="54434E84"/>
    <w:rsid w:val="54555434"/>
    <w:rsid w:val="54602094"/>
    <w:rsid w:val="54C85830"/>
    <w:rsid w:val="54CE5DA9"/>
    <w:rsid w:val="54CF69F2"/>
    <w:rsid w:val="54F36F93"/>
    <w:rsid w:val="54F73313"/>
    <w:rsid w:val="54F80955"/>
    <w:rsid w:val="54FA6421"/>
    <w:rsid w:val="54FE72D7"/>
    <w:rsid w:val="554C6B20"/>
    <w:rsid w:val="555170A7"/>
    <w:rsid w:val="5563538C"/>
    <w:rsid w:val="5587536D"/>
    <w:rsid w:val="5598445C"/>
    <w:rsid w:val="559B174B"/>
    <w:rsid w:val="55C90E9F"/>
    <w:rsid w:val="55CE0CF4"/>
    <w:rsid w:val="55EE2985"/>
    <w:rsid w:val="561623FF"/>
    <w:rsid w:val="56323497"/>
    <w:rsid w:val="564C3298"/>
    <w:rsid w:val="564E64E5"/>
    <w:rsid w:val="5662347E"/>
    <w:rsid w:val="56673F1F"/>
    <w:rsid w:val="56727104"/>
    <w:rsid w:val="567A473C"/>
    <w:rsid w:val="56811F6E"/>
    <w:rsid w:val="56B22A9C"/>
    <w:rsid w:val="56B80EAE"/>
    <w:rsid w:val="56C34BB0"/>
    <w:rsid w:val="56F965BD"/>
    <w:rsid w:val="572465E0"/>
    <w:rsid w:val="576551C6"/>
    <w:rsid w:val="579A2768"/>
    <w:rsid w:val="57A04676"/>
    <w:rsid w:val="57B72A76"/>
    <w:rsid w:val="57C3426C"/>
    <w:rsid w:val="57C9597B"/>
    <w:rsid w:val="57CE1F93"/>
    <w:rsid w:val="57D37254"/>
    <w:rsid w:val="58020E8D"/>
    <w:rsid w:val="581806B0"/>
    <w:rsid w:val="588743D1"/>
    <w:rsid w:val="5887701A"/>
    <w:rsid w:val="588B230B"/>
    <w:rsid w:val="589171BF"/>
    <w:rsid w:val="58E862D4"/>
    <w:rsid w:val="58FD0B73"/>
    <w:rsid w:val="59451C63"/>
    <w:rsid w:val="59457283"/>
    <w:rsid w:val="5952374E"/>
    <w:rsid w:val="59853B23"/>
    <w:rsid w:val="59876967"/>
    <w:rsid w:val="59942098"/>
    <w:rsid w:val="59C0439F"/>
    <w:rsid w:val="5A0C551C"/>
    <w:rsid w:val="5A5C0D28"/>
    <w:rsid w:val="5A8148A2"/>
    <w:rsid w:val="5A816F33"/>
    <w:rsid w:val="5A8550FA"/>
    <w:rsid w:val="5A8E2EAB"/>
    <w:rsid w:val="5ABE2233"/>
    <w:rsid w:val="5ADD72A9"/>
    <w:rsid w:val="5AF06C4D"/>
    <w:rsid w:val="5B0B44FC"/>
    <w:rsid w:val="5B13515F"/>
    <w:rsid w:val="5B2561DF"/>
    <w:rsid w:val="5B715EBD"/>
    <w:rsid w:val="5B77068B"/>
    <w:rsid w:val="5B8125D8"/>
    <w:rsid w:val="5B8D3163"/>
    <w:rsid w:val="5B9B5880"/>
    <w:rsid w:val="5BDF5D95"/>
    <w:rsid w:val="5BE07737"/>
    <w:rsid w:val="5BFE7528"/>
    <w:rsid w:val="5C0F1033"/>
    <w:rsid w:val="5C152EF2"/>
    <w:rsid w:val="5C2F5FC8"/>
    <w:rsid w:val="5C4B63A6"/>
    <w:rsid w:val="5C9131B9"/>
    <w:rsid w:val="5CAF441C"/>
    <w:rsid w:val="5CBA6B92"/>
    <w:rsid w:val="5CF82FF0"/>
    <w:rsid w:val="5D19769B"/>
    <w:rsid w:val="5D1C654D"/>
    <w:rsid w:val="5D2B7A1F"/>
    <w:rsid w:val="5D69080D"/>
    <w:rsid w:val="5DA2346C"/>
    <w:rsid w:val="5DB31E9B"/>
    <w:rsid w:val="5DB3780B"/>
    <w:rsid w:val="5DB90A1A"/>
    <w:rsid w:val="5DC170F4"/>
    <w:rsid w:val="5E196812"/>
    <w:rsid w:val="5E2467F1"/>
    <w:rsid w:val="5E59557E"/>
    <w:rsid w:val="5E6E2DD8"/>
    <w:rsid w:val="5E710B1A"/>
    <w:rsid w:val="5E9B0352"/>
    <w:rsid w:val="5EAB6706"/>
    <w:rsid w:val="5EBA367D"/>
    <w:rsid w:val="5EC925A8"/>
    <w:rsid w:val="5F0A0E0B"/>
    <w:rsid w:val="5F0B4ACB"/>
    <w:rsid w:val="5F1A2B43"/>
    <w:rsid w:val="5F1E1F19"/>
    <w:rsid w:val="5F261904"/>
    <w:rsid w:val="5F3131CD"/>
    <w:rsid w:val="5FB36828"/>
    <w:rsid w:val="5FB837BB"/>
    <w:rsid w:val="5FCD546F"/>
    <w:rsid w:val="5FD3636E"/>
    <w:rsid w:val="5FF732A1"/>
    <w:rsid w:val="60085BF5"/>
    <w:rsid w:val="605424A1"/>
    <w:rsid w:val="606E5E7E"/>
    <w:rsid w:val="60995B36"/>
    <w:rsid w:val="60A76A75"/>
    <w:rsid w:val="60CC405A"/>
    <w:rsid w:val="60D1764E"/>
    <w:rsid w:val="60E4432C"/>
    <w:rsid w:val="610E1977"/>
    <w:rsid w:val="612E3591"/>
    <w:rsid w:val="6131159B"/>
    <w:rsid w:val="613F1AF9"/>
    <w:rsid w:val="613F280A"/>
    <w:rsid w:val="6142054C"/>
    <w:rsid w:val="61646DB2"/>
    <w:rsid w:val="61883485"/>
    <w:rsid w:val="619C5EAE"/>
    <w:rsid w:val="61AA6E6F"/>
    <w:rsid w:val="61E215D8"/>
    <w:rsid w:val="61F50987"/>
    <w:rsid w:val="621B3775"/>
    <w:rsid w:val="62285994"/>
    <w:rsid w:val="62364782"/>
    <w:rsid w:val="623F4BDD"/>
    <w:rsid w:val="62AD7C47"/>
    <w:rsid w:val="62B60AC0"/>
    <w:rsid w:val="62FD1CBD"/>
    <w:rsid w:val="637B5220"/>
    <w:rsid w:val="6394356A"/>
    <w:rsid w:val="63A454EE"/>
    <w:rsid w:val="63C61B2C"/>
    <w:rsid w:val="63D4074F"/>
    <w:rsid w:val="63D40BE9"/>
    <w:rsid w:val="63FA6EBC"/>
    <w:rsid w:val="63FE69AC"/>
    <w:rsid w:val="64102431"/>
    <w:rsid w:val="64504D2E"/>
    <w:rsid w:val="645E09DA"/>
    <w:rsid w:val="64A5243A"/>
    <w:rsid w:val="64F32289"/>
    <w:rsid w:val="64F531DE"/>
    <w:rsid w:val="652F2B95"/>
    <w:rsid w:val="65373578"/>
    <w:rsid w:val="65650E44"/>
    <w:rsid w:val="65B84A0F"/>
    <w:rsid w:val="65D73958"/>
    <w:rsid w:val="65E120E1"/>
    <w:rsid w:val="65EC71F6"/>
    <w:rsid w:val="662D5433"/>
    <w:rsid w:val="665054B9"/>
    <w:rsid w:val="66882EA5"/>
    <w:rsid w:val="66D94F5C"/>
    <w:rsid w:val="66F45E44"/>
    <w:rsid w:val="66F57DCC"/>
    <w:rsid w:val="66F66060"/>
    <w:rsid w:val="671958AB"/>
    <w:rsid w:val="671F124A"/>
    <w:rsid w:val="672524A2"/>
    <w:rsid w:val="673F17B5"/>
    <w:rsid w:val="674D3382"/>
    <w:rsid w:val="67672AEA"/>
    <w:rsid w:val="67796717"/>
    <w:rsid w:val="677A33C6"/>
    <w:rsid w:val="68112B7C"/>
    <w:rsid w:val="68144CC4"/>
    <w:rsid w:val="681F6961"/>
    <w:rsid w:val="682A349B"/>
    <w:rsid w:val="6841155D"/>
    <w:rsid w:val="68593A89"/>
    <w:rsid w:val="68610A2F"/>
    <w:rsid w:val="68805514"/>
    <w:rsid w:val="688A75AA"/>
    <w:rsid w:val="68A65864"/>
    <w:rsid w:val="68CC03DA"/>
    <w:rsid w:val="690031C6"/>
    <w:rsid w:val="69316E2F"/>
    <w:rsid w:val="693C33D0"/>
    <w:rsid w:val="694E2071"/>
    <w:rsid w:val="695931B4"/>
    <w:rsid w:val="696F5C56"/>
    <w:rsid w:val="69766163"/>
    <w:rsid w:val="697A3B33"/>
    <w:rsid w:val="6988602B"/>
    <w:rsid w:val="69A73642"/>
    <w:rsid w:val="69C77840"/>
    <w:rsid w:val="69D44760"/>
    <w:rsid w:val="69EC54F9"/>
    <w:rsid w:val="6A322B85"/>
    <w:rsid w:val="6A3F38D9"/>
    <w:rsid w:val="6A50680E"/>
    <w:rsid w:val="6A520EC7"/>
    <w:rsid w:val="6A5A06B4"/>
    <w:rsid w:val="6A9F6B82"/>
    <w:rsid w:val="6AA47B81"/>
    <w:rsid w:val="6ABA36B3"/>
    <w:rsid w:val="6ADA6DFD"/>
    <w:rsid w:val="6AF87E20"/>
    <w:rsid w:val="6B1116BB"/>
    <w:rsid w:val="6B322639"/>
    <w:rsid w:val="6B5F711A"/>
    <w:rsid w:val="6B61644D"/>
    <w:rsid w:val="6B6932A5"/>
    <w:rsid w:val="6B7669D6"/>
    <w:rsid w:val="6BAA3F28"/>
    <w:rsid w:val="6BB67B6C"/>
    <w:rsid w:val="6C094140"/>
    <w:rsid w:val="6C1C6720"/>
    <w:rsid w:val="6C292269"/>
    <w:rsid w:val="6C390C28"/>
    <w:rsid w:val="6C3C4515"/>
    <w:rsid w:val="6C4E6C53"/>
    <w:rsid w:val="6C636C38"/>
    <w:rsid w:val="6CC35974"/>
    <w:rsid w:val="6CD504C6"/>
    <w:rsid w:val="6CDD3C12"/>
    <w:rsid w:val="6D0C15C3"/>
    <w:rsid w:val="6D88759D"/>
    <w:rsid w:val="6D9F7C70"/>
    <w:rsid w:val="6DB34098"/>
    <w:rsid w:val="6DB545B6"/>
    <w:rsid w:val="6DCF2230"/>
    <w:rsid w:val="6DE02FB4"/>
    <w:rsid w:val="6DF717AF"/>
    <w:rsid w:val="6DFE0CAC"/>
    <w:rsid w:val="6E514CED"/>
    <w:rsid w:val="6E900B48"/>
    <w:rsid w:val="6EB563D5"/>
    <w:rsid w:val="6EC75B57"/>
    <w:rsid w:val="6ED74E66"/>
    <w:rsid w:val="6ED92677"/>
    <w:rsid w:val="6EFA5425"/>
    <w:rsid w:val="6F225983"/>
    <w:rsid w:val="6F332E9E"/>
    <w:rsid w:val="6F685621"/>
    <w:rsid w:val="6FA04EC3"/>
    <w:rsid w:val="6FAA5C3A"/>
    <w:rsid w:val="6FAB48BC"/>
    <w:rsid w:val="6FED13C0"/>
    <w:rsid w:val="6FFC5590"/>
    <w:rsid w:val="706D1DD0"/>
    <w:rsid w:val="70856B87"/>
    <w:rsid w:val="70C95090"/>
    <w:rsid w:val="70CD1249"/>
    <w:rsid w:val="70D527EE"/>
    <w:rsid w:val="70D64A7B"/>
    <w:rsid w:val="70EF69D7"/>
    <w:rsid w:val="7104137A"/>
    <w:rsid w:val="711368CE"/>
    <w:rsid w:val="714C26EA"/>
    <w:rsid w:val="715B5300"/>
    <w:rsid w:val="71727C3B"/>
    <w:rsid w:val="717D79A1"/>
    <w:rsid w:val="71A52B5D"/>
    <w:rsid w:val="71D27F8A"/>
    <w:rsid w:val="71FD29A8"/>
    <w:rsid w:val="72352198"/>
    <w:rsid w:val="72553024"/>
    <w:rsid w:val="727E16B2"/>
    <w:rsid w:val="729055BB"/>
    <w:rsid w:val="72A6630F"/>
    <w:rsid w:val="72B33DEA"/>
    <w:rsid w:val="72C97A85"/>
    <w:rsid w:val="72F853FF"/>
    <w:rsid w:val="73122968"/>
    <w:rsid w:val="731F5D5E"/>
    <w:rsid w:val="736507F6"/>
    <w:rsid w:val="73741484"/>
    <w:rsid w:val="737B6A68"/>
    <w:rsid w:val="73B00889"/>
    <w:rsid w:val="73C51AD5"/>
    <w:rsid w:val="73F43927"/>
    <w:rsid w:val="7402235F"/>
    <w:rsid w:val="741E793C"/>
    <w:rsid w:val="74216777"/>
    <w:rsid w:val="742F4DE6"/>
    <w:rsid w:val="742F6013"/>
    <w:rsid w:val="745E3944"/>
    <w:rsid w:val="746E1D09"/>
    <w:rsid w:val="747607E0"/>
    <w:rsid w:val="747671D2"/>
    <w:rsid w:val="74B45D96"/>
    <w:rsid w:val="750758DC"/>
    <w:rsid w:val="75094A06"/>
    <w:rsid w:val="75097E5E"/>
    <w:rsid w:val="7514770C"/>
    <w:rsid w:val="753B10E2"/>
    <w:rsid w:val="7553467E"/>
    <w:rsid w:val="75A3791A"/>
    <w:rsid w:val="75EE07A4"/>
    <w:rsid w:val="75F96FD3"/>
    <w:rsid w:val="761938F1"/>
    <w:rsid w:val="7635099D"/>
    <w:rsid w:val="764C5FBF"/>
    <w:rsid w:val="768C6099"/>
    <w:rsid w:val="769006E4"/>
    <w:rsid w:val="769B6B48"/>
    <w:rsid w:val="76C92E49"/>
    <w:rsid w:val="76E1631E"/>
    <w:rsid w:val="76EB1A60"/>
    <w:rsid w:val="76EC6B38"/>
    <w:rsid w:val="770E6AAE"/>
    <w:rsid w:val="773504DF"/>
    <w:rsid w:val="773F310C"/>
    <w:rsid w:val="775A1D1E"/>
    <w:rsid w:val="77762421"/>
    <w:rsid w:val="7782124A"/>
    <w:rsid w:val="77B56B1F"/>
    <w:rsid w:val="77E2713E"/>
    <w:rsid w:val="77EB5041"/>
    <w:rsid w:val="77F92EE3"/>
    <w:rsid w:val="780F09F4"/>
    <w:rsid w:val="78280044"/>
    <w:rsid w:val="786646C8"/>
    <w:rsid w:val="78870772"/>
    <w:rsid w:val="7897528D"/>
    <w:rsid w:val="78A90480"/>
    <w:rsid w:val="78C26AEC"/>
    <w:rsid w:val="78CF4963"/>
    <w:rsid w:val="797D676F"/>
    <w:rsid w:val="798E2128"/>
    <w:rsid w:val="7999345B"/>
    <w:rsid w:val="79B3393D"/>
    <w:rsid w:val="79C2422B"/>
    <w:rsid w:val="79F16D16"/>
    <w:rsid w:val="79F57588"/>
    <w:rsid w:val="79FD4EB5"/>
    <w:rsid w:val="79FE105C"/>
    <w:rsid w:val="7A2401C6"/>
    <w:rsid w:val="7A252032"/>
    <w:rsid w:val="7A28432B"/>
    <w:rsid w:val="7A364017"/>
    <w:rsid w:val="7A3F3423"/>
    <w:rsid w:val="7A4E4C46"/>
    <w:rsid w:val="7A545120"/>
    <w:rsid w:val="7A7358BD"/>
    <w:rsid w:val="7A8265E1"/>
    <w:rsid w:val="7A851FF7"/>
    <w:rsid w:val="7AC755D8"/>
    <w:rsid w:val="7B686D42"/>
    <w:rsid w:val="7B841746"/>
    <w:rsid w:val="7BB169D0"/>
    <w:rsid w:val="7BCB4BEA"/>
    <w:rsid w:val="7BF97117"/>
    <w:rsid w:val="7C532F51"/>
    <w:rsid w:val="7C6C5AC7"/>
    <w:rsid w:val="7C972A58"/>
    <w:rsid w:val="7CAD0B17"/>
    <w:rsid w:val="7CC6544B"/>
    <w:rsid w:val="7CCF6CE0"/>
    <w:rsid w:val="7CED7166"/>
    <w:rsid w:val="7CF25884"/>
    <w:rsid w:val="7D0239FF"/>
    <w:rsid w:val="7D275691"/>
    <w:rsid w:val="7D580A83"/>
    <w:rsid w:val="7D5A634C"/>
    <w:rsid w:val="7D5E40CD"/>
    <w:rsid w:val="7D6531A0"/>
    <w:rsid w:val="7D6E02A7"/>
    <w:rsid w:val="7D7539AD"/>
    <w:rsid w:val="7D97644D"/>
    <w:rsid w:val="7DA104EE"/>
    <w:rsid w:val="7DB859C6"/>
    <w:rsid w:val="7DCD00E6"/>
    <w:rsid w:val="7DCD56F2"/>
    <w:rsid w:val="7DDB16B4"/>
    <w:rsid w:val="7E0D112E"/>
    <w:rsid w:val="7E2E230E"/>
    <w:rsid w:val="7E396311"/>
    <w:rsid w:val="7E505BFE"/>
    <w:rsid w:val="7E553215"/>
    <w:rsid w:val="7E9B3088"/>
    <w:rsid w:val="7E9E3C4A"/>
    <w:rsid w:val="7EA62974"/>
    <w:rsid w:val="7F001CE7"/>
    <w:rsid w:val="7F0C421B"/>
    <w:rsid w:val="7F3855CE"/>
    <w:rsid w:val="7F606FAC"/>
    <w:rsid w:val="7F69394E"/>
    <w:rsid w:val="7F6F7368"/>
    <w:rsid w:val="7F992C65"/>
    <w:rsid w:val="7FAE7080"/>
    <w:rsid w:val="7FB23265"/>
    <w:rsid w:val="7FE47E5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99" w:name="index 9"/>
    <w:lsdException w:unhideWhenUsed="0" w:uiPriority="0" w:semiHidden="0" w:name="toc 1"/>
    <w:lsdException w:qFormat="1" w:unhideWhenUsed="0" w:uiPriority="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left"/>
    </w:pPr>
    <w:rPr>
      <w:rFonts w:ascii="Times New Roman" w:hAnsi="Times New Roman" w:eastAsia="宋体" w:cs="Times New Roman"/>
      <w:kern w:val="2"/>
      <w:sz w:val="24"/>
      <w:szCs w:val="24"/>
      <w:lang w:val="en-US" w:eastAsia="zh-CN" w:bidi="ar-SA"/>
    </w:rPr>
  </w:style>
  <w:style w:type="paragraph" w:styleId="2">
    <w:name w:val="heading 1"/>
    <w:basedOn w:val="1"/>
    <w:next w:val="1"/>
    <w:link w:val="59"/>
    <w:qFormat/>
    <w:uiPriority w:val="99"/>
    <w:pPr>
      <w:keepNext/>
      <w:overflowPunct w:val="0"/>
      <w:snapToGrid w:val="0"/>
      <w:spacing w:line="360" w:lineRule="auto"/>
      <w:ind w:left="0" w:firstLine="0"/>
      <w:jc w:val="left"/>
      <w:outlineLvl w:val="0"/>
    </w:pPr>
    <w:rPr>
      <w:rFonts w:ascii="Times New Roman" w:hAnsi="Times New Roman" w:eastAsia="宋体"/>
      <w:b/>
      <w:bCs/>
      <w:color w:val="000000"/>
      <w:kern w:val="44"/>
      <w:sz w:val="28"/>
      <w:szCs w:val="30"/>
    </w:rPr>
  </w:style>
  <w:style w:type="paragraph" w:styleId="3">
    <w:name w:val="heading 2"/>
    <w:basedOn w:val="1"/>
    <w:next w:val="4"/>
    <w:link w:val="88"/>
    <w:unhideWhenUsed/>
    <w:qFormat/>
    <w:uiPriority w:val="0"/>
    <w:pPr>
      <w:keepNext/>
      <w:keepLines/>
      <w:spacing w:beforeLines="0" w:beforeAutospacing="0" w:afterLines="0" w:afterAutospacing="0" w:line="360" w:lineRule="auto"/>
      <w:jc w:val="left"/>
      <w:outlineLvl w:val="1"/>
    </w:pPr>
    <w:rPr>
      <w:rFonts w:ascii="Times New Roman" w:hAnsi="Times New Roman" w:eastAsia="宋体"/>
      <w:b/>
      <w:szCs w:val="21"/>
    </w:rPr>
  </w:style>
  <w:style w:type="paragraph" w:styleId="8">
    <w:name w:val="heading 3"/>
    <w:basedOn w:val="1"/>
    <w:next w:val="1"/>
    <w:unhideWhenUsed/>
    <w:qFormat/>
    <w:uiPriority w:val="0"/>
    <w:pPr>
      <w:keepNext/>
      <w:keepLines/>
      <w:spacing w:beforeLines="0" w:beforeAutospacing="0" w:afterLines="0" w:afterAutospacing="0" w:line="360" w:lineRule="auto"/>
      <w:ind w:firstLine="0" w:firstLineChars="0"/>
      <w:outlineLvl w:val="2"/>
    </w:pPr>
    <w:rPr>
      <w:rFonts w:ascii="Times New Roman" w:hAnsi="Times New Roman" w:eastAsia="宋体"/>
    </w:rPr>
  </w:style>
  <w:style w:type="paragraph" w:styleId="9">
    <w:name w:val="heading 4"/>
    <w:basedOn w:val="1"/>
    <w:next w:val="1"/>
    <w:unhideWhenUsed/>
    <w:qFormat/>
    <w:uiPriority w:val="0"/>
    <w:pPr>
      <w:keepNext/>
      <w:keepLines/>
      <w:spacing w:beforeLines="0" w:beforeAutospacing="0" w:afterLines="0" w:afterAutospacing="0" w:line="360" w:lineRule="auto"/>
      <w:jc w:val="left"/>
      <w:outlineLvl w:val="3"/>
    </w:pPr>
    <w:rPr>
      <w:rFonts w:eastAsia="宋体"/>
      <w:b/>
      <w:sz w:val="24"/>
      <w:szCs w:val="21"/>
    </w:rPr>
  </w:style>
  <w:style w:type="paragraph" w:styleId="10">
    <w:name w:val="heading 5"/>
    <w:basedOn w:val="1"/>
    <w:next w:val="1"/>
    <w:unhideWhenUsed/>
    <w:qFormat/>
    <w:uiPriority w:val="0"/>
    <w:pPr>
      <w:snapToGrid w:val="0"/>
      <w:spacing w:beforeAutospacing="0" w:afterAutospacing="0"/>
      <w:ind w:firstLine="0" w:firstLineChars="0"/>
      <w:jc w:val="left"/>
      <w:outlineLvl w:val="4"/>
    </w:pPr>
    <w:rPr>
      <w:rFonts w:hint="eastAsia" w:eastAsia="宋体"/>
      <w:sz w:val="24"/>
      <w:szCs w:val="21"/>
    </w:rPr>
  </w:style>
  <w:style w:type="character" w:default="1" w:styleId="33">
    <w:name w:val="Default Paragraph Font"/>
    <w:semiHidden/>
    <w:qFormat/>
    <w:uiPriority w:val="0"/>
  </w:style>
  <w:style w:type="table" w:default="1" w:styleId="31">
    <w:name w:val="Normal Table"/>
    <w:semiHidden/>
    <w:qFormat/>
    <w:uiPriority w:val="0"/>
    <w:tblPr>
      <w:tblCellMar>
        <w:top w:w="0" w:type="dxa"/>
        <w:left w:w="108" w:type="dxa"/>
        <w:bottom w:w="0" w:type="dxa"/>
        <w:right w:w="108" w:type="dxa"/>
      </w:tblCellMar>
    </w:tblPr>
  </w:style>
  <w:style w:type="paragraph" w:styleId="4">
    <w:name w:val="Normal Indent"/>
    <w:basedOn w:val="1"/>
    <w:next w:val="5"/>
    <w:qFormat/>
    <w:uiPriority w:val="0"/>
    <w:pPr>
      <w:ind w:firstLine="420"/>
    </w:pPr>
  </w:style>
  <w:style w:type="paragraph" w:customStyle="1" w:styleId="5">
    <w:name w:val="样式 正文文本 + 首行缩进:  2 字符"/>
    <w:basedOn w:val="6"/>
    <w:qFormat/>
    <w:uiPriority w:val="99"/>
    <w:pPr>
      <w:spacing w:after="200" w:line="480" w:lineRule="exact"/>
      <w:ind w:firstLine="480"/>
    </w:pPr>
    <w:rPr>
      <w:rFonts w:ascii="宋体" w:hAnsi="宋体"/>
      <w:sz w:val="24"/>
    </w:rPr>
  </w:style>
  <w:style w:type="paragraph" w:styleId="6">
    <w:name w:val="Body Text"/>
    <w:basedOn w:val="1"/>
    <w:next w:val="7"/>
    <w:link w:val="61"/>
    <w:qFormat/>
    <w:uiPriority w:val="0"/>
    <w:pPr>
      <w:widowControl/>
      <w:snapToGrid w:val="0"/>
      <w:spacing w:before="60" w:after="160" w:line="259" w:lineRule="auto"/>
      <w:ind w:right="113"/>
    </w:pPr>
    <w:rPr>
      <w:kern w:val="0"/>
      <w:sz w:val="18"/>
      <w:szCs w:val="20"/>
    </w:rPr>
  </w:style>
  <w:style w:type="paragraph" w:customStyle="1" w:styleId="7">
    <w:name w:val="默认段落"/>
    <w:basedOn w:val="1"/>
    <w:qFormat/>
    <w:uiPriority w:val="0"/>
    <w:pPr>
      <w:topLinePunct w:val="0"/>
    </w:pPr>
  </w:style>
  <w:style w:type="paragraph" w:styleId="11">
    <w:name w:val="toa heading"/>
    <w:basedOn w:val="1"/>
    <w:next w:val="1"/>
    <w:qFormat/>
    <w:uiPriority w:val="0"/>
    <w:pPr>
      <w:spacing w:before="120" w:after="120" w:line="360" w:lineRule="auto"/>
      <w:ind w:firstLine="200" w:firstLineChars="200"/>
      <w:jc w:val="left"/>
    </w:pPr>
    <w:rPr>
      <w:sz w:val="24"/>
      <w:u w:val="single"/>
    </w:rPr>
  </w:style>
  <w:style w:type="paragraph" w:styleId="12">
    <w:name w:val="annotation text"/>
    <w:basedOn w:val="1"/>
    <w:link w:val="62"/>
    <w:semiHidden/>
    <w:qFormat/>
    <w:uiPriority w:val="0"/>
    <w:pPr>
      <w:jc w:val="left"/>
    </w:pPr>
    <w:rPr>
      <w:kern w:val="0"/>
      <w:sz w:val="24"/>
      <w:szCs w:val="20"/>
    </w:rPr>
  </w:style>
  <w:style w:type="paragraph" w:styleId="13">
    <w:name w:val="Body Text Indent"/>
    <w:basedOn w:val="1"/>
    <w:next w:val="14"/>
    <w:link w:val="63"/>
    <w:qFormat/>
    <w:uiPriority w:val="0"/>
    <w:pPr>
      <w:spacing w:after="120"/>
      <w:ind w:left="420" w:leftChars="200"/>
    </w:pPr>
    <w:rPr>
      <w:kern w:val="0"/>
      <w:sz w:val="24"/>
      <w:szCs w:val="20"/>
    </w:rPr>
  </w:style>
  <w:style w:type="paragraph" w:styleId="14">
    <w:name w:val="Body Text Indent 2"/>
    <w:basedOn w:val="1"/>
    <w:next w:val="11"/>
    <w:qFormat/>
    <w:uiPriority w:val="0"/>
    <w:pPr>
      <w:spacing w:after="120" w:line="480" w:lineRule="auto"/>
      <w:ind w:left="420" w:leftChars="200"/>
    </w:pPr>
  </w:style>
  <w:style w:type="paragraph" w:styleId="15">
    <w:name w:val="Plain Text"/>
    <w:basedOn w:val="1"/>
    <w:next w:val="16"/>
    <w:qFormat/>
    <w:uiPriority w:val="0"/>
    <w:rPr>
      <w:rFonts w:ascii="宋体" w:hAnsi="Courier New"/>
      <w:szCs w:val="20"/>
    </w:rPr>
  </w:style>
  <w:style w:type="paragraph" w:customStyle="1" w:styleId="16">
    <w:name w:val="表内文字"/>
    <w:basedOn w:val="1"/>
    <w:next w:val="17"/>
    <w:qFormat/>
    <w:uiPriority w:val="0"/>
    <w:pPr>
      <w:spacing w:line="360" w:lineRule="atLeast"/>
      <w:jc w:val="center"/>
    </w:pPr>
  </w:style>
  <w:style w:type="paragraph" w:customStyle="1" w:styleId="17">
    <w:name w:val="+正文"/>
    <w:basedOn w:val="1"/>
    <w:qFormat/>
    <w:uiPriority w:val="0"/>
    <w:pPr>
      <w:spacing w:line="360" w:lineRule="auto"/>
      <w:ind w:firstLine="560" w:firstLineChars="200"/>
      <w:outlineLvl w:val="0"/>
    </w:pPr>
    <w:rPr>
      <w:rFonts w:ascii="宋体"/>
      <w:sz w:val="28"/>
      <w:szCs w:val="28"/>
    </w:rPr>
  </w:style>
  <w:style w:type="paragraph" w:styleId="18">
    <w:name w:val="Date"/>
    <w:basedOn w:val="1"/>
    <w:next w:val="1"/>
    <w:link w:val="65"/>
    <w:qFormat/>
    <w:uiPriority w:val="0"/>
    <w:pPr>
      <w:ind w:left="100" w:leftChars="2500"/>
    </w:pPr>
    <w:rPr>
      <w:kern w:val="0"/>
      <w:sz w:val="24"/>
      <w:szCs w:val="20"/>
    </w:rPr>
  </w:style>
  <w:style w:type="paragraph" w:styleId="19">
    <w:name w:val="Balloon Text"/>
    <w:basedOn w:val="1"/>
    <w:link w:val="66"/>
    <w:semiHidden/>
    <w:qFormat/>
    <w:uiPriority w:val="0"/>
    <w:rPr>
      <w:kern w:val="0"/>
      <w:sz w:val="18"/>
      <w:szCs w:val="20"/>
    </w:rPr>
  </w:style>
  <w:style w:type="paragraph" w:styleId="20">
    <w:name w:val="footer"/>
    <w:basedOn w:val="1"/>
    <w:link w:val="67"/>
    <w:qFormat/>
    <w:uiPriority w:val="99"/>
    <w:pPr>
      <w:tabs>
        <w:tab w:val="center" w:pos="4153"/>
        <w:tab w:val="right" w:pos="8306"/>
      </w:tabs>
      <w:snapToGrid w:val="0"/>
      <w:jc w:val="left"/>
    </w:pPr>
    <w:rPr>
      <w:kern w:val="0"/>
      <w:sz w:val="18"/>
      <w:szCs w:val="20"/>
    </w:rPr>
  </w:style>
  <w:style w:type="paragraph" w:styleId="21">
    <w:name w:val="header"/>
    <w:basedOn w:val="1"/>
    <w:next w:val="22"/>
    <w:link w:val="64"/>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2">
    <w:name w:val="样式5"/>
    <w:basedOn w:val="23"/>
    <w:qFormat/>
    <w:uiPriority w:val="0"/>
    <w:pPr>
      <w:spacing w:line="580" w:lineRule="exact"/>
      <w:ind w:firstLine="720" w:firstLineChars="300"/>
    </w:pPr>
    <w:rPr>
      <w:rFonts w:ascii="黑体" w:eastAsia="黑体"/>
      <w:kern w:val="2"/>
    </w:rPr>
  </w:style>
  <w:style w:type="paragraph" w:customStyle="1" w:styleId="23">
    <w:name w:val="正文1"/>
    <w:basedOn w:val="1"/>
    <w:next w:val="1"/>
    <w:qFormat/>
    <w:uiPriority w:val="0"/>
    <w:pPr>
      <w:textAlignment w:val="top"/>
    </w:pPr>
    <w:rPr>
      <w:rFonts w:ascii="Times New Roman"/>
      <w:kern w:val="0"/>
      <w:sz w:val="24"/>
    </w:rPr>
  </w:style>
  <w:style w:type="paragraph" w:styleId="24">
    <w:name w:val="List"/>
    <w:basedOn w:val="1"/>
    <w:qFormat/>
    <w:uiPriority w:val="0"/>
    <w:pPr>
      <w:ind w:left="200" w:hanging="200" w:hangingChars="200"/>
    </w:pPr>
  </w:style>
  <w:style w:type="paragraph" w:styleId="25">
    <w:name w:val="index 9"/>
    <w:basedOn w:val="1"/>
    <w:next w:val="1"/>
    <w:semiHidden/>
    <w:qFormat/>
    <w:uiPriority w:val="99"/>
    <w:pPr>
      <w:ind w:left="3360"/>
      <w:jc w:val="left"/>
    </w:pPr>
  </w:style>
  <w:style w:type="paragraph" w:styleId="26">
    <w:name w:val="toc 2"/>
    <w:basedOn w:val="1"/>
    <w:next w:val="1"/>
    <w:semiHidden/>
    <w:qFormat/>
    <w:uiPriority w:val="0"/>
    <w:pPr>
      <w:ind w:left="420" w:leftChars="200"/>
    </w:pPr>
  </w:style>
  <w:style w:type="paragraph" w:styleId="27">
    <w:name w:val="Normal (Web)"/>
    <w:basedOn w:val="1"/>
    <w:link w:val="68"/>
    <w:qFormat/>
    <w:uiPriority w:val="0"/>
    <w:pPr>
      <w:widowControl/>
      <w:spacing w:before="100" w:beforeAutospacing="1" w:after="100" w:afterAutospacing="1"/>
      <w:jc w:val="left"/>
    </w:pPr>
    <w:rPr>
      <w:rFonts w:ascii="宋体" w:hAnsi="宋体"/>
      <w:kern w:val="0"/>
      <w:sz w:val="24"/>
      <w:szCs w:val="20"/>
    </w:rPr>
  </w:style>
  <w:style w:type="paragraph" w:styleId="28">
    <w:name w:val="annotation subject"/>
    <w:basedOn w:val="12"/>
    <w:next w:val="12"/>
    <w:link w:val="69"/>
    <w:semiHidden/>
    <w:qFormat/>
    <w:uiPriority w:val="0"/>
    <w:rPr>
      <w:b/>
      <w:sz w:val="24"/>
      <w:szCs w:val="20"/>
    </w:rPr>
  </w:style>
  <w:style w:type="paragraph" w:styleId="29">
    <w:name w:val="Body Text First Indent"/>
    <w:basedOn w:val="6"/>
    <w:next w:val="9"/>
    <w:qFormat/>
    <w:uiPriority w:val="0"/>
    <w:pPr>
      <w:spacing w:after="120"/>
      <w:ind w:firstLine="420" w:firstLineChars="100"/>
    </w:pPr>
    <w:rPr>
      <w:sz w:val="21"/>
      <w:szCs w:val="24"/>
    </w:rPr>
  </w:style>
  <w:style w:type="paragraph" w:styleId="30">
    <w:name w:val="Body Text First Indent 2"/>
    <w:basedOn w:val="13"/>
    <w:next w:val="1"/>
    <w:qFormat/>
    <w:uiPriority w:val="0"/>
    <w:pPr>
      <w:ind w:firstLine="420" w:firstLineChars="200"/>
    </w:pPr>
  </w:style>
  <w:style w:type="table" w:styleId="32">
    <w:name w:val="Table Grid"/>
    <w:basedOn w:val="31"/>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page number"/>
    <w:basedOn w:val="33"/>
    <w:qFormat/>
    <w:uiPriority w:val="0"/>
  </w:style>
  <w:style w:type="character" w:styleId="35">
    <w:name w:val="Emphasis"/>
    <w:basedOn w:val="33"/>
    <w:qFormat/>
    <w:uiPriority w:val="0"/>
    <w:rPr>
      <w:i/>
    </w:rPr>
  </w:style>
  <w:style w:type="character" w:styleId="36">
    <w:name w:val="Hyperlink"/>
    <w:unhideWhenUsed/>
    <w:qFormat/>
    <w:uiPriority w:val="99"/>
    <w:rPr>
      <w:rFonts w:ascii="Arial" w:hAnsi="Arial" w:cs="Arial"/>
      <w:color w:val="0331BC"/>
      <w:u w:val="single"/>
    </w:rPr>
  </w:style>
  <w:style w:type="character" w:styleId="37">
    <w:name w:val="annotation reference"/>
    <w:semiHidden/>
    <w:qFormat/>
    <w:uiPriority w:val="0"/>
    <w:rPr>
      <w:sz w:val="21"/>
    </w:rPr>
  </w:style>
  <w:style w:type="character" w:customStyle="1" w:styleId="38">
    <w:name w:val="页脚 字符"/>
    <w:basedOn w:val="33"/>
    <w:qFormat/>
    <w:uiPriority w:val="99"/>
  </w:style>
  <w:style w:type="paragraph" w:customStyle="1" w:styleId="39">
    <w:name w:val="Default"/>
    <w:basedOn w:val="40"/>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0">
    <w:name w:val="纯文本1"/>
    <w:basedOn w:val="1"/>
    <w:qFormat/>
    <w:uiPriority w:val="99"/>
    <w:pPr>
      <w:autoSpaceDE w:val="0"/>
      <w:autoSpaceDN w:val="0"/>
      <w:adjustRightInd w:val="0"/>
      <w:textAlignment w:val="baseline"/>
    </w:pPr>
    <w:rPr>
      <w:rFonts w:ascii="宋体"/>
      <w:szCs w:val="20"/>
    </w:rPr>
  </w:style>
  <w:style w:type="paragraph" w:customStyle="1" w:styleId="41">
    <w:name w:val="样式 样式 样式 四号 左侧:  1.53 厘米 + 首行缩进:  2 字符 + 居中 左侧:  2 字符 首行缩进:  2..."/>
    <w:basedOn w:val="42"/>
    <w:qFormat/>
    <w:uiPriority w:val="0"/>
    <w:pPr>
      <w:ind w:firstLine="0" w:firstLineChars="0"/>
      <w:jc w:val="center"/>
    </w:pPr>
  </w:style>
  <w:style w:type="paragraph" w:customStyle="1" w:styleId="42">
    <w:name w:val="样式 样式 四号 左侧:  1.53 厘米 + 首行缩进:  2 字符"/>
    <w:basedOn w:val="43"/>
    <w:qFormat/>
    <w:uiPriority w:val="0"/>
    <w:pPr>
      <w:ind w:left="200" w:leftChars="200"/>
    </w:pPr>
    <w:rPr>
      <w:szCs w:val="20"/>
    </w:rPr>
  </w:style>
  <w:style w:type="paragraph" w:customStyle="1" w:styleId="43">
    <w:name w:val="样式 四号 左侧:  1.53 厘米"/>
    <w:basedOn w:val="1"/>
    <w:qFormat/>
    <w:uiPriority w:val="0"/>
    <w:pPr>
      <w:adjustRightInd w:val="0"/>
    </w:pPr>
    <w:rPr>
      <w:w w:val="90"/>
      <w:sz w:val="28"/>
      <w:szCs w:val="28"/>
    </w:rPr>
  </w:style>
  <w:style w:type="paragraph" w:customStyle="1" w:styleId="44">
    <w:name w:val="策标题一"/>
    <w:basedOn w:val="2"/>
    <w:next w:val="1"/>
    <w:qFormat/>
    <w:uiPriority w:val="0"/>
    <w:pPr>
      <w:spacing w:line="360" w:lineRule="auto"/>
      <w:jc w:val="left"/>
    </w:pPr>
    <w:rPr>
      <w:rFonts w:eastAsia="宋体" w:asciiTheme="minorAscii" w:hAnsiTheme="minorAscii"/>
      <w:sz w:val="28"/>
      <w:szCs w:val="24"/>
      <w:lang w:eastAsia="en-US" w:bidi="en-US"/>
    </w:rPr>
  </w:style>
  <w:style w:type="paragraph" w:customStyle="1" w:styleId="45">
    <w:name w:val="策标题二"/>
    <w:basedOn w:val="3"/>
    <w:next w:val="1"/>
    <w:qFormat/>
    <w:uiPriority w:val="0"/>
    <w:pPr>
      <w:spacing w:line="360" w:lineRule="auto"/>
      <w:jc w:val="left"/>
    </w:pPr>
    <w:rPr>
      <w:rFonts w:eastAsia="宋体" w:cs="Times New Roman" w:asciiTheme="minorAscii" w:hAnsiTheme="minorAscii"/>
      <w:color w:val="000000"/>
      <w:lang w:eastAsia="en-US" w:bidi="en-US"/>
    </w:rPr>
  </w:style>
  <w:style w:type="paragraph" w:customStyle="1" w:styleId="46">
    <w:name w:val="策标题3"/>
    <w:basedOn w:val="8"/>
    <w:next w:val="1"/>
    <w:qFormat/>
    <w:uiPriority w:val="0"/>
    <w:pPr>
      <w:spacing w:line="360" w:lineRule="auto"/>
      <w:jc w:val="left"/>
    </w:pPr>
    <w:rPr>
      <w:rFonts w:eastAsia="宋体" w:cs="Times New Roman" w:asciiTheme="minorAscii" w:hAnsiTheme="minorAscii"/>
      <w:color w:val="000000"/>
      <w:sz w:val="24"/>
      <w:lang w:eastAsia="en-US" w:bidi="en-US"/>
    </w:rPr>
  </w:style>
  <w:style w:type="paragraph" w:customStyle="1" w:styleId="47">
    <w:name w:val="策正文"/>
    <w:basedOn w:val="1"/>
    <w:link w:val="90"/>
    <w:qFormat/>
    <w:uiPriority w:val="0"/>
    <w:pPr>
      <w:adjustRightInd w:val="0"/>
      <w:spacing w:line="360" w:lineRule="auto"/>
      <w:ind w:left="0" w:leftChars="0" w:firstLine="420" w:firstLineChars="200"/>
      <w:jc w:val="both"/>
    </w:pPr>
    <w:rPr>
      <w:rFonts w:eastAsia="宋体" w:asciiTheme="minorAscii" w:hAnsiTheme="minorAscii"/>
      <w:color w:val="000000"/>
      <w:lang w:eastAsia="en-US" w:bidi="en-US"/>
    </w:rPr>
  </w:style>
  <w:style w:type="paragraph" w:customStyle="1" w:styleId="48">
    <w:name w:val="表头"/>
    <w:basedOn w:val="49"/>
    <w:next w:val="1"/>
    <w:qFormat/>
    <w:uiPriority w:val="0"/>
    <w:pPr>
      <w:keepNext/>
      <w:keepLines/>
      <w:autoSpaceDE w:val="0"/>
      <w:autoSpaceDN w:val="0"/>
      <w:adjustRightInd w:val="0"/>
      <w:spacing w:line="240" w:lineRule="auto"/>
      <w:jc w:val="center"/>
    </w:pPr>
    <w:rPr>
      <w:rFonts w:eastAsia="宋体"/>
      <w:kern w:val="21"/>
      <w:szCs w:val="20"/>
    </w:rPr>
  </w:style>
  <w:style w:type="paragraph" w:customStyle="1" w:styleId="49">
    <w:name w:val="标题四"/>
    <w:basedOn w:val="50"/>
    <w:qFormat/>
    <w:uiPriority w:val="0"/>
  </w:style>
  <w:style w:type="paragraph" w:customStyle="1" w:styleId="50">
    <w:name w:val="标题3"/>
    <w:basedOn w:val="51"/>
    <w:next w:val="52"/>
    <w:qFormat/>
    <w:uiPriority w:val="0"/>
    <w:pPr>
      <w:suppressAutoHyphens/>
      <w:ind w:firstLine="482"/>
    </w:pPr>
    <w:rPr>
      <w:rFonts w:ascii="Times New Roman" w:hAnsi="Times New Roman"/>
      <w:b/>
      <w:bCs/>
      <w:spacing w:val="18"/>
      <w:kern w:val="0"/>
      <w:szCs w:val="20"/>
    </w:rPr>
  </w:style>
  <w:style w:type="paragraph" w:customStyle="1" w:styleId="51">
    <w:name w:val="正文2"/>
    <w:qFormat/>
    <w:uiPriority w:val="0"/>
    <w:pPr>
      <w:widowControl w:val="0"/>
      <w:suppressAutoHyphens/>
      <w:spacing w:line="520" w:lineRule="atLeast"/>
      <w:ind w:firstLine="680"/>
      <w:jc w:val="both"/>
    </w:pPr>
    <w:rPr>
      <w:rFonts w:ascii="Times New Roman" w:hAnsi="Times New Roman" w:eastAsia="宋体" w:cs="Times New Roman"/>
      <w:spacing w:val="18"/>
      <w:sz w:val="32"/>
      <w:lang w:val="en-US" w:eastAsia="zh-CN" w:bidi="ar-SA"/>
    </w:rPr>
  </w:style>
  <w:style w:type="paragraph" w:customStyle="1" w:styleId="52">
    <w:name w:val="正文文本1"/>
    <w:basedOn w:val="53"/>
    <w:qFormat/>
    <w:uiPriority w:val="0"/>
    <w:pPr>
      <w:ind w:firstLine="200" w:firstLineChars="200"/>
    </w:pPr>
    <w:rPr>
      <w:b w:val="0"/>
    </w:rPr>
  </w:style>
  <w:style w:type="paragraph" w:customStyle="1" w:styleId="53">
    <w:name w:val="标题2"/>
    <w:basedOn w:val="1"/>
    <w:qFormat/>
    <w:uiPriority w:val="0"/>
    <w:pPr>
      <w:adjustRightInd w:val="0"/>
      <w:snapToGrid w:val="0"/>
      <w:ind w:firstLine="0" w:firstLineChars="0"/>
      <w:jc w:val="left"/>
    </w:pPr>
    <w:rPr>
      <w:b/>
      <w:bCs/>
      <w:szCs w:val="21"/>
    </w:rPr>
  </w:style>
  <w:style w:type="paragraph" w:customStyle="1" w:styleId="54">
    <w:name w:val="策表格"/>
    <w:qFormat/>
    <w:uiPriority w:val="0"/>
    <w:pPr>
      <w:spacing w:line="240" w:lineRule="auto"/>
      <w:jc w:val="center"/>
    </w:pPr>
    <w:rPr>
      <w:rFonts w:eastAsia="宋体" w:asciiTheme="minorAscii" w:hAnsiTheme="minorAscii" w:cstheme="minorBidi"/>
      <w:sz w:val="21"/>
    </w:rPr>
  </w:style>
  <w:style w:type="paragraph" w:customStyle="1" w:styleId="55">
    <w:name w:val="样式1"/>
    <w:basedOn w:val="51"/>
    <w:qFormat/>
    <w:uiPriority w:val="0"/>
    <w:pPr>
      <w:snapToGrid w:val="0"/>
      <w:spacing w:line="240" w:lineRule="auto"/>
      <w:ind w:firstLine="0" w:firstLineChars="0"/>
      <w:jc w:val="center"/>
    </w:pPr>
    <w:rPr>
      <w:rFonts w:hint="eastAsia" w:ascii="Times New Roman" w:hAnsi="Times New Roman" w:eastAsia="宋体" w:cs="Times New Roman"/>
      <w:b/>
      <w:bCs/>
      <w:color w:val="000000"/>
      <w:sz w:val="24"/>
      <w:lang w:eastAsia="zh-CN" w:bidi="en-US"/>
    </w:rPr>
  </w:style>
  <w:style w:type="paragraph" w:customStyle="1" w:styleId="56">
    <w:name w:val="表头111"/>
    <w:basedOn w:val="1"/>
    <w:qFormat/>
    <w:uiPriority w:val="0"/>
    <w:pPr>
      <w:spacing w:line="240" w:lineRule="auto"/>
      <w:jc w:val="center"/>
    </w:pPr>
    <w:rPr>
      <w:rFonts w:hint="default" w:eastAsia="宋体" w:asciiTheme="minorAscii" w:hAnsiTheme="minorAscii" w:cstheme="minorBidi"/>
      <w:b/>
      <w:color w:val="000000"/>
      <w:sz w:val="24"/>
      <w:lang w:eastAsia="zh-CN" w:bidi="en-US"/>
    </w:rPr>
  </w:style>
  <w:style w:type="paragraph" w:customStyle="1" w:styleId="57">
    <w:name w:val="表格   环评"/>
    <w:basedOn w:val="1"/>
    <w:next w:val="1"/>
    <w:link w:val="89"/>
    <w:qFormat/>
    <w:uiPriority w:val="0"/>
    <w:pPr>
      <w:keepNext/>
      <w:keepLines/>
      <w:spacing w:beforeLines="0" w:afterLines="0" w:line="360" w:lineRule="auto"/>
      <w:ind w:firstLine="0" w:firstLineChars="0"/>
      <w:jc w:val="center"/>
      <w:outlineLvl w:val="3"/>
    </w:pPr>
    <w:rPr>
      <w:rFonts w:hint="eastAsia"/>
      <w:sz w:val="21"/>
      <w:szCs w:val="21"/>
    </w:rPr>
  </w:style>
  <w:style w:type="paragraph" w:customStyle="1" w:styleId="58">
    <w:name w:val="表格正文"/>
    <w:basedOn w:val="1"/>
    <w:qFormat/>
    <w:uiPriority w:val="0"/>
    <w:pPr>
      <w:spacing w:line="360" w:lineRule="exact"/>
      <w:jc w:val="center"/>
    </w:pPr>
  </w:style>
  <w:style w:type="character" w:customStyle="1" w:styleId="59">
    <w:name w:val="标题 1 Char"/>
    <w:link w:val="2"/>
    <w:qFormat/>
    <w:uiPriority w:val="99"/>
    <w:rPr>
      <w:rFonts w:ascii="Times New Roman" w:hAnsi="Times New Roman" w:eastAsia="宋体"/>
      <w:b/>
      <w:bCs/>
      <w:color w:val="000000"/>
      <w:kern w:val="44"/>
      <w:sz w:val="28"/>
      <w:szCs w:val="30"/>
    </w:rPr>
  </w:style>
  <w:style w:type="paragraph" w:customStyle="1" w:styleId="60">
    <w:name w:val="表中表"/>
    <w:basedOn w:val="1"/>
    <w:qFormat/>
    <w:uiPriority w:val="0"/>
    <w:pPr>
      <w:spacing w:line="360" w:lineRule="auto"/>
      <w:jc w:val="center"/>
    </w:pPr>
    <w:rPr>
      <w:rFonts w:hint="eastAsia" w:ascii="Times New Roman" w:hAnsi="Times New Roman"/>
      <w:sz w:val="21"/>
      <w:szCs w:val="21"/>
      <w:lang w:val="en-GB"/>
    </w:rPr>
  </w:style>
  <w:style w:type="character" w:customStyle="1" w:styleId="61">
    <w:name w:val="正文文本 Char"/>
    <w:link w:val="6"/>
    <w:qFormat/>
    <w:uiPriority w:val="0"/>
    <w:rPr>
      <w:sz w:val="18"/>
    </w:rPr>
  </w:style>
  <w:style w:type="character" w:customStyle="1" w:styleId="62">
    <w:name w:val="批注文字 Char"/>
    <w:link w:val="12"/>
    <w:qFormat/>
    <w:uiPriority w:val="0"/>
    <w:rPr>
      <w:rFonts w:ascii="Times New Roman" w:hAnsi="Times New Roman" w:eastAsia="宋体"/>
      <w:sz w:val="24"/>
    </w:rPr>
  </w:style>
  <w:style w:type="character" w:customStyle="1" w:styleId="63">
    <w:name w:val="正文文本缩进 Char"/>
    <w:link w:val="13"/>
    <w:semiHidden/>
    <w:qFormat/>
    <w:uiPriority w:val="0"/>
    <w:rPr>
      <w:rFonts w:ascii="Times New Roman" w:hAnsi="Times New Roman" w:eastAsia="宋体"/>
      <w:sz w:val="24"/>
    </w:rPr>
  </w:style>
  <w:style w:type="character" w:customStyle="1" w:styleId="64">
    <w:name w:val="页眉 Char"/>
    <w:link w:val="21"/>
    <w:qFormat/>
    <w:uiPriority w:val="0"/>
    <w:rPr>
      <w:sz w:val="18"/>
    </w:rPr>
  </w:style>
  <w:style w:type="character" w:customStyle="1" w:styleId="65">
    <w:name w:val="日期 Char"/>
    <w:link w:val="18"/>
    <w:qFormat/>
    <w:uiPriority w:val="0"/>
    <w:rPr>
      <w:rFonts w:ascii="Times New Roman" w:hAnsi="Times New Roman" w:eastAsia="宋体"/>
      <w:sz w:val="24"/>
    </w:rPr>
  </w:style>
  <w:style w:type="character" w:customStyle="1" w:styleId="66">
    <w:name w:val="批注框文本 Char"/>
    <w:link w:val="19"/>
    <w:semiHidden/>
    <w:qFormat/>
    <w:uiPriority w:val="0"/>
    <w:rPr>
      <w:rFonts w:ascii="Times New Roman" w:hAnsi="Times New Roman" w:eastAsia="宋体"/>
      <w:sz w:val="18"/>
    </w:rPr>
  </w:style>
  <w:style w:type="character" w:customStyle="1" w:styleId="67">
    <w:name w:val="页脚 Char"/>
    <w:link w:val="20"/>
    <w:qFormat/>
    <w:uiPriority w:val="99"/>
    <w:rPr>
      <w:sz w:val="18"/>
    </w:rPr>
  </w:style>
  <w:style w:type="character" w:customStyle="1" w:styleId="68">
    <w:name w:val="普通(网站) Char"/>
    <w:link w:val="27"/>
    <w:qFormat/>
    <w:uiPriority w:val="0"/>
    <w:rPr>
      <w:rFonts w:ascii="宋体" w:hAnsi="宋体" w:eastAsia="宋体"/>
      <w:sz w:val="24"/>
    </w:rPr>
  </w:style>
  <w:style w:type="character" w:customStyle="1" w:styleId="69">
    <w:name w:val="批注主题 Char"/>
    <w:link w:val="28"/>
    <w:semiHidden/>
    <w:qFormat/>
    <w:uiPriority w:val="0"/>
    <w:rPr>
      <w:rFonts w:ascii="Times New Roman" w:hAnsi="Times New Roman" w:eastAsia="宋体"/>
      <w:b/>
      <w:kern w:val="2"/>
      <w:sz w:val="24"/>
    </w:rPr>
  </w:style>
  <w:style w:type="character" w:customStyle="1" w:styleId="70">
    <w:name w:val="批注文字 字符1"/>
    <w:semiHidden/>
    <w:qFormat/>
    <w:uiPriority w:val="0"/>
    <w:rPr>
      <w:rFonts w:ascii="Times New Roman" w:hAnsi="Times New Roman" w:eastAsia="宋体"/>
      <w:sz w:val="24"/>
    </w:rPr>
  </w:style>
  <w:style w:type="character" w:customStyle="1" w:styleId="71">
    <w:name w:val="font21"/>
    <w:basedOn w:val="33"/>
    <w:qFormat/>
    <w:uiPriority w:val="0"/>
    <w:rPr>
      <w:rFonts w:hint="eastAsia" w:ascii="宋体" w:hAnsi="宋体" w:eastAsia="宋体" w:cs="宋体"/>
      <w:color w:val="000000"/>
      <w:sz w:val="21"/>
      <w:szCs w:val="21"/>
      <w:u w:val="none"/>
    </w:rPr>
  </w:style>
  <w:style w:type="character" w:customStyle="1" w:styleId="72">
    <w:name w:val="font81"/>
    <w:basedOn w:val="33"/>
    <w:qFormat/>
    <w:uiPriority w:val="0"/>
    <w:rPr>
      <w:rFonts w:hint="eastAsia" w:ascii="宋体" w:hAnsi="宋体" w:eastAsia="宋体" w:cs="宋体"/>
      <w:color w:val="000000"/>
      <w:sz w:val="21"/>
      <w:szCs w:val="21"/>
      <w:u w:val="none"/>
    </w:rPr>
  </w:style>
  <w:style w:type="character" w:customStyle="1" w:styleId="73">
    <w:name w:val="font51"/>
    <w:basedOn w:val="33"/>
    <w:qFormat/>
    <w:uiPriority w:val="0"/>
    <w:rPr>
      <w:rFonts w:hint="eastAsia" w:ascii="宋体" w:hAnsi="宋体" w:eastAsia="宋体" w:cs="宋体"/>
      <w:color w:val="000000"/>
      <w:sz w:val="21"/>
      <w:szCs w:val="21"/>
      <w:u w:val="none"/>
    </w:rPr>
  </w:style>
  <w:style w:type="character" w:customStyle="1" w:styleId="74">
    <w:name w:val="font11"/>
    <w:basedOn w:val="33"/>
    <w:qFormat/>
    <w:uiPriority w:val="0"/>
    <w:rPr>
      <w:rFonts w:hint="default" w:ascii="Times New Roman" w:hAnsi="Times New Roman" w:cs="Times New Roman"/>
      <w:color w:val="000000"/>
      <w:sz w:val="21"/>
      <w:szCs w:val="21"/>
      <w:u w:val="none"/>
    </w:rPr>
  </w:style>
  <w:style w:type="character" w:customStyle="1" w:styleId="75">
    <w:name w:val="日期 字符"/>
    <w:semiHidden/>
    <w:qFormat/>
    <w:uiPriority w:val="0"/>
    <w:rPr>
      <w:rFonts w:ascii="Times New Roman" w:hAnsi="Times New Roman" w:eastAsia="宋体"/>
      <w:sz w:val="24"/>
    </w:rPr>
  </w:style>
  <w:style w:type="character" w:customStyle="1" w:styleId="76">
    <w:name w:val="font31"/>
    <w:basedOn w:val="33"/>
    <w:qFormat/>
    <w:uiPriority w:val="0"/>
    <w:rPr>
      <w:rFonts w:hint="default" w:ascii="Times New Roman" w:hAnsi="Times New Roman" w:cs="Times New Roman"/>
      <w:color w:val="000000"/>
      <w:sz w:val="21"/>
      <w:szCs w:val="21"/>
      <w:u w:val="none"/>
    </w:rPr>
  </w:style>
  <w:style w:type="character" w:customStyle="1" w:styleId="77">
    <w:name w:val="表格 Char"/>
    <w:link w:val="78"/>
    <w:qFormat/>
    <w:uiPriority w:val="0"/>
    <w:rPr>
      <w:rFonts w:ascii="宋体" w:hAnsi="宋体" w:eastAsia="宋体"/>
      <w:sz w:val="21"/>
    </w:rPr>
  </w:style>
  <w:style w:type="paragraph" w:customStyle="1" w:styleId="78">
    <w:name w:val="表格"/>
    <w:basedOn w:val="4"/>
    <w:next w:val="1"/>
    <w:link w:val="77"/>
    <w:qFormat/>
    <w:uiPriority w:val="0"/>
    <w:pPr>
      <w:adjustRightInd w:val="0"/>
      <w:snapToGrid w:val="0"/>
      <w:spacing w:line="240" w:lineRule="auto"/>
      <w:jc w:val="center"/>
    </w:pPr>
    <w:rPr>
      <w:rFonts w:ascii="宋体" w:hAnsi="宋体" w:eastAsia="宋体"/>
      <w:kern w:val="0"/>
      <w:sz w:val="21"/>
      <w:szCs w:val="20"/>
    </w:rPr>
  </w:style>
  <w:style w:type="character" w:customStyle="1" w:styleId="79">
    <w:name w:val="正文文本 字符1"/>
    <w:semiHidden/>
    <w:qFormat/>
    <w:uiPriority w:val="0"/>
    <w:rPr>
      <w:rFonts w:ascii="Times New Roman" w:hAnsi="Times New Roman" w:eastAsia="宋体"/>
      <w:sz w:val="24"/>
    </w:rPr>
  </w:style>
  <w:style w:type="paragraph" w:customStyle="1" w:styleId="80">
    <w:name w:val="正文_25"/>
    <w:qFormat/>
    <w:uiPriority w:val="0"/>
    <w:pPr>
      <w:widowControl w:val="0"/>
      <w:jc w:val="both"/>
    </w:pPr>
    <w:rPr>
      <w:rFonts w:ascii="Calibri" w:hAnsi="Calibri" w:eastAsia="宋体" w:cs="Times New Roman"/>
      <w:kern w:val="2"/>
      <w:sz w:val="21"/>
      <w:lang w:val="en-US" w:eastAsia="zh-CN" w:bidi="ar-SA"/>
    </w:rPr>
  </w:style>
  <w:style w:type="paragraph" w:customStyle="1" w:styleId="81">
    <w:name w:val="正文 首行缩进:  2 字符"/>
    <w:basedOn w:val="1"/>
    <w:semiHidden/>
    <w:qFormat/>
    <w:uiPriority w:val="0"/>
    <w:pPr>
      <w:spacing w:line="520" w:lineRule="exact"/>
      <w:ind w:firstLine="480" w:firstLineChars="200"/>
    </w:pPr>
    <w:rPr>
      <w:kern w:val="44"/>
      <w:sz w:val="24"/>
    </w:rPr>
  </w:style>
  <w:style w:type="paragraph" w:customStyle="1" w:styleId="82">
    <w:name w:val="正文_28"/>
    <w:qFormat/>
    <w:uiPriority w:val="0"/>
    <w:pPr>
      <w:widowControl w:val="0"/>
      <w:jc w:val="both"/>
    </w:pPr>
    <w:rPr>
      <w:rFonts w:ascii="Calibri" w:hAnsi="Calibri" w:eastAsia="宋体" w:cs="Times New Roman"/>
      <w:kern w:val="2"/>
      <w:sz w:val="21"/>
      <w:lang w:val="en-US" w:eastAsia="zh-CN" w:bidi="ar-SA"/>
    </w:rPr>
  </w:style>
  <w:style w:type="paragraph" w:customStyle="1" w:styleId="83">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84">
    <w:name w:val="正文_26"/>
    <w:qFormat/>
    <w:uiPriority w:val="0"/>
    <w:pPr>
      <w:widowControl w:val="0"/>
      <w:jc w:val="both"/>
    </w:pPr>
    <w:rPr>
      <w:rFonts w:ascii="Calibri" w:hAnsi="Calibri" w:eastAsia="宋体" w:cs="Times New Roman"/>
      <w:kern w:val="2"/>
      <w:sz w:val="21"/>
      <w:lang w:val="en-US" w:eastAsia="zh-CN" w:bidi="ar-SA"/>
    </w:rPr>
  </w:style>
  <w:style w:type="paragraph" w:customStyle="1" w:styleId="85">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86">
    <w:name w:val="1.1.1.1"/>
    <w:basedOn w:val="1"/>
    <w:next w:val="1"/>
    <w:qFormat/>
    <w:uiPriority w:val="0"/>
    <w:pPr>
      <w:keepNext/>
      <w:keepLines/>
      <w:spacing w:beforeLines="0" w:afterLines="0"/>
      <w:outlineLvl w:val="2"/>
    </w:pPr>
    <w:rPr>
      <w:rFonts w:eastAsia="宋体" w:cs="Times New Roman"/>
      <w:sz w:val="24"/>
    </w:rPr>
  </w:style>
  <w:style w:type="paragraph" w:customStyle="1" w:styleId="87">
    <w:name w:val="A正文"/>
    <w:basedOn w:val="13"/>
    <w:qFormat/>
    <w:uiPriority w:val="0"/>
    <w:pPr>
      <w:spacing w:line="360" w:lineRule="auto"/>
      <w:ind w:firstLine="480"/>
    </w:pPr>
    <w:rPr>
      <w:rFonts w:ascii="Times New Roman" w:hAnsi="Times New Roman"/>
      <w:kern w:val="0"/>
      <w:sz w:val="24"/>
      <w:szCs w:val="24"/>
    </w:rPr>
  </w:style>
  <w:style w:type="character" w:customStyle="1" w:styleId="88">
    <w:name w:val="标题 2 Char"/>
    <w:link w:val="3"/>
    <w:qFormat/>
    <w:uiPriority w:val="0"/>
    <w:rPr>
      <w:rFonts w:ascii="Times New Roman" w:hAnsi="Times New Roman" w:eastAsia="宋体"/>
      <w:b/>
      <w:szCs w:val="21"/>
    </w:rPr>
  </w:style>
  <w:style w:type="character" w:customStyle="1" w:styleId="89">
    <w:name w:val="表格   环评 Char"/>
    <w:link w:val="57"/>
    <w:qFormat/>
    <w:uiPriority w:val="0"/>
    <w:rPr>
      <w:rFonts w:hint="eastAsia"/>
      <w:sz w:val="21"/>
      <w:szCs w:val="21"/>
    </w:rPr>
  </w:style>
  <w:style w:type="character" w:customStyle="1" w:styleId="90">
    <w:name w:val="策正文 Char1"/>
    <w:link w:val="47"/>
    <w:qFormat/>
    <w:uiPriority w:val="0"/>
    <w:rPr>
      <w:rFonts w:eastAsia="宋体" w:asciiTheme="minorAscii" w:hAnsiTheme="minorAscii"/>
      <w:color w:val="000000"/>
      <w:sz w:val="24"/>
      <w:lang w:eastAsia="en-US" w:bidi="en-US"/>
    </w:rPr>
  </w:style>
  <w:style w:type="paragraph" w:customStyle="1" w:styleId="91">
    <w:name w:val="Other|1"/>
    <w:basedOn w:val="1"/>
    <w:qFormat/>
    <w:uiPriority w:val="0"/>
    <w:pPr>
      <w:spacing w:after="40" w:line="430" w:lineRule="auto"/>
      <w:ind w:firstLine="400"/>
    </w:pPr>
    <w:rPr>
      <w:rFonts w:ascii="宋体" w:hAnsi="宋体" w:cs="宋体"/>
      <w:color w:val="526D84"/>
      <w:sz w:val="26"/>
      <w:szCs w:val="26"/>
      <w:lang w:val="zh-TW" w:eastAsia="zh-TW" w:bidi="zh-TW"/>
    </w:rPr>
  </w:style>
  <w:style w:type="paragraph" w:customStyle="1" w:styleId="92">
    <w:name w:val="表头  1"/>
    <w:basedOn w:val="1"/>
    <w:qFormat/>
    <w:uiPriority w:val="0"/>
    <w:pPr>
      <w:keepNext/>
      <w:keepLines/>
      <w:spacing w:line="240" w:lineRule="auto"/>
      <w:ind w:firstLine="0" w:firstLineChars="0"/>
      <w:jc w:val="center"/>
      <w:outlineLvl w:val="0"/>
    </w:pPr>
    <w:rPr>
      <w:rFonts w:eastAsia="宋体" w:cs="Times New Roman" w:asciiTheme="minorAscii" w:hAnsiTheme="minorAscii"/>
      <w:b/>
      <w:color w:val="000000"/>
      <w:kern w:val="44"/>
      <w:sz w:val="24"/>
      <w:lang w:eastAsia="en-US" w:bidi="en-US"/>
    </w:rPr>
  </w:style>
  <w:style w:type="paragraph" w:customStyle="1" w:styleId="93">
    <w:name w:val="表格文字"/>
    <w:basedOn w:val="1"/>
    <w:qFormat/>
    <w:uiPriority w:val="0"/>
    <w:pPr>
      <w:jc w:val="center"/>
    </w:pPr>
    <w:rPr>
      <w:rFonts w:ascii="FangSong_GB2312" w:hAnsi="Arial Black" w:eastAsia="FangSong_GB2312"/>
      <w:kern w:val="44"/>
      <w:sz w:val="24"/>
    </w:rPr>
  </w:style>
  <w:style w:type="paragraph" w:customStyle="1" w:styleId="94">
    <w:name w:val="Table Paragraph"/>
    <w:basedOn w:val="1"/>
    <w:qFormat/>
    <w:uiPriority w:val="1"/>
    <w:pPr>
      <w:autoSpaceDE w:val="0"/>
      <w:autoSpaceDN w:val="0"/>
      <w:jc w:val="left"/>
    </w:pPr>
    <w:rPr>
      <w:rFonts w:ascii="宋体" w:hAnsi="宋体" w:cs="宋体"/>
      <w:kern w:val="0"/>
      <w:sz w:val="22"/>
      <w:szCs w:val="22"/>
    </w:rPr>
  </w:style>
  <w:style w:type="paragraph" w:customStyle="1" w:styleId="95">
    <w:name w:val="表标题"/>
    <w:basedOn w:val="1"/>
    <w:qFormat/>
    <w:uiPriority w:val="0"/>
    <w:pPr>
      <w:spacing w:line="360" w:lineRule="auto"/>
      <w:ind w:firstLine="0" w:firstLineChars="0"/>
      <w:jc w:val="center"/>
    </w:pPr>
    <w:rPr>
      <w:b/>
    </w:rPr>
  </w:style>
  <w:style w:type="paragraph" w:customStyle="1" w:styleId="96">
    <w:name w:val="报告正文"/>
    <w:basedOn w:val="1"/>
    <w:qFormat/>
    <w:uiPriority w:val="0"/>
    <w:pPr>
      <w:spacing w:line="480" w:lineRule="exact"/>
      <w:ind w:firstLine="480" w:firstLineChars="200"/>
    </w:pPr>
    <w:rPr>
      <w:sz w:val="24"/>
      <w:szCs w:val="22"/>
    </w:rPr>
  </w:style>
  <w:style w:type="paragraph" w:customStyle="1" w:styleId="97">
    <w:name w:val="表格内容"/>
    <w:basedOn w:val="1"/>
    <w:qFormat/>
    <w:uiPriority w:val="0"/>
    <w:pPr>
      <w:overflowPunct w:val="0"/>
      <w:adjustRightInd w:val="0"/>
      <w:snapToGrid w:val="0"/>
      <w:spacing w:line="360" w:lineRule="exact"/>
      <w:jc w:val="center"/>
      <w:textAlignment w:val="baseline"/>
    </w:pPr>
    <w:rPr>
      <w:kern w:val="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2.jpeg" Type="http://schemas.openxmlformats.org/officeDocument/2006/relationships/image"/><Relationship Id="rId100" Target="embeddings/oleObject46.bin" Type="http://schemas.openxmlformats.org/officeDocument/2006/relationships/oleObject"/><Relationship Id="rId101" Target="media/image47.wmf" Type="http://schemas.openxmlformats.org/officeDocument/2006/relationships/image"/><Relationship Id="rId102" Target="embeddings/oleObject47.bin" Type="http://schemas.openxmlformats.org/officeDocument/2006/relationships/oleObject"/><Relationship Id="rId103" Target="media/image48.wmf" Type="http://schemas.openxmlformats.org/officeDocument/2006/relationships/image"/><Relationship Id="rId104" Target="media/image49.wmf" Type="http://schemas.openxmlformats.org/officeDocument/2006/relationships/image"/><Relationship Id="rId105" Target="embeddings/oleObject48.bin" Type="http://schemas.openxmlformats.org/officeDocument/2006/relationships/oleObject"/><Relationship Id="rId106" Target="media/image50.wmf" Type="http://schemas.openxmlformats.org/officeDocument/2006/relationships/image"/><Relationship Id="rId107" Target="embeddings/oleObject49.bin" Type="http://schemas.openxmlformats.org/officeDocument/2006/relationships/oleObject"/><Relationship Id="rId108" Target="media/image51.wmf" Type="http://schemas.openxmlformats.org/officeDocument/2006/relationships/image"/><Relationship Id="rId109" Target="embeddings/oleObject50.bin" Type="http://schemas.openxmlformats.org/officeDocument/2006/relationships/oleObject"/><Relationship Id="rId11" Target="media/image3.png" Type="http://schemas.openxmlformats.org/officeDocument/2006/relationships/image"/><Relationship Id="rId110" Target="media/image52.wmf" Type="http://schemas.openxmlformats.org/officeDocument/2006/relationships/image"/><Relationship Id="rId111" Target="embeddings/oleObject51.bin" Type="http://schemas.openxmlformats.org/officeDocument/2006/relationships/oleObject"/><Relationship Id="rId112" Target="media/image53.wmf" Type="http://schemas.openxmlformats.org/officeDocument/2006/relationships/image"/><Relationship Id="rId113" Target="media/image54.jpeg" Type="http://schemas.openxmlformats.org/officeDocument/2006/relationships/image"/><Relationship Id="rId114" Target="media/image55.jpeg" Type="http://schemas.openxmlformats.org/officeDocument/2006/relationships/image"/><Relationship Id="rId115" Target="media/image56.png" Type="http://schemas.openxmlformats.org/officeDocument/2006/relationships/image"/><Relationship Id="rId116" Target="media/image57.png" Type="http://schemas.openxmlformats.org/officeDocument/2006/relationships/image"/><Relationship Id="rId117" Target="media/image58.png" Type="http://schemas.openxmlformats.org/officeDocument/2006/relationships/image"/><Relationship Id="rId118" Target="media/image59.png" Type="http://schemas.openxmlformats.org/officeDocument/2006/relationships/image"/><Relationship Id="rId119" Target="../customXml/item1.xml" Type="http://schemas.openxmlformats.org/officeDocument/2006/relationships/customXml"/><Relationship Id="rId12" Target="media/image4.png" Type="http://schemas.openxmlformats.org/officeDocument/2006/relationships/image"/><Relationship Id="rId120" Target="numbering.xml" Type="http://schemas.openxmlformats.org/officeDocument/2006/relationships/numbering"/><Relationship Id="rId121" Target="fontTable.xml" Type="http://schemas.openxmlformats.org/officeDocument/2006/relationships/fontTable"/><Relationship Id="rId13" Target="media/image5.png" Type="http://schemas.openxmlformats.org/officeDocument/2006/relationships/image"/><Relationship Id="rId14" Target="embeddings/oleObject1.bin" Type="http://schemas.openxmlformats.org/officeDocument/2006/relationships/oleObject"/><Relationship Id="rId15" Target="media/image6.wmf" Type="http://schemas.openxmlformats.org/officeDocument/2006/relationships/image"/><Relationship Id="rId16" Target="embeddings/oleObject2.bin" Type="http://schemas.openxmlformats.org/officeDocument/2006/relationships/oleObject"/><Relationship Id="rId17" Target="media/image7.wmf" Type="http://schemas.openxmlformats.org/officeDocument/2006/relationships/image"/><Relationship Id="rId18" Target="embeddings/oleObject3.bin" Type="http://schemas.openxmlformats.org/officeDocument/2006/relationships/oleObject"/><Relationship Id="rId19" Target="media/image8.wmf" Type="http://schemas.openxmlformats.org/officeDocument/2006/relationships/image"/><Relationship Id="rId2" Target="settings.xml" Type="http://schemas.openxmlformats.org/officeDocument/2006/relationships/settings"/><Relationship Id="rId20" Target="embeddings/oleObject4.bin" Type="http://schemas.openxmlformats.org/officeDocument/2006/relationships/oleObject"/><Relationship Id="rId21" Target="media/image9.wmf" Type="http://schemas.openxmlformats.org/officeDocument/2006/relationships/image"/><Relationship Id="rId22" Target="embeddings/oleObject5.bin" Type="http://schemas.openxmlformats.org/officeDocument/2006/relationships/oleObject"/><Relationship Id="rId23" Target="media/image10.wmf" Type="http://schemas.openxmlformats.org/officeDocument/2006/relationships/image"/><Relationship Id="rId24" Target="embeddings/oleObject6.bin" Type="http://schemas.openxmlformats.org/officeDocument/2006/relationships/oleObject"/><Relationship Id="rId25" Target="media/image11.wmf" Type="http://schemas.openxmlformats.org/officeDocument/2006/relationships/image"/><Relationship Id="rId26" Target="embeddings/oleObject7.bin" Type="http://schemas.openxmlformats.org/officeDocument/2006/relationships/oleObject"/><Relationship Id="rId27" Target="media/image12.wmf" Type="http://schemas.openxmlformats.org/officeDocument/2006/relationships/image"/><Relationship Id="rId28" Target="embeddings/oleObject8.bin" Type="http://schemas.openxmlformats.org/officeDocument/2006/relationships/oleObject"/><Relationship Id="rId29" Target="media/image13.wmf" Type="http://schemas.openxmlformats.org/officeDocument/2006/relationships/image"/><Relationship Id="rId3" Target="footnotes.xml" Type="http://schemas.openxmlformats.org/officeDocument/2006/relationships/footnotes"/><Relationship Id="rId30" Target="embeddings/oleObject9.bin" Type="http://schemas.openxmlformats.org/officeDocument/2006/relationships/oleObject"/><Relationship Id="rId31" Target="media/image14.wmf" Type="http://schemas.openxmlformats.org/officeDocument/2006/relationships/image"/><Relationship Id="rId32" Target="embeddings/oleObject10.bin" Type="http://schemas.openxmlformats.org/officeDocument/2006/relationships/oleObject"/><Relationship Id="rId33" Target="media/image15.wmf" Type="http://schemas.openxmlformats.org/officeDocument/2006/relationships/image"/><Relationship Id="rId34" Target="embeddings/oleObject11.bin" Type="http://schemas.openxmlformats.org/officeDocument/2006/relationships/oleObject"/><Relationship Id="rId35" Target="media/image16.wmf" Type="http://schemas.openxmlformats.org/officeDocument/2006/relationships/image"/><Relationship Id="rId36" Target="embeddings/oleObject12.bin" Type="http://schemas.openxmlformats.org/officeDocument/2006/relationships/oleObject"/><Relationship Id="rId37" Target="media/image17.wmf" Type="http://schemas.openxmlformats.org/officeDocument/2006/relationships/image"/><Relationship Id="rId38" Target="embeddings/oleObject13.bin" Type="http://schemas.openxmlformats.org/officeDocument/2006/relationships/oleObject"/><Relationship Id="rId39" Target="media/image18.wmf" Type="http://schemas.openxmlformats.org/officeDocument/2006/relationships/image"/><Relationship Id="rId4" Target="endnotes.xml" Type="http://schemas.openxmlformats.org/officeDocument/2006/relationships/endnotes"/><Relationship Id="rId40" Target="embeddings/oleObject14.bin" Type="http://schemas.openxmlformats.org/officeDocument/2006/relationships/oleObject"/><Relationship Id="rId41" Target="media/image19.wmf" Type="http://schemas.openxmlformats.org/officeDocument/2006/relationships/image"/><Relationship Id="rId42" Target="embeddings/oleObject15.bin" Type="http://schemas.openxmlformats.org/officeDocument/2006/relationships/oleObject"/><Relationship Id="rId43" Target="media/image20.wmf" Type="http://schemas.openxmlformats.org/officeDocument/2006/relationships/image"/><Relationship Id="rId44" Target="embeddings/oleObject16.bin" Type="http://schemas.openxmlformats.org/officeDocument/2006/relationships/oleObject"/><Relationship Id="rId45" Target="media/image21.wmf" Type="http://schemas.openxmlformats.org/officeDocument/2006/relationships/image"/><Relationship Id="rId46" Target="embeddings/oleObject17.bin" Type="http://schemas.openxmlformats.org/officeDocument/2006/relationships/oleObject"/><Relationship Id="rId47" Target="media/image22.wmf" Type="http://schemas.openxmlformats.org/officeDocument/2006/relationships/image"/><Relationship Id="rId48" Target="embeddings/oleObject18.bin" Type="http://schemas.openxmlformats.org/officeDocument/2006/relationships/oleObject"/><Relationship Id="rId49" Target="media/image23.wmf" Type="http://schemas.openxmlformats.org/officeDocument/2006/relationships/image"/><Relationship Id="rId5" Target="footer1.xml" Type="http://schemas.openxmlformats.org/officeDocument/2006/relationships/footer"/><Relationship Id="rId50" Target="embeddings/oleObject19.bin" Type="http://schemas.openxmlformats.org/officeDocument/2006/relationships/oleObject"/><Relationship Id="rId51" Target="media/image24.wmf" Type="http://schemas.openxmlformats.org/officeDocument/2006/relationships/image"/><Relationship Id="rId52" Target="embeddings/oleObject20.bin" Type="http://schemas.openxmlformats.org/officeDocument/2006/relationships/oleObject"/><Relationship Id="rId53" Target="media/image25.wmf" Type="http://schemas.openxmlformats.org/officeDocument/2006/relationships/image"/><Relationship Id="rId54" Target="embeddings/oleObject21.bin" Type="http://schemas.openxmlformats.org/officeDocument/2006/relationships/oleObject"/><Relationship Id="rId55" Target="media/image26.wmf" Type="http://schemas.openxmlformats.org/officeDocument/2006/relationships/image"/><Relationship Id="rId56" Target="embeddings/oleObject22.bin" Type="http://schemas.openxmlformats.org/officeDocument/2006/relationships/oleObject"/><Relationship Id="rId57" Target="media/image27.wmf" Type="http://schemas.openxmlformats.org/officeDocument/2006/relationships/image"/><Relationship Id="rId58" Target="embeddings/oleObject23.bin" Type="http://schemas.openxmlformats.org/officeDocument/2006/relationships/oleObject"/><Relationship Id="rId59" Target="media/image28.wmf" Type="http://schemas.openxmlformats.org/officeDocument/2006/relationships/image"/><Relationship Id="rId6" Target="footer2.xml" Type="http://schemas.openxmlformats.org/officeDocument/2006/relationships/footer"/><Relationship Id="rId60" Target="embeddings/oleObject24.bin" Type="http://schemas.openxmlformats.org/officeDocument/2006/relationships/oleObject"/><Relationship Id="rId61" Target="media/image29.wmf" Type="http://schemas.openxmlformats.org/officeDocument/2006/relationships/image"/><Relationship Id="rId62" Target="embeddings/oleObject25.bin" Type="http://schemas.openxmlformats.org/officeDocument/2006/relationships/oleObject"/><Relationship Id="rId63" Target="embeddings/oleObject26.bin" Type="http://schemas.openxmlformats.org/officeDocument/2006/relationships/oleObject"/><Relationship Id="rId64" Target="media/image30.wmf" Type="http://schemas.openxmlformats.org/officeDocument/2006/relationships/image"/><Relationship Id="rId65" Target="embeddings/oleObject27.bin" Type="http://schemas.openxmlformats.org/officeDocument/2006/relationships/oleObject"/><Relationship Id="rId66" Target="media/image31.wmf" Type="http://schemas.openxmlformats.org/officeDocument/2006/relationships/image"/><Relationship Id="rId67" Target="embeddings/oleObject28.bin" Type="http://schemas.openxmlformats.org/officeDocument/2006/relationships/oleObject"/><Relationship Id="rId68" Target="media/image32.wmf" Type="http://schemas.openxmlformats.org/officeDocument/2006/relationships/image"/><Relationship Id="rId69" Target="embeddings/oleObject29.bin" Type="http://schemas.openxmlformats.org/officeDocument/2006/relationships/oleObject"/><Relationship Id="rId7" Target="footer3.xml" Type="http://schemas.openxmlformats.org/officeDocument/2006/relationships/footer"/><Relationship Id="rId70" Target="embeddings/oleObject30.bin" Type="http://schemas.openxmlformats.org/officeDocument/2006/relationships/oleObject"/><Relationship Id="rId71" Target="media/image33.wmf" Type="http://schemas.openxmlformats.org/officeDocument/2006/relationships/image"/><Relationship Id="rId72" Target="embeddings/oleObject31.bin" Type="http://schemas.openxmlformats.org/officeDocument/2006/relationships/oleObject"/><Relationship Id="rId73" Target="embeddings/oleObject32.bin" Type="http://schemas.openxmlformats.org/officeDocument/2006/relationships/oleObject"/><Relationship Id="rId74" Target="media/image34.wmf" Type="http://schemas.openxmlformats.org/officeDocument/2006/relationships/image"/><Relationship Id="rId75" Target="embeddings/oleObject33.bin" Type="http://schemas.openxmlformats.org/officeDocument/2006/relationships/oleObject"/><Relationship Id="rId76" Target="media/image35.wmf" Type="http://schemas.openxmlformats.org/officeDocument/2006/relationships/image"/><Relationship Id="rId77" Target="embeddings/oleObject34.bin" Type="http://schemas.openxmlformats.org/officeDocument/2006/relationships/oleObject"/><Relationship Id="rId78" Target="media/image36.wmf" Type="http://schemas.openxmlformats.org/officeDocument/2006/relationships/image"/><Relationship Id="rId79" Target="embeddings/oleObject35.bin" Type="http://schemas.openxmlformats.org/officeDocument/2006/relationships/oleObject"/><Relationship Id="rId8" Target="theme/theme1.xml" Type="http://schemas.openxmlformats.org/officeDocument/2006/relationships/theme"/><Relationship Id="rId80" Target="media/image37.wmf" Type="http://schemas.openxmlformats.org/officeDocument/2006/relationships/image"/><Relationship Id="rId81" Target="embeddings/oleObject36.bin" Type="http://schemas.openxmlformats.org/officeDocument/2006/relationships/oleObject"/><Relationship Id="rId82" Target="media/image38.wmf" Type="http://schemas.openxmlformats.org/officeDocument/2006/relationships/image"/><Relationship Id="rId83" Target="embeddings/oleObject37.bin" Type="http://schemas.openxmlformats.org/officeDocument/2006/relationships/oleObject"/><Relationship Id="rId84" Target="media/image39.wmf" Type="http://schemas.openxmlformats.org/officeDocument/2006/relationships/image"/><Relationship Id="rId85" Target="embeddings/oleObject38.bin" Type="http://schemas.openxmlformats.org/officeDocument/2006/relationships/oleObject"/><Relationship Id="rId86" Target="media/image40.wmf" Type="http://schemas.openxmlformats.org/officeDocument/2006/relationships/image"/><Relationship Id="rId87" Target="embeddings/oleObject39.bin" Type="http://schemas.openxmlformats.org/officeDocument/2006/relationships/oleObject"/><Relationship Id="rId88" Target="media/image41.wmf" Type="http://schemas.openxmlformats.org/officeDocument/2006/relationships/image"/><Relationship Id="rId89" Target="embeddings/oleObject40.bin" Type="http://schemas.openxmlformats.org/officeDocument/2006/relationships/oleObject"/><Relationship Id="rId9" Target="media/image1.png" Type="http://schemas.openxmlformats.org/officeDocument/2006/relationships/image"/><Relationship Id="rId90" Target="media/image42.wmf" Type="http://schemas.openxmlformats.org/officeDocument/2006/relationships/image"/><Relationship Id="rId91" Target="embeddings/oleObject41.bin" Type="http://schemas.openxmlformats.org/officeDocument/2006/relationships/oleObject"/><Relationship Id="rId92" Target="embeddings/oleObject42.bin" Type="http://schemas.openxmlformats.org/officeDocument/2006/relationships/oleObject"/><Relationship Id="rId93" Target="media/image43.wmf" Type="http://schemas.openxmlformats.org/officeDocument/2006/relationships/image"/><Relationship Id="rId94" Target="embeddings/oleObject43.bin" Type="http://schemas.openxmlformats.org/officeDocument/2006/relationships/oleObject"/><Relationship Id="rId95" Target="media/image44.wmf" Type="http://schemas.openxmlformats.org/officeDocument/2006/relationships/image"/><Relationship Id="rId96" Target="embeddings/oleObject44.bin" Type="http://schemas.openxmlformats.org/officeDocument/2006/relationships/oleObject"/><Relationship Id="rId97" Target="media/image45.wmf" Type="http://schemas.openxmlformats.org/officeDocument/2006/relationships/image"/><Relationship Id="rId98" Target="embeddings/oleObject45.bin" Type="http://schemas.openxmlformats.org/officeDocument/2006/relationships/oleObject"/><Relationship Id="rId99" Target="media/image46.wmf" Type="http://schemas.openxmlformats.org/officeDocument/2006/relationships/image"/></Relationships>
</file>

<file path=word/_rels/settings.xml.rels><?xml version="1.0" encoding="UTF-8" standalone="no"?><Relationships xmlns="http://schemas.openxmlformats.org/package/2006/relationships"><Relationship Id="rId1" Target="file:///C:/dsoa/wdzx97.dot" TargetMode="External" Type="http://schemas.openxmlformats.org/officeDocument/2006/relationships/attachedTemplat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Info spid="_x0000_s2050" textRotate="1"/>
  </customShpExts>
  <extobjs>
    <extobj name="ECB019B1-382A-4266-B25C-5B523AA43C14-1">
      <extobjdata type="ECB019B1-382A-4266-B25C-5B523AA43C14" data="ewoJIkZpbGVJZCIgOiAiMjAzMzc3MDI3MTM3IiwKCSJHcm91cElkIiA6ICIxOTUwODIzMjIiLAoJIkltYWdlIiA6ICJpVkJPUncwS0dnb0FBQUFOU1VoRVVnQUFBdnNBQUFMR0NBWUFBQURiWlY0OUFBQUFDWEJJV1hNQUFBc1RBQUFMRXdFQW1wd1lBQUFnQUVsRVFWUjRuT3pkZVh4VTliMy84ZmVabWN4TWtza3kyUW5CUUFpQnNNOXdxN1d0UmJHVVdsdTF4U3BZdCt0V2EwdXR5MC9sdHRWdVFxMjN0MWVycld0YnJkeXFkUmUxMVVvRkJWUWdZVWZJQWdnRVNBalpKcE5NWnVhYzN4K1FOT3dKQkNZTXIrZmprVWN6My9NNTUzd21uZUI3VHI3bk94S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FBQUNjUGU2d2JBQUFBa0tTa3BLUUo2ZW5wM3dvR2d4L3R2eTB4TWZHTUFRTUczSjZSa1hHWjAra2MydHJhdWxwU3gzNWxycHljbkZ1eXNyS3VzZGxzVm50Nys0YWo3Y1hqOFV6S3k4dTdJelUxOWF1aFVHaEROQnJkZlRRMVFLelpZdDBBQUFBNHRhV2xwVTNPeWNtNWFjaVFJYzk3UEo3UDdiODlPenQ3UmtsSnlUdVMxTkhSVVpPWGwzZm55SkVqUDVTVTFyMnVxS2pvcndNR0RQaXhKT2VRSVVOZThYcTkzejZhZnJLenMyY01IVHIweFVnazBwU1dsblorU1VuSmU1SmN2YTBCQUFBQVRubjUrZm16aTR1TDMvTDcvZGFRSVVPZTNYLzcyTEZqNjR1TGk5L3RmT3p4ZUNiNS9YNHJMeS92Si91UFpXWm1YaTFKaFlXRmZ4d3pac3gyU2M3ZTlKS1ltSGlheitmcjhIZzhFeVdwcUtqb3RmSGp4N2RLU3VsTkRkQmZPR0xkQUFBQU9MWFYxTlRNbENTLzMyOGRiTHRwbWkxT3B6TzM4M0VnRUZnb1NXNjN1N2h6TERNejg3Sm9OTnBlWDEvL25DUTFORFM4bUptWitaK3BxYW5uTkRjMy82T252WGk5M210Q29WQkZJQkNZTDBuVjFkV1hTa3FXMU5LYkdxQy9JT3dEQUlCK2JmWHExYWVyMjMyR25WTjlXbHRibDNXT0pTY25mellVQ3EyUjFDWkpIUjBkcXlVcEtTbnA5TjZFZlkvSGMwNGdFRmprOVhxbnBhU2tmQ1VjRG0vWnZuMzdnNzJ0QWZvTHdqNEFBT2p2YWlWNXNyT3p2NWVZbURqYzYvVmVHUXdHeStycTZoN3ZMSEE2bllVdExTM3pPaCszdDdmWDdoMGYxSnNUdVZ5dUVydmQ3czNNekx5aXBhVmx2dGZydlRROVBmMmlkZXZXK1NSRmVsb0Q5QmZjb0FzQUFFNEd5VjZ2ZDNwNmV2bzB1OTJlMXRyYXVrQjdyK0pMa3MxbVN6Sk5zNzFiZlVpUzdIWjdVbTlPNG5BNHZJbUppYU1xS2lxbVZGWldUdG0yYmR1TXhNVEUwZW5wNlJmMHBnYm9Md2o3QUFEZ1pMQnp3NFlOWDFpNWN1V0EydHJhQjdLenMzK1lsSlRrNzl3WWpVWTdETVBvUG1QQklVbW1hZTYvUE9lUk9GcGFXaFowenNmZnRXdlhTNUxVZVROdUwycUFmb0d3RHdBQVRpYlJyVnUzenBLa2pJeU02VjJEMGVqT2hJU0V6RzUxWGtrS2g4TTdlM053MHpTYlRkTnM3amJVS0VsMnV6MmpOelZBZjBIWUJ3QUEvVnB4Y2ZHYnVibTV0M1FiYXBBa2g4T1Iwem5RMXRhMjJ1bDBEdTk4bkpLU1V0dzUzcHR6aFVLaHFvU0VoTUp1UTRtU1pKcG1VMjlxZ1A2Q3NBOEFBUHExbEpTVVNTNlhxN1R6Y1ZKUzBtaEphbTl2N3dyeUxTMHRieVFrSk9RbEpTWDl4OTU5dm14WlZyaWhvZUh0emhxdjEzdDVZV0hoSHlWbEhlcGNnVUJnWGxKUzBwakV4TVJCa3BTY25EeFVrb0xCNEpMZTFBRDloZjNJSlFBQUFNZVZ4K2wwRHN2SnlibkpOTTJXK3ZyNjF5UkY5MzRwS1NscHZHRVlybUF3dURvcEtXbkVvRUdESHBKa3E2NnV2bDU3YjlKdGJXMWRsNW1aK2UzazVPVFBoY1BobXZ6OC9QdDI3OTc5bCtibTVyOTFubVRFaUJFTGs1T1R6ekJOczdHMXRmV0RnelhTMGRGUmtabVplWVBiN1I3ZjBkR3hQRGMzOTJjMm15MTU4K2JOMzVNVTdta04wRjl3WlI4QUFNVFU4T0hENTQ0ZVBYcTFKQ1VuSjUvcDkvdHJ1MC9icWE2dS9zOW9OTnBVV2xxNmVPalFvZitJUkNMMUd6WnNPRWZTN202SGFkMndZY1A1TnB2TlZWUlU5R0p6Yy9QZnQyelpjbnYzOHpRMU5iMGFpVVIyQjRQQkJZZnFwYjI5ZlhObFplWFhIQTVIM3JCaHc1WW1KQ1RrYmRpd1lZcWsxdDdVQUFBQUFBQUFBQUFBQUwxbnhMb0JBSWdYZnIvL1hVbVRZdDBIQU1RVHk3SStMaTh2UHlQV2ZaeXNtTE1QQUgySG9BOEFmY3d3ak5OajNjUEp6SEhrRWdCQWI1U1ZsZkZYVXdEb0EzNi8zNHAxRHljN3J1d0RBQUFBY1lxd0R3QUFBTVFwd2o0QUFBQVFwd2o3QUFBQVFKd2k3QU1BQUFCeGlyQVBBQUFBeENuQ1BnQUFBQkNuQ1BzQUFBQkFuQ0xzQXdBQUFIR0tzQThBQUFERUtjSStBQUFBRUtjY3NXNEFBTkEzM0c3M2tNek16T3NkRGtkQktCU3EyTEZqeDZPU2FvL21XQjZQWjFKR1JzYTNMTXN5YTJ0cmZ4c0toU3E3Ylp1WW5aMzkzWVB0dDNQbnpsdUR3V0ROVVQ0RkFFQWY0OG8rQU1RQmo4ZHo5b2dSSTFhN1hLNGg0WEI0VTFaVzFuV2pSNDllS2ltenQ4Zkt6czZlTVhUbzBCY2prVWhUV2xyYStTVWxKZTlKY25WdVQwMU5uZVQxZWkvZC95c2xKZVdjWURBWTZMdG5CUUE0Vmx6WkI0QTRVRkJROEQvQllQQ2o2dXJxNlpMVTBOQXd0N1MwOUtQYzNOenY3Tnk1YzFaUGo1T1ltSGhhUVVIQmJ5b3FLaVlIQW9INWJyZDdaR3BxNnJtU25KSkNrdVJ5dVlZM056ZS9WVmxaT1UxU1VKSjMzTGh4bFZ1MmJQbWhwT2JqOFBRQUFFZUpzQThBY1NBeE1YRlVOQnB0MUo1UTN0SFcxbGErZDN4NGI0N2o5WHF2Q1lWQ0ZZRkFZTDRrVlZkWFh5b3BXVkpMWjQzRDRjamN1WFBuZjJ0dnNNL1B6LzkrVzF2YmlvYUdoci8yMGRNQkFQUVJ3ajRBeElGQUlQQysyKzBlMGZuWTdYWVBsS1J3T0x5dE44ZnhlRHpuQkFLQlJWNnZkMXBLU3NwWHd1SHdsdTNidHovWXZhYWlvbUp5OTEyeXM3Tm5WRmRYZi8yWW5nQUE0TGdnN0FOQUhLaW9xUGlTSkVPU0pVbHBhV21YU2JJYUd4dWY2ODF4WEM1WGlkMXU5MlptWmw3UjB0SXkzK3YxWHBxZW5uN1J1blhyZkpJaSs5Zm41dVplMjliV3RxcWxwV1ZoWHp3UEFFRGY0Z1pkQUlnZmxpUWxKaVlPeXN2THUyUFhybDBQdGJhMnJ1ak5BUndPaHpjeE1YRlVSVVhGbE1yS3lpbmJ0bTJia1ppWU9EbzlQZjJDZzlWblpXVjlyNjZ1N2c5OTBUd0FvTzhSOWdFZ3ZpUVZGaGErSEFnRTVuLzY2YWUzSHNYK2pwYVdsZ1dkYy9aMzdkcjFrclJudWMzOUMxTlNVajduZERwUGEyaG9lTzBZZXdZQUhDZUVmUUNJSDBaUlVkRXowV2kwcGFxcTZoSWRaTnJOa1ppbTJXeWFadmNWZFJvbHlXNjNaK3hmbTVLUzh2WFcxdFp5N1ZtUkJ3RFFEeEgyQVNCTzVPZm4zK055dVlvcktpb3VraFJ5dVZ3bGVYbDVkL2ZtR0tGUXFDb2hJYUd3MjFDaUpKbW0yYlIvcmNmaitYd2tFdGw2YkYwREFJNG53ajRBeEFHUHgzTjJabWJtalJzM2J2eTZwQ1pKOG5xOUZ5WW5KL3M3YTd4ZTcrV0ZoWVYvbEpSMXFPTUVBb0Y1U1VsSll4SVRFd2RKVW5KeThsQkpDZ2FEUy9hdmRidmRJeTNMaXZiMWN3RUE5QjFXNHdHQU9GQllXUGhvTkJyZGxaK2YveHRKTWd6RDRmRjRwdFRYMXovV3JlWVBOcHZOMDk3ZVhyRno1ODdaQnp2T3JsMjdmcCtWbGZXOWdRTUhQcjVqeDQ3YmMzSnlmdHJSMGZGcGZYMzlDL3ZYMnUzMmRNTXdyT1AzckFBQXg0cXdEd0J4d09WeWxVaVMyKzBlMVgyOG82UGowODd2bTVxYVhrMUpTVGt2R0F3dU9OUngydHZiTjFkV1ZuNnRvS0RnZjRjTkc3WTBHQXlXYmRpd1lZcWsxdjFyZzhIZ1IyMXRiYXY3OEdrQUFBQUEvWlBmNzdmOGZqOVh1Z0dnai9EdjZyRmp6ajRBQUFBUXB3ajdBQUFBUUp3aTdBTUFBQUJ4aXJBUEFBQUF4Q25DUGdBQUFCQ25DUHNBQUFCQW5DTHNBd0FBQUhHS3NBOEFBQURFS2NJK0FBQUFFS2NJK3dBQUFFQ2NJdXdEQUFBQWNZcXdEd0NRMys4Zkcrc2VBQUI5ajdBUEFLYzJ1OS92LzVHa0cyTGRDQUNnN3psaTNRQUFJRFltVEppUVpKcm1FNUttVzVaMVlhejdBUUQwUGNJK0FKeUN4bzRkbTJOWjFsdUdZZmdsS1JxTnZodnJuZ0FBZlkrd0R3Q25HTC9mWDJ4WjFrSkpPWHVIeWxhdVhOa2F5NTRBQU1jSGMvWUI0QlRpOC9uT2xmU0pZUmlkUVYrV1pSV05HalhLR2NPMkFBREhDV0VmQUU0Tk5wL1BOOE13akg5S3N1KzNiZGVhTldzNll0RVVBT0Q0SXV3RFFQeHorSHkrL3pVTTQ4RkRiSC8xaEhZREFEaGhtTE1QQUhFc1B6OC9LVGMzOTAzRE1DWWVvcVN0cnE3dUp5ZTBLUURBQ1VQWUI0QTROV2JNR0svRDRWaHBHRWJCb1dvc3kzcDY2OWF0YlNleUx3REFpY00wSGdDSVV6YWJMVWxTeExJczZ6Qmw3NXlvZmdBQUp4NWhId0RpaXlNL1B6OXB3b1FKQ1N0V3JOaFdYbDQreExLc0d5V0Y5eSswTE1zTUJvTnZ4NkJIQU1BSndqUWVBRGhLWThhTUdXTzMyOGZzUHo1Ky9QakxPcjgzVGJOcTVjcVZIeDJQODQ4ZE96YlpicmVmS1dtaVlSZ1RMY3M2M1RBTTE5N3ova1RTTHlWcCtmTGxqNDBiTnk1b3M5a2VNQXdqbzNOL3d6RFdyRisvdnVWNDlBWUE2QjhJK3dCd2xCSVNFZ1pLbXJQL3VNMW1tOVB0K3lza0hYWFlIelZxbEdmTm1qV0J6c2Mrbis5V3d6QitjN0Jhd3pDNlB4elgvY0dLRlN1ZWtmVE0rUEhqejdiWmJKM0xiMzU0dEgwQkFFNE9oSDBBT0VxaFVHaWV5K1ZxazVSNHNPMldaWVVhR2hwZTZNbXhSbzhlUGNqcGRONXFXZFoxaG1GNHVtMmFJK255Ym84M2R6KytZUmhMSk0wM1RYTitPQnhlM1AyTndjRXNYNzc4UFVtTzhlUEgvMFhNMXdlQXVFZllCNENqdEdiTm1nNi8zLytDcENzT1VUSnYwNlpON1lmYWY5eTRjZCswMiszL2ExbFdycVFFU2NaK1YrZGxXVlpxOThmbDVlVXZGeGNYdXlzcks2T1NJa2ZiKy9MbHk2K1FaQnl4RUFCd1VpUHNBOEF4TUUzenBiMVRkUTVnR01Zcmg5cHYvUGp4bjdIWmJDL3VyWk5sV2EyV1pUMXRtdWJEbG1WdGlrYWo0VFZyMWtRa21mdWZzckt5TXRSSDdSOXVsUjRBUUJ3ZzdBUEFNVEJOOHgyYnpSYlJnZitlUmxwYlcvOTZxUDJXTDErK3hPZnp6WXRHbzdOMjc5NjlhT3ZXcmUwaWZBTUEraGhoSHdDT3djcVZLMXQ5UHQrcmhtRk0zVy9UKzUwcjNZd1pNOGFia0pDdzNMS3NLOHZMeStkM0ZwU1hsNTk3UXBzRkFKeHlXR2NmQUk2UllSalA3ejltV2RZcmtqUnExS2dNaDhPeFJ0SnBobUg4N29RM0J3QTRwUkgyQWVBWUdZYnhEMG5SYmtQUnRyYTJPY1hGeFM2bjA3blVNSXdCbG1XdGEyeHNQQ3RXUFFJQVRrMkVmUUE0UnN1V0xXdXlMT3ZOYmtPTFAvbmtrL3JVMU5TN0RjTVlJcW1tcGFYbHM5WFYxVTJ4NmhFQWNHb2k3QU5BSHpCTnMvdFVudGZHakJuanRTenJka21LUnFOZnE2eXNiSTVSYXdDQVV4aGhId0Q2Z01QaCtMdWtxR1ZaWm10cjY1eUVoSVNMRE1Od1dwYjEzb29WSzhwajNSOEE0TlJFMkFlQVByQnMyYkpkbG1YTk13eGp5ZnIxNjJza1RkcTc2ZVZZOWdVQU9MV3g5Q1lBOUJIVE5QOXF0OXZ6SmNteXJNL3UvVFRjUmJIdENnQndLdU9qMGdIRW5OL3ZmMWYvdmhLT2ZzQ3lySS9MeTh2UGlIVWZBRTV0ZnIvZmtxU3lzakl5NjFGaUdnK0EvaUR1Z3I1bG5kd2ZobXNZeHVteDdnRUFjT3lZeGdPZzMxaTJiRm1zVzRDa0NSTW14TG9GQUVBZjRjbytBQUFBRUtjSSt3QUFBRUNjSXV3REFBQUFjWXF3RHdBQUFNUXB3ajRBQUFBUXB3ajdBQUFBUUp3aTdBTUFBQUJ4aXJBUEFBQUF4Q25DUGdBQUFCQ25DUHNBQUFCQW5DTHNBd0FBQUhHS3NBOEFBQURFS2NJK0FBQUFFS2NJK3dBQUFFQ2NJdXdEQUFBQWNZcXdEd0FBQU1RcFI2d2JBRTRsU1VsSkU1S1RrejlmVjFmMzRQN2JFaE1UejhqS3lwcG10OXN6Z3NIZ3l0cmEyc2NrdGZTMnBpZE81TG1BSXpuVzN3dEpycHljbkJtSmlZa2ptcHViWDIxb2FIajlhSHZ4ZUR5VE1qSXl2bVZabGxsYlcvdmJVQ2hVZVRRMUFOQmZjR1VmT0FIUzB0SW01K1RrM0RSa3lKRG5QUjdQNS9iZm5wMmRQYU9rcE9RZFNlcm82S2pKeTh1N2MrVElrUjlLU3V0TlRVK2N5SE1CaDlNWHZ4ZVNWRlJVOU5jQkF3YjhXSkp6eUpBaHIzaTkzbThmVFQvWjJka3poZzRkK21Ja0VtbEtTMHM3djZTazVEMUpydDdXQUVCL1F0Z0hUb0RrNU9SSnFhbXBYM2U1WEVVSDJ6NWd3SUNmdHJhMkx0bXlaY3N0TlRVMU02dXJxNmU1M2U2UmVYbDVQK2hOVFUrY3lITUJoOU1YdnhjZWoyZFNlbnI2TjdadTNmckR6WnMzWDFsZlgvOVVRVUhCZjB0eTlxYVh4TVRFMHdvS0NuNVRWVlYxVVUxTnpWM0JZSENsM1c3M2RqOU9UMm9Bb0w5aEdnOXdBdFRVMU15VUpML2ZieDFzdTJtYUxVNm5NN2Z6Y1NBUVdDaEpicmU3dURjMVBYRWl6d1VjVGwvOFhtUm1abDRXalViYjYrdnJuNU9raG9hR0Z6TXpNLzh6TlRYMW5PYm01bi8wdEJldjEzdE5LQlNxQ0FRQzh5V3B1cnI2VWtuSjZqWmxxQ2MxQU5EZkVQYUJmbUQxNnRXblM3SjNQdTZjMHREYTJycXNOelg5N1Z6QXNlako2ekE1T2Ztem9WQm9qYVEyU2VybzZGZ3RTVWxKU2FmM0p1eDdQSjV6QW9IQUlxL1hPeTBsSmVVcjRYQjR5L2J0Mngvc2JRMEE5RGVFZmFCL3FKWGt5YzdPL2w1aVl1SndyOWQ3WlRBWUxLdXJxM3U4bHpYOTdWekFzVGppNjlEcGRCYTJ0TFRNNjN6YzN0NWV1M2Q4VUc5TzVISzVTdXgydXpjek0vT0tscGFXK1Y2djk5TDA5UFNMMXExYjU1TVU2V2tOQVBRM2hIMmcvMGoyZXIzVDNXNTNpZDF1VDJ0dGJWMmd2VmNyZTFuVDM4NEZISXZEdmc1dE5sdVNhWnJ0M2VwRGttUzMyNU42Y3hLSHcrRk5TRWpJMmJCaHc2UkFJREEvS3l2cnV0Tk9PKzN4OVBUMEN4b2JHMS9xYVEwQTlEZmNvQXYwSHpzM2JOandoWlVyVnc2b3JhMTlJRHM3KzRkSlNVbitvNmpwYitjQ2pzVmhYNGZSYUxURE1JenVGNjRja21TYVprY3Z6K05vYVdsWjBEa2ZmOWV1WFM5SmtzZmptZGpMR2dEb1Z3ajdRUDhUM2JwMTZ5eEp5c2pJbUg0TU5mM3RYREZuV1phaTBlZ3hINmU1dWJrUHVqazY2OWV2ajltNVkreWdyOE5vTkxveklTRWhzMXVkVjVMQzRmRE8zaHpjTk0xbTB6UzcveC9iS0VsMnV6MmpOelVBME44UTlvRitvTGk0K00zYzNOeGJ1ZzAxU0pMRDRjanBUVTEvTzFjc3JGKy8vb0F3YmxuL1h1eGwrdlRwK3ZEREQzdDF6RTgvL2JUcmU5TTBOWG55Wk4xMjIyMkhEZjJtYWFxOHZMeEh4MSsxYXBYQzRYQ1BhbSs4OFVaZGRkVlZXckZpUlkvcVQyWTllUjIydGJXdGRqcWR3enNmcDZTa0ZIZU85K1pjb1ZDb0tpRWhvYkRiVUtJa21hYloxSnNhQU9odm1MTVA5QU1wS1NtVE9qbzZ0blkrVGtwS0dpMUo3ZTN0cTN0VDQvVjZMMDlOVFoyMGVmUG1PeVR0T3A3bjZxOFdMVnFrcDU1NlNyZmVlcXN1dU9BQ1NkSVZWMXlocVZPbjZvSUxMdENXTFZ2MHdnc3Y2TE9mL2V3Qit5NWR1bFNiTm0zYVoyejc5dTE2OXRsbjlmenp6MnZnd0lHeTJXeUtScU5LUzB0VGFtcnFJZnV3Mld6NnpuZStvODkvL3ZOeXU5Mkg3WG54NHNVcUtpclNZNDg5Sm9majhQOHN1OTF1aFVJaGxaYVdIcll1SHZUa2RkalMwdkpHV2xyYStVbEpTZjhSREFhWHBxU2tmTm15ckhCRFE4UGJuVFU5K2IwSUJBTHpjbkp5Yms5TVRCelUxdGEySlRrNWVhZ2tCWVBCSmIycEFZRCtockFQbkJnZXA5TlpLRWxPcC9NMFNkbVNtclgzWnNLbXBxYTVkcnM5M2VsMGxycGNyc3lCQXdmK1R6Z2MzcjVqeDQ0bk93L1FrNXJDd3NJLzJHdzJUM3Q3ZThYT25UdG5INnlSdmpwWGYzWFZWVmZwblhmZTBjOSs5ak1WRmhZcU1URlI2OWF0MDV0dnZxbHp6ejFYRG9kRGhZVjdMczV1MjdaTlhxOVhTVWw3N3VWMHU5MzYxYTkrdGM5ZkFqck5uajFiRHozMGtLUTlRVDRsSmVXSXZkanRkcTFkdTdicmZKSlVYbDZ1N094c0ZSUVVkSTIxdExRb0t5dnJpRUcvODVpcHFhbHlPdi85T1U0TEZpeFFlbnE2eG80ZGU4VDkrNWxqL3Iyb3JhMTlPaWNuNTg2Q2dvTC8zYkZqeHkrenNySyt2MnZYcmljazFYWFc5T1QzWXRldVhiL1B5c3I2M3NDQkF4L2ZzV1BIN1RrNU9UL3Q2T2o0dEw2Ky9vWGUxQUJBZjhNMEh1QUVHRDU4K056Um8wZXZscVRrNU9Rei9YNS9iZmZwQ2RYVjFmOFpqVWFiU2t0TEZ3OGRPdlFma1Vpa2ZzT0dEZWRJMnQyYm1xYW1wbGNqa2NqdVlEQzQ0RkM5OU5XNURzYm44NTNyOC9rbUtvWVhFbXcybTY2ODhrcU5IajFhVHo3NXBPYk1tU05KR2pseXBONSsrMjFGSWhHdFg3OWVMN3p3Z202NDRRYmRmLy85WGZ1T0hqMWFyNzc2cXY3d2h6OUlrbjc4NHg5cjJiSmxXclpzbWE2Ly9ucmRkdHR0MnJoeG8reDJ1N1p2MzY3Nzc3OWZyYTJ0aCt6RmJyZHI0c1NKZXV5eHg3cStrcEtTZE41NTUrMHpKa21EQmgxK3BjajYrdnF1NzdkczJkTDFmVU5EZzJiTm1xV2JiNzVaRlJVVnZmK0J4VkJmL0Y1SWF0MndZY1A1TnB2TlZWUlU5R0p6Yy9QZnQyelpjbnYzOC9Uazk2Szl2WDF6WldYbDF4d09SOTZ3WWNPV0ppUWs1RzNZc0dHS3BOYmUxQUJBZjhPVmZlQUVXTDkrL2RsSEtHbjU5Tk5Qci8vMDAwK3ZQNWFhalJzM1h0NkRkdnJrWElkd25tRVl0L2w4dnQyU25wUDBVa3RMeS91VmxaV2hYaDZuMXlLUmlONTg4MDFObVRKRlU2Wk0wZWMrOXpsZGNNRUZtakJoZ2lUcG1XZWU2YXBkdkhpeEZpOWVMRWw2N2JYWE5ISGlSSjE5OXRtU3BJRURCK3JkZDkrVllSZzY2Nnl6dXZhcHFLalFlKys5cDhURVJObHNObVZuWjJ2TGxpMzYxcmUrcGRteloydmN1SEVIOUdTejJWUmRYYTBYWHZqM2hkOXdPTnoxWnVOUWFtcHF0R2pSb24zR0huMzBVZjNnQnovb2VxNVZWVlVhTkdpUTdyenpUZ1dEUVYxNzdiV0huVmJVSC9YUjc0VTZPanJXZlBMSko1ODUxUFllL2w0b0VBaTg5OGtubjR3LzFob0E2RThJK3dENm5HRVlHWksrSyttN3FhbXB6VDZmN3dYTHNsNnNyYTE5cjZhbUpuaWN6cW01YytmcWtVY2UwYjMzM3F0d09LemMzRng5L1BISCtxLy8raTlOblRwVmtqUng0a1JkZlBIRm1qRmp4aUdQOWRGSEgybmN1SEhLeXNwU1ZWV1Zpb3FLVkZaV3BveU1EUDNYZi8yWDVzK2ZMNXZOcGxtelp1blNTeS9WZDcvN1hUMzMzSE1IWEowM0RFUGw1ZVVIM0tqYi9jM0d3V1JsWmVucHA1L1d0bTNiOWhsLzVKRkgxTnpjTEovUHB4ZGZmRkUxTlRWcWJHelVuRGx6anZpWEFRREFxWWxwUEFDT3QxVERNSzZ4Mld4djVPWGwxZnI5L21mR2p4OS8wZkRodzQ4ODZiMFg3SGE3ZnZHTFg2aXBxVW4zM1hlZkZpNWNxSnFhR2cwYk5remYrTVkzRHJuZjRzV0wxZERRMFBXNHBhVkZ5NVl0VTJOam8yYk9uS2xycnJsR3Q5eHlpejc2NkNOOTg1dmZWRkpTa3FMUnFFelRsTWZqMFl3Wk14UUtoYlI3OTRFem5LTFJxS1pObTlZMUZXalpzbVh5ZUR5Nit1cXI5eG5ibjlQcDFKTlBQcW4zM250UHk1WXQweDEzM0NGSit2blBmNjYwdERTVmxwYnE5ZGRmbDkxdTE1Ly8vR2VDUGdEZ2tMaXlEL1NDMys5L1Y5S2tXUGR4RWt1VzlHMmJ6ZmJ0NU9Ua2RwL1BOOWV5ck9mNzZ1QzV1Ym02NktLTGxKcWFxbGRlZVVYQllGRFJhRlEvK3RHUHVtcmEyOXMxZi81ODFkVFV5TElzelo4L1gxLzR3aGU2NXU2Ly92cnJDb2ZEYW1wcVVuMTl2UUtCZ0txcXFoUU1Cblh4eFJkTFVsZllsNlRodzRmcnlpdXZQT2pOc1pGSVpKOGJhWHNqT3p1NzYvdjU4K2NyTXpOVFBwK3ZhMnppeElrcUtpcnF1cm40ZVBENy9RZmVxUXhJc2l6cjQvTHk4ak5pM1FlQUl5UHNBNzFEME84amxtWFo5azczeWV2TDQ5NTY2NjJxcWFuUjQ0OC9yZ3N2dkZDclZxM1NybDI3dEh6NWNtVmxaV25jdUhFcUx5OVhNQmhVUVVHQnhvd1pvNmFtSnExZHUxWWxKU1Y2OXRsbkpVbWYrY3huTkh2MmJFMllNRUUxTlRXYU5tMWFWd0EzVFZPbWFXckpraVc2L2ZiYjlmampqOHN3akgzNjZPam9VRGdjVmxWVlZhL243SGRYVTFPakpVdVc2T3FycjViTnR1ZVBzZTN0N1pvNmRhcG16SmloS1ZPbWFPREFnWDN4b3dONnpEQ00wMlBkQTRDZUlld0RSNkdzck13NGN0V3B4K2Z6L2JkaEdMY2RwcVJOMG54SnIwUWlrZWRYclZyVklFbCt2Ly9CdnVyQmJyZnJYLy82bHdvTEMzWDMzWGRMMnZPaFdxZWZmcnJPUC85OGZmLzczOWZFaVJNMWVmSmszWExMTGZ2cys4d3p6OGp0ZGg4MFBOOXd3dzFkMzV1bXFkYldWczJlUFZ2QllGRHo1czFUU1VuSlB2V2QwM29XTGx5b2hRc1g3clB0U0hQMnUzdjY2YWZsY3JsMDJXV1hkWTIxdDdmTDUvTnB4SWdSbWpsenBwNTQ0b21qL2d2QzRmQTZ4OEh3RngvZzVNS2NmUURIbFdWWnJaSmVOMDN6NmxBb2xGTldWblplV1ZuWm81MUJ2eS85L2U5LzE5eTVjL1hzczgvdU02MW14NDRkTWsxVGVYa0gvaEVoR28ycXNiRlJrbFJRVU5DMVBHWjMxMTEzbmRMUzBqcWZqMjY3N1RZRmcwRnQzcnhaZDk1NXAyNjg4Y1lEanJ0MTY1N1BncnJ2dnZ2Mm1aK2ZuSng4eERuN25UWnUzS2lYWDM1WjExMTNuYnhlYjlkNEtMUm5jYU5iYjcxVjY5YXQweDEzM0tHT2pvNmUvcGdBQUtjUXdqNkE0NkZaMGt1V1pVMnZxNnZMTGlzcnUyRDU4dVZQclZtekpuQThUeG9JQlBUb280OXE1ODZkKzF4cC8raWpqeVJKWThhTU9XQ2ZUejc1UkhmZGRaY2s2ZXl6ejFaNmVycE0wOVRLbFNzMWMrWk1TZHBuaW81aEdLcXZyOWY4K2ZOMXl5MjNkTTNqMzkrYU5XdGtHTVkrOCt3bGRjMzFQNUpvTktxZi92U25HalZxbEs2NDRvcDl0bldHL1pFalIrcXFxNjdTKysrL3IydXV1VVliTm16bzBiRUJBS2NPcHZFQTZFdUxUZFA4UmpnY2ZuUE5talVuL0ZMenhSZGZMSWZEb1YvODRoZkt5TWlRSkFXRFFUMzExRk1xTFMzVjhPSEREOWlucnE1T2djQys3MEVzeTFJb0ZPcjZJS3RJSkNKcHp6ejhYLzNxVjVvN2Q2NSsvT01mSDNhVm53VUxGdWowMDA5WFptYm1QdVBkYis0OW5OLzg1amRxYW1yU0gvLzRSOW50OW4yMmRZWjlTYnJwcHB0VVZWV2xCUXNXNkxMTEx0Tk5OOTJrYTY2NTVvakhCd0NjR2dqN0FQcE1lWG41aTdIdVllblNwWktreE1SRTFkYlc2czQ3NzFSalk2Tis5YXRmZGRVa0pDUm95WklsZXZUUlI3Vml4UXA5OHNrbmV1YVpaM1Q1NVhzK2V5a1NpWFRkb0h2V1dXZXB1TGhZLy9yWHYvVEFBdzhvSEE3cmtVY2VrZC92UDJRUDFkWFZXckZpaFo1NDRva0R0a1VpRVVVaUViM3h4aHRhc0dCQlY1RHZIdWpmZU9NTnJWeTVVazg4OFlReU1qSTBiOTQ4L2ZHUGYxUnljckoyN3R5cEVTTkdkTlhhYkRiZGQ5OTkrdkdQZjZ6aTRtSmRkTkZGeC9ZREJBREVGY0krZ0xpU25wNHVTWHJxcWFkVVZWV2xNODQ0UTdObXpkS0FBUU82YWk2NzdESzk4c29yZXVXVlYyUVloajc3MmMvcXExLzlhdGYyd1lNSDY2S0xMbEpEUTRNdXUrd3lQZjc0NHdvR2c3cjAwa3MxYmRvMHVkM3V3L2J3NUpOUDZodmYrSWJHanovNEI2M201T1JvL1BqeDJyeDVzNTU2NmlrWmhxRXp6dmozS29abm5YV1dKaytlM0hYVDdSZS8rRVhaN1hiTm1qVkxrZzRJOUU2blUvZmRkOThCS3dJQkFBQ2dGL3grdjhWS0ZIMnY4K2ZhRjZMUnFQWE9PKzlZRHo3NG9MVnQyN1pqT3RZNzc3eGpQZkRBQTlhU0pVdXNhRFRhNC8xKy9ldGZXMjBWZGRNQUFDQUFTVVJCVktGUTZJQngwelN0alJzMzdqUDIwa3N2V1I5ODhFR1BqcnRzMlRLcm9xS2l4MzBjTFY3bk9CeGVIemlSZUwwZE95NERBYjNRK1E4T1N4TDJyYzZmNitGV3BzR0pNMkhDQkVtOHpuRncvRHVJRTRuWDI3RmpOUjRBQUFBZ1RoSDJBUUFBZ0RoRjJBY0FBQURpRkdFZkFBQUFpRk9FZlFBQUFDQk9FZllCQUFDQU9FWFlCd0FBQU9JVVlSOEFBQUNJVTRSOUFBQUFJRTRSOWdFQUFJQTRSZGdIQUFBQTRoUmhId0FBQUloVGhIMEFBQUFnVGhIMkFRQUFnRGhGMkFjQUFBRGlGR0VmQUFBQWlGT0VmUUFBQUNCT0VmWUJBQUNBT0VYWUJ3QUFBT0lVWVI4QUFBQ0lVNFI5QUFBQUlFNFI5Z0VBQUlBNFJkZ0hBQUFBNGhSaEh3QUFBSWhUaEgwQUFBQWdUamxpM1FBQWRKb3dZVUtzV3dBQUlLNXdaUjlBekZtVzlYR3NlOEFCVnNlNkFRREFzZVBLUG9DWUt5OHZQeVBXUFFBQUVJKzRzZzhBQUFERUtjSStBQUFBRUtjSSt3QUFBRUNjSXV3REFBQUFjWXF3RHdBQUFNUXB3ajRBQUFBUXB3ajdBQUFBUUp3aTdBTUFBQUJ4aXJBUEFBQUF4Q25DUGdBQUFCQ25DUHNBQUFCQW5DTHNBd0FBQUhHS3NBOEFBQURFS2NJK0FBQUFFS2NJK3dBQUFFQ2NJdXdEQUFBQWNZcXdEd0FBQU1RcHdqNEFBQUFRcHdqN0FBQUFRSnh5eExvQkFNRHg0WGE3aDJSbVpsN3ZjRGdLUXFGUXhZNGRPeDZWVkhzc3g4ek56ZjJoYVpwbVhWM2RnMzNVSmdEZ09PTEtQZ0RFSVkvSGMvYUlFU05XdTF5dUllRndlRk5XVnRaMW8wZVBYaW9wODJpUDZYYTdCK2ZuNTkvbjhYZysxNGV0QWdDT0k4SStBTVNoZ29LQy93a0dneDlWVjFkUHI2bXB1YnVxcXVwYlRxZHpVRzV1N25lTzlwaDVlWGsvTXd6RDJaZDlBZ0NPTDZieEFFQWNTa3hNSEJXTlJoc2xPU1YxdExXMWxlOGRIMzQweDNNNm5hWHA2ZW5mNnNzZUFRREhIMWYyQVNBT0JRS0I5eTNMQ25jK2RydmRBeVVwSEE1dk81cmpGUlFVL0xLK3Z2N0p2dW9QQUhCaWNHVWZBT0pRUlVYRmx5UVpraXhKU2t0THUweVMxZGpZK0Z4dmo1V1VsRFFoTlRWMXl2TGx5NGRtWjJkL3Y0OWJCUUFjUjF6WkI0RDRaVWxTWW1MaW9MeTh2RHQyN2RyMVVHdHI2NHJlSGlRL1AvL2UydHJhMzBuYTJlY2RBZ0NPSzhJK0FNUzNwTUxDd3BjRGdjRDhUei85OU5iZTdweVNrbkpXY25MeUdUVTFOYjgrSHMwQkFJNHZwdkVBUVB3eWlvcUtub2xHb3kxVlZWV1hTSXIwOWdBREJneVkxZHJhK3JIWDZ6Mi9jeXdoSWFIUTYvVmUzdGJXOW41N2Uvdm1QdTBZQU5DbnVMSVBBSEVxUHovL0hwZkxWVnhSVVhHUnBKREw1U3JKeTh1N3V6ZkhpRWFqVFpabGhUTXlNcVpsWkdSTWt5U1h5M1ZhUmtiR3RJU0VoTk9PUytNQWdEN0RsWDBBaUVNZWorZnN6TXpNR3lzcUtzNlExQ1JKWHEvM3d1VGtaSDluamRmcnZUdzFOWFhTNXMyYjc1QzA2MkRIcWFxcStscjN4MzYvM3dvRUF1OXYzTGh4MnZIc0h3RFFOd2o3QUJDSENnc0xINDFHbzd2eTgvTi9JMG1HWVRnOEhzK1UrdnI2eDdyVi9NRm1zM25hMjlzcmR1N2NPZnNJaDNSTDhrcVMzVzVQbDVRdXFWbVNlWnllQWdDZ0R4RDJBU0FPdVZ5dUVrbHl1OTJqdW85M2RIUjgydmw5VTFQVHF5a3BLZWNGZzhFRlJ6cmV3SUVEZjVtYm0zdWJKS1dtcGs3eCsvME5xMWV2THUzbzZQaWtyM3NIQVBRZHdqNEF4S0d5c2pMalNEVWJOMjY4dktmSDI3WnQyKzNidG0yNy9kaTZBZ0NjYU55Z0N3QUFBTVFwd2o0QUFBQVFwd2o3QUFBQVFKd2k3QU1BQUFCeGlyQVBBQUFBeENuQ1BnQUFBQkNuV0hvVEFBQWNrcy9uTzFmU2VRY1ovKzl1RHhlWGw1ZS9lT0s2QXRCVGhIMEFBSEE0RWNNd2J0dC9zUHRZTkJyOTVvbHRDVUJQTVkwSEFBQWNVbmw1K1VMTHNuWWZwcVE1RW9tOGNjSWFBdEFyaEgwQUFIQTRFVW5QSFdiN1A5ZXNXZE54b3BvQjBEdUVmUUFBY0NRdkhXcURaVmwvTzVHTkFPZ2R3ajRBUUg2L2YyeXNlMEQvMWRMUzhyNms1djNITGN0cWJXaG9lQ1VHTFFIb0ljSStBSnphN0g2Ly8wZVNib2gxSStpL0tpc3JRNVpsdmJEL3VHRVk4elp0MnRRZWk1NEE5QXlyOFFEQUtXckNoQWxKcG1rK0lXbTZaVmtYeHJvZjlHK1daYjFvR01ZMTNjZE0wMlM1VGFDZjQ4bytBSnlDeG80ZG0yTloxdnVHWVV5WHBHZzArbTZzZTBML1ZsdGIrNTZrMW01RGJlRndtTEFQOUhPRWZRQTR4Zmo5L21LNzNiNUtrbi92VU5uS2xTdGJEN2NQVUZOVEU1VFVmWDcrL0RWcjFnUmkxUStBbm1FYUR3Q2NRdlorR3VvL0RNT3dkNDVabGxVMGF0UW9KOHNuNGtoTTAzekJack45ZSs5RGJzeEZyL2g4dm16RE1FNnpMR3VnWVJpWmxtVmxXSmFWWXhoR3JxUmNTVm1TRWlXNURNTndXWmJsbHRScVdWYUMzKzl2bHRSdVdWYklNSXlRWlZudGt0b053OWhsV2RaT3d6QnFUZFBjYVJqR2JzdXk2aVhWUkNLUlQxZXZYbDByeVlyWmsrNEhDUHNBY0dxdytYeSs3eG1HOGVCQnR1MGk2S01uMnRyYTNrMU9UbTYzTE1zV2lVU2VqM1UvNkg4S0Nnb1NzN0t5aGh1R1VTcXAxRENNRXN1eWhodUdNVXhTc2lRWmhxSE8vKzM4L21BNnQ5bnRkcG1tNlpTVTBuM2YvZXRzTnRzK2o1MU9wL3grZjV0bFdSV1NOaGlHc1NFYWphNXpPQnhydytIdytsUGxMNXFFZlFDSWZ3NmZ6L2MvaG1ITU9NVDJWMDlvTnpocHJWKy92c1huODgwMURDTmoxYXBWRGJIdUI3RTFZY0tFcEdnMDZyUFpiRDVKRXl6TCtveGhHQ01rMmJ2WGRZYjZ6TXhNNWVYbEtUYzNWMmxwYVVwUFQxZG1acVl5TWpLVWtaRWhyOWNydDlzdGw4c2xwOVBaOVdXejJXU2Fwc0xoc0VLaGtEbzZPdFRSMGFIMjluWTFORFJvOSs3ZDJyMTd0K3JyNjlYWTJLaW1waWJWMXRacXg0NGRxcXVyUzVRMGR1K1g3SGE3TE11UzNXNDMvWDcvQmtsTFROTmNaaGpHOG82T2ptWHhPRFdOc0E4QWNTdy9QejhwTnpmM1RjTXdKaDZpcEsydXJ1NG5KN1Fwbk5Rc3kzcGVVbDZzKzhDSk4yclVxQXlIdy9FZmRydjlURWxmc2l6ckRKdk5sdEM1M1RBTU9aMU9EUjQ4V0VPR0RGRnhjYkVHRHg2c3dzSkNEUm8wU0U2bjg2alBiYlBaNUhLNTVISzVlclZmT0J6VzFxMWJ0WG56Wm0zYXRFbVZsWlhhdUhHak5tM2FaR3R2Yng4aGFZVE5acnRDa2x3dVY4VHY5eSsxTE91ZmtoWkpXbHBlWGw1MzFFMzNFNGYrMndtQUEvajlma3VTeXNySytOMUJ2emRtekJpdncrRllhUmhHd2FGcUxNdDZ0THk4L01ZVDJSZjZCZHZZc1dPekxNdktkVGdjdVpabGVXMDJtOWV5ckJ4SnVZWmg1RmlXbFNzcHpUQU10NlI5dml6TE1nekRhSlBVM3ZsbFdWWklVcE9rV3NNd2RuYk9vNDVHb3cyR1lUVFliTGFkSFIwZE8xZXZYcjFMVWpRMlR4dTlaUGY3L2VNdHk1b3M2WnVHWWZ5SHVtVkhoOE9oNHVKaWpSdzVVcU5HamRLb1VhTlVWRlFrdTkxKzZDUDJFOUZvVkpzMmJkS2FOV3UwZHUxYXJWMjdWaHMyYkZBNEhPNWVabG1XdFVMU1M0Wmh2Rk5XVnJaRUorRnJsOEFDOUFKaEh5ZVRjZVBHRGJUWmJCOUlLalFPTVRIV3NxeUx5OHZMV1Q0eFRvMGRPemJITUl6QmRydDlpR21hWXd6REdMTjNEdlZRd3pBU2pueUU0eUpzV2RZbXd6RFdXNWExUnRJS3d6QTJoa0toVFd2V3JObXBVL3hteWxncktpcEtTMDFOUGNkbXMzM1ZzcXlMRE1QSTd0em1kcnRWV2xxcTBhTkg2L1RUVDVmZjc1ZmI3WTVsdTMwcUZBcHArZkxsK3Zqamo3VnExU3F0VzdkT3dXQ3dhN3RsV1EyR1lieHFXZFliSFIwZDg5YXNXYk03aHUzMkdJRUY2QVhDUGs0Q2p2ejhmT2VBQVFQQ3k1WXRDMHZTK1BIamI3RFpiQTlKMmlmY1daWmxCb1BCOVBYcjE3ZkVwRlAwSldQOCtQR0ZobUdVV3BaMXVtRVluNWYwSDRaaGVBOVdiTFBaNVBWNnUrWkxwNmVuS3kwdFRabVptVjFqbVptWlNrbEoyV2Z1dE5QcFZFTENucGRSSkJMcG1qdmQwZEdoVUNpa1FDQ2crdnI2cnZuVHUzZnZWbU5qb3hvYkc3dkdHaG9hRkkwZTh1Sm9zNlNsbG1VdE1nempvNDZPam5XclY2L2VLTWs4SGo4MDdERjI3Tmhrd3pDK2JMZmJwMXVXZGFGaEdGM3piUW9LQ3ZTWnozeEdaNTk5dHM0NDQ0eXUvLzlQQlpGSVJFdVhMdFcvL3ZVdkxWbXlSSnMzYis2K09XeFoxcHVXWmMwSkJBTC9xS3lzYkk1Vm4wZENZQUY2Z2JDUC9tVHMyTEhKZStmT1RqUU1ZK0xla09lU0pNdXlmbEplWHY3THp0cHg0OFpkYnJQWkhqQU1JNlBiSVZhVmxaV05QZEY5NDlnVkZ4ZTdVbE5UaDV1bU9WclNlVGFiN1R4Sm1mdlhwYVNrS0NjblJ6azVPU29wS2RISWtTTTFkT2hRRFJvMFNBNUhiRzdiaTBhajJycDFxNnFycTdWMjdWcDk4c2tucXEydFZWMWRuWnFhbWc2b3R5eXJVZEkvSkwxcG11YXErdnI2VDdadTNkcDJ3aHVQTTRNSEQzYW5wNmRQTWd6alVzTXdMcGFVSk8yNWdYWHMyTEU2ODh3emRlNjU1MnJ3NE1HeGJiUWYyYlp0bTk1OTkxMHRYTGhReTVjdlZ5UVM2ZHpVYmxuV3E1WmwvYlcydHZhZHZaOUowVzhRV0lCZUlPempSQnMxYXBTbisrb1FQcC92VnNNd2ZuT2svU3pMZXFHOHZQeGIrNCtQSHovK2JKdk45ay90V1MzajhiS3lzaHY2dG1NY0ovWng0OFlOdGR2dFB0TTBMelVNNDZ1ZGIrdzZlYjFlRlJRVXFLU2tSR2VlZWFiR2pSdW5qSXlNUXgydlgycHFhdEtLRlN2MDRZY2ZhdDI2ZGRxNmRhdDI3ejVncGtSWWU4TC9zNUxLeXNyS0tpUkY5aS9Dd1UyWU1HR0VhWnBYU2JxaDg4Mi9ZUmdhUFhxMHpqMzNYSDMxcTE5Vlp1WUI3eHV4bjZhbUpyMzU1cHY2NXovL3FaVXJWOG8wdS83NDFHeWE1cE9SU09UUHExZXZYaG5MSGpzUldJQmVJT3pqZUJrOWV2UWdwOU41cTJWWjF4bUc0ZW0yYVU1WldkbmxuUTk4UHQ5VXd6QmVrS1M5SHk2elJOSjgwelRuaDhQaHhUMWRObTc4K1BGL2tmVGE4dVhMLzlhblR3Ujlwcmk0T0RVbEpjVW5hWnFrYVlaaHBIZHVzOWxzR2pod29JWU9IYW96enp4VFgvakNGNVNYRjU4TDVPemF0VXNmZlBDQkZpMWFwTXJLU20zZHVuV2ZhVUNXWlFVTXczamVzcXovaTBRaVpTd0plcUQ4L1B5a3ZMeThyMHU2U2RJWE84ZExTa3AwN3JubjZtdGYrMXJjdm41T2hGMjdkbW51M0xsNjk5MTN0WGJ0MnU2YlBySXM2K0dPam82WFk3bWtKNEVGNkFYQ1B2clN1SEhqdm1tMzIvOTM3Nm9uQ1FlN2lkYXlyTmZMeThzdjZEWmtLeTR1VHFpc3JJenEySzltR3VKbXlINWw5T2pSdVU2bjgzUkoveW5wQW5WYnJ6dzNOMWREaHc3VjJXZWZyY21USnlzMU5UVm1mY1pTSUJEUXUrKytxM256NXFtcXFrcmJ0Mi92Mm1aWmxpbnA3NFpoUEdGWjFrZmw1ZVUxc2V1MGYvRDVmSGNhaG5HWHBIUkpTazVPMXFSSmszVHBwWmVxdExRMHh0M0ZuNnFxS2ozNzdMUDY1ei8vcWVibVBkUDRMY3NLU1BwdGVYbjUzYkhvaWNBQzlBSmhIMzFsL1BqeG43SFpiQjkzUHJZc3ExWFMwNlpwUG14WjFxWm9OQnBlczJaTlJOeVlHUGRHalJxVmtaQ1E4RVhETUc0eERLUHJxcXZENFZCUlVaRSs5N25QYWVyVXFjclB6NDlsbS8xV2JXMnRYbnJwSlgzd3dRZXFyS3pjZituRWowelQvSTFoR08vRnczcnBSOFB2OTV1U2pOTFNVbDE0NFlYNit0ZS9IbGNyNlBSWG9WQkliNzMxbGw1NTVSV3RXclZLa3F5eXNqSmJMSG9oc0FDOVFOaEhYL0w1Zk85R285Rlp1M2Z2WHJSMTY5WjJjWlg5bEZGUVVKQ1lsWlYxaG1FWTM1RjBpV0VZTm1uUDBvWWxKU1g2MHBlK3BBc3V1RUFwS1NreDd2VGtFZ3dHTlhmdVhMMzk5dHRhdjM1OTE3S0psbVdaaG1HOHRuZEt4WWZ4K0NtcGg5TDUzNjFseTViRnVwVlQxb1FKRXlURkxqc1FXSUJlSU96amFJd1pNOGFia0pDdzNMS3NLOHZMeStmSHVoL0Vscy9ubXlGcHRtRVl5ZEtlMVU4S0N3dDE0WVVYNnBKTExqbW1UeG5GdjRYRFliMzg4c3Q2OGNVWHRXblRwdTRycDdTWnB2bkw1Y3VYejRwbGZ5Y0tZVC8yWWgzMlk3UHVGZ0NjSXZaK3ZQeHFTUU1Ndy9pZEpKYTZQTVVaaHZHZ0pPWG41K3VMWC95aXJyMzIycE51MVp5VFFVSkNnaTY1NUJKZGNza2xhbTV1MXAvKzlDZk5temRQVzdkdVRiVFpiUGRLT2lYQ1BrRFlCNERqcExpNDJPVjBPcGNhaGpIQXNxeDFUVTFOWjhXNkovUWZyNy8rZXF4Yk9HV2twcWJxNXB0djFzMDMzOXgxbFJVNFZSRDJBZUE0U1UxTnZWdlNFRWsxTFMwdG42MnVydTYzbjdBSUFJaFBNYmtyR0FEaTNaZ3hZN3lXWmQwdVNkRm85R3Y5K2FQVUFRRHhpeXY3QUhBY0pDUWtYQ1RKYVZuV2V5dFdyQ2lQZFQ4QWdGTVRWL1lCNFBpWXRQZC9YNDVwRndDQVV4cGhId0NPQTh1eVBydjMyMFV4YlFRQWNFcGpHZytBbVBQNy9lL3EzMWZDNDRwaEdFdjhmbitzMitnMXk3SStMaTh2UHlQV2ZRQUFqZzFYOWdIMEIzRVg5QzNyNVA0d1hNTXdUbzkxRHdDQVk4ZVZmUUQ5QnAvdzJEK3dEam1BRTJIOSt2VWFQbng0ck51SWUxelpCd0FBcDdTa3BLUUoyZG5aUHpoU1hXNXU3ZzhQVnBlY25EeDI0TUNCLzExWVdQaDBibTd1WFpMU2o2WVB0OXM5Wk9EQWdiTUtDd3VmenN2TCs0bWtuSVBWZVR5ZVNhZWRkdG9mQmcwYTlMREw1U28rbW5QMXhyWnQydzY1N1VjLytwSFdyVnQzVk1lOThjWWJkZFZWVjJuRmloVzkydS8rKys5WFIwZkhRYmVacHFtRkN4ZnExbHR2VlV0THkyR1AwOXg4K0JXUnE2cXFqbGh6TXVES1BnQUFPQ1dscGFWTmRybGN3N0t6czI4TEJvTkw2dXJxSGp4VXJkdnRIcHlmbjM5ZlkyUGp5OTNyVWxOVHp4czZkT2lyemMzTmI3ZTF0UzNOeXNxNlBpc3I2NW8xYTlhY0lhbWhwNzE0UEo2emk0dUwzMmh1Ym42dHZiMjlJaXNyNjdxc3JLenJWNjllN1pOVTMxbVhuWjA5SXo4Ly8rZDFkWFdQWm1Sa1RFdFBUNzl3MWFwVlF5V0ZqdkxIY0ZpbWFlcjczLysrQ2dzTDlaT2YvRVNabVpuN2JGKzdkcTBlZU9BQlBmTElJekpOVTIrLy9iYSs4cFd2OU9qWWJyZGJvVkJJcGFXbFBlNW40Y0tGZXZiWloxVlhWNmZzN0d4Tm56NWRPM2JzMExwMTY3Unk1VXFWbFpXcHNiRlJrblRublhmcWQ3LzduZXgydTNidTNLbTJ0cmF1NHpRMU5lbVdXMjZSeitmVDRNR0REemhQTkJyVnl5Ky9yRW1USnVtZWUrN3BjWC85RVdFZkFBQ2NrcEtUa3ljbEpTV05kN2xjUmNGZ2NNbmhhdlB5OG41bUdJWnovL0dDZ29MN1E2RlFaVlZWMWRjbFdRME5EVytWbHBaK09HREFnSnUyYjk5K2IwOTdLU2dvK0o5Z01QaFJkWFgxZEVscWFHaVlXMXBhK2xGdWJ1NTNkdTdjT1V1U0VoTVRUeXNvS1BoTlJVWEY1RUFnTU4vdGRvOU1UVTA5VjVKVHh5bnMyMncyL2VRblA5SDExMSt2dSsrK1d5VWxKZHF4WTBmWDl2cjZlblYwZEdqbXpKbmFzV09IVnE1Y3FaU1VGSDMrODU4LzRySHRkcnRTVTFQbGRQNzd4N3Bnd1FLbHA2ZHI3Tml4QjlTSHcySDk5cmUvVldGaG9XNisrV1o5OTd2ZjFhdXZ2cXFTa2hJVkZCU29xS2hJOCtiTjA1VlhYcW1wVTZjcU9UbFpobUZJa3FxcnEvV0RIL3hBcG1sSzJ2Tkd3K3YxNnIzMzNsTkNRb0l5TXpNVkNBUVVDQVNVblowdGg4T2hsSlFVTFYyNjlLU2Zia1RZQndBQXA2U2FtcHFaa3VUMyt3OTdSNzNUNlN4TlQwLy8xc0cydVZ5dTRTMHRMZTlJc2lTcHJhMXQrZDU5ZXBVT0V4TVRSMFdqMFVidENlNGRiVzF0NVh2SHU0N2o5WHF2Q1lWQ0ZZRkFZTDRrVlZkWFh5b3BXZExoNTZzY0k3L2ZMNy9mcjRTRUJBMGRPbFJQUC8zMFB0dGJXMXU3M2dBTUd6Wk1iNzc1cHM0ODgwelpiQWVmTFY1Zlg5LzFGNEl0VzdaMGpUYzBOR2pXckZrS2hVSjY3TEhITkd6WXNIMzJlK1NSUjlUUzBxTGJicnROVlZWVk1neERaNTExbG1iUG50MVY4NmMvL1VucjFxMVRmbjYrRmk5ZTNQV200OHd6ejlUenp6OHZyOWVyYjMvNzJ4bzdkcXhtejU2dFNDUWltODBtbTgybS8vZi8vcCtXTDErdTExOS9YUWtKQ2NmK2crc25DUHNBQUFDSFVWQlE4TXY2K3ZvbnM3T3p2Ny8vdHZiMjluVXBLU21UUFI3UHBFQWdNQzhwS1dtVUpMVzF0YTNzelRrQ2djRDdicmQ3Uk9kanQ5czlVSkxDNFhEWGhIbVB4M05PSUJCWTVQVjZwNldrcEh3bEhBNXYyYjU5K3lHbkhoMnJWYXRXNmFHSEh0SmRkOTJsbVRObjZxbW5ubElvRk5KNTU1Mm50OTU2NjZENzJPMTIzWExMTFYxQnY2YW1Sb3NXN2Z0eEk0OCsrcWgrOElNOXR6NUVJaEZWVlZWcDBLQkJ1dlBPT3hVTUJuWHR0ZGNxTlRWMW4zM216NSt2MTE1N1RYLzR3eC8wMEVNUGFkR2lSWXBHbzRwRUlwbzVjMlpYbldtYXFxMnQxWXdaTS9UaGh4L3EzbnZ2N1pwV05HVElFRW5xdXRvZkNvWGtjcmtrN1huRHNtalJJazJmUGoydWdyNUUyQWNBQURpa3BLU2tDYW1wcVZPV0wxOCs5R0JoZjl1MmJUT0xpNHRmR3paczJGdTF0YlcvUzAxTm5kTFcxcmF5dHJiMkQ3MDVUMFZGeFpja0dkcjdGNEswdExUTEpGbU5qWTNQZGRhNFhLNFN1OTN1emN6TXZLS2xwV1crMSt1OU5EMDkvYUoxNjliNUpFV083WmtlcUxTMFZPRndXTi8rOXJmMXdBTVBhTzdjdWZKNFBDb3BLZEhnd1lPVm5wNnVKNTU0UXRuWjJicnd3Z3NsN1ptR2MvLzk5K3UrKys2VEpHVmxaZW5wcDU4KzRDYmZSeDU1Uk0zTnpmTDVmSHJ4eFJkVlUxT2p4c1pHelprelI0TUdEZHFudHFPalE0OC8vcmdlZmZSUk5UYzM2LzMzMzlmbGwxK3U5OTkvWDl1M2I5ZW1UWnZrOFhnazdWbjJ1S09qUStGd1dCTW1UTkRmLy81M25YWFdXV3BxYXVwNjA5SGEycXJObXpmcjRvc3Yxa01QUGFUQ3drSzk5ZFpiYW05djE5dHZ2NjFycnJsR1NVbEpmZjNqakJuQ1BnQUF3Q0hrNStmZlcxdGIrenRKT3crMnZibTUrYzFBSVBDQngrUDVZbTV1N20yU3RINzkrc21TV28vaWRKWWtKU1ltRHNyTHk3dGoxNjVkRDdXMnRuWXRWZU53T0x3SkNRazVHelpzbUJRSUJPWm5aV1ZkZDlwcHB6MmVucDUrUVdOajQwdEhjYjdEY2pnY3V1ZWVlM1R4eFJkcnpwdzVrcVEzM25qamdGVnU2dXJxdEhidDJuM0dubi8rZVYxeXlTVnlPcDE2OHNrbjVYYTdsWktTb3VlZWUwNi8vdld2OWZPZi8xejMzSE9QU2t0TDlYLy85Mzg2L2ZUVDllYy8vL21nSWR2cGRPcnBwNStXYVpxNi9QTExWVkJRb0p0dXVrbnZ2ZmVlempubkhJWERZZmw4UHRsc05wV1ZsYW00dUZnZWowZG5ubm1temovL2ZFbFNRa0xDUG04Nk9sZlp1ZnZ1dS9YNDQ0OXJ6cHc1R2pac21CSVRFN1ZvMFNKOTZVdGY2dXNmWjh3UTlnRUFBQTRpSlNYbHJPVGs1RE1xS3l1bkg2b21PenY3Sm8vSDg4V3FxcW9wU1VsSlp3MFlNT0JIUTRjT25iTnk1Y3BSa25ZZHhXbVRDZ3NMWHc0RUF2TS8vZlRUVy9mYjVtaHBhVm5RT1dkLzE2NWRMNTEyMm1tUGV6eWVpY2NqN0V0U1lXR2hycjMyV2pVMk51cWNjODdSWFhmZHBldXV1MDZmLy96bjVYYTc5NmxkdUhDaGhnOGZycGt6Wis2ekxUczd1K3Y3K2ZQbkt6TXpVejZmcjJ0czRzU0pLaW9xT3V6VmRKdk5wa2NlZVVRVkZSV2FPbldxWEM2WFFxR1FuRTZuUHZua0U4MmJONityOXYzMzM1Y2tMVjI2Vk9lY2M0NlNrcEwyZWRNeGZmcDBqUmt6cG11dS84c3Z2eXlQeDZPaFE0ZXFwcVpHRHo3NG9CWXRXcVM3N3Jwcm41dUhUMWFFZlFBQWdJTVlNR0RBck5iVzFvKzlYdS81bldNSkNRbUZYcS8zOHJhMnR2ZmIyOXMzWjJkbmY2Kzl2WDF0VTFQVDIwMU5UVzlibGhYSno4Ly9hVzV1N2cyZHErajBnbEZVVlBSTU5CcHRxYXFxdWtUN1RjMHhUYlBaTk0zdUM3ODNTcExkYnM4NDZpZlpBemZlZUtOdXVPRUdUWnc0VVZsWldiTFpiSHJsbFZmazlYcjNxYXVycTVOaEdGM3o0UGRYVTFPakpVdVc2T3Fycis2YTA5L2UzcTZwVTZkcXhvd1ptakpsaWdZT0hIalFmVC82NkNQOTZVOS82cHB2TCsyWmpwT1ltQ2lIdzZHUkkwZDJUU1dTcEljZmZsZytuMitmTnhEZDMzUjBxcSt2MThNUFA2ejc3cnRQenovL3ZESXpNM1hYWFhmcHlpdXZWRlZWbFI1KytPR3VLVUluS3o1VUN3QUE0Q0NpMFdpVFpWbmhqSXlNYVJrWkdkTWt5ZVZ5blphUmtURXRJU0hodEwyUGg3VzN0Mi9vM0dmSGpoMi9sU1MzMjkzenhlUDN5cy9QdjhmbGNoVlhWRlJjSkNua2NybEs4dkx5N3U3Y0hncUZxaElTRWdxNzdaSW9TYVpwTmgzZE0reVp1cm82bFplWGEvejQ4WkwyVE85SlQwL1htREZqOXZseXU5MGFQSGp3UG9HOHU2ZWZmbG91bDB1WFhYWloxMWg3ZTd0OFBwOUdqQmlobVRObkh2VERzclp1M2FxNzc3NWI5OXh6ajVLVGt5WHRXWVl6R0F3cU56ZFhOcHROYTlldTFlelpzN3UranZSaFdIVjFkZnI1ejMrdUwzLzV5NW80Y2FJbVRKaWcxdFk5TTYrS2lvcDA0NDAzYXZYcTFmcjk3MzkvVkQrei9vUXIrd0FBeEpGSUpLSWYvZWhIdXZycXE3cytyR2puenAzS3pNeVV3M0hnZi9ZdHkxSmpZK00rVjJsTjA5U2YvdlFuZmVNYjMxQkd4cjRYamYvMnQ3L3BndzgrMEYxMzNhVUJBd1ljc28vVzFsYlYxTlFjc0h4aTUvRzdMNHZZWDFWVlZYMnQrMk8vMzI4RkFvSDNOMjdjT0sxekxCd09iM2M2bmQwdlJ5ZnZIZC9hT2VEMWVpOVBUVTJkdEhuejVqdDBpS2s5SG8vbjdNek16QnNyS2lyT2tOUzBkNzhMazVPVC9aMDFnVUJnWGs1T3p1MkppWW1EMnRyYXRpUW5KdytWcENOOVJzRFJXckpraVY1NTVSVnQzTGhSRG9lamE2MTVtODJtSFR0MjdMUGUvcEZzM0xoUkw3Lzhzcjc3M2UvdTgxb0xoZlo4UE1DdHQ5NnFxNjY2U25mY2NZZCsvZXRmN3pOOUppOHZUMDgrK2FRS0NncDAvLzMzUzlvVDFqdTNHWVp4MEN2NysydHVidGI4K2ZQVjFOU2szYnQzYTlXcVZSbzZkS2p1dlBOT1NWSXdHRlJLU29vazZaSkxMdEdjT1hQNEJGMEFBTkMvT0J3T1pXZG42NnFycnRLOTk5NnJ5Wk1uNithYmI5Ymt5Wk9WbHBaMlFQMjZkZXUwZVBGaS9mNzN2Ky82SkZHYnphWU5HelpvNnRTcCt1MXZmNnZ4NDhlcnBhVkZTVWxKdXZEQ0MvV1h2L3hGMTE1N3JWNS8vWFhaN1hhMXQ3ZkxicmZ2czJUaGpoMDdkUFhWVit2aWl5L1d6VGZmdk0rYTZ6YWJUVC84NFEvMTVTOS9XZmZlKy8vWnUvUHdwcXI4ZitEdmM1TW1hWkttKzBKYktMU2xVTGFTRkZGMEZNUUZRWVVaQk1VRlJ3WDN3WDFEQjNWMHZqS091OHlNaWlzTzdzQWdBK2hQR1JSY1VGRktRZFl1UUdsTGQ3cWtTWnJsM3Q4ZmJXSzZRRnRvRzlxK1g4L1RwN25ubm52dUp6R1dUMDdPMHVGOXA3cURVYVBSSkFHQVJxTVpCQ0FhUUMxYWIxQ2xBeEFPQUNxVktneEFXRk05dWJ5OC9MbUVoSVFYWTJOajc2cXVydjRzTmpiMklWbVdiWldWbFc5NkwwNUtTbnBGa2lTancrSElLUzB0WFl3MkpDVWx2ZWJ4ZUNyaTQrT2ZBd0FoaE5wb05FNnByS3hjNnExVFVWSHhyNmlvcU5zVEVoSmVMeWtwdVM4bUp1WnhwOU5aVUZsWnVhTHJYcExmWkdSa29MNitIbzgvL2pnU0V4TjlIeGFQMVhOL0xCNlBCNDgvL2poR2poeUp1WFBuTmp2blRmWkhqQmlCUC83eGozajc3YmR4d3cwMytEYndBaHJmMDRtSmljMnVPM1RvRUFBZ0xTME5pcUpnOSs3ZHJTWUorL3Yzdi8rTmwxOStHYklzWTlLa1NianR0dHZ3L1BQUFkvSGl4YjRQRmc2SHcxZGZvOUZnd1lJRlNFcEtPbGFUdlFhVGZTSWlvajdtdHR0dXc3cDE2L0RwcDUvaTNIUFB4YUZEaDlvZGpuREhIWGRnK2ZMbHZ2WE5IM3JvSVV5ZlBoMy8rdGUvc0hUcFV0eDU1NTJ3V0N5SWk0dURUcWREWGw0ZVB2bmtFNmpWYW16Y3VCRkRodzdGM1hmZjdXc3ZKU1VGMTE5L1BWNTU1UlVrSnlkanhvd1pPSHo0c0c5WnhhQ2dJTVRHeG5iZk9IdnE1QUFBSUFCSlJFRlVpOUFCdzRZTlcyc3dHQ1lDZ01GZ21HQ3hXTXFLaW9vV2xwYVcvczIvWGtKQ3dsKzlLKzJZVEtZcEZvdmw2SysvL3BydWREcjNscGFXdmlUTHNoSWJHM3R2Zkh6ODMrMTJlM1plWHQ1RkRRME51ZDdyYTJwcVBnMEpDWmxxczlrMkh5c1dyVmFiQmdBNm5XNmtmN25UNlN6d1BuWTRISWR5YzNNdlNVeE1mSEhvMEtFLzIyeTJiZnYzNzUrQ0UxdjVwMTBhalFZVEowNzA3VERySmNzeUxyend3bWFiV1FHTnZlRnRlZTY1NTFCVFU0TzMzbm9MS3BXcTJUbHZzZzgwdm0vejh2S3dlZk5tWEhYVlZianR0dHR3d3cwM3RObm16cDA3RVJzYml5RkRoclFaenlXWE5QdFNCdE9uVDhmYXRXdHg2NjIzWXRLa1NRQmE5LzQ3SEE0b3ltLzdxMDJiTnEzTmUvYzJUUGFKaUlqNkNGbVdJVWtTOUhvOWJydnROdC9TaVU2bkU1OS8vbm1yQ1lvVkZSV1lObTBhWnMrZWpkdHZ2NzNaWk1idzhIRE1uajBiQ1FrSnFLMnR4WjQ5ZTVDZG5kM3NldStRQ2dENDZhZWZjTVlaWjJEQ2hBbStzaXV2dkJMTGxpMURYVjBkRmkxYWhLeXNMR1JrWk9EKysrK0hTcVh5OVJDWGxKUWdNakt5eHpjejJyZHYzNlNPMUNzcUtycXZxS2pvdm1PZEx5OHZmN204dlB5WW0xc2RPSERnbXZidXNXM2J0dU4ybDV2TjVtdUZFTHUyYmR1MmVlL2V2V1BiYTYrckZCUVVvS3FxQ21QR2pQR1Z5YkxzZTF4Zlg0OUhIMzBVWVdGaEtDMHRiVFZzYTkyNmRkaXhZd2ZlZU9NTlJFUkVZT1BHalhqcnJiZGdNQmhRV2xxSzRjTjkrNGhCa2lROC9mVFQrUE9mLzR6VTFGVDgvdmUvYnhXUDk5NmJObTNDOU9uVElZU0FMTXZZc1dOSHM4MjFqaDQ5Mml6TzBOQlFmUGpoaDhmOVZzTGxjc0hqOFhUaTFla2RPRUdYaUlpb2o5aTRjU051dXVrbUZCUVVZUGJzMmNqTnpjWG5uMytPa1NOSHRscldzTGEyRmovODhBTm16cHlKKysrLzMzZCswNlpOK01jLy9nRzczWTQ3N3JnRGRYVjFtRE5uRHB4T0oxYXRXb1ZmZnZtbDJjOEREenlBcUtnb1BQLzg4eGcxYWhRQVlPblNwZmpQZi80RHZWNlBkZXZXNGVqUm8waEpTWUZHbzBGbFpTVkNRME1oaElESDQwRjJkalllZlBCQi9QV3ZmKzN4MTZzM0VVTGNBZUJuczlsY1lMRlluaGs3ZHV4WkFGVHRYWGV5NHVMaU1HN2NPTjlZZHFCeGt5dHZEMzF3Y0RBdXVlUVNaR1Zsd1dxMU52dXdCd0JubjMwMjNucnJMVVJGUlFFQXpqbm5ITng0NDQwNGVQQWdBTFJLNkRVYURaNSsrbW5jZE5OTnJlYUxBSTF6VWc0ZE9vVEN3a0xmUkYrMzI0MkdoZ1pVVmxiNmZtUlpoc3ZsYW5adGU4T1BIQTVIczI4YStncjI3Qk1SRWZVUmt5ZFB4dnZ2djQrNWMrZmk3YmZmeHBZdFcvRGhoeDhpSlNVRmMrYk1RV1ptcGkrcDM3aHhJNlpObSthYm5PaGxOcHZ4N0xQUFlzT0dEWGpsbFZld1lzVUtsSlkyN2llMWRldFdiTjNhZkM3b2h4OStDTHZkam5Ianh2bmFuakJoQXViUG40L05temZqNzMvL096Ny8vSE1zV2JJRTY5YXRneEFDbjM3NktWd3VGOTU3N3ozOC9QUFBLQzR1Um5Cd2NBKzhRcjJmRUNJQndIMlNKTjFuTnB2TEFYd0FZSTNUNmZ4bTE2NWRyWmV5T1VsYXJSYXZ2ZlphczdKNTgrYmh3Z3N2Qk5EWUczL3V1ZWNpT1RrWlI0OGU5YTNZNCtVZEZ1YWxWcXN4Y2VKRWhJU0V3R1F5SVRVMXRkVTlqNWVVaDRlSHcyYXpZY0dDQmI2Mkl5SWljUDMxMXplYm9IdlRUVGZobkhQTzZkUnpuVDE3Tm1iTm10V3BhM29ESnZ0RVJFUjloQ1JKdVBmZWUzSHR0ZGRpMWFwVnNObHN2bUVWRG9jRC8vM3ZmeEVXRmdZQU9ITGtDRDc3N0RQY2NNTU56Y1pSbTB3bVBQamdnN2p6emp2eDFGTlBRYVZTWWVIQ2hiNGxEWS9sTDMvNUM1NSsrbWtBd09qUm96Rm56aHdzWDc0Yzc3MzNIa3BLU3JCa3lSSVVGaGFpcXFvSzhmSHhBSUM1YytmaWpqdnV3Tnk1YzQrN29SSzFUUWdSRGVBT0FIZG90ZG9hczluOENZQlY1ZVhsWHhjV0Z0cTc2NzdUcDA5dlZaYVVsTlNweWF3V2k2WDlTbTFZdjM1OXE3SzMzbnFyVmRuU3BVdGJsYlhucHB0dU9xR1lUblZNOW9uNkNMMWVuMmt3R001cWE5eW9UcWNiRWhrWmVhTmFyVTVzYUdqSUtTa3BlUTFBV1FEQ0pBSUE2SFM2NUtpb3FGdFVLbFZrWFYzZEYxVlZWUitkYUZ0R28zRnlSRVRFYkVWUjVMS3lzaGY4SjBiMlJ5Tkhqc1NDQlF0UVhWMk4wMDgvM1ZldUtBb21UWnJrR3k2VG1abUphZE9tdFpvd0NRQm5uWFVXemovL2ZGUldWbUxDaEFtNDdMTEw0SEE0Y05wcHAySFlzR0c0L1BMTGtaS1M0a3YrUFI1UHEzYXV1dW9xSER4NEVQbjUrVGpubkhOdzVwbG40c0NCQTBoUFQ4ZWlSWXV3WWNNR1h3K3UyKzF1YzFuUTdtU3hXR1JGVVJRaGhBSkFVUnBuWmlvQWZHWCs1ZjVsZnVVUVFzaCs1V2hxVTI1NkNMODJ2UVBJTzNVdnY3cko3VHlsVUNIRWZBRHpvNk9qNjZPam96OVZGT1dUTG5pcHFKZmptSDJpWGk0ME5QU0NtSmlZMjRZTUdmS3gwV2c4cytWNW85RTRhZmp3NGI5cXRkb2hMcGZyWUZSVTFQeFJvMGI5RENDeWplYUl1cDFPcHh1Y2xwYTIxV0F3L003bGNwVU5IRGp3dGJpNHVNZE9wSzNvNk9nRktTa3BLOTF1ZDAxb2FPakZhV2xwWHdOb2Uvdk9mdVM2NjY3RER6LzhnUEhqeC92S25FN25NWGMyYlVrSWdTZWVlQUk1T1RrNDQ0d3pJSVRBZDk5OWg2dXV1c28zaktld3NCQXJWcXpBd3c4L2pDZWVlS0pWRzdHeHNYam1tV2V3YWRNbVhIbmxsWmc5ZTNhenRkUDl1Vnl1SHArYzI1U1VDelRtUW1vaFJKQVFRaU9FMEtKeHFjMWdBSG9oaEVFSVlRUVFBc0FFSUJSQW1CQWlYQWdSanNhL3BWRm9YTFl6V2dnUkF5QU93QUFoeEFBaFJIelQwSnVCVFQrRGhCQkpRb2pCUW9naGFFemlVd0NrQ2lHR0NpSFNBQXdETUJ4QXVoQmloQkJpWkZNOEhTS0VrSVFRa1pJa0JYYTVJem9sc0dlZnFKY3pHQXlUOVhyOVdLMVdtOXpXeGlxSmlZblAyMnkySC9Qejg2OEVnS05IajY1TlQwLy9NVFkyOXVZVDJNcWQ2S1RGeE1ROElrbVNkdCsrZlZNQjFEaWR6Z01EQnc1OHVhU2s1RlVBcFIxdEp6ZzRlRkJpWXVKek9UazVGMWl0MWswNm5XNkV5V1E2RDRBR3JkZEo3MWR5Y25LUWs1UFRyR2ZmWnJQNWh2QWNUMVZWRlNvcUtyQmx5eGJZN1hiZkI0WWpSNDRnSlNVRnA1MTJHZ0MwV3RkODVNaVJyWlplL09LTEw2QW95akdIYkx6enpqdElURXhFZVhuNUNRL3JPRkZaV1ZrdHY5SVEzcDlKa3lhSnVybzY0WEE0UkVORGczQzczY0x0ZG92WTJGamhjcm1FeCtNUmJyZGJlRHdlSWN1eU1KbE12c2ZlMzdJc2k1Q1FFTGhjTGtsUkZLSFQ2UVFBTk5XUlpGa1dBS0RWYW9Vc3kwSlJGTjl2alViVDdGaFJGS0ZTcVZZMkpmMXRVaFRGQ21Dam9pZ2IzVzczaDcvKyttc3BBRmdzbGxlNzV4V2szb0xKUGxFdlYxeGN2QkJvM05teHJmUEJ3Y0VqUFI1UE5Sb1RJS2ZkYnM5cUtoL1djMUVTL2Naa01rMnhXcTAvb21tWDBQcjYrcytGRU5xSWlJaUxxNnFxV2crK1BZYnc4UEFiR2hvYWNxeFc2eVlBeU0vUHZ3S051NWZXZFV2Z3ZjQzMzMzZManovK0dJY1BIMFp5Y3JKdkJaVGEybHJZYkRZa0pDUzBlZDJhTldzd2V2Um9EQmt5QkdWbFpYamdnUWRRVkZTRWpJd002UFY2MU5iV29yQ3dFTE5uei9aZDA5WTY2MTVMbHk3Rjd0MjdrWjJkalFrVEpyUTVSTWU3TE9Menp6OFBtODJHdkx3OHJGNjl1czNsRm51SWJ5ak8xMTkvM1dhRndzTENOc3Q3Z3NWaWNiUXNVeFRscUJEaVM0L0hzN0ttcG1iTndZTUhXOVhwTGZyQ2pzdW5LZzdqSWVyanJGYnJONHFpK05ZZjArbDBDUURnY3JtS0FoY1Y5V2RCUVVIeEhvK24wbnRzdDl1TEFjQmdNSXpxVER0R28vRmNxOVg2ZlhoNCtKeEJnd2E5TTJEQWdJZlIyRFBiYjQwYk53NFhYWFFSQ2dzTE1XTEVDRi81OTk5L0R3RE4xa3IzdDNqeFluejc3YmNBZ09IRGgyUGx5cFV3R0F5K2RmbC8vdmxuS0lxQ0w3LzhFc1hGeGUzR01XdldMQ1FuSjZPMnRoWVpHUmx0MW5FNm5aZ3padzVlZlBGRnZQamlpMUFVQlY5OTlWV25ubTkvcENoS09ZRDNBRndxU1ZMc3RtM2Jyc2pPenY2NE55ZjZ3Rzg3THIvd3dndk4xc2NIZnR0eCtaRkhIZ2xRZEwwYmszMmlQaTRuSitmOG5UdDNEZ1RnQklEUTBOQ3JBQ2pWMWRVblBDR1M2R1FvaXVKUXFWUkd2NklJQUZDcFZKMmFSNkxWYXRNTUJzUHBnd2NQZmtlajBReUlpWW01THowOWZTUDY4YmZXT3AwTzU1OS9Qb0RHVFlRQXdHNjM0L1hYWDBkR1JrYWJ5eHc2blU0NG5VN2Z1dWRBWTArcTNXNzNKVjBmZnZnaDR1TGlNR1hLRk15Yk53OFZGUlhIalNNaUlzSzM3R0hMcFJlOTdjK2NPUk56NTg1RlptWW16ajc3YkZpdFZ1emZ2eDkyZTdjdEl0UGJmZXgydTgvTHlzb2FzRzNidG11MmJkdTI5cGRmZm5HMWYxbnY0TjF4ZWZueTVmanZmLzhMQURoOCtMRHYvS213NDNKdjFXLy9JQkwxTXdvQUJBY0hENHlMaTN1Z29xTGlIL1gxOWRudFhVVFVIUndPeDY5NnZYNDhHaWNjMnVQajQyOEhBRVZST3RVcnIxYXJ3NE9DZ21MMjc5OC8yV3ExYm9xS2lwby9hTkNnMThQQ3dxWlhWMWV2Nm83WWU0UDkrL2REbG1WNFBCNGNQWG9VOTkxM0gycHJhL0hDQ3k4MHE2ZlJhUERGRjEvNHh0MnZXYk1HVjF4eEJkTFMwdUJ3TkhZU094d09yRnk1RWxsWldYanh4UmR4eGhsbndHcTFZdTNhdGRpOGVUTnV1KzAybUV3bWVEd2UxTmZYWTlLa1NiNXgrM3YyN0FIUWZMZFZvOUdJWDM3NXhkZEQrOUpMTC9ucUhEaHdBTElzWTkyNmRYMXlyZk9UdFczYnRyOEhPb2J1ZHFydnVOeGJzV2VmcVAvUUp5VWwvY2RxdFc0cUtDaTRKOURCOUZhS292VEo3ZFI3VW5sNStiL1VhblZrYW1ycXA0bUppUy9GeE1UYzUzYTd5MlZacnUxa1UrcTZ1cnJOM2pIN0ZSVVZxd0RBYURSTzdQS2dlNUdCQXdjaUpTVUY2OWV2eCtXWFh3NkR3WURseTVkajBLQkJ6ZXJkZGRkZENBc0xRM1YxTmN4bU02Njk5bHFrcGFVQmFQeFc0TWtubjBSZFhSMldMRm1DeFlzWDQ2eXp6b0pLcGNKZi92SVh2UExLSzVneVpRb3FLaXF3ZWZObWJOeTRFZEhSMGJqMDBrdDk3WThlUFJvUkVSRnd1OTIrc2x0dXVRV3BxYWtvTFMxdDlsTmVYZzZ6Mll6NTgrZGo1c3laUGZOQzBTbURPeTUzTC9ic0UvVVBJams1ZWJuSDQ2bkx5OHU3SElDNzNTdDZxYUtpb21OT1FuemtrVWR3elRYWElEMDkvYmh0N051M0R3TUdER2cyL0VCUkZGK3YwcFZYWG9sNzdya0haNXh4eGpIYnNObHMrT0tMTDNEeHhSZTM2bjJTWlJuWFhYY2Ryci8rZWt5YU5LbmRMZHc3YXZueTVmakRILzRBZzhIUUplMTFsOHJLeW5jVlJWRkZSVVhOMWVsMHd3OGNPUENISVVPR3JHcG9hRGpRbVhaa1dhNXQ4UUdoR2dCVUtsVkVsd2JjeTRTR2h1TGpqei9HeXBVck1YejRjSXdjMmZZQ0xsZGNjUVd1dU9LS1k3WnowVVVYSVRFeEVSRVJFYjVOc0x6R2p4L2ZiRmxQaDhPQm9LQ2dabXZ0anhvMUNsOSsrZVZ4cnlNQ3VPTnlkMk95VDlRUHhNZkhQNmJWYWxQMzdObHpOb0FHclZhYkZoNGVQcWVrcEtUMTR0aTltQ3pMK05PZi9vU2twQ1FzV3JRSWtaSE5oNER2M3IwYkw3MzBFbDU5OVZYSXNvd3Z2dmdDRjExMFVhdDJ2di8rZXl4YnRnejMzSE9QYjZmSXVYUG40ckxMTHNQMDZkTngrUEJockZpeDRyakp2aVJKZVBMSkovSE9PKy9nM1hmZmhkRm9oQkFDUWdoSWtvVGMzRng4OE1FSE9PZWNjMXB0UnJSaHd3Yjg3My8vNjlSenI2NnV4azgvL1lUOC9IdzgrdWlqbmJvMkVLcXFxdDZ1cXFwNkd3QU1Cc01ZU1pJTWRydjloODYwMGREUWtCY1VGT1MvWldjd0FNaXlYTk9Gb2ZaYWwxMTIyVW0zTVdwVXgrWk02M1M2azc0WDlWL2NjYmw3TWRrbjZ1T01SdU9reU1qSVczSnljazVIMDFLSDRlSGhNd3dHUTg4dWF0MERKRW5Db2tXTGNPT05OK0xSUng5Rldsb2FTa3BLZk9jckt5dmhkRHF4Y09GQ2xKU1VZTWVPSFFnSkNXbTFuTnNmLy9oSGZQbmxsL2pMWC82Q3BLUWtCQWNIWTgrZVBWaS9majNPTys4OHFOVnEzN2J3UlVWRkNBOFBiL1VQajNmem9IUFBQUmNta3dsMWRYV1lQMzgrNXMrZmovUE9PdzlCUVVFWVBYcDBtN3VYamg4L0hxKzg4Z29NQmtPekpNcmo4V0Q3OXUwWU5HZ1FUai85ZEJpTlJqZ2NEalEwTkVDdFZtUHk1TW1vcUtqQW9VT0hPclZ0ZlNBTUhqeDRXVjFkM1liS3lzcC9tMHltMlM2WHE3aXVyczZYN0llSGgxOWpNcGttSHpwMDZBRUFiYzRHdFZxdEcyTmlZdTRMRGc0ZWFMZmJEeHNNaGhRQWFHdS9DU0k2dFozcU95NzNabnlsaUhvL28wYWpTUUlBalVZekNJMjdPTmFpYVZPaHBLU2sxendlVDBWOGZQeHpBQ0NFVUJ1TnhpbVZsWlZMdXpvUXM5bDhIZ0IzVmxiV2R3alFVQ0dMeFFLTHhZS2dvQ0NrcEtUZzNYZmZiWGErdnI3ZTl3Rmc2TkNoV0w5K1BTWk1tQUJKK20wS2t5Ukp1UGJhYS9IQkJ4L2d6VGZmUkhoNE9BQmd4SWdSK09LTEwrQjJ1N0Z2M3o2c1dMRUNiNy85TnNhUEg0L0hIbXUrQWF5M1BlOXZuVTZIM054Y3JGbXpCbWVmZlhhenVxdFhyOGEwYWROOEh4Qk1KaE5Xcmx5Sm1wb2EzNG9xQUxCanh3N01temNQdDk5K095Wk5tdFRzSDd2S3lzcFczMlNjeXNMQ3dpNVRxVlNSTHBlcktqWTI5dTZpb3FLSEFmZ21ReVFsSmIwaVNaTFI0WERrbEphV3RybVllMFZGeGIraW9xSnVUMGhJZUwya3BPUyttSmlZeDUxT1owRmxaZVdLSG5zaWZpd1d5NTljTHRmNm5UdDM1Z2ZpL2tTOW1YZkg1UXN1dUFEUFBQTU14bzhmajA4KythVE51b0hZY2JrM1k3SlAxTXNOR3pac3JjRmdtQWdBQm9OaGdzVmlLU3NxS2xwWVdscjZONkJ4ZVVJQTBPbDB6UWJ1T3AzT2dtNElaNm9RNGw2ejJWd0Y0Q01BcStycTZyN0p6YzN0OXQxTWQrN2NpWC84NHg5NDZLR0hzSERoUWl4YnRnd05EUTJZT25VcVB2dnNzemF2VWFsVXVQdnV1MzBKdWR2dHh2cjE2ekZseWhSTW1USUZaNTU1SnFaUG40N016RXdBaldQaXZiWnMyWUl0VzdZQWFGekZaT0xFaVpnMGFWS2I5L0ZQeERNeU1ueTk5WWNPSGNLZi8veG5mUGJaWnlncUtzTHR0OS9lN0xwWnMyWmh6Smd4dmc4QkJ3OGVoTWxrd3YvKzk3OVd3M3grK09FSFhIREJCWGpvb1llYWZYQTVWUlVVRkN4SVNFaDRhc2lRSWUrVmw1ZS9WRjVldnNUL2ZFMU56YWNoSVNGVGJUYmI1bU8xNFhBNER1WG01bDZTbUpqNDR0Q2hRMysyMld6Yjl1L2ZQd1ZBZmJjL2diWXRDUW9LV21LeFdMSVVSWG5QN1hhdjI3bHo1OTRBeFVMVTY1ektPeTczWmt6MmlYcTVmZnYyVFRyZStXM2J0dlg0SmtOQ2lBZ0F0d0s0TlNRa3BNWnNOcityS01xcTZ1cnFIN3ByNDVmMDlIUzRYQzVjZmZYVmVPbWxsN0IyN1ZvWWpVYWtwYVZoOE9EQkNBc0x3eHR2dklIbzZHak1tREVEQUxCNTgyWTg4OHd6ZVBycHA3MXhZKzNhdFhqMTFWZnhmLy8zZjNDNVhJaU5qY1ZQUC8yRWh4OSsyRGNHZXVMRWlaZzFheFlXTEZqUUtvNjllL2ZpaHg5K0czciswMDgvNGVPUFA4YS8vdlV2WDluWFgzK05ob1lHN05peHc5ZW1WcXR0ODNsbFoyY2pPVGtaUU9PU2l2SHg4YWlzck1UT25Uc1JFaEtDd1lNSEEyamNJYldxcXFwWEpQcEE4ekg3YlRsdzRNQTFIV25IYXJWK3ZYZnYzckZkRjFtWE1Bc2h6RUZCUWMrYXplYmRpcUlzOTNnOGEzZnUzTGt6MElFUm5ZcDY2WTdMdlFhVGZTTHFWa0tJVUFBTGhCQUx3c1BEclJFUkVSL0lzdnlKTE12Zjc5aXhvOHQ2WU5WcU5SNTc3REhNbWpVTDc3MzNIZ0JnM2JwMXFLdXJhMWF2dkx6Y3Q2NjQxOGNmZjR6TEw3OGNLcFVLVHo3NUpHYk9uSW1ubjM0YXA1OSt1bS83OWovODRRL0h2UGVXTFZzd2ZQaHdoSWVISXlFaEFlKzk5eDVxYXhzWGljbk56WVZHbzhGZGQ5MEZBSGo3N2JjUkd4c0xSVkZ3NmFXWDR1YWJiOGJTcFcyUHFGS3BWRENielZpOHVIRVVTMlptSm9ZT0hZb3p6endUT1RrNU9QdnNzN0ZvMFNMZnVWTjluSDUvSklRWUlZUjRTcEtrcHl3V1N4NkE1ZTFlUk5UUHpKbzFDOHVYTDhjMzMzelQ3bzdMa3lkUGhzMW13OXR2djQydnZ2cUt5WDRITU5rbk9nRVdpMFVKZEF5OWtSRENDT0JHU1pKdWxDVEpiamFiVndENHdIOVp5NU9SbEpTRWVmUG1vYnE2R3VlZWV5NGVldWdoeko4L0gyZWRkVmFyMVVLKysrNDdEQnMyREFzWExteDJMalkyRnIvLy9lOWhNcG13ZXZWcTJHdzJlRHllWnR1ME94d09iTnEwQ2NYRnhWQVVCWnMyYmNMdmZ2YzdQUFBNTXdnSkNjR3FWYXRnTkJveGJ0dzRSRWRISXk0dUR2bjVqY080cDArZmpnY2VlQUFUSjdhL0ZIeGJ2ZlNiTm0zQ3BrMmJUdlFsNmhTK3o3dGNDb0RIMnExRjFNOTRkMXhldG14WnV6c3V4OFhGQVFDV0xGbUNJMGVPd0c2M2N4bk9kakRaSjZKQVVRTklWUlJsYkZldE13ODBidHB6MDAwM1llTEVpWWlLaW9Ja1NWaTllclZ2a3ExWGVYazVoQkJ0RHArNTU1NTdVRnhjak5kZmZ4MHpac3pBenAwN1VWRlJnZTNidHlNcUtnb1pHUm5JeXNxQ3pXWkRZbUlpUm84ZWpacWFHdXpldlJzalJveEFTRWlJcjYzZi9lNTNzRmdzT1BmY2N6RisvSGhFUmtaQ0NBRkZVYUFveDgrbDIzcGRicjMxVnN5ZlB4K1hYSEpKcTNQdHRVZEVkS3JpanN2ZGg4ayswUWtJeERqNDNzQnNOajhyaExqM09GVWNBTFlxaXJMYTZYUytzMnZYcmlvQXNGZ3NUM1ZWRE9YbDVjakt5c0tkZDk0Sm9IRjRUMWhZR0VhUEh0MnMzdmZmZjQvQmd3ZTNtVkNyVkNwODlkVlhTRXBLOHExWnJ5Z0t4bzhmajRzdnZoaC8rdE9mTUhIaVJGeHd3UVc0Kys2N2p4dFBjSEF3emovLy9GYmxpcUpnMWFwVkdERmlCSUMyRS91MnluYnYzbzBWSzFhZ3ZyNzFDS2l1VHZiNVB1K2M5cjRKVVJTbFVBanhHWUFiZXlna29sN2pXRHN1di9QT095Z3RMVzFWMzJ3MncydzJjOGZsRG1DeVQwVGR6UWJnQjFtV1YxcXQxdVc1dWJtMTdWNXhBclp1M1lyVnExZmp3SUVEVUt2VkdEWnNHSURHb1RBbEpTWE4xdHMvbnM4Ly94eHV0eHNmZnZnaFRqLzlkRjk1U1VrSlpGbjJmWVhzeitQeG9LNnVEbUZoWVcyMldWOWZqNisrK3FwWm1kdnRodDF1eCtPUFB3NEFlTzIxMXpCaXhBaE1tRERCVjZldDVQMTR3M2pZczMvcVVSVGxnQkJpdlN6TDcyL2Z2djE3QUxCWUxFejJpVnJnanN2ZGg4aytFWFVIbTZJb1dVS0lEOXh1OXp0ZE9SSDNXREl5TWxCZlg0L0hIMzhjaVltSnZ0VWNPanRFeUdxMVl0bXlaU2d0TFVWYVdwcXYvTWNmZndTQVZ0OFFBSTByOEN4WnNnU3Z2dnFxcjh3N1FYZjkrdlg0NElNUE1HN2N1R2JYZUR3ZVhIMzExVGp0dE5OZ3M5bnc4TU1QWTkrK2ZlMG0rOGNieHVQLzlUY0YxRDVGVWRZSklkN1B5c3I2SmREQkVGSC94bVNmaUxyU0hrVlI1dFhWMWIzWEUydnIrOU5vTkpnNGNTS0Nnb0thYlM0bHl6SXV2UEJDMzRvMlhwZGZmbm1iN2N5YU5RdHF0UnBQUHZra0lpSWlBQUEybXczTGxpMURlbnE2N3hzRGYrWGw1YkJhclFDQTdkdTM0OVZYWDhXMmJkc2dTUkl5TXpOeHd3MDNJRGs1MmJkZXY2SW9lT0tKSnpCbHloUklrZ1M3M1E3Z3R6R3JYb3Fpb0xDd0VDdFcvTFpIbFA4d25nTUhEalE3eDJRL3NCUkZXU3pMOG52WjJkbTdBaDBMRVpFWGszMGk2akpaV1ZsdkJ2TCtCUVVGcUtxcXdwZ3hZM3hsL2dsd2ZYMDlIbjMwVVlTRmhhRzB0QlJEaHc1dHM1MmZmLzRaUU9ONCs3S3lNano0NElPb3JxN0czLzcyTjErZG9LQWdiTjI2RmErOTlocXlzN094ZCs5ZUxGKytIRE5tek1EQmd3Y3hhdFFvUFB6d3cwaE5UZlZkWXpRYXNYNzllaHcrZkJnQWZPdnhOelEwZmk3YXNHRUQ4dkx5a0pLU0FxQnhxTS91M2J1YkxSWHFQNHduT3pzYjJkblpiVDVYNm5sWldWa1BCem9HSXFLV21Pd1RVWjhSRnhlSGNlUEdOVnNOeCtsMFFxVlNBV2hNM2krNTVCSXNXYklFVnF1MTJaQVpmOTZ4OTh1V0xVTmVYaDVPUC8xMFBQWFVVeGd3WUlDdnpsVlhYWVhWcTFkajllclZFRUxnakRQT3dMUnAweEFTRW9KLy9PTWZHREpraU8rK1h2ZmVleTgrK2VTVFZqMzRBREJzMkRETW5qM2JsK2dEamNuK3JGbXpzSERod25hZmUyWm1wdStiQ0NJaUlpK3V0RURVQ2Q3Vk5yaEtTZGZ5dnE2Ly9OTDF3NXZYckZtREN5KzhzTmxhK29jT0hjTFJvMGN4ZG16Ykc2L0tzb3lOR3pkaXo1NDl1T3l5eXhBZkg5L2xjWFhFVHovOTFPSEphZDVsUDd1Q2Q3Z1IzK2Zkb3p2Zjc5UysvdmIrNXZzdDhBTDlubVBQUGhIMWFkT25UMjlWbHBTVWROemRaaVZKd3Zubm45L21rcGs5cVRPclVIUlZvazlFUkgxTDYrMFppWWlJaUlpb1QyQ3lUMFJFUkVUVVJ6SFpKeUlpSWlMcW81anNFeEVSRVJIMVVVejJpWWlJaUlqNktDYjdSRVJFUkVSOUZKTjlJaUlpSXFJK2lzaytFUkVSRVZFZnhXU2ZpSWlJaUtpUFlySlBSRVJFUk5SSE1ka25JaUlpSXVxam1Pd1RFUkVSRWZWUjZrQUhRRVJFMUI5Tm5UbzEwQ0VRVVQvQVpKK0lpS2dIS1lxeVd3Z3hvcXlzTE5DaDlGdUtvaHdNZEF4RVBZWEpQaEVSVVErcXE2dXo2UFg2NkVESGNhSWtTYnBYQ0JIcjhYZ2VDSFFzSjZxaW9xSXEwREVROVJRbSswUkVSRDBvTnplM0FVQmhvT000VVdhemVZWVFRcnRqeDQ0aUFFcWc0eUdpNDJPeVQwUkVSQjFpc1ZqR0FCZ0NBR1BIamoxeisvYnQzd1U0Sk9xZ3VYUG5Cam9FQ2hBbSswUkVSTlJSbDNvZlNKSjBGUUFtKzZlK1lnRHh1M2Z2RG5RYy9WMUZvRzdNWkorSWlJZzY2bXJ2QTBWUnBnVXlFT3FZaG9hRzBXcTFPalhRY1p3b2xVcjFJd0I0UEo3VEF4M0x5ZkI0UEljQ2RXOG0rMFJFUk5RdWk4V1NEaURkZXl5RUdHdzJtOGRsWldYOUhNQ3dxQjI3ZHUycUF2QlRvT000VVJhTEJRQ1FuWjNkYTU5RG9IRlRMU0lpSW1xWExNc1h0eXdUUWx6ZFZsMGlPblV3MlNjaUlxSjJ0WlhZY3lnUDBhbVB5VDRSRVJFZFYyWm1ab29RWW16TGNpRkVXbVptNXVoQXhFUkVIY05rbjRpSWlJNnJyU0U4ZnVjNGxJZm9GTVprbjRpSWlJNUxDSEhWY1U1ZjBtT0JFRkduY1RVZUlqcGxaR1ptQmpvRUltcGg1TWlSZ3dBY2M5bERJY1RJakl5TXRPenM3UDA5R0JZUmRSQjc5b2tvNEJSRjZSTkxxaW1LRXVnUXV0S3ZnUTZBVGcxYXJYWnFlM1VrU2VKUUhxSlRGSHYyaVNqZ3NyS3lldlZtS1Y1ang0NmRwaWhLOVBidDI1Y0ZPaGFpcnJKdDI3YlhBTHptUGJaWUxFcFR1UWhZVUVUVVllelpKeUxxSWtLSW1VS0l5d0lkQnhFUmtSZVRmU0tpTHBDYW1xb1ZRc3dHY0c1aVltSndvT01oSWlJQ21Pd1RFWFdKa0pDUXN3R1loQkRHbUppWTZZR09oNGlJQ0dDeVQwVFVWV1o2SHlpS2Nua2dBeUVpSXZKaXNrOUVkUEtDaEJDK0JGOEljZDdJa1NNMWdReUlpSWdJWUxKUFJIVFN6R2J6bVFBaS9ZcENnNEtDcGdVcUhpSWlJaThtKzBSRUowa0k4ZnMyeXE0SVJDeEVSRVQrbU93VEVaMGNGWUE1TFF1RkVCZUFlNWtRRVZHQU1ka25Jam9KWnJONVBJQzROazVGbXMzbUMzbzZIaUlpSW45TTlvbUlUczZNNDV4cjFlTlBSRVRVazVqc0V4R2RPRWtJY2RWeHprOEIvODRTRVZFQThSOGhJcUlUWkRhYkxRQUdIdXU4RUNKMnpKZ3hrM291SWlJaW91WTRlWXlJNkFRcGlqSUV3QWJ2c1JEaS9LWnlYNWxLcFJvR1lHUFBSMGRFUk1Sa240am9oRzNmdnYwVEFKOTRqeTBXaXdJQVdWbFpuSmhMUkszb2RMcmtxS2lvVzFRcVZXUmRYZDBYVlZWVkg1MW9XMGFqY1hKRVJNUnNSVkhrc3JLeUZ4b2FHbks3TWxicU96aU1oNGlJaUtpYjZYUzZ3V2xwYVZzTkJzUHZYQzU5dDE4UUFBQWdBRWxFUVZSWDJjQ0JBMStMaTR0NzdFVGFpbzZPWHBDU2tyTFM3WGJYaElhR1hweVdsdlkxQUcyWEJreDlCbnYyaVlpSWlMcFpURXpNSTVJa2FmZnQyemNWUUkzVDZUd3djT0RBbDB0S1NsNEZVTnJSZG9LRGd3Y2xKaVkrbDVPVGM0SFZhdDJrMCtsR21FeW04d0JvQURSMFYvelVlekhaSnlJaUl1cG1KcE5waXRWcS9SRkFEUURVMTlkL0xvVFFSa1JFWEZ4VlZmVldSOXNKRHcrL29hR2hJY2RxdFc0Q2dQejgvQ3NBR0FEVWRVdmcxT3R4R0E4UkVSRlJOd3NLQ29yM2VEeVYzbU83M1Y0TUFBYURZVlJuMmpFYWplZGFyZGJ2dzhQRDV3d2FOT2lkQVFNR1BBeEFkSEc0MUljdzJTY2lJaUxxWm9xaU9GUXFsZEd2S0FJQVZDcFZaR2ZhMFdxMWFRYUQ0ZlRCZ3dlL285Rm9Cc1RFeE55WG5wNitFUnl0UWNmQVpKK0lpSWlvbXprY2psLzFldjE0QU1FQUVCOGZmenNBS0lyU3FWNTV0Vm9kSGh3Y1BESW5KMmRLYm03dWxLS2lvZ1hCd2NHandzTENwbmREMk5RSE1Oa25JaUlpNm1ibDVlWC9VcXZWa2FtcHFaOG1KaWErRkJNVGM1L2I3UzZYWmJtMmswMnA2K3JxTm52SDdGZFVWS3dDQUtQUk9MSExnNlkrZ2NrK0VSRVJVVGVyckt4ODkrREJnemRJa3FUVzZYVEREeHc0OEFkSmt2UU5EUTBIT3RPT0xNdTFMVDRnVkFPQVNxV0s2TktBcWMvZytDNGlJaUtpSGxCVlZmVjJWVlhWMndCZ01CakdTSkprc052dFAzU21qWWFHaHJ5Z29LQWt2NkpnQUpCbHVhWUxRNlUraEQzN1JFUkVSRDFnOE9EQnl5SWpJK2NDZ01sa211MXl1WXJyNnVwOHlYNTRlUGcxU1VsSmJ3R0lPbFliVnF0MW8xNnZIeDBjSER3UUFBd0dRd29BMkd5MnJkMGNQdlZTVFBhSmlJaUlla0JZV05obFlXRmhWNWhNcG90alkyUHZMaWtwZVJxQXgzcytLU25wbGNqSXlPdGpZMk52UEZZYkZSVVYvNUpsMlo2UWtQQzYwV2djRlJzYis3alQ2U3lvckt4YzBTTlBnbm9kSnZ0RVJFUkVQYUNnb0dDQlhxL1BIREpreUh2bDVlVXZsWmVYTC9FL1gxTlQ4Nm5iN2E2eTJXeWJqOVdHdytFNGxKdWJlNGxhclk0Yk9uVG96MEZCUVhINzkrK2ZBcUMrMjU4QTlVb2NzMDlFUkVUVUEvekg3TGZsd0lFRDEzU2tIYXZWK3ZYZXZYdkhkbDFrMUpjeDJTY2k2bUptczdrdzBERVFkUmRGVVFEd2ZVN1VXekRaSngrOVhwOXBNQmpPS2k4dmY5bS9mTWlRSVIrMlZmL28wYU1mVlZkWC82ZWpkVG9xT0RqNDlLaW9xRGtxbFNyQ1pyUHRLQ3NyV3dxZ3JyTjFpSHFhb2lnNVFvaWhRb2lFUU1kQzFBUDRQaWZxQlpqc0UwSkRReS9RYXJWRG82T2o3N1haYkZ0Ykp2dmg0ZUZYdEhWZFZWWFZpczdVNllqbzZPZ0Y4Zkh4LzFkVlZmV20wK2tzam91TGV6QXFLdXFHM2J0M253bWdwcU4xaUFMQjZYU09VcXZWMFlHT2c2ZzdxVlNxUWdEd2VEeUpnWTZGK2o2VlNsWG8vVGFKaUU1UWZIejg0dFRVMU04c0ZvdlNWZzk5VS9sSGFQeHc2UC9UcVRvZE1XYk1tTXJVMU5UL2VZK05SdU5raThXaXhNWEZMZXBNbmU1aXNWZ1VpOFhDdnpwRTFHL3g3eUQxSkw3ZlRoNTc5Z25GeGNVTGdjYi9vWTVUVFFIZ2JxZXBqdFE1TGxtVzZ6UWFUYXozMkdxMWZnY0FPcDB1dFROMWlJaUlpSWpKUG5XUVNxVUtpNDJOdlZPcjFacmRidmZCNHVMaUY5Qml5RXhINnJUbjExOS9IUTlBNVQwMkdvMW5Ba0I5ZmYwdm5hbERSRVJFUkV6MnFZTk1KdE1VclZZNzFPbDA1a2RHUmw1dE1wbW03ZDI3ZHdMOE5nUHBTSjBPS0FOZ2pJNk92ajA0T0hoWWVIajR0VGFiYlZ0NWVmbnJuYXhEUkVSRTFPOHgyYWNPc2Rsc3Z6UWw3cTdZMk5pN0VoSVNYb2lJaUpoWlZWWDFTV2ZxZEpBaFBEejhTcDFPbDZaU3FVTHI2K3MzQTdDZlFCMGlJaUtpZm8wNzZGSzdkdTNhbGJaMzc5NUxBYmdBb0xTMDlDTUFNQmdNNTNTbVRpZVU3dCsvLzNjN2R1d1lVRlpXOWxKMGRQUmRlcjNlY2dKMWlJaUlpUG8xSnZ2VUVRcWFrdmdtWlFDZ1ZxdkRPMW1uc3p5RmhZVlBBVUJFUk1TVkoxR0hxTi9TNlhSREVoSVNua3BLU25xM2FjV3FtRURIUkVSRVBZZkpQclVyTFMzdHEwR0RCdjNWcjhnSUFHNjMrMmhuNm5SRWFtcnErdGpZMkx2OWlvNENnRnF0anVsTUhTSUNqRWJqcE9IRGgvK3ExV3FIdUZ5dWcxRlJVZk5IalJyMU00RElRTWRHUkVROWc4ayt0VXVTcEZDbjAzbkVlMnd5bWM0RUFLdlYrbU5uNm9TSGgxK1RsSlQwRm9Db1k5MHJKQ1Jrc2xhclRmY2U2L1g2VVFEZ2NEaCs3VXdkSWdJU0V4T2Z0OWxzUCtibjUxOVpYRno4YUY1ZTNteU5Sak13TmpiMjVrREhSa1JFUFlNVGRMdUlYcTgzMjJ5MnJDNXVWZ1BBMmNWdHRzV28wV2lTQUVDajBRd0NFQTJnRmtBREFGUlZWUzNUYURTRERRYkRHRm1XRFltSmljODduYzdEUjQ4ZVhlVnRvQ04xa3BLU1hwRWt5ZWh3T0hKS1Mwc1h0eFZJVFUzTldwVktGYWJSYU5LMVdtMWtRa0xDOHk2WDYwaEpTY21ibmFsRFJFQndjUEJJajhkVGphYS9KWGE3UGF1cGZGaGdJeU1pb3A3U0gzdjJWU0VoSVdkM3BHSndjUEFaYVB4SHNsMnBxYWtiaGc4Zi9rTklTTWlaSFExazZOQ2hHMkppWXU2TGlvcTZwYTJmOVBUMEg4UEN3bVoydEwwVE5XellzTFdqUm8zNkZRQU1Cc01FaThWUzVqOU01dkRody9kNFBKNGpLU2twWDZhbHBXMTB1VndsKy9mdnZ3aUFyVE4xYW1wcVBuVzczVlUybTIzenNXTEp6OCsvM3VQeDFLU25wMjlKU1VuNWYyNjN1M0wvL3YzbkFxanFUQjBpQXF4VzZ6ZUtvdmptMHVoMHVnUUFjTGxjUllHTGlvaUllcElJZEFDQllEYWJYVFUxTlo4cGltSTdYajJUeVRURmJyZnZha29rWGNlck8zcjA2RUszMjEyNVo4K2Uwd0U0T2hMSGlCRWpkdXQwdXZUajFiSFpiRC91M2J2M2pJNjBSOTNQdTh2d3RtM2IrdVgvTzlRckNUUk9vRWRzYk96RENRa0pmOTIzYjUrNXZyNCtPOEJ4VVMvRnY0UFVrL2grTzNuOWNoaVBMTXR1ZzhFd3p1bDA3dmVXNmZYNjM3bGNybUtYeTVYdkxWT3BWR0Z1dDdzRTdTVDZBS0FvaXR2dGRsZkJMOUVQRHcrLzFPRndWTmp0OWkzSHVNYmxkRG9MNnV2cjJ6d2ZHaHA2cWQxdTV6aDBJam9aQ2dBRUJ3Y1BqSXVMZTZDaW91SWZUUFNKaVBxUGZwbnNDeUU4TlRVMWF3b0tDbTd4bG1Wa1pGUlhWVlc5WDF4Yy9KQzN6R0t4S0E2SEk3ZWQ1dUlBbEFDQVRxY2I2bGNlblppWStLb2tTY0c1dWJtVDZ1dnJkN1J4cmFUUmFBWTFqWk1uSXVvdStxU2twUDlZcmRaTkJRVUY5d1E2R0NJaTZqbjlNdGxYRk1XajArbEdSRVZGK1pKOUlZUkdyOWVQOVM5clNhZlREVFlhalJkNWp5VkpFckd4c1k5NVB5QUlJWUtNUnVNb3E5V2FNMnpZc0U4a1NUS1dscGIrbnl6TGJTNC9LVWxTVUFmQ0ZRQzBCb05oT0h2amlPZ0VpT1RrNU9VZWo2Y3VMeS92Y2dEdVFBZEVSRVE5cDE4bSt3QVVvOUY0dHRGb2JEWlIxMlF5VFRHWlRGT09kWkhENFNoSlNVbTVYNnZWSnZ1WER4Z3c0QzhxbFNxOHZyNysyL0R3OEp2ajR1SUdxMVNxcUwxNzkyWTJORFEwKzJZZ0xpN3UvdURnNEV3QTBHcTF3endlajZPMnR2YlR0dTRYSGg1K1JYQnc4T2owOVBTZmc0S0M0bk55Y3NiYTdmYkRKLzYwaWFpL2lZK1BmMHlyMWFidTJiUG5iQUFOV3EwMkxUdzhmRTVKU2NrVGdZNk5pSWk2WDc5TTlvVVE2ckt5c3BjTEN3dnY5SlpsWkdSVWw1ZVh2OXB5R0UrTFN4MEhEaHc0MjJhejJRQlVSMGRILzJuZ3dJRkxEaDQ4K01mQmd3ZS9ZN1BaZm82SmlibTd0cloydys3ZHU4OEFZRzE1NzZxcXF2VXBLU25YTkMySEI1VktwUXNQRDcvaVdMSHE5ZnJUNnV2ck56VTBORlJHUkVUY1dsUlU5UEJKdndCRTFDOFlqY1pKa1pHUnQrVGs1SndPb0FZQXdzUERaeGdNQmt1QVF5TWlvaDdTWDVQOUlEU3RJZDlaTnB1dDJQczRMQ3hzaHN2bEtyRmFyZDhBZ0tJb29xYW01bE9iemJZYmJTVDZBT0IwT25mdDJiTW5Bd0JHamh5NVg2dlZEbTJybnBmTDVTclp0Mi9mRERUOVE5MVpGb3RGVVJRRlFqUk9ZdmQvM1BLNG8rY1VwZkV6VUZ2SGJaMXJvNTdTa1RaYTF2VXZFMEpBbHVXVzhTb3Q3dXQ3N3Q1R21xNVRoQkFRUWloTmwzbmI4VlpUL0s1Vi9PSm8rZUdQNkpTV2xKVDBtc2ZqcVlpUGozOE9hT3pvTUJxTlV5b3JLNWNHT2pZaUl1b1ovVEhaMXdvaE5EcWRibFJueCt6NzArbDBnME5DUWlhWGxwYitEWUFIQUNSSkNxNm9xSGd0SlNYbHM1cWFtZzhkRGtmKzhkcVFaYm5CNFhEc3FhNnVYZ01BVVZGUjg5eHVkN24vc2RWcTNZUVRUUFQ5bmx1YmowLzBYQmUwSVRyUlJxdTZRT3NQSnNkcW8rVnZBSkFrcWQzcldqNW1uays5a1ZhclRRTUFuVTQzMHIvYzZYUVdCQ1lpSWlMcWFmMHUyUThPRG80RkFKUEpOTlZrTWszMVA5ZmVtSDEvMGRIUjk4dXliQzhxS25yUld5WkprcjZ1cnU0Ym04MjJMU2twNllOOSsvYWRnK04vZ3lCck5KcmtpSWlJT1FDZ1VxbENKVW5TK3gvakpEYythMXFYVmd0QU0zejRjSTFLcFFxeTIrMmF5TWhJdGQxdTF3b2gxQUEwR28xRzdYUTZ0YklzcTlScXRVYVdaUlVBalZhclZYazhIbzBRUXVYeGVJS0VFR29oaEZxV1piVWtTVUdLb3Foa1dWWXJpcUlLQ2dwU2U0OVZLcFVLZ0ZwUkZKWDNSd2loRWtKSUFJSVVSWkVBcUNSSlVuazhIcFVrU1VKUkZCVUFieDBKZ0FxQXBDaUtKRFZtNktxbTZ5Ukprb1FzeXhJQVNRZ2hDU0dFTE11U29paFMwNmNEQ1lDUUpFbHFxaWY4cmhHaXNhdmUrOXBLVGNkb3VwLzNBNGFFcHNxS29vaW1oK0VuODkrRHFDZHhYV29pSXVwM3liNUtwVW9CZ0x5OHZOazFOVFVydk9VWkdSazE1ZVhscjdRelpoOEFvTkZvMHFPaW9tNHNMaTUrRkVDNXQxd0lFUXdBaFlXRjl3d2ZQdnpIMU5UVUZibTV1Yk54akUyMmhCQkJicmU3b3I2Ky9nY0FNSmxNRjNrOG5oci80NlprL0dRMUFHall1M2V2cnlBLy83aGZPdEF4SE9zOVFVUkVSSFFxNm5mSnZ0Rm9QQTJBVWxOVDg2MS91UkJDMWNFbTFNbkp5Vy9YMTlmL1ZGcGErcXovQ1pWS0ZRd0FOcHZ0NTlMUzBxZGpZMk1YRGg4Ky9OdkRody9QYTdGc3Bpa3FLdW9xNys2NS91dnNxMVNxVVAvanNMQ3dQd0NJQUZEVnFTZEtSRVJFUlAzZVNRMFI2WTFNSnRPbHRiVzFHOUMwRVphWEVFSXR0UnpNM1lhQkF3ZStvRktwSXZmdjN6OFRMZGFybGlRcDJQdTRxS2hvVVhWMTlYLzFlbjNtc0dIRHNtSmpZLzFYMGFrTkRRMjlwS014cDZlbmY2WFQ2Wkk2V3ArSWlJaUlDT2huUGZzYWpXYUUwV2c4S3ljbjU1dzJUcXVGRUVHUmtaRnpRME5EcDZNcGtWY1V4WmZRUjBaR3pqVVlEQk4yN2RwMURvQ3lzTEN3bVhGeGNRL0xzbHlyMFdnRzJteTJiWDd0ZWZMejh5OVBUazVlYnJQWmRwYVdscjRKQUhxOWZweGVyeDlYWDEvL2pjMW0yK0x4ZUtwa1dWWUFZTUNBQVl0Y0xsZHhSVVhGbS82QlJVUkVYQlVmSDc4a1B6OS9lbGUvSmtSRVJFVFVkL1dyWkQ4K1B2N1BGUlVWcjlmVjFYM2I4cHdRUWpRME5CVFYxOWQvcDlGb2hzWEZ4VDBBUUttcnE5dmdyVk5aV2JtMnNyTHlZelJOdXEydXJ2NHZBUGZBZ1FOZlZSUkZhWm1rQTNEazUrZlBCdUFiNXkzTGNubGlZdUp6a2lUcDI0b3hLQ2dvZnRDZ1FlUGFPaGNkSFgxN2VYbjVQenY5eEltSWlJaW9YK3BYeWI0c3l4VUZCUVVQdEhGSy9QcnJyeU9kVHVkZUFEaHk1TWlmWFM3WElhZlRXV1MxV3IvMnEzZTB4WFd1NnVycU5XNjN1MXBSbEtQMTlmVTcyMmk3MllST2g4TnhhTy9ldlNNZERrY1pBTnZKUEI4aUlpSWlvdVBwVjhsK1FVSEJIY2M0cFhnVGZhK0tpb3JYTzlxdTFXcmQzSms0SEE3SHdjN1VKeUlpSWlJNkVmMXVnaTRSRVJFUlVYL0JaSitJaUlpSXFJOWlzazlFUkVSRTFFY3gyU2NpSWlJaTZxT1k3Qk1SOVFNV2kyVk1vR01nSXFLZXgyU2ZpS2h2VTFrc2xrY0EzQlRvUUlpSXFPZjFxNlUzaVlqNms4ek1UTDBzeTI4QXVGSlJsQm1Cam9lSWlIb2VrMzBpb2o1b3pKZ3hNWXFpZkNhRXNBQ0F4K1A1WDZCaklpS2luc2RrbjRpb2o3RllMS21Lb253SElLYXBhTnVPSFR2cUF4a1RFUkVGQnNmc0V4SDFJV2F6K1R3QWU0VVEza1FmaXFJa2p4dzVVaFBBc0lpSUtFQ1k3Qk1SOVEyUzJXeGVJSVRZQUVEVjRsekZybDI3bklFSWlvaUlBb3ZKUGhGUjc2YzJtODB2Q2lGZVBzYjVUM3MwR2lJaU9tVnd6RDRSVVM4V0h4K3ZqNDJOWFMrRW1IaU1LdmJ5OHZKRlBSb1VFUkdkTXBqc0V4SDFVcU5Ianc1WHE5VTdoQkNKeDZxaktNcTdoWVdGOXA2TWk0aUlUaDBjeGtORTFFdEprcVFINEZZVVJUbE90Uzk3S2g0aUlqcjFNTmtuSXVwZDFQSHg4ZnJNek15ZzdPenNvcXlzckNHS290d0N3Tld5b3FJb3NzMW0reUlBTVJJUjBTbUN3M2lJaUU1Ulk4YU1NYWhVcWdrQUpnb2hKaXFLTWw0SW9RVUFXWllYQWZnckFHemZ2bjFwUmthR1RaS2tsNFFRRWQ3cmhSQzc5dTNiVnhlWTZJbUk2RlRBWkorSUtJQkdqaHhwM0xWcmw5VjdiRGFiN3hGQ1BOZFdYU0dFLzJHRy8wRjJkdlp5QU12SGpoMDdTWklrNy9LYlAzUkR5RVJFMUlzdzJTY2k2Z0dqUm8wYXFORm83bEVVWmI0UXd1aDM2ajBBMS9nZEgvSStVQlNsUVFpeEZjQW1XWlkzdVZ5dUxmNGZETnF5ZmZ2MnJ3R294NDRkKzI5d3ZENFJVYi9IWkorSXFKdGtaR1RNVktsVUx5cUtFZ3NnQ0lCbzBUc1BSVkZNL3NkWldWbi9TVTFOMWVYbTVub0F1RS8wM3R1M2I1OExRTFJia1lpSStqUW0rMFJFM1dEczJMR25TWkswRW1nY2ZxTW9TcjJpS08vS3N2eFBSVkVPZWp3ZTE2NWR1OXdBNUJhWHlybTV1UTFkRk1ieFZ1a2hJcUorZ01rK0VWRTMyTDU5KzFhejJielI0L0U4VlZWVjlYMWhZYUVEVEw2SmlLaUhNZGtuSWpwSm8wZVBEZzhLQ3RxdUtNcTFXVmxabTd6bFdWbFo1d1V5TGlJaUlxNnpUMFIwRWthT0hCbWhWcXQzQVJna2hGZ1M2SGlJaUlqOHNXZWZpT2dFcGFhbWFqVWF6YzlDaUFHS291eXBxYWs1TzlBeEVSRVIrV095VDBSMGdrd20wNk1BaGdBb3JxdXJPeU0vUDc4MjBERVJFUkg1NHpBZUlxSVRNSHIwNkhCRlVlNERBSS9IYzBsdWJpNFRmU0lpT3VXd1o1K0k2QVFFQlFYOUhvQkdVWlN2czdPenN3SWREeEVSVVZ2WXMwOUVkR0ltTi8zK1QwQ2pJQ0lpT2c3MjdCTlJ3RmtzbHYvaHQrUzVWMUFVQlVJSUNDRmVzbGdzTHdVNm5xNm1LTXBQV1ZsWnB3YzZEaUlpT2puczJTZWlVMEd2U3ZTQnhsMXgrekloeFBoQXgwQkVSQ2VQUGZ0RWRNcjQ1WmRmQWgxQ2gyM2R1aFYydXgxbm4zMTJuMHY4TXpNekF4MENFUkYxRVNiN1JFUW40TFRUVGd0MENFUkVSTzNpTUI0aUlpSWlvajZLeVQ0UkVSRVJVUi9GWkorSWlJaUlxSTlpc2s5RVJFUkUxRWN4MlNjaUlpSWk2cU9ZN0JNUkVSRVI5VkZNOW9tSWlJaUkraWdtKzBSRVJFUkVmUlNUZlNJaUlpS2lQb3JKUGhFUkVSRlJIOFZrbjRpSWlJaW9qMkt5VDBSRVJFVFVSekhaSnlJaUlpTHFvNWpzRXhFUkVSSDFVVXoyaVlpSWlJajZLSFdnQXlBaUl1b3BCb05oVEZoWTJMVnF0VHJHNFhEc0xpMHRmUlZBZGFEaklpTHFMdXpaSnlLaWZzRmtNazFOUzB2N1dhZlREWGU1WFBsUlVWRTNqaHc1OGljQTRZR09qWWlvdXpEWkp5S2lmaUV4TWZHWmhvYUczTHk4dkV1TGk0c2Z6OC9QdjBxcjFRNGRNR0RBYllHT2pZaW91ekRaSnlLaWZrR3IxUTV6T3AwSEFTZ0FZTGZidHdPQVJxTVpGc2k0aUlpNkU1TjlvbDVJcjlkblJrZEgzM0dNMDlxWW1KajdrcEtTM2dnUEQ3KzBSd01qT29VNUhJNDlJU0VoRnhpTnhza0FvTmZyUndLQTNXN2ZFZGpJaUlpNkQ1TjlvbDRrTkRUMGdwaVltTnVHREJueXNkRm9QTE90T3NuSnlSOE1HRERnendBMFE0WU1XUjBlSG41MUQ0ZEpkRW9xS2lwYUtJU1FoZzRkK2xsQ1FzS3pTVWxKeSt4Mis0NnlzckpYQWgwYkVWRjM0V284UkwySXdXQ1lyTmZyeDJxMTJtU2J6YmExNVhtajBUZzVMQ3pzRDRjT0hicStzckx5SFFEdXhNVEVaNDhlUGZvSkFHZVBCMHgwQ3FtdHJWMXZ0VnEvTlJxTjU4VEd4dDRMQVB2Mjdic0FRSDJBUXlNaTZqYnMyU2ZxUllxTGl4Zm01dVpPUGRiNXlNaklxendlajZPeXN2SWpBRGg2OU9qS29LQ2dPSlBKZEc3UFJVbDBhb3FPanI3TmFEU2VrNWVYTitYSWtTTi9CYUNrcEtTOEJ5QXEwTEVSRVhVWEp2dEVmWWpCWURpam9hRmhGd0E3QURpZHpsOEJRSy9Yanc5b1lMMmNvaWdvS1NscFZsWlVWQlNRV1BidDJ4ZVErL1lGMGRIUnR6c2NqdDAxTlRWZkhEbHlaRkZ4Y2ZGZjFHcDFUR3hzN0UyQmpvMklxTHN3MlNmcVF6UWFUWkxMNWZKbG9RNkhvNnlwZkdEZ29qcDFMRnUyckVOSitzNmRPN0ZxMVNxNFhDNEFnQkFDTTJiTXdBTVBQQUNuczNFMDFLMjMzb29iYnJnQmh3NGRhck1OV1phUmxaWFZvYmgyN3R6cHUxZDdicm5sRnZ6eGozOUVkbloyaCtyVGI3UmE3VkNIdzdIZmUxeFNVdklDQU9oMHV2VEFSVVZFMUwwNFpwK29ENUVrU1MvTHNzT3ZxQUVBVkNxVlBrQWhuVkxXckZtRGYvLzczL2pnZ3c5UVcxc0xnOEdBdUxpNFZ2WEN3OE94Wk1rU3ZQLysrM2p6elRjUkdob0tsVXFGME5CUWFEUWFBSUJHbzRGYXJVWlNVbEtiOTVJa0NUZmZmRFBPT3VzczZIUzY0OGExWmNzV0pDY25ZK25TcFZDcmovOW5XYWZUb2FHaEFlbnB6RTg3eStWeUhkRm9OQWwrUllhbThzSUFoVVJFMU8yWTdCUDFJUjZQeHltRThQLy9XZzBBc2l6M2k4bTV6ejMzSE1MQ3dxQlNxVkJRVUlDQ2dnSkVSMGY3emxkV1ZzSmdNT0M1NTU1RGRuWTI0dUxpOE1ZYmIwQ2xValZySnpFeEVmZmVleThlZSt3eEhEeDRFQmtaR1ZDcFZEQ1pUSEE0SE5EcGRGQ3BWSWlNaklTaUtLaXFxa0prWkdTcmVGUXFGWGJ2M3Qzc0EwRldWaGFpbzZPUm1Kam9LNnVycTBOVVZGUzdpYjYzVFpQSjVQdlFBUUNiTjI5R1dGZ1l4b3daMDZuWHE3OHBMeTkvTGlFaDRjWFkyTmk3cXF1clA0dU5qWDFJbG1WYlpXWGxtNEdPallpb3V6RFpKK3BEUEI1UGFWQlFrSC9XR1E0QUxwZXJ0Q2Z1YnphYnp3UGd6c3JLK2c2QXV5ZnU2ZS9iYjc5RmNYRXhkRG9kckZZck1qSXlNSG55WkR6MDBFTytPbXExR2w5KytTVUFZTUNBQWZqeXl5OXgwVVVYdFdwcjJyUnAyTDU5TzNKeWNwQ1Rrd09QeDRPVksxZmltMisrd2VXWFg0N2EybG9VRmhiaTBVY2ZSVTVPRHQ1OTk5MW1DVGpRbUpoUG5EZ1JEei84c0s5czRzU0ptRHAxS2hZc1dPQXJ5OHpNeE1DQnh4OXBWVmxaNmZ0QWNmandZVi81MGFOSDhkUlRUNkdob1FGTGx5N0YwS0ZETy9HSzlTK2xwYVV2eWJLc3hNYkczaHNmSC85M3U5MmVuWmVYZDFGRFEwTnVvR01qSXVvdVRQYUoraEM3M2Y2clhxL1A5QjZIaElTa2VzdDdLSVNwUW9oN3pXWnpGWUNQQUt5cXE2djdKamMzdDZFbmJxNVdxekY1OG1Rc1hyd1ltWm1aMkw5L1AycHFhaEFSRVFFaEJDb3JLekY4K0hEczM3OGZMcGNMQXdZTXdJWU5HM0RoaFJkQ2tocW5NRDN5eUNPWU9YTW1Nak16TVhmdVhNeWNPZFBYZmtOREErcnE2ckI0OFdJQVFGbFpHWGJ2M2cwQStPYy8vNG03Nzc2N1dUeVNKQ0UvUHg4clZxendsYmxjTHV6YnQ2OVpXVXZGeGNYNC92dnZtNVc5OXRwcnVPT094bjNVM0c0Mzh2THlNSERnUUR6NDRJT3cyV3lZTjI4ZVRDYlRTYng2L1VONWVmbkw1ZVhsTHdjNkRpS2luc0prbjZnUHFhdXJXeGNhR25xeFhxOGZaN1BaZmc0SkNibFFVUlRYMGFOSHYrakpPSVFRRVFCdUJYQ3J5V1NxTlp2Tkt4UkZXVmxXVnZaMWNYR3hyYnZ1NjAzWUFjQm9OTUpxdGZvU2M2OHRXN2I0SG4vKytlY0FnSmRmZmhsMzNYVVhBQ0E1T1JrMzMzd3o3cnJyTHJqZGJzeWNPUk5ubm5rbTdydnZQbHgzM1hWWXNHQUJDZ29LTUd2V0xHaTFXbnoxMVZmSEhINGpoRUJXVmxhcmlicGJ0bXhwRmtkTFVWRlJlUGZkZDF0TkpuNzExVmRSVzFzTHM5bU1sU3RYb3JpNEdOWFYxWGp2dmZmYS9XYUFpSWo2SnliN1JMMkxVYVBSSkFHQVJxTVpCQ0FhUUMyYUp1S1dsWlc5R3hNVDgyQmlZdUtMSlNVbGY0MktpdnBUUlVYRkd3REtBeGN5VEVLSUc0UVFOOFRGeGRYSHhjV3RsbVY1aGQxdS85KytmZnZxdXZKRy9zaytBTXljT1JNVkZSWFl2SGt6RWhJU2NPMjExd0tBN3dQQVAvLzVUNXh4eGhuTnJybisrdXZ4MldlZlllM2F0UWdPRHNaTk45M2tTOVpYcmx5SnFLZ29qQmd4QWg2UEIxcXRGdHUyYmNQNDhXMnZiT3J4ZURCbnpoemNmLy85dnJLSkV5ZGkxcXhacllieCtOTm9OSGp6elRlaDAra1FFaEtDano3NkNILy8rOS94eEJOUDRMSEhIa042ZWpyZWYvOTlqQjgvSHUrODh3NzArdTZaZjIwMm0xY0RnQkJDQnFBb2lxSUFVSVFRQ2dERnY4eS9YRkVVMlhzc3kzS3orbjUxV3BiSlRXVm9LbXQxVDFtV1c5Mi94VDNrNDdUZkxCWWhoQ0tFa0p2YWhGOWJjdE56Ym5adDAyKzBpQUhlZGx2RWhiYmlGVUlvSG8rblpkczRWb3plZGp3ZVQ2czRXcFo3eTFyY3E5VTkvTXM2VXJmbFBmM3FFRkV2d1dTZjZBU01IVHYyemtEY1Y1S2tQd0ZJQlFDRHdUREJZckdVeWJLOEZzQUdieDFGVVQ0d0dvMVhwNmFtZnFvb3lzN0l5TWdEa1pHUlBSS3ZFTUxTVGhVRGdLc2xTYnJhWURBNHpHYnpXa1ZSUHU2cSsvK1dLemJTNi9XK3BUR0xpb3BhOWZJdldyUUkvL25QZjJBMEduMWxraVJoM3J4NU9ITGtDSll1WFlxTWpBejg3VzkvUTBSRUJIUTZIWjU5OWxta3BhVkJraVFrSmlaaTNicDF4MHoyM1c1M3EzSDhIZVUvc1hqVHBrMklqSXlFMld6MmxVMmNPQkhKeWNuZGx1Z0RnQkJpUm92anR1b2N0NnpsQjdEdWFLdXQ4cmJhYWxsUFVaUlc5WTUxRCs5N3F5UHRIcSs4NVdUd2s3bm1lRzBwaW5MU2JiVXpZWnhKUDFFdndXU2Y2QVJJa3ZSaW9HUHdraVRwRWdDWHRIVk9DSkVwaE1oczYxeWdLWW9pTlEzM2FiMzI1WW0zaWNMQ1FxeFlzY0szYnIxYXJjYUZGMTZJdVhQbll1N2N1Y2pJeU1Denp6NkxhNis5RnFOSGoyNlc2SHROblRvVm4zenlDWVlQSDQ0ZE8zYkFack1oUFQwZFE0WU13WmRmZm9uOSsvZGp6Smd4R0QxNk5ENysrR1BNbXpjUGd3WU5hdGFHMCttRXkrVkNYbDVlcDhmcyt5c3VMc2JXclZ0eDNYWFgrWkkzaDhPQnl5NjdEQXNXTE1DVUtWT1FrSkRRVGlzblJsR1VHWXFpU0lxaUNKVktKUlJGRVFDRW9paWlaWmtrU2Q1eXlWdEhraVJmZmYvZmJaUkwzdXViN2l2NXQ5bnlzZjl2djdhYTNkZGJwNjJ5cHNlU1gxc0FJSVFRM3V6WVYxYzBadmVpWmJuZk5hS0Q1VTFGOEMvM0hSK3JMYi83dDR4VitGMkxOdUp0ZFEvLzU5SWlyZzYzNzNmTmptTytjWWpvbE1Ka24rakVuRExKL2lubUhBREg2OTIzQTlnRVlDK0FkZHUyYmRzQUFCYUxwVXNtVE1xeWpOMjdkL3NtemJwY0xsK0NiTGZiQVFDbm5YWWFJaUlpZlBYYm9pZ0sxcXhaZy9IangrT1ZWMTdCM0xsejhjMDMzMEN0VnVPNjY2N0RpaFVya0p5Y0RJUEJBSXZGZ2tjZmZSUkxseTV0MW90ZlZWVUZBUGp1dSsvdzNYZmZOV3UvdlRINy90NTk5MTFvdFZwY2RkVlZ2aktId3dHejJZemh3NGRqNGNLRmVPT05OMDc0RzRUanljcktXdFBsalJJUlVZOWlzazkwQXJadDIzWjMrN1g2SDdQWi9HekxvVHlLb3RRTElUYktzcnpTNVhLdDNMVnJsN1c3N3U5MnUzSGhoUmRpOGVMRm1ESmxDbEpUVTdGMTYxWUFqU3ZuQUVCS1NvcXZ2c2ZqYWRYR0paZGNBbzFHZzBPSERpRWhJUUUybXcxejVzekIrdlhyNFhhNzhkSC9iKy9PdzVzcTgxelljWm9BQUNBQVNVUkJWUGFCM3lkN21qUnQwaVZ0V2xwYVNvRldsZ2JCYlFCSHhXVjBSaEVYUkJGbDNNQnhHZGR4ZXdXSGdRSEhsY0dsSW91ajh3NHFMaitIVVZGVVFIRmVFY3BpZ2JhMHBiWjBTOWMwelo2YzN4ODBJZDBvMEVKS3ZEL1h4U1Y1enBNbjN4TVA3WjJUNXp4bjdWck1uVHNYWDN6eEJhS2pvM0hERFRmZy92dnZ4OTEzMzQzbHk1Y0hRM2RWMWVIN05DMVpzZ1FYWFhSUmNQekpreWZqMm11dlBlcWMvWUR5OG5KOCtPR0htRHQzTHZSNmZiRGQ1VHE4dU5FRER6eUEyYk5uNDVGSEhzSFNwVXRQU3VBbklxTFRXODhURFltSStzY0s0QU5SRkcrd1dDd0pPM2JzK04zT25UdlhuTXlnRHdDNXVibTQ2cXFyQUFEdnZmY2Vycjc2YXJoY0x1aDBPdXpZc1FNQVVGaFlpTWJHUmdEb2Nhbkt0OTkrTzNqRHEwMmJObUh4NHNWUUtCUm9hMnZEMnJWcmtaR1JnWXN1dWdodGJXMXdPQnlZTkdrU3pqenpUR1JuWjNmNjhGQllXQWhCRURyTnN3ZDYvemFoSzUvUGgvbno1eU0zTnhlelpzM3F0QzBROW5OeWNqQjc5bXhzMmJJRmMrYk1RWEZ4OFRHTlRVUkV2eHc4czA5RUErbDd2OTgvemVQeC9LZXdzUENVMzdWMzRjS0Z3YjhIZ3Z5aVJZdWcxV3B4d3cwM1lNS0VDYWl2cjhkbGwxMkd4TVJFekpneG85c1lzYkd4VUtsVUFJRFBQLzg4T0k3ZGJzZmt5Wk14Zi81OEFJRE5aZ3RPRFZxMmJGbTNzK3FiTjIvR3hJa1R1OTFaMStmekhWUGdmKzY1NTlEYTJvcVZLMWQydTNneUVQWUJZTjY4ZVNndExjWG16WnN4YytaTXpKczNEM1Btek9semZDSWkrbVZnMkNlaUFWTlFVTEF1M0RXRTh2djlxS3Fxd3ZQUFA0LzA5SFFzV2JJRU1URXhXTDkrUFJZdVhJaWJicm9KYjczMUZrYU9ITm5wZVNVbEpaQklKSjNPL0hzOEhxU2twQVJYdjNHNVhIQzdEMytlNlJyMHk4cktzR3ZYTHF4WXNhSmJUVjZ2RjE2dkYrdlhyOGZtelp1RFFUNDAwSzlmdng2N2QrL0dpaFVyWURBWThOVlhYMkhseXBYUWFEU29xNnZyVks5RUlzR1NKVXZ3NUpOUElpc3JLL2pOQmhFUkVjQ3dUMFFScUwyOUhTdFhyc1NubjM0S3FWU0s2NisvSGpmZWVHUHdqUDNsbDErT3BLUWsvT0VQZjBCWldWbTNzRDl2M2p5ODlkWmJuZG84SGsrbk0rb2VqeWU0NGs5WGI3NzVKcVpObTRaeDQ4YjF1RDB4TVJIanhvMURSVVVGMXF4WkEwRVFjTlpaWndXM1Q1bzBDVk9uVGcxK2lKZzhlVEtrVWlrV0xWb0VBTjBDdlVLaHdKSWxTM3BjRnBLSWlJaUlqcEhaYkJiTlpqUFhseDVnZ2ZkMW9IZzhIdkdqano0U3k4cktqdHB2eTVZdFltMXRiWi9qK2YxK2Nmbnk1YUxOWmd1MlBmNzQ0K0syYmR0NjdMOTA2VkxSNVhMMU9FNTVlWG1udGc4KytFRDg5dHR2KzZ4QkZFVngrL2J0WWtsSnlUSDE3UThlNTBRMFdQRG5VZi94TkJEUmNRajh3Tm14WXdmLzdReWd3UHU2ZmZ2MmNKZENPTEk2RUk5eklnbzMvdDd0UDY3R1EwUkVSRVFVb1JqMmlZaUlpSWdpRk1NK0VSRVJFVkdFWXRnbklpSWlJb3BRRFB0RVJFUkVSQkdLWVorSWlJaUlLRUl4N0JNUkVSRVJSU2lHZlNJaUlpS2lDTVd3VDBSRVJFUVVvUmoyaVlpSWlJZ2lGTU0rRVJFUkVWR0VZdGduSWlJaUlvcFFEUHRFUkVSRVJCR0tZWitJaUlpSUtFSXg3Qk1SRVJFUlJTaUdmU0lpSWlLaUNNV3dUMFJFUkVRVW9SajJpWWlJaUlnaUZNTStFUkVSRVZHRVl0Z25JaUlpSW9wUURQdEVSRVJFUkJHS1laK0lpSWlJS0VJeDdCTVJFUkVSUlNpR2ZTSWlJaUtpQ01Xd1QwUkVSRVFVb1dUaExvQ0lLR0Q4K1BIaExvR0lpQ2lpOE13K0VZV2RLSW8vaEx1R2dTS0tZcmhMR0NnL2hic0FJaUxxUDU3Wko2S3dLeWdvT0N2Y05ReUV2THk4NmFJb0poVVVGQ3dQZHkxRVJFUUF6K3dURVEwWVFSQ3VGUVRocW5EWFFVUkVGTUN3VDBRMEFNYU1HYU1CY0NXQVNWbFpXYnB3MTBORVJBUXc3Qk1SRFFpWlRIWUJBSlVnQ01ybzZPaHJ3MTBQRVJFUndMQlBSRFFnUkZHOEp1VGg5TEFWUWtSRUZJSmhuNGlvbjRZT0hhb1NCQ0VZOEFWQitMWEpaSW9LWjAxRVJFUUF3ejRSVWIvRnhNUk1CcUFKYVZJWmpjWXJ3MVVQRVJGUkFNTStFVkUvU1NTU2FWM2JCRUhndkgwaUlnbzdobjBpb240NC8venpaUUN1NzJIVFJlUEhqNWVmNm5xSWlJaENNZXdURWZWRFMwdkxyd1JCMFBld0tWb1V4ZCtlOG9LSWlJaENNT3dURWZXRFJDSTUyazIwcmp0bGhSQVJFZldBWVorSTZNUkpSVkdjMmR0R1VSUXZCaUE5aGZVUUVSRjF3ckJQUkhTQ3hvMGJkNVlnQ0FtOWJSY0VRVDl1M0xoTFRtVk5SRVJFb1dUaExvQ0k2RFNtQjdBcTVQR3RIZjhOdGtra0VzTXByWWlJaUNnRXd6NFIwUW5hdVhQbmVnRHJBNC9OWnZPdEFMQmp4NDQ1WVN1S2lJZ29CS2Z4RUJFUkVSRkZLSVo5SWlJaUlxSUl4YkJQUkVSRVJCU2hHUGFKaUlpSWlDSVV3ejRSRVJFUlVZVGlhanhFUkVSMFREUWF6WmpZMk5pYlpUSlpvdFBwM0Z0WFYvY2FnSlp3MTBWRXZlT1pmU0lpSXVxVFRxZTdMRHM3KzBlVlNqWFM0L0dVeGNmSDM1NmJtL3NERHQ5dmdvZ0dLWVo5SWlJaTZsTnFhdXF6THBmclFHbHA2VytycTZ2bmw1V1Z6VlFxbGNPVGs1UG5oYnMySXVvZHd6NFJFUkgxU2FsVWpuQzczUWNCaUFEZ2NEaDJBb0JDb1JnUnpycUk2T2dZOW9tSWlLaFBUcWR6WDNSMDlGU3RWbnNCQUVSRlJlVUNnTVBoMkIzZXlvam9hQmoyaVlpSXFFK0hEaDE2VEJBRXlmRGh3ejlOU1VuNVczcDYraHFIdzdHN3ZyNysxWERYUmtTOTQybzhSRVJFMUNlcjFmb2ZtODMyclZhcm5XdzBHaDhFZ0tLaW9xa0Eyc05jR2hFZEJjL3NFeEVSVVo4U0VoTG1hYlhheWFXbHBaZlUxTlFzQkNBT0d6YnNIUUR4NGE2TmlIckhzRTlFUkVSOVNraEl1TnZwZE81dGJXM2RVRk5UODFSMWRmVUNtVXlXYURRYTd3aDNiVVRVTzRaOUlpSWk2cE5TcVJ6dWREcUxBNDlyYTJ0ZkFBQ1ZTalVxZkZVUlVWOFk5b21JaUtoUEhvK25ScUZRcElRMGFUcmFxOEpVRWhFZEE0WjlJaUlpNnBQRllua3VLaXBxZ3RGb3ZGK3BWSTVJUzB0YjVQZjc3WTJOalcrR3V6WWk2aDFYNHlFaUlxSSsxZFhWdmVUMyswV2owZmlneVdSYTZuQTRkcFdXbGw3cWNya09oTHMySXVvZHd6NFJFUkVkRTR2RjhyTEZZbms1M0hVUTBiSGpOQjRpSWlJaW9nakZzRTlFUkVSRUZLRVk5b21JaUlpSUloVERQaEVSRVJGUmhPSUZ1a1JFQXl3dkwrK3VjTmRBUkVRRU1Pd1RFUTBrTHdDWklBaXZocnNRSXFJSTRndDNBYWN6aG4waW9nSGk5L3R2RXdUaDdIRFhRVVFVWVhhSHV3QWkrb1V3bTgyaTJXd1d3MTBIRVJFUjBiSGdCYnBFUkVSRVJCR0tZWitJaUlpSUtFSnh6ajRSMGVDblRFeE12RWV0Vm8rMFdxMGZOemMzZjlLZndhS2lvc1pyTkpyekxCYkx5MTIzcVZTcWpMaTR1TnRsTWxtcXkrVXFxYTJ0ZlIxQWZXZ2ZqVVl6SmpZMjltYVpUSmJvZERyMzF0WFZ2UWFncFQ4MUVSSFJ5Y0V6KzBSRWcxeG1adWIvSmljblB3bEFrWkdSOFpGZXI3L3hSTWFKaVltWm1waVlPQzhqSStOZHJWWjdidGZ0V3EzMi9KRWpSLzZrVkNvelBCN1B3Zmo0K052T09PT01Id0hFQmZyb2RMckxzck96ZjFTcFZDTTlIazlaZkh6ODdibTV1VDhBMEovd0RoSVJFUkVOQnJ4QWwwNDFyVlo3Z2Rsc0Z1UGk0bTRCZ1BUMDlKV2pSNCt1QWFBNDNyRk1KdFBpckt5c1Q4MW1zNWlSa2ZHdnJ0dEhqaHk1SXpzNys2dkFZN1ZhUGRGc05vdEdvL0h4UUZ0T1RzNVBPVGs1ZXdFSUhYM09NcHZOWW5KeThoTW5zSHRFUkhTUzhjdytFZEVnRmhjWE45UG44emtiR3h2WEFrQnpjL002dVZ5ZXBOUHBmbjI4WTFWWFZ6OTI0TUNCeTNyYnJsYXJjMVVxVlM0NlBrZzRISTZDanZZUmdUNUtwWEtFMiswK0NFRHM2TE1UQUJRS3hZaHVBeElSVWRneDdCTVJEV0lhamVac2w4dFZDTUFCQUc2Myt5Y0FpSXFLbWpqUXIyV3oyYmFJb3VnSlBGYXBWQ2tBNFBGNERnWGFuRTdudnVqbzZLbGFyZmFDampweUFjRGhjSEFkYkNLaVFZZ1g2QklSRFdJS2hTSzlyYTB0T0xYRzZYVFdkN1FQR2VqWEtpa3B1UWlIcCtlSUFCQVRFek1UZ05qUzBySTIwT2ZRb1VPUFpXVmwvYi9odzRkL1dsOWZ2MHluMDEzaWNEaDIxOWZYODY3QlJFU0RFTU0rRWRFZ0pwRklvdngrdnpPa3lRVUFVcWswNmlTOXBBZ0FhclY2U0ZKUzBpTU5EUTEvYjI5djN4WFlhTFZhLzJPejJiN1ZhcldUalViamd3QlFWRlEwRlVEN1NhcUhpSWo2Z2RONGlJZ0dNWi9QNXhZRUlmVEVqQXdBL0g2Lyt5UytiRlI2ZXZxSE5wdHQwODgvLy94QTZJYUVoSVI1V3ExMmNtbHA2U1UxTlRVTEFZakRoZzE3QjBEOFNheUhpSWhPRU1NK0VkRWc1dlA1NnVSeWVWeElreDRBUEI1UDNVbDZTU0V6TS9OdG44L1hWbHBhZWgwQWIrakdoSVNFdTUxTzU5N1cxdFlOTlRVMVQxVlhWeStReVdTSlJxUHhqcE5VRHhFUjlRUERQaEhSSU9ad09INEtYZWttT2pvNks5QitNbDdQWkRJOXJWUXFzMHBLU3E0QzRGSXFsZGxKU1VuL0U5aXVWQ3FITzUzTzRzRGoydHJhRndCQXBWS05PaG4xRUJGUi96RHNFeEVOWW0xdGJldmxjbmxTVkZUVW1RQVFIUjE5c1NpS251Ym01ZzJCUG5xOS9xYjA5UFNWNk9kVUdxMVdlMzVjWE54ZDVlWGx2d1hRMmpIMmxScU54aHpvNC9GNGFoUUtSVXJJMHpRZDdWWDllVzBpSWpvNWVJRXVFZEVnVmw5Zi8xWmlZdUtqcWFtcEw5YlcxaTZNajQvL1EwTkR3d29BbGtDZjlQVDBWeVVTaWRicGRKYlUxZFV0UHNwd1dvVkNrUTRBQ29VaURVQUNBQ3M2THZwTlQwOS8zZWZ6TlpoTXB1Y0FRQkFFbVZhcnZhU3hzVEUvTUlERllua3VKU1hsUmFQUmVIOUxTOHVuUnFQeFQzNi8zOTdZMlBqbVNkaDlJaUxxSjRaOUlxTEJyYjI0dVBqeXpNek0xWm1abWV0YVdsbytxcXlzZkNpMFEydHI2OGZSMGRHWDJlMzJ6VWNiYU1TSUVmL1dhRFJUQUVDajBaeGpOcHZyRHgwNjlGaGRYZDFmQVVDcFZHWURRTWVOdFlMY2J2ZlBnYi9YMWRXOTVQZjdSYVBSK0tESlpGcnFjRGgybFphV1h1cHl1UTRNMUE0VEVSRVJoWVhaYkJiTlpyTVk3anFJaUlpSWpnWG43Qk1SRVJFUlJTaUdmU0lpSWlLaUNNV3dUMFJFUkVRVW9SajJpWWlJaUlnaUZNTStFUkVSRVZHRVl0Z25JaUlpSW9wUURQdEVSRVJFUkJHS1laK0lpSWlJS0VJeDdCTVJFUkVSUlNpR2ZTSWlJaUtpQ01Xd1QwUkVSRVFVb1JqMmlZaCtZY3htODVodzEwQkVSS2NHd3o0UjBTK0gxR3cyUHdIZ2puQVhRa1JFcDRZczNBVVFFZEhKTjM3OCtDaS8zNzhDd0EyaUtGNFo3bnFJaU9qVVlOZ25Jb3B3WThhTVNSUkY4Vk5CRU13QTRQUDVOb2E3SmlJaU9qVVk5b21JSXBqWmJNNFNSZkU3QUlrZFRUdDI3OTdkSHM2YWlJam8xT0djZlNLaUNKV1hsM2NoZ1AyQ0lBU0NQa1JSek16TnpWV0VzU3dpSWpxRkdQYUppQ0tQSkM4djd4NUJFTDRFSU8yeXJhR3dzTkFkanFLSWlPalVZOWduSW9vc3NyeTh2QmNGUVhpNWwrMGZuOUpxaUlnb3JEaG5uNGdvUXBoTXBpaWowZmdmUVJDbTlOTEZZYkZZbmpxbFJSRVJVVmd4N0JNUlJZRFJvMGZyWlRMWmJrRVFVbnZySTRyaVcxVlZWWTVUV1JjUkVZVVhwL0VRRVVVQWlVUVNCY0FyaXFKNGxHNWZuS3A2aUlob2NHRFlKeUk2ZmNsTUpsUFUrUEhqNWJ0MjdUcFVVRkNRSVlyaVhRQThYVHVLb3VpMzIrMGJ3bEFqRVJHRkVhZnhFQkdkQnNhTUdhT1JTcVhuQUpnaUNNSVVVUlFuQ29LZ0JBQy8zLzhVZ0lVQXNIUG56dnl4WThmYUpSTEpTNElnR0FMUEZ3U2hzS2lvcUMwODFSTVJVYmd3N0JNUkRSSzV1Ym5hd3NKQ1crQnhYbDdlQTRJZ1BOZFRYMEVRUWgrT0RYMndhOWV1dHdHOFBXN2N1UE1sRWtsZytjMy9ub1NTaVlob2tHUFlKeUk2eGM0NDQ0d2hDb1hpQVZFVWJ4TUVRUnV5NlIwQU40VThyZ2o4UlJSRmx5QUkyd0JzOHZ2OW16d2V6L2VoSHd4NnNuUG56bThBeU1hTkcvY1BjTDQrRWRFdkVzTStFZEVwTUhiczJLdWxVdW1Mb2lnYUFjZ0JDRjNPemtNVVJWM280NEtDZ2crenNySlVCdzRjOEFId251aHI3OXk1Y3hZQW9jK09SRVFVY1JqMmlZaE9zbkhqeGsyUVNDVHJnTVBUYjBSUmJCZEY4UzIvMzc5Y0ZNV0RQcC9QVTFoWTZBWGc3L0pVLzRFREIxd0RWTWJSVnVraElxSUl4YkJQUkhTUzdkeTVjMXRlWHQ1WFBwOXZVVk5UMDlhcXFpb25HTDZKaU9nVVlOZ25JaHBBbzBlUDFzdmw4cDJpS041Y1VGQ3dLZEJlVUZCd1lUanJJaUtpWHlhdXMwOUVORUJ5YzNNTk1wbXNFRUNhSUFqTHdsMFBFUkVSeit3VEVRMkFyS3dzcFVLaCtGRVFoR1JSRlBlMXRyWk9DbmROUkVSRURQdEVSQU5BcDlQOUQ0QU1BTlZ0Ylcxbmw1V1ZXY05kRXhFUkVhZnhFQkgxMCtqUm8vV2lLRDRFQUQ2Zjc0b0RCdzR3NkJNUjBhREFNL3RFUlAwa2w4dXZBcUFRUmZHYlhidDJGWVM3SGlJaW9nQ2UyU2NpNnI4TE92NzdZVmlySUNJaTZvSmhuNGlvbjBSUlBMdmpyMXZEV2dnUkVWRVhEUHRFUlAwa0NFSUNBSGk5M3RKdzEwSkVSQlNLYy9hSmlQcko1L05OazBxbDJqMTc5clNFdXhZaUlxSlFEUHRFRkhabXMza2pqc3g3UDIyWnplWndsekJnUkZIOG9hQ2c0S3h3MXpGUUl1VVlpeVNSZG93UkRWYWN4a05FZ3dGRDJDQWpDTUxFY05jd3dIaU1EVElSZUl3UkRVbzhzMDlFZzhiMjdkdkRYUUlCR0Q5K2ZMaExPR2w0akEwT2tYeU1FUTAyUExOUFJFUkVSQlNoR1BhSmlJaUlpQ0lVd3o0UkVSRVJVWVJpMkNjaUlpSWlpbEFNKzBSRVJFUkVFWXBobjRpSWlJZ29RakhzRXhFUkVSRkZLSVo5SWlJaUlxSUl4YkJQUkVSRVJCU2hHUGFKaUlpSWlDSVV3ejRSRVJFUlVZU1NoYnNBSWdwU0ppWW0zcU5XcTBkYXJkYVBtNXViUHpuUmdiUmE3UVVHZytGYVVSVDk5ZlgxTDdoY3JnTzk5VFVhamZmNy9YNi94V0o1K1VSZmo0aUlpQVlubnRrbkdpUXlNelAvTnprNStVa0Fpb3lNakkvMGV2Mk5KekpPUWtMQ1BjT0dEVnZuOVhwYlkySmlMcy9PenY0R2dMS252aXFWYXFqSlpGcWkxV3JQUGZIS2lZaUlhTERpbVgyaVFVQ3IxVjRRR3hzN3JhS2k0dGJHeHNiVkFMeXBxYWwvYTI1dWZnK0ErMWpIVWF2VmFhbXBxYytWbEpSTXRkbHNtMVFxVlk1T3A3c1FnQUtBcTJ2L3BLU2tCWUlnS0Fac1I0aUlpR2hRNFpsOW9rRWdMaTV1cHMvbmN6WTJOcTRGZ09ibTVuVnl1VHhKcDlQOStuakcwZXYxYzF3dVY0bk5adHNFQUdWbFpkZnYzTGt6SFVCYjE3NEtoV0pVYkd6c3RRT3lBMFJFUkRRb01ld1REUUlhamVac2w4dFZDTUFCQUc2Myt5Y0FpSXFLbW5nODQyaTEybC9iYkxhdGVyMStSbHBhMnVyazVPVEhBUWc5OVUxTlRWM1kyTmo0Wm45ckp5SWlvc0dMWVo5b0VGQW9GT2tlaitkUTRMSFQ2YXp2YUI5eVBPTW9sY3BzalVaejF0Q2hRMWNyRklya3hNVEVoMGFOR3ZVVnVrelppNHFLR3EvVDZTNnByS3hjT0NBN1FFUkVSSU1TNSt3VERRSVNpU1RLNy9jN1E1cGNBQ0NWU3FPT1p4eVpUS2FYeStXSnhjWEZGOWhzdGszeDhmRzNwYVdsdlJFYkcvdTdscGFXRHdMOVRDYlRYK3JyNjVjQnFCdVlQYUFJMSsrVm9qSXlNdjdWVTN0emMvUGFscGFXRDd1MlIwVkZqZGRvTk9mMXRFcVVTcVhLaUl1THUxMG1rNlc2WEs2UzJ0cmExd0hVSDI5TlJFUy9CRHl6VHpRSStIdyt0eUFJb1IrK1pRRGc5L3VQK2VMY3dQUGEydG8yQitic056UTBmQUFBV3ExMlNxQkRkSFQwSkkxR2MxWjFkZlhTL3RaTnZ3d0RzVktVWHErL3ZxYy9vaWhLUS92RnhNUk1UVXhNbkplUmtmRnVUNnRFYWJYYTgwZU9IUG1UVXFuTThIZzhCK1BqNDI4NzQ0d3pmZ1FRZCtKN1NFUVV1WGhtbjJnUThQbDhkWEs1UERTczZBSEE0L0VjMTVsM3Y5OXY5ZnY5MXBDbUZnQ1FTcVdHUUVOeWN2S2k5dmIySC9SNi9lV0JOcmxjbnE3WDYyOXlPQnhibkU1bnhZbnRCVVdpZ1ZvcENnQ2FtNXZmTFM4djcvcEJ3UnY2UUtQUlhCQVZGVFZPcVZSbTJ1MzJiVjNIU0UxTmZkNXV0LzlmV1ZuWkRSMWovbnZVcUZIL1p6UWE3NnlycTF0MGZIdEhSQlQ1ZUdhZmFCQndPQncvS1JTS0VZSEgwZEhSV1lIMjR4bkg1WEtWeXVYeTlKQW1OUUQ0L2Y3V1FJUFA1MnNWUmRGak1CaG1HQXlHR1FDZ1ZDclREQWJERExsY250YXZIYUdJTTFBclJYVVFjVGpjaC83cHBMcTYrckVEQnc1YzF0c0FhclU2VjZWUzVlTHdjckp3T0J3RkhlMGplbnNPRWRFdkdjTSswU0RRMXRhMlhpNlhKMFZGUlowSkFOSFIwUmVMb3VocGJtN2VFT2lqMSt0dlNrOVBYd2tndnJkeGJEYmJWMUZSVWFQVmF2VVFBTkJvTk1NQUlQUU1hV2xwNlJXaGZ6cWV0NlcwdFBTS3RyYTJMU2RwRitrME5WQXJSUUdBVkNxTk5ScU45NldscGEwMm1VenpBY1FjN3hnMm0yMkxLSXFld0dPVlNwVUNBS0VYdUJNUjBSRU0rMFNEUUgxOS9WdHV0N3NpTlRYMVJaMU9kMmw4ZlB3Zkdob2FWZ0N3QlBxa3A2ZS9HaGNYZDZ2UmFMeTl0M0VhR2hwZThmdjlqcFNVbERlMFd1MFpScU54dnR2dC9ybXhzZkg5SHJxckFDUURoME1ZZ0Zqd1p3SjFNVkFyUlFHQVRxZTdKRDQrL2w2bFVwbGlOQnFmR0RseTVCY0FwSDArTVVSSlNjbEZlL2JzR1lLT0tVUXhNVEV6QVlndExTMXJqN2NlSXFKZkF2NWlKeG9jMm91TGl5K1hTQ1RLek16TWRWYXI5YlBLeXNxSFFqdTB0clorN1BWNm0reDIrK2JlQm5FNm5SVUhEaHk0UWlhVEpRMGZQdnhIdVZ5ZVZGeGNmQW1BOXE1OVUxSlNGcHJONW1yZ2NBZ3ptODNOQ29VaWU4RDNqRTVyQTdWU0ZBRFk3ZmJ0aFlXRkkwdEtTcVpXVjFjL0hCVVZOY0ZnTUZ4OUFtV0pBS0JXcTRja0pTVTkwdERROFBmMjl2WmRKekFPRVZIRTR3VzZSSU9FMiswdTNMOS8vNFRldHBlWGw5OTBMT1BZYkxadjl1L2ZQNjZ2Zm9jT0hYcm8wS0ZERC9YVmp3YVhvcUlpakJoeDZxYW5EOVJLVVlXRmhka3VsOHNHd0FNQWRYVjFhMU5TVWw3UWFEU1RtNXFhM2p1QjBxTFMwOU0vdE5sc20zNysrZWNIVHVENXB4MnIxUXFkVGhmdU11ajBwOEJ4WGx4UHB6ZWUyU2VpWDRTYmI3NFpuM3p5Q2R6dXZuL0hGUllXSGxPL0xWdTJvS3FxcXNkdGZyOGZCUVVGeDFUYm5qMTc0UEY0K3U0STRLNjc3c0xzMmJPeGE5ZXBPWkU5VUN0RjRmRForTkNkckFjTzN4dmlCTW9TTWpNejMvYjVmRzJscGFYWG9ZY0xmUWVETld2V1lNK2VQY0hIaXhjdlJsbFoyVEUvLzlOUFA0WE5aZ3MrdnZubW03RnMyVEswdDdjSHh3Lzh2YXYyOW5hVWxKVDB1TTN2OStPNzc3NDc1anJvK0tsVXFvemV0ZzBkT3ZTZHFLaW84WDJOWVRBWTVoeHRuQkFLaFVJeDhsanFVaXFWV2JtNXVZVTZuZTQzeDlJZkdKQjlrYWFtcGo2cjBXajZQQW5WOFZvOTN2VTlSRUlQYlJLRlFwSGIxL2c5RU5ScWRVb3YyeUxta3pYUDdCTlJSSHJqalRjUUd4dUxxNisrR2xLcEZDVWxKVmkxYWhYT08rODhHQXlHb3o3M3ZmZmVRMEZCQVJZdlhveWNuSnhnZTFOVEUvYnUzWXZ0MjdmajY2Ky9SbVZsSlVhTUdJSFZxMWREb1ZCMEdrTWlrZURPTysvRWVlZWRCNVZLZGRUWCsvNzc3NUdabVluOC9IeklaRWYvc2F4U3FlQnl1VEJxMUtnKzNvR0I0WEE0ZmdyOVpYNmlLMFZsWjJkLzNkcmF1djdubjMrK3E2TkpDd0JlcjdmNWVHc3ltVXhQSzVYS3JIMzc5azBDNEZJcWxkbDZ2WDVHYlczdE04Yzcxc25pOC9ud2ozLzhBOHVYTDhmeTVjc3hZY0lFYk55NEVSczJiTURhdFd1Um1Kalk1eGliTm0zQ3M4OCtpeWVlZUFJWFhuZ2hBR0RidG0yNDY2Njc4TTAzMytEbGwxL0dwNTkraWxkZWVhWGJNVjFiVzR0YmJya0YxMXh6RGU2Nzd6NUlKRWZPN1Vra0V0eC8vLzI0K09LTDhaZS8vR1ZnZDV3QVFESnMyTERQWFM1WDBZRURCMjRIVUJ1NlVhUFJURENaVEVzUEhEaHdJUUNwWHErL3JybTUrWCs3RHFKUUtGS0dEQm15OTlDaFEvYzFORFRreDhmSDN5bVZTcnQ5T0k2T2pwNnFWQ3FIRmhZV2prRVBVelpEeGNYRjNhUlVLck5NSnRNQ2o4ZXp5K0Z3QksvSFVTcVZJMXd1MTBGMFROVWJ3SDN4aWFJb3ljN08vckdxcXVwK2k4WHlTbng4L0J4MHlhQ0NJQ2lTazVPZnJxMnRYVlJmWC85Y2Ivc3dac3lZUXB2TnRxbTZ1dnFoa0tXaS9ibTV1VHVibXByK1ZWRlJjVCtBeHFPOUR3Q2cxK3RuTkRjM2J4dytmUGp1eHNiRzFhRVgvZ09Bd1dDWVdWdGIrNWVHaG9iWCt4cHJzR1BZSjZLSTlObG5uK0hnd1lOb2JtN0dIWGZjQWFsVWloRWpSdlFaOUFIZ29ZY2V3clJwMC9ESFAvNFJUenp4Qk41OTkxMlVsSlNnb2FFQkFLQldxekZpeEFqazVlVWhKU1VGTlRVMVNFOVA3emFPVkNyRjNyMTdPMjByS0NoQVFrSUNVbE5UZzIxdGJXMklqNC92TStnSHh0VHBkSjArWEd6ZXZCbXhzYkVZTTJaTW44OC9YbTF0YmV0alltSXVqNHFLT3ROdXQvL1kyMHBST3AzdWdvcUtpa2NBTlBRMGprUWlpWEc3M1RXQnh6cWQ3bHdBc05scy8zYzg5V2kxMnZQajR1THVLaWtwT1F0QWE4ZnJYNm5SYU13bnNuOG55OWF0VzRQSDNvUUpoMmZueWVWeVRKZ3c0WmlDUGdBODg4d3ptREZqQnA1NTVobGNlT0dGa012bFNFbEpRVzF0TFJZc1dJRHp6anNQZi9yVG4xQllXSWhKa3laMWV1NndZY053NjYyMzR0VlhYMFZtWmlhdXZQSktWRlpXWXNpUUljRmFqRWJqd080MEJmZ3JLaXB1eTg3TzNwU1ZsYlhHNlhUdUNsM1dXQ2FUR1FWQlVHWmtaUHhMb1ZDa2FUU2FjM3crWDR2VmF2MDBkSkRhMnRxL3hzWEZ6VTVOVFgyaG9hRWhYeEFFV1VwS3ltSy8zOTh1aW1LM2I3Tk1KdE5UMWRYVmZ3cHQwK3YxTjBxbDB1akE0N2k0dU5zQitGdGFXdDdUYURTLzFXZzBBSTRFN2FhbXByZXJxcXJ1RytoOU9YVG8wUHo0K1BqZkp5Y25QMjJ4V1A2dVZxdk5DUWtKYzN0NjgxSlNVaGJaYkxhdjdIWjdUMStOSnNwa3NnUzFXajNhNlhSMituWlJGRVYzeHplRlRWMmZwTkZvTGt4TVRBeGQzRUlTR3hzN1RhL1hmeUtWU3JYeDhmRnpmRDVmcTBLaFNQZjVmTTArbjgrcVVDaUc2UFg2YXhzYUd0NEE0TytwMXRNRnd6NFJEWmk4dkx3TEFYZ0xDZ3ErUXhpblZsUldWdUxnd1lNNC8venpjY2NkZHdCQXB6T2JBUjk5OUJFbVRwd0lrOG5VcVYycjFlTDY2Ni9IbGkxYmtKS1NnbG16WmtHdjF5TXVMZzUzM1hVWHNyS3lzSGp4NGo3cmtFcWxtREpsQ2g1Ly9QRmcyNVFwVTNEWlpaZmhubnZ1Q2JhTkh6OCtHTUo2MDlqWWlMaTR1T0QrQlRRM04yUFJva1Z3dVZ6SXo4L0g4T0hEKzZ6cmVOVFgxNytWbUpqNGFHcHE2b3UxdGJVTGUxc3BTaUtSYUoxT1owbGRYVjJQYjB4VFU5TWFoVUl4VktQUmpQSDcvWnJVMU5UbjNXNTNaWE56OHdkZHVtb1ZDa1U2QUNnVWlqUWMvc3JlaW82emplbnA2YS9MNVhKSFRrN09XeTB0TFEyQ0lFaTFXdTBsalkyTitRTzY0LzMwM252dlFhbFU0dnJycncrMmRUMEdYM2poQmZ6dWQ3L0RzR0hEZ20xdGJXMVlzbVFKZkQ0ZkFNQmlzY0J1dCtPeHh4NURYVjBkN0hZNzdyenpUcmpkYmtSRlJXSEpraVg0OXR0djhlU1RUMkxhdEdtZHhyL2hoaHV3WnMwYXRMVzE0YW1ubmtKQlFRSEdqaDJMaHg5K0dGS3BGSUp3ZUxaRWJXMHQ0dUxpSUpmTFQ5YmJjZG9ZcUo5aE5wdHRzODFtMnd6QTdYQTRDaE1URXg4TzNTNlZTblVkeHpjY0RzZHVnOEV3eTJxMWJnRGdDK25tYVdob1dLNVVLc2NNSFRyMG5icTZ1bVU3ZHV5SVF3OWh0amRLcGRKa01wbTYzUzNkWkRJdDZhbC9ZbUxpaDRzTEhnQUFHdFpKUkVGVXZWYXJkWVBWYWwwL3dQdlMxdExTOG9ISDQ2a0VnTXJLeWo4MU5qWXV0TnZ0MWNlNkx3Q2cwK25HQTRERllua1pnQk5BZ2xLcGpIVzVYQ1dpS0hvOEhrOFZPaTdnRDlYZTN2NnRYQzVmS0FpQ1JLMVduK0gzKzl2dGR2dDNjcm5jSUFpQ29yNisvczgxTlRVTHpXYXpXRk5UczZpK3Z2NXZack5aYkcxdC9ReW5lZEFIR1BhSmFHQmRKZ2pDZzNsNWVVMEExZ0w0b0sydGJjdUJBd2RjZlQxeElIMzY2ZUdUU2xhckZZODk5aGdBd09WeVlmZnUzY0hIYnJjYm16WnR3dGl4WS9IR0cyOUFJcEdncWFrSnI3LytPdWJPbll2WnMyZGo1TWlSMkxCaEErYk9QWElDS2hDUUF2eCtQOHJMeXpzRnRnQ0pSSUt5c2pLOC8vNlJsVTg5SGcrS2lvbzZ0WFZWWFYyTnJWdTNkbXA3L2ZYWGNlKzk5d0lBdkY0dlNrdExNV1RJRUR6NjZLT3cyKzM0L2U5L2Y3SXUzbXd2TGk2K1BETXpjM1ZtWnVhNmxwYVdqM3BhS1NvNk92cXlvNjBVVlZsWitVQktTc3FDWWNPR2ZTRUlnczV1dC8rM29xTGliZ0QyMEg0alJvejR0MGFqbVFJQUdvM21ITFBaWEgvbzBLSEg2dXJxL2dvQVNxVXlzR0xVME5qWTJPRHpZbUppcW51N2Z1SlVLeTB0eGRhdFd6RjkrblNFMWhoNjdHemN1QkZ2di8wMlB2bmtFNnhac3liNFlTODZPaHJ4OGZIWXVuVXJZbUppTUdyVUtOVFYxV0hEaHNOZnBEZ2NEdmo5Zm93ZVBScE5UWWN6My9qeDQvSE5OOS9nNG9zdmhrYWpRWDUrUGhJU0VuRFZWVmRoL2ZyMVdMTm1EWVlORzRiQ3drSTBOallpSmlZR2dpREE1L05oMTY1ZGVQNzU1ekYwNkZBc1dMRGdGTDVMZzFhL2ZvYXAxZXF6aHd3WnN1amd3WU4zSHp4NGNLN0paSHBVRUFSVmMzUHpPM3E5dnV2ZG93RUFvaWg2RHg0OCtDQ09oT000ZzhId3U2YW1wbi9VMWRXOUJDQjZ6Smd4WlFjUEh2dzlEZ2ZjbmlUR3g4ZGYxZERRME9sRGIyMXQ3WXN0TFMzdk9wM09uOVBTMGxiRnhjWGRWRnhjUEg3bzBLRWZOVFUxdlZsVFUvTWFldmsyYm9EMkphaWlvbUpPeUVPcjNXNjNkdTBESEY0ZERvQmd0Vm8vNjdwTm85R2MxOUhuU28xR016a3FLc3JzOS91ZCsvYnRPNnVYOXlYQVZWeGNmQTRBNU9Uay9PUndPSDRxTHkrZkFRQmp4NDV0alkyTnZVNmxVcDBCQUhGeGNUZHFOSm96K3hqdnRNS3dUMFFEVGhBRUE0QzVBT2JxZERwclhsN2UrNklvcnF1dnIvK211cnJhM3Rmeis4UHY5K09UVHo1QmJHd3NCRUZBWTJOanNOM2xjZ1VmQTREWmZIam14OWF0Vy9HclgvMEtzYkd4cUt5c3hIWFhYWWZseTVmand3OC94TFp0MitEMUhqbkIxOWpZQ0wvZmoyWExsZ0VBU2twS3NHL2ZQcno3N3J2UTZ6dFBweFVFQVFVRkJkMHUxUDMrKysveC9mZmY5N29QOGZIeGVPdXR0M0RvVU9mN1JMMzIybXV3V3EzSXk4dkR1blhyVUYxZGpaYVdGcnp6emp0OWZqUFFId08wVXBUbjBLRkRqeDg2ZE9qeG8zVXFLaW82LzJqYmQrellJZVRsNWYxTkVJUUhROXVWU3VYamVYbDUyYWZxT0R1YS9QeDhpS0tJenovL0hIZmNjVWZ3RzVtQWlvb0tMRml3QUVhakVhKysrbXEzLzNmMzMzOC83ci8vZmdEQUYxOThnVVdMRm1IRWlCRm9ibTVHVGs0Ty9INC9pb3FLTUgzNmRKeC8vdm5JeU1qbzlLM0JPZWVjZzl0dXV3MmJOMi9HMHFWTDhkbG5uMkhac21WWXYzNDlCRUhBeHg5L0RJL0hnM2ZlZVFjLy92Z2pxcXVyb1ZhclQvNGJjeG81MFo5aERvZGpPd0JGVGs3TzlnTUhEbHhoTUJodTlucTlMUTZIWTVmRDRTankrLzBOUnFQeFNZL0hVOTNRMFBBbUFNVEd4djR1SXlQanBmTHk4dXM2aHBHYVRLWUZScVB4Z2JLeXN1a2FqV2FjVENZelpHUmtyTzd0ZFRVYXpUa0toV0tJdytFb2EyOXYvekprazhmcGRGWm9OSnJSY1hGeE56VTBOTHplM3Q2K1N5YVRKY1hFeEZ4VFUxUHovTW5jRjQxR00xcXRWcC9Yc2UxeWo4ZlRMSlZLNWFJbzlub1Jia3hNek85OFBsL0xuajE3emtDWGJ6RjBPdDBGUHAvUEtwVktsVktwTkVtcFZBNFRSVkUwR0F4WEFJZXZYekFZRExjMk5UWDlFNTJ2UGVpSkVZY1hDaEFsRWttMFFxRklBZ0NKUktJTC9EMVNNT3dUMGNtbUV3UmhqaUFJYzVLU2t0cVRrcEkrOHZ2OTd6c2NqbzFGUlVWdEEvMWlHelpzUUhWMU5aWXZYNDZ6eno0NzJENWx5aFJNbUREaHFOTnZKQklKbm5ycUtWeDExVlZZdVhJbGR1L2VEYTFXaTNYcjFrR3IxUUlBYkRZYm5FNG5Qdi84OCtEemxFb2wzbmpqRFR6eXlDT2R4dlA1ZkpneFl3WWVmdmpJdDk1VHBrekJOZGRjMDIwYVR5aUZRb0UzMzN3VEtwVUswZEhSV0x0MkxaWXVYWXBubm5rR1R6LzlORWFOR29WLy92T2ZtRGh4SWxhdlhvMm9xT05lOGo0U25kTGpyRGRGUlVYWXVIRWpBT0RzczgvdUZ2UWJHeHR4NzczM1FxbFU0dFZYWCszeFdnOEEyTDU5Ty9Mejg3Rno1MDU0dlY0c1hydzRlREd0UkNMQnlKRWprWitmajFkZWVRVnl1UndHZ3dFWFhuZ2hIbnp3UVl3ZVBSb3pac3pBMjIrL2pYZmVlUWUxdGJWWXRtd1pxcXFxME5UVUZKeTJObXZXTE54Nzc3MllOV3NXajZHak81NWp5MU5SVVRFbkp5ZG5iMUpTMGg4QklDNHU3dWFPR3hjR3llVnlVMXBhV3Flenh6YWI3VzZMeGJJY1FIMTVlZm10STBhTStOSm9ORDRzazhuMExTMHRIMmcwbW9sdXQ3dGFvOUdjNWZmNzI1eE81KzdnaTNvODVSNlBwendoSWVIVzl2YjJiOUI1Q3BJOE5UWDFOWi9QMTFwWldma1VBQWlDNEhXNVhQdlI4YzFhVkZSVW5rd21TN1JhclorSFBLL2YrOUxlM200WlBuejQzeVFTaVFZQWZENWZhMVZWMVgwNm5lNDNNcGtzVVNLUlJHazBtb2xlcjdmSjVYTHRBUUNIdy9FREFDUWtKTnhvc1ZpV2hReHIxR2cwWjFrc2xwY3FLeXNmQUdBMG04MjFUVTFOSzV1YW10NGJNbVRJRzZJb3V0TFMwcGFiVEtiNUZSVVZkN2UxdGYwYkFMUmE3UmtHZytFUGdYb0ZRVkNQR1RObXI4VmllVlVRQkduSHR4d0x6V2F6YUxGWVhnMU00NUZJSkgydERIUmFZTmduT2dGbXM3bmJuRUE2SmhvQU4wb2traHMxR28wekx5L3YzNklvdmp0UWczczhIcnoyMm11NDhjWWJPd1g5bmxpdFZsZ3NsbTdUYjVLVGt6RjkrblFBaHkvRS9mREREeUdWSHJuSjYzWFhYWWRodzRZRlB6VDQvZjRlcndjQURrKzM2YnBLejdGS1NEaXl1dHltVFpzUUZ4ZUh2THk4WU51VUtWT1FtWmw1VWtQYWFYeWNkenZPVHNXTGlxS0lKVXVXNE54enowVnBhV20zS1YvQTRSQWZIeCtQMTE1N3JjZWcvOS8vL2hmUFAvODgydHZiY2VtbGwyTCsvUG1ZTzNjdTVzK2Zqei8rOFkrWU9uVXFwazZkQ3FWU2lWV3JWbUhMbGkzSXo4K0h5V1RDN2JjZnVmNXc1c3laT0hqd0lNckt5akI1OG1TY2UrNjVLQzh2eDZoUm8vRFVVMC9oeXkrL0ROYm45WHFQNmVMd2srRTBQTVo2K3huMnhjNmRPMXNBd09WeUZkZlYxZjFGS3BYR3Q3UzBmRmhXVm5aM2JtN3U1cmEydGsrOVhtK25id1ZpWW1JdWN6Z2NPdzhlUERnWElWUGEydHZiTjNiTWxmOHlMUzF0MWQ2OWU4MXV0M3MvZ0dTejJWemQxTlMwcHJLeThvK0IvaXFWS3NQcGRKYjNVSzhrS3l2clk0MUdjNjdMNVNyTHlNaDRCUUFFUVZCcU5KcHpNakl5L2dVQTBkSFJGd0h3N2Q2OWV3eUE0SVd2QTdBdnRjWEZ4WlBzZG50RlRrN09ab2ZEOFZOalkrT2F4c2JHTlFDUWxKVDBjRWZZcjYrcXFycW52YjE5RDNxUm1KZzRDNEJFRUFRdEFNVEd4cDREQU0zTnplc0NmV3cyMjJhTHhYSkxkbmIyWjhPSEQvOTQvLzc5WjludDloOXRObHRoWW1KaW9rcWxHZ0ZBTFpQSkJKZkxWUkViRzN1NVJDTFI5amFOUnhURmlNakpFYkVUUktlS0tJby9DSUl3TWR4MVJBSlJGQ1VkWDVVUDJOZWxIMy84TVlZTkc0WkpreVlGcDlrRXVOMXVsSlNVQk51Lyt1b3IrSHcrL090Zi8rb1dtQjk1NUJFc1dyUUlaNTk5TnFSU0tlNjQ0dzZjZi83NVVDZ1VzRnF0cUtxcXd2dnZ2NC9kdTNjak9UbTUwNXorME5memVEd29MUzA5N2puN29hcXJxN0Z0MnpiY2Nzc3R3UThWVHFjVDA2ZFB4ejMzM0lOTExya0VLU205TFJOTkljZlpTZmYrKysranBhVUZMNzc0SW1iT25ObHAyNDgvL29qR3hrWVlqVWJrNStkM1dvMHBsRTZudzh5Wk00TVhZYi8vL3Z1d1dxMHdHQXdvTGk1R2NYRXgzRzQzakVZak5tN2NpSU1IRHlJNk9ob0xGaXpvZE0yRzBXakVzODgraTZsVHArTFpaNS9GeElrVDhkNTdQZCs3ek9QeDhPTGNFeEQ2TTB3aWtYVEtVOVhWMVU4UEh6NzhhNnZWK3Y4QTFBRHdHUXlHMzN1OVhrdG9QN2xjYmhKRlVRVGc2RHArY1hIeHIrUGk0bTcwZXIyV2pxQ1ByS3lzZkFDSWlvbzZOeERVQlVHUXhzVEVYRlZUVTdPd3RyYTI2NFVYZnF2VittVjBkUFNGWHErM01tUjZpa1Fpa2FnRGoxMHUxMDhBWURRYWYxOVhWN2RvSVBlbGwxVjFvRmFyVTQxRzQ1TXRMUzMvS2lzcm01ZVdsdlpYbjgrM3hPbDA5blF6Q2xsaVl1SThsOHRWRmhzYmU5WFBQLzk4dDA2bnU5VHY5OXVzVnV2RzBJNE9oK09IMHRMUzZkbloyVitxMWVwUmRydjlSd0JpV1ZuWjFVRDNPZnQ1ZVhuZTNxYnhTS1hTbzYrYmZKcGcyQ2M2RGdVRkJYMWRCUFNMMXROYzZpNGNBRFlCK01qcjliNjdaOCtlWmdBd204MHZEOFRyWDMzMTFaZzJiUnBzTmhzZWZmUlJTQ1NTNEJyM0hvOEhOVFUxbmFiZkFNRHExYXN4Yjk2OFRtMU9weE5mZlBFRm5uenlTUUJBZVhrNXRtL2ZIdHh1c1Zpd2QrOWVBSWVuVkZ4MDBVWGRWc0VKWER6NTNYZmZkYnVCVVY5ejlrTzk5ZFpiVUNxVm5jS2owK2xFWGw0ZVJvNGNpY2NlZXd3clZxdzQ0VzhRam1iSGpoMkQ4aXZzRXpuT1RzVVo1SmlZR0N4ZnZyeFQ2QlpGRWUrODh3NldMVnNHbjgrSHNXUEg5aHIwQVNBbkp3ZFpXVm00NFlZYllMVmFvVlFxMGQ3ZURwZkxGVHgyblU0bktpc3JZYlVldnI1UnE5VWlQeisvMndXMkd6WnNnQ2lLd1d0VHVscTllalZTVTFOaHNWaDY3WE95RGJaajdFUi9oblVWRlJWbGlvNk9ubHhWVmZVb0FQajlmby9YNjIxb2IyLy9iMmcvblU1M2FjZDBtcDZPVDc5ZXI3K2xZMlViQUVCRFE4TXFyVlo3UGdCSFNEaU5Fd1JCSm9waWEwKzExTmZYUDkvYTJ2cUp5K1VLM21WdDdOaXhMVzF0YlY4RkFtOUF4dzJtcEFpNXdIYUE5cVVyUlVwS3locVh5MVZhVmxaMkt3Q256K2RyR0RseTVLN3k4dkpiV2x0YjE0VjJOaGdNc3lVU2lhNm9xT2lza1NOSGJrdE1UTHd0TmpaMmVtdHI2OGZvWVc2K3pXYjd1ckt5OGo2SHc3R3g2N1l1cEkyTmphL1UxOWUvNEhRNnkwT244U1FuSno5WlUxUFQ2M3IvcHhPR2ZTSTZxVVJSYkJjRTRTdS8zNy9PNC9Hc0t5d3N0UFg5ckJNVE9QTWRFeE9EenovL3ZOUFp5aWxUcHVEY2M4ODk2cHg5aThXQ1J4OTlGRTZuRXphYkxiZyt1a3dtdzhVWFg5enR1VmRjY1FXeXM3TjdYTzR5c0RMTWtpVkxjTkZGRndYYkowK2VqR3V2dmZhb2MvWUR5c3ZMOGVHSEgyTHUzTG1kTHY1MXVRNy9ibnZnZ1Fjd2UvWnNQUExJSTFpNmRPbEpDZnluaTFONW5QWG00b3N2N3ZTNG9xSUNkOTU1SjZxcXF2Q1h2L3dGTDc3NFlyZm5yRml4QWxLcEZMZmVlaXNBb0xpNEdMdDM3OFlOTjl6UXFVOUNRZ0t1dlBKS0FNRGYvLzUzWkdWbDRkSkxMd1VBN051M3I5UC8rL3o4Zk96ZHV4ZTdkdTNDT2VlYzArTVVIYi8vOEdxQ3p6Ly9QT3gyTzBwTFMvSFJSeC9ocXF1dTZ1ZTdFSG1PNTlqU2FyVVh4TWZIMzZaV3EwZUpvdWh4T0J5QnM5cCtoVUtSRmxpaXNnOHFrOG4wbUVRaVVldDB1Z3NPSGp3WVhHR25wYVhsZzZLaW9tME9oeU80L3E3QllMaDE2TkNoSzF0YVd0YUhEcEtRa0hCUFlLNThENVFxbFdxVTBXZ01yc3N2a1Voa0NRa0o5elUzTjYrdHJLejh3d0R0U3pjS2hXTFVzR0hEL3FsV3E4ZlYxOWUvYkRLWkhoTUVRU3VWU3FNRlFWQm5abWF1M2I5Ly8za09oeU40RHc2ajBYaGZSVVhGRFM2WHE3U3VydTZsbEpTVVpZSWdTQzBXeTRxUW9RV0UzSDNYWXJIOHZiY2FwRktwSVRrNStZbms1T1NGUHAvUENpRDREeWcyTm5hNldxMGVaVEFZYm5TNVhEVk5UVTF2bnNoK0RpWU0rMFIwTWxnQmZDbUs0bnNXaStYanFxcXFibDlSbjJ3bk1pMGhJU0VCRHo3NElCNS8vSEdrcHFZR3o5RDJOaWNmT0h4eGJrOEtDd3NoQ0VLbmVmYkFrWkRWRjUvUGgvbno1eU0zTnhlelpzM3F0QzBROW5OeWNqQjc5bXlzV3JVS2MrYk13Zi84ei84Z096dTdwK0VpVmRpUHM2TXBLaXJDNDQ4L2p0Lys5cmRRS0JROWhuMm4wNG0ydGlQWGVNYkZ4V0hac21XdzJUcm55ZEJ2a3dEMHVNclQwS0ZEY2YzMTErT2FhNjdCMjIrL2pTMWJ0bURzMkxFOTF1WjJ1ekZqeGd4Y2NNRUZzTnZ0V0xWcUZiNysrbXVHL1NOTzZOaXkyV3hiWlRLWkxpWW1acFhMNVNvRjRBR0FqdWt0eDhycjgvbWM4Zkh4OHdEQWJyZi9FTG94Tk9nRFFGUlVWSTRvaW02WHk5VnB6cjVNSnRNbEp5Zi8yZWZ6dGFITDJYYXBWS3BTcVZTamtwS1NPdDJFQ3dBTUJzT05OcHZ0djgzTnplOFB3TDRBT0h4TmdWUXFqWlZJSk5GdXQ3dE1LcFVhQUVDdjExL3RjRGgyT3AzT1VxZlR1Yisrdm42SjBXaDhYSzFXNTRTRy9YMzc5azFFeDdLanpjM05iNXRNcHZrK242L0Zack1GL3hFSWdpQkhTR2p2UXFMUmFISTFHczBrbVV5V3JGQW9NbHd1VjBsUlVkRzRvVU9Icm8yT2p2NjF6K2R6QUlCU3FVeVRTQ1JxaDhPeFB6RXg4WGFIdy9HNXcrRVlIT3Y2bmlDR2ZTSWFTTi83L2Y1cEhvL25QNFdGaGU1d0YzTXNQdm5rRTB5WU1BRkpTWWVuc3VibTVzSmdNQVJ2YWhSUVhsNk8xYXRYZDJyckdzaENiZDY4R1JNblR1eTJHb3ZQNXp1bXdQL2NjOCtodGJVVksxZXU3SFNCTUhBazdBUEF2SG56VUZwYWlzMmJOMlBtekptWU4yOGU1c3laMDNXNFNEUG9qek8vMzQrTEw3NDRlTEYzYUhzb3E5V0tuMzc2Q1Q2ZkQxS3BGSEZ4Y1ZpN2RpMTBPaDFVS2hWV3JseUoxMTU3RFNhVENXdldySUZlcjhjZGQ5eUI0dUppbkgzMjJiamtra3N3WmNxVVRoOUlEUVlESmsrZWpEVnIxdlI0N3dXLzM0K3JyNzRhczJiTkNoNzN5NVl0UTAxTkRSd094eTk5R2M3K0hsdk9scGFXajRjTUdlSnl1OTIxZ1VaQkVDVE56YzFydTA2YnljbkorYW1ITWJ4MWRYV0xOUnJObU5qWTJCbE9wL09vTjU3U2FyVVhkcHgxNzNRVHNKcWFtcVUxTlRVdkEraTJHdFhZc1dPdFZxdjEwL0x5OHV1N2JnczFBUHVpVEUxTlhaaVFrSENmdytIWW9kRm96a3BQVDMranVycDZnY2ZqS1c1cmEvdTJTMytGVkNvMU5UVTFkYjNBeEFrY25sSTBkT2pRajkxdWQ2VlVLbzBaTTJaTWNVTkR3NnV0cmEwZmlhTG90TnZ0VzlHRDZPam8zd3dmUHZ3VHI5ZmIyTkRRc0t5NnVub1pnRVlBS0N3c0hCbm9aemFieGJxNnVoZnE2K3YvMXZHODgwNzNvQTh3N0JQUkFDb29LRmpYZDYrVFo5bXlaYWl1N3ZuM290UHA3SFJUclVEYjVzMmJNV2JNbU9CMENnRFl2MzgvTWpJeWd2MENOODVhdFdwVnB6SGIyOXQ3RE81bFpXWFl0V3NYVnF4WTBXMmIxK3VGMSt2Rit2WHJzWG56NXVCcmhnYjY5ZXZYWS9mdTNWaXhZZ1VNQmdPKyt1b3JyRnk1RWhxTkJuVjFkUmc1TXZpN0NSS0pCRXVXTE1HVFR6NkpyS3lzWDhTWjJYQWZaOGVpcHc5MU1URXgrUGJiYjRQWGt3REF0bTNiME56Y2pDKysrQ0k0TFNjcEtRa0ZCUVY0OGNVWHNYZnZYbHh5eVNXNDl0cHJnOU54OHZQenNXdlhMcno0NG90NDZLR0hNSHo0Y0x6eXlpc3dHSTVjaDd4djN6NEFuVDljYUxWYWJOKytIVTg4OFFRQTRLV1hYZ3IyS1M4dmg5L3Z4L3IxNjNITk5kZWNwSGRsOEJ1SVkwdXBWQTZYeStYRzl2YjI0SVU1Z2lDRWZtTFhEUnMyN0MydjE5c2dsOHRUN1hiNzdoNkdRY2ZONVVSMG1aT2VtSmo0b0VxbEd1SHhlQ3BrTWxsY1ZGUlVYazFOelZNOURPSHArTk9OSUFqU0xqV2RsSDJKam80K015RWg0UjZiemJhcHBLVGtjcVZTbVo2UmtmRmVYRnpjVFU2bmM3L2I3YTd3K1h4dGZyL2YxYkhNcFVJbWsrbEhqUnExVlM2WG0zYnYzbTBDNEFZQXJWYjc2NHlNakgrNFhLN0txcXFxaTMwK1gzUmFXdHJmazVLU25rNUtTbm9hQUpLVGs1OHhHbzBQK2YxK0Z3Q0lvdWpldjMvL21XMXRiZi8rK2VlZjV6WTBOTHdQb0VHdFZwK2RsSlMwdktkOURxekdJNVZLWTNRNjNhVVZGUlczTmpZMnJ1N3J2UnJNR1BhSktHS01HVE1HbjMzMkdZeEdZN2Q1eW9IcERLRTMxUUtPekpmZnVIRmpjTTcxcFpkZWlyS3lJd3RDZUR3ZVhIREJCVDNPMlE4OXl4N3c1cHR2WXRxMGFSZzNibHlQZFNZbUptTGN1SEdvcUtqQW1qVnJJQWdDempycnlMWGZreVpOd3RTcFU0UHpzQ2RQbmd5cFZJcEZpdzR2a3RFMTBDc1VDaXhac3FUSHBSNHBQRHdlVDdkajQ0RUhIc0RycjcrTzh2SWpzeTJTazVOeHl5MjNCSVAranovK2lQejhmQlFWRmVFM3Yva04vdnpuUHlNdHJmdlU2TEZqeCtMTk45L0U4dVhMc1hyMWFtemV2TG5UY1RGNjlHZ1lESVpPTjRTNzY2NjdzSHIxYXRUVjFYVWJMeTh2RDNsNWViajY2cXY3dmUrL2RDNlhxOUptczMzdDlYcGJBbTJDSUNoeDVNeTdyYkd4Y1UxS1NzcGZwVkpwVEZ0YjIrYzlqZVB4ZUdybGNua3lEczlERDA2ZHNWcXRIeXFWeW9lU2s1TVhkcnhlU1UxTlRhL3owM3NpQ0lKQ0VJUStWNXJwNzc2MHRiVjlWMUpTOHB1TzZUWnVsOHRWc24vLy92RUdnMkY2VEV6TWRMVmFQYVpqdlgyVklBaHlRUkJrQUFTUHgxTlZVbEl5Rm9lRHZuYm8wS0g1T3AzdXdycTZ1ci9XMWRXOWpJNExpRXRLU3FZcUZJb2N2VjUvcFVhak9WT3BWR2JKNWZKVXBWS3A5M3E5emZ2MzcvOVZvSmFHaG9iWEFuOTNPQnpiNUhKNXNrUWlpUlpGTVhnbjMvYjI5azBBRUxqNHViMjlmWk5lcjcrK3NiSHgzK2psVHNORVJIUU16R2F6YURhYnhjSHE0WWNmRm5mdDJ0V3QvWWtubmhBM2JkclVyWDNwMHFXaXkrWHExdTczKzhYeTh2Sk9iUjk4OElINDdiZmZIbE1kMjdkdkYwdEtTbzZ0Nkg0SS9QOEk5M0V4a0U3MU1iWnExU3F4dGJYMXVKLzM1WmRmaWw5KythWG9kRHFQK1RsNzl1d1I3WGI3Y2I5V09FWGlNWFkwQm9QaFZnQ2QxdmhWS3BVam9xT2pmOVhMVXdCQUV4c2JlMlZ2RzAwbTArS0VoSVI3QUdpUHN4eGh4SWdSLzJjd0dINS9uTThEY01MNzBpL1IwZEZYQURpZVpUQ2xPSHhQQkVMSVZjdEVST0VTK0tVZnVyd2xoVS9nMjQ3QnRpeGlmL0FZRzF3aThSZ2pHcXg2WDJLQ2lJaUlpSWhPYXd6N1JFUkVSRVFSaW1HZmlJaUlpQ2hDTWV3VEVSRVJFVVVvaG4waUlpSWlvZ2pGc0U5RVJFUkVGS0VZOW9tSWlJaUlJaFREUGhFUkVSRlJoR0xZSnlJaUlpS0tVQXo3UkVSRVJFUVJpbUdmaUlpSWlDaENNZXdURVJFUkVVVW9objBpSWlJaW9nakZzRTlFUkVSRUZLRVk5b21JaUlpSUloVERQaEVSRVJGUmhHTFlKeUlpSWlLS1VBejdSRVJFUkVRUmltR2ZpSWlJaUNoQ01ld1RFUkVSRVVVb2huMGlJaUlpb2dqRnNFOUVSRVJFRktFWTlvbUlpSWlJSWhURFBoRVJFUkZSaEdMWUp5SWlJaUtLVUxKd0YwQkVGREIrL1Bod2wwQVJqc2NZRWYzUzhNdytFWVdkS0lvL2hMc0c2dWFuY0Jjd2tIaU1EVW9SZFl3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IwU24xL3dHbW8vWUU3UjhUbEFBQUFBQkpSVTVFcmtKZ2dnPT0iLAoJIlRoZW1lIiA6ICIiLAoJIlR5cGUiIDogImZsb3ciLAoJIlZlcnNpb24iIDogIiIKfQo="/>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45</Pages>
  <Words>24357</Words>
  <Characters>27697</Characters>
  <Lines>13</Lines>
  <Paragraphs>3</Paragraphs>
  <TotalTime>9</TotalTime>
  <ScaleCrop>false</ScaleCrop>
  <LinksUpToDate>false</LinksUpToDate>
  <CharactersWithSpaces>28144</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2020-12-24T01:29:00Z</dcterms:created>
  <dc:creator>lhj</dc:creator>
  <cp:lastModifiedBy>NIUYATONG </cp:lastModifiedBy>
  <cp:lastPrinted>2022-11-15T00:39:00Z</cp:lastPrinted>
  <dcterms:modified xsi:type="dcterms:W3CDTF">2023-02-02T02:39:53Z</dcterms:modified>
  <cp:revision>37</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9A49706906E14C64B3327929E5312D8E</vt:lpwstr>
  </property>
</Properties>
</file>