
<file path=[Content_Types].xml><?xml version="1.0" encoding="utf-8"?>
<Types xmlns="http://schemas.openxmlformats.org/package/2006/content-types">
  <Default ContentType="application/vnd.openxmlformats-officedocument.oleObject" Extension="bin"/>
  <Default ContentType="image/jpeg" Extension="jpeg"/>
  <Default ContentType="image/.jp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黑体" w:hAnsi="黑体" w:eastAsia="黑体" w:cs="黑体"/>
          <w:b w:val="0"/>
          <w:bCs w:val="0"/>
          <w:color w:val="000000" w:themeColor="text1"/>
          <w:sz w:val="30"/>
          <w:szCs w:val="30"/>
          <w:highlight w:val="none"/>
          <w14:textFill>
            <w14:solidFill>
              <w14:schemeClr w14:val="tx1"/>
            </w14:solidFill>
          </w14:textFill>
        </w:rPr>
      </w:pPr>
      <w:r>
        <w:rPr>
          <w:rFonts w:hint="default" w:ascii="黑体" w:hAnsi="黑体" w:eastAsia="黑体" w:cs="黑体"/>
          <w:b w:val="0"/>
          <w:bCs w:val="0"/>
          <w:color w:val="000000" w:themeColor="text1"/>
          <w:sz w:val="30"/>
          <w:szCs w:val="30"/>
          <w:highlight w:val="none"/>
          <w14:textFill>
            <w14:solidFill>
              <w14:schemeClr w14:val="tx1"/>
            </w14:solidFill>
          </w14:textFill>
        </w:rPr>
        <w:t>一、建设项目基本情况</w:t>
      </w:r>
    </w:p>
    <w:tbl>
      <w:tblPr>
        <w:tblStyle w:val="31"/>
        <w:tblW w:w="492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44"/>
        <w:gridCol w:w="1823"/>
        <w:gridCol w:w="2175"/>
        <w:gridCol w:w="25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46" w:type="dxa"/>
            <w:noWrap w:val="0"/>
            <w:tcMar>
              <w:top w:w="16" w:type="dxa"/>
              <w:left w:w="16" w:type="dxa"/>
              <w:right w:w="16" w:type="dxa"/>
            </w:tcMar>
            <w:vAlign w:val="center"/>
          </w:tcPr>
          <w:p>
            <w:pPr>
              <w:pStyle w:val="3"/>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建设项目名称</w:t>
            </w:r>
          </w:p>
        </w:tc>
        <w:tc>
          <w:tcPr>
            <w:tcW w:w="6581" w:type="dxa"/>
            <w:gridSpan w:val="3"/>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生活垃圾焚烧发电炉渣综合利用项目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37" w:hRule="atLeast"/>
          <w:jc w:val="center"/>
        </w:trPr>
        <w:tc>
          <w:tcPr>
            <w:tcW w:w="2046" w:type="dxa"/>
            <w:noWrap w:val="0"/>
            <w:tcMar>
              <w:top w:w="16" w:type="dxa"/>
              <w:left w:w="16" w:type="dxa"/>
              <w:right w:w="16" w:type="dxa"/>
            </w:tcMar>
            <w:vAlign w:val="center"/>
          </w:tcPr>
          <w:p>
            <w:pPr>
              <w:pStyle w:val="3"/>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项目代码</w:t>
            </w:r>
          </w:p>
        </w:tc>
        <w:tc>
          <w:tcPr>
            <w:tcW w:w="6581" w:type="dxa"/>
            <w:gridSpan w:val="3"/>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2301-130306-89-05-477320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46" w:type="dxa"/>
            <w:noWrap w:val="0"/>
            <w:tcMar>
              <w:top w:w="16" w:type="dxa"/>
              <w:left w:w="16" w:type="dxa"/>
              <w:right w:w="16" w:type="dxa"/>
            </w:tcMar>
            <w:vAlign w:val="center"/>
          </w:tcPr>
          <w:p>
            <w:pPr>
              <w:pStyle w:val="3"/>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建设单位联系人</w:t>
            </w:r>
          </w:p>
        </w:tc>
        <w:tc>
          <w:tcPr>
            <w:tcW w:w="1824" w:type="dxa"/>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鲍雅平</w:t>
            </w:r>
          </w:p>
        </w:tc>
        <w:tc>
          <w:tcPr>
            <w:tcW w:w="2177" w:type="dxa"/>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联系方式</w:t>
            </w:r>
          </w:p>
        </w:tc>
        <w:tc>
          <w:tcPr>
            <w:tcW w:w="2580" w:type="dxa"/>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13952684688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2046" w:type="dxa"/>
            <w:noWrap w:val="0"/>
            <w:tcMar>
              <w:top w:w="16" w:type="dxa"/>
              <w:left w:w="16" w:type="dxa"/>
              <w:right w:w="16" w:type="dxa"/>
            </w:tcMar>
            <w:vAlign w:val="center"/>
          </w:tcPr>
          <w:p>
            <w:pPr>
              <w:pStyle w:val="3"/>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建设地点</w:t>
            </w:r>
          </w:p>
        </w:tc>
        <w:tc>
          <w:tcPr>
            <w:tcW w:w="6581" w:type="dxa"/>
            <w:gridSpan w:val="3"/>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河北省秦皇岛市抚宁区留守营镇潘官营村南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46" w:type="dxa"/>
            <w:noWrap w:val="0"/>
            <w:tcMar>
              <w:top w:w="16" w:type="dxa"/>
              <w:left w:w="16" w:type="dxa"/>
              <w:right w:w="16" w:type="dxa"/>
            </w:tcMar>
            <w:vAlign w:val="center"/>
          </w:tcPr>
          <w:p>
            <w:pPr>
              <w:pStyle w:val="3"/>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地理坐标</w:t>
            </w:r>
          </w:p>
        </w:tc>
        <w:tc>
          <w:tcPr>
            <w:tcW w:w="6581" w:type="dxa"/>
            <w:gridSpan w:val="3"/>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（东经119°17'51.273"，北纬39°53'9.524"）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71" w:hRule="atLeast"/>
          <w:jc w:val="center"/>
        </w:trPr>
        <w:tc>
          <w:tcPr>
            <w:tcW w:w="2046" w:type="dxa"/>
            <w:noWrap w:val="0"/>
            <w:tcMar>
              <w:top w:w="16" w:type="dxa"/>
              <w:left w:w="16" w:type="dxa"/>
              <w:right w:w="16" w:type="dxa"/>
            </w:tcMar>
            <w:vAlign w:val="center"/>
          </w:tcPr>
          <w:p>
            <w:pPr>
              <w:pStyle w:val="3"/>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国民经济</w:t>
            </w:r>
          </w:p>
          <w:p>
            <w:pPr>
              <w:pStyle w:val="3"/>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行业类别</w:t>
            </w:r>
          </w:p>
        </w:tc>
        <w:tc>
          <w:tcPr>
            <w:tcW w:w="1824" w:type="dxa"/>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C4220非金属废料和碎屑加工处理</w:t>
            </w:r>
          </w:p>
        </w:tc>
        <w:tc>
          <w:tcPr>
            <w:tcW w:w="2177" w:type="dxa"/>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bookmarkStart w:id="0" w:name="_Hlk49843745"/>
            <w:r>
              <w:rPr>
                <w:rFonts w:hint="default" w:ascii="Times New Roman" w:hAnsi="Times New Roman" w:eastAsia="宋体" w:cs="Times New Roman"/>
                <w:b/>
                <w:bCs/>
                <w:color w:val="000000" w:themeColor="text1"/>
                <w:sz w:val="24"/>
                <w:szCs w:val="24"/>
                <w:highlight w:val="none"/>
                <w14:textFill>
                  <w14:solidFill>
                    <w14:schemeClr w14:val="tx1"/>
                  </w14:solidFill>
                </w14:textFill>
              </w:rPr>
              <w:t>建设项目</w:t>
            </w:r>
          </w:p>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行业类别</w:t>
            </w:r>
            <w:bookmarkEnd w:id="0"/>
          </w:p>
        </w:tc>
        <w:tc>
          <w:tcPr>
            <w:tcW w:w="2580" w:type="dxa"/>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三十九、废弃资源综合利用业；非金属废料和碎屑加工处理422废弃电器电子产品、废机动车、废电机、废电线电缆、废钢、废铁、金属和金属化合物矿灰及残渣、有色金属肥料与碎屑、废塑料、废轮胎、废船、含水洗工艺的其他废料和碎屑加工处理（农业生产产生的废旧秧盘、薄膜破碎和清洗工艺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30" w:hRule="atLeast"/>
          <w:jc w:val="center"/>
        </w:trPr>
        <w:tc>
          <w:tcPr>
            <w:tcW w:w="2046" w:type="dxa"/>
            <w:noWrap w:val="0"/>
            <w:tcMar>
              <w:top w:w="16" w:type="dxa"/>
              <w:left w:w="16" w:type="dxa"/>
              <w:right w:w="16" w:type="dxa"/>
            </w:tcMar>
            <w:vAlign w:val="center"/>
          </w:tcPr>
          <w:p>
            <w:pPr>
              <w:pStyle w:val="3"/>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建设性质</w:t>
            </w:r>
          </w:p>
        </w:tc>
        <w:tc>
          <w:tcPr>
            <w:tcW w:w="1824" w:type="dxa"/>
            <w:noWrap w:val="0"/>
            <w:vAlign w:val="center"/>
          </w:tcPr>
          <w:p>
            <w:pPr>
              <w:pageBreakBefore w:val="0"/>
              <w:widowControl w:val="0"/>
              <w:kinsoku/>
              <w:wordWrap/>
              <w:topLinePunct w:val="0"/>
              <w:bidi w:val="0"/>
              <w:adjustRightInd w:val="0"/>
              <w:snapToGrid w:val="0"/>
              <w:spacing w:line="240" w:lineRule="auto"/>
              <w:jc w:val="both"/>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sym w:font="Wingdings 2" w:char="0052"/>
            </w:r>
            <w:r>
              <w:rPr>
                <w:rFonts w:hint="default" w:cs="Times New Roman"/>
                <w:color w:val="000000" w:themeColor="text1"/>
                <w:sz w:val="21"/>
                <w:szCs w:val="21"/>
                <w:highlight w:val="none"/>
                <w:lang w:val="en-US" w:eastAsia="zh-CN"/>
                <w14:textFill>
                  <w14:solidFill>
                    <w14:schemeClr w14:val="tx1"/>
                  </w14:solidFill>
                </w14:textFill>
              </w:rPr>
              <w:t>新建（迁建）</w:t>
            </w:r>
          </w:p>
          <w:p>
            <w:pPr>
              <w:pageBreakBefore w:val="0"/>
              <w:widowControl w:val="0"/>
              <w:kinsoku/>
              <w:wordWrap/>
              <w:topLinePunct w:val="0"/>
              <w:bidi w:val="0"/>
              <w:adjustRightInd w:val="0"/>
              <w:snapToGrid w:val="0"/>
              <w:spacing w:line="240" w:lineRule="auto"/>
              <w:jc w:val="both"/>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sym w:font="Wingdings 2" w:char="00A3"/>
            </w:r>
            <w:r>
              <w:rPr>
                <w:rFonts w:hint="default" w:cs="Times New Roman"/>
                <w:color w:val="000000" w:themeColor="text1"/>
                <w:sz w:val="21"/>
                <w:szCs w:val="21"/>
                <w:highlight w:val="none"/>
                <w:lang w:val="en-US" w:eastAsia="zh-CN"/>
                <w14:textFill>
                  <w14:solidFill>
                    <w14:schemeClr w14:val="tx1"/>
                  </w14:solidFill>
                </w14:textFill>
              </w:rPr>
              <w:t>改建</w:t>
            </w:r>
          </w:p>
          <w:p>
            <w:pPr>
              <w:pageBreakBefore w:val="0"/>
              <w:widowControl w:val="0"/>
              <w:kinsoku/>
              <w:wordWrap/>
              <w:topLinePunct w:val="0"/>
              <w:bidi w:val="0"/>
              <w:adjustRightInd w:val="0"/>
              <w:snapToGrid w:val="0"/>
              <w:spacing w:line="240" w:lineRule="auto"/>
              <w:jc w:val="both"/>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sym w:font="Wingdings 2" w:char="00A3"/>
            </w:r>
            <w:r>
              <w:rPr>
                <w:rFonts w:hint="default" w:cs="Times New Roman"/>
                <w:color w:val="000000" w:themeColor="text1"/>
                <w:sz w:val="21"/>
                <w:szCs w:val="21"/>
                <w:highlight w:val="none"/>
                <w:lang w:val="en-US" w:eastAsia="zh-CN"/>
                <w14:textFill>
                  <w14:solidFill>
                    <w14:schemeClr w14:val="tx1"/>
                  </w14:solidFill>
                </w14:textFill>
              </w:rPr>
              <w:t>扩建</w:t>
            </w:r>
          </w:p>
          <w:p>
            <w:pPr>
              <w:pageBreakBefore w:val="0"/>
              <w:widowControl w:val="0"/>
              <w:kinsoku/>
              <w:wordWrap/>
              <w:topLinePunct w:val="0"/>
              <w:bidi w:val="0"/>
              <w:adjustRightInd w:val="0"/>
              <w:snapToGrid w:val="0"/>
              <w:spacing w:line="240" w:lineRule="auto"/>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default" w:cs="Times New Roman"/>
                <w:color w:val="000000" w:themeColor="text1"/>
                <w:sz w:val="21"/>
                <w:szCs w:val="21"/>
                <w:highlight w:val="none"/>
                <w:lang w:val="en-US" w:eastAsia="zh-CN"/>
                <w14:textFill>
                  <w14:solidFill>
                    <w14:schemeClr w14:val="tx1"/>
                  </w14:solidFill>
                </w14:textFill>
              </w:rPr>
              <w:t>技术改造</w:t>
            </w:r>
          </w:p>
        </w:tc>
        <w:tc>
          <w:tcPr>
            <w:tcW w:w="2177" w:type="dxa"/>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建设项目</w:t>
            </w:r>
          </w:p>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申报情形</w:t>
            </w:r>
          </w:p>
        </w:tc>
        <w:tc>
          <w:tcPr>
            <w:tcW w:w="2580" w:type="dxa"/>
            <w:noWrap w:val="0"/>
            <w:vAlign w:val="center"/>
          </w:tcPr>
          <w:p>
            <w:pPr>
              <w:pageBreakBefore w:val="0"/>
              <w:widowControl w:val="0"/>
              <w:kinsoku/>
              <w:wordWrap/>
              <w:topLinePunct w:val="0"/>
              <w:bidi w:val="0"/>
              <w:adjustRightInd w:val="0"/>
              <w:snapToGrid w:val="0"/>
              <w:spacing w:line="240" w:lineRule="auto"/>
              <w:jc w:val="both"/>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☑首次申报项目</w:t>
            </w:r>
          </w:p>
          <w:p>
            <w:pPr>
              <w:pageBreakBefore w:val="0"/>
              <w:widowControl w:val="0"/>
              <w:kinsoku/>
              <w:wordWrap/>
              <w:topLinePunct w:val="0"/>
              <w:bidi w:val="0"/>
              <w:adjustRightInd w:val="0"/>
              <w:snapToGrid w:val="0"/>
              <w:spacing w:line="240" w:lineRule="auto"/>
              <w:jc w:val="both"/>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sym w:font="Wingdings 2" w:char="00A3"/>
            </w:r>
            <w:r>
              <w:rPr>
                <w:rFonts w:hint="default" w:cs="Times New Roman"/>
                <w:color w:val="000000" w:themeColor="text1"/>
                <w:sz w:val="21"/>
                <w:szCs w:val="21"/>
                <w:highlight w:val="none"/>
                <w:lang w:val="en-US" w:eastAsia="zh-CN"/>
                <w14:textFill>
                  <w14:solidFill>
                    <w14:schemeClr w14:val="tx1"/>
                  </w14:solidFill>
                </w14:textFill>
              </w:rPr>
              <w:t>不予批准后再次申报项目</w:t>
            </w:r>
          </w:p>
          <w:p>
            <w:pPr>
              <w:pageBreakBefore w:val="0"/>
              <w:widowControl w:val="0"/>
              <w:kinsoku/>
              <w:wordWrap/>
              <w:topLinePunct w:val="0"/>
              <w:bidi w:val="0"/>
              <w:adjustRightInd w:val="0"/>
              <w:snapToGrid w:val="0"/>
              <w:spacing w:line="240" w:lineRule="auto"/>
              <w:jc w:val="both"/>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sym w:font="Wingdings 2" w:char="00A3"/>
            </w:r>
            <w:r>
              <w:rPr>
                <w:rFonts w:hint="default" w:cs="Times New Roman"/>
                <w:color w:val="000000" w:themeColor="text1"/>
                <w:sz w:val="21"/>
                <w:szCs w:val="21"/>
                <w:highlight w:val="none"/>
                <w:lang w:val="en-US" w:eastAsia="zh-CN"/>
                <w14:textFill>
                  <w14:solidFill>
                    <w14:schemeClr w14:val="tx1"/>
                  </w14:solidFill>
                </w14:textFill>
              </w:rPr>
              <w:t>超五年重新审核项目</w:t>
            </w:r>
          </w:p>
          <w:p>
            <w:pPr>
              <w:pageBreakBefore w:val="0"/>
              <w:widowControl w:val="0"/>
              <w:kinsoku/>
              <w:wordWrap/>
              <w:topLinePunct w:val="0"/>
              <w:bidi w:val="0"/>
              <w:adjustRightInd w:val="0"/>
              <w:snapToGrid w:val="0"/>
              <w:spacing w:line="240" w:lineRule="auto"/>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sym w:font="Wingdings 2" w:char="00A3"/>
            </w:r>
            <w:r>
              <w:rPr>
                <w:rFonts w:hint="default" w:cs="Times New Roman"/>
                <w:color w:val="000000" w:themeColor="text1"/>
                <w:sz w:val="21"/>
                <w:szCs w:val="21"/>
                <w:highlight w:val="none"/>
                <w:lang w:val="en-US" w:eastAsia="zh-CN"/>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46" w:type="dxa"/>
            <w:noWrap w:val="0"/>
            <w:tcMar>
              <w:top w:w="16" w:type="dxa"/>
              <w:left w:w="16" w:type="dxa"/>
              <w:right w:w="16" w:type="dxa"/>
            </w:tcMar>
            <w:vAlign w:val="center"/>
          </w:tcPr>
          <w:p>
            <w:pPr>
              <w:pStyle w:val="3"/>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项目审批（核准/</w:t>
            </w:r>
          </w:p>
          <w:p>
            <w:pPr>
              <w:pStyle w:val="3"/>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备案）部门（选填）</w:t>
            </w:r>
          </w:p>
        </w:tc>
        <w:tc>
          <w:tcPr>
            <w:tcW w:w="1824" w:type="dxa"/>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秦皇岛市抚宁区行政审批局</w:t>
            </w:r>
          </w:p>
        </w:tc>
        <w:tc>
          <w:tcPr>
            <w:tcW w:w="2177" w:type="dxa"/>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项目审批（核准/</w:t>
            </w:r>
          </w:p>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备案）文号（选填）</w:t>
            </w:r>
          </w:p>
        </w:tc>
        <w:tc>
          <w:tcPr>
            <w:tcW w:w="2580" w:type="dxa"/>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抚行审备【2023】6号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05" w:hRule="atLeast"/>
          <w:jc w:val="center"/>
        </w:trPr>
        <w:tc>
          <w:tcPr>
            <w:tcW w:w="2046" w:type="dxa"/>
            <w:noWrap w:val="0"/>
            <w:tcMar>
              <w:top w:w="16" w:type="dxa"/>
              <w:left w:w="16" w:type="dxa"/>
              <w:right w:w="16" w:type="dxa"/>
            </w:tcMar>
            <w:vAlign w:val="center"/>
          </w:tcPr>
          <w:p>
            <w:pPr>
              <w:pStyle w:val="3"/>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总投资（万元）</w:t>
            </w:r>
          </w:p>
        </w:tc>
        <w:tc>
          <w:tcPr>
            <w:tcW w:w="1824" w:type="dxa"/>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1200</w:t>
            </w:r>
          </w:p>
        </w:tc>
        <w:tc>
          <w:tcPr>
            <w:tcW w:w="2177" w:type="dxa"/>
            <w:noWrap w:val="0"/>
            <w:tcMar>
              <w:top w:w="16" w:type="dxa"/>
              <w:left w:w="16" w:type="dxa"/>
              <w:right w:w="16" w:type="dxa"/>
            </w:tcMar>
            <w:vAlign w:val="center"/>
          </w:tcPr>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环保投资（万元）</w:t>
            </w:r>
          </w:p>
        </w:tc>
        <w:tc>
          <w:tcPr>
            <w:tcW w:w="2580" w:type="dxa"/>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6" w:hRule="atLeast"/>
          <w:jc w:val="center"/>
        </w:trPr>
        <w:tc>
          <w:tcPr>
            <w:tcW w:w="2046" w:type="dxa"/>
            <w:noWrap w:val="0"/>
            <w:tcMar>
              <w:top w:w="16" w:type="dxa"/>
              <w:left w:w="16" w:type="dxa"/>
              <w:right w:w="16" w:type="dxa"/>
            </w:tcMar>
            <w:vAlign w:val="center"/>
          </w:tcPr>
          <w:p>
            <w:pPr>
              <w:pStyle w:val="3"/>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环保投资占比（%）</w:t>
            </w:r>
          </w:p>
        </w:tc>
        <w:tc>
          <w:tcPr>
            <w:tcW w:w="1824" w:type="dxa"/>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0.83</w:t>
            </w:r>
          </w:p>
        </w:tc>
        <w:tc>
          <w:tcPr>
            <w:tcW w:w="2177" w:type="dxa"/>
            <w:noWrap w:val="0"/>
            <w:tcMar>
              <w:top w:w="16" w:type="dxa"/>
              <w:left w:w="16" w:type="dxa"/>
              <w:right w:w="16" w:type="dxa"/>
            </w:tcMar>
            <w:vAlign w:val="center"/>
          </w:tcPr>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施工工期</w:t>
            </w:r>
          </w:p>
        </w:tc>
        <w:tc>
          <w:tcPr>
            <w:tcW w:w="2580" w:type="dxa"/>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46" w:type="dxa"/>
            <w:noWrap w:val="0"/>
            <w:tcMar>
              <w:top w:w="16" w:type="dxa"/>
              <w:left w:w="16" w:type="dxa"/>
              <w:right w:w="16" w:type="dxa"/>
            </w:tcMar>
            <w:vAlign w:val="center"/>
          </w:tcPr>
          <w:p>
            <w:pPr>
              <w:pStyle w:val="3"/>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是否开工建设</w:t>
            </w:r>
          </w:p>
        </w:tc>
        <w:tc>
          <w:tcPr>
            <w:tcW w:w="1824" w:type="dxa"/>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sym w:font="Wingdings 2" w:char="0052"/>
            </w:r>
            <w:r>
              <w:rPr>
                <w:rFonts w:hint="default" w:cs="Times New Roman"/>
                <w:color w:val="000000" w:themeColor="text1"/>
                <w:sz w:val="21"/>
                <w:szCs w:val="21"/>
                <w:highlight w:val="none"/>
                <w:lang w:val="en-US" w:eastAsia="zh-CN"/>
                <w14:textFill>
                  <w14:solidFill>
                    <w14:schemeClr w14:val="tx1"/>
                  </w14:solidFill>
                </w14:textFill>
              </w:rPr>
              <w:t>否</w:t>
            </w:r>
          </w:p>
          <w:p>
            <w:pPr>
              <w:pageBreakBefore w:val="0"/>
              <w:widowControl w:val="0"/>
              <w:kinsoku/>
              <w:wordWrap/>
              <w:topLinePunct w:val="0"/>
              <w:bidi w:val="0"/>
              <w:adjustRightInd w:val="0"/>
              <w:snapToGrid w:val="0"/>
              <w:spacing w:line="240"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sym w:font="Wingdings 2" w:char="00A3"/>
            </w:r>
            <w:r>
              <w:rPr>
                <w:rFonts w:hint="default" w:cs="Times New Roman"/>
                <w:color w:val="000000" w:themeColor="text1"/>
                <w:sz w:val="21"/>
                <w:szCs w:val="21"/>
                <w:highlight w:val="none"/>
                <w:lang w:val="en-US" w:eastAsia="zh-CN"/>
                <w14:textFill>
                  <w14:solidFill>
                    <w14:schemeClr w14:val="tx1"/>
                  </w14:solidFill>
                </w14:textFill>
              </w:rPr>
              <w:t>是：</w:t>
            </w:r>
          </w:p>
        </w:tc>
        <w:tc>
          <w:tcPr>
            <w:tcW w:w="2177" w:type="dxa"/>
            <w:noWrap w:val="0"/>
            <w:tcMar>
              <w:top w:w="16" w:type="dxa"/>
              <w:left w:w="16" w:type="dxa"/>
              <w:right w:w="16" w:type="dxa"/>
            </w:tcMar>
            <w:vAlign w:val="center"/>
          </w:tcPr>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pacing w:val="-6"/>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pacing w:val="-6"/>
                <w:sz w:val="24"/>
                <w:szCs w:val="24"/>
                <w:highlight w:val="none"/>
                <w14:textFill>
                  <w14:solidFill>
                    <w14:schemeClr w14:val="tx1"/>
                  </w14:solidFill>
                </w14:textFill>
              </w:rPr>
              <w:t>用地（用海）</w:t>
            </w:r>
          </w:p>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pacing w:val="-6"/>
                <w:sz w:val="24"/>
                <w:szCs w:val="24"/>
                <w:highlight w:val="none"/>
                <w14:textFill>
                  <w14:solidFill>
                    <w14:schemeClr w14:val="tx1"/>
                  </w14:solidFill>
                </w14:textFill>
              </w:rPr>
              <w:t>面积（m</w:t>
            </w:r>
            <w:r>
              <w:rPr>
                <w:rFonts w:hint="default" w:ascii="Times New Roman" w:hAnsi="Times New Roman" w:eastAsia="宋体" w:cs="Times New Roman"/>
                <w:b/>
                <w:bCs/>
                <w:color w:val="000000" w:themeColor="text1"/>
                <w:spacing w:val="-6"/>
                <w:sz w:val="24"/>
                <w:szCs w:val="24"/>
                <w:highlight w:val="none"/>
                <w:vertAlign w:val="superscript"/>
                <w14:textFill>
                  <w14:solidFill>
                    <w14:schemeClr w14:val="tx1"/>
                  </w14:solidFill>
                </w14:textFill>
              </w:rPr>
              <w:t>2</w:t>
            </w:r>
            <w:r>
              <w:rPr>
                <w:rFonts w:hint="default" w:ascii="Times New Roman" w:hAnsi="Times New Roman" w:eastAsia="宋体" w:cs="Times New Roman"/>
                <w:b/>
                <w:bCs/>
                <w:color w:val="000000" w:themeColor="text1"/>
                <w:spacing w:val="-6"/>
                <w:sz w:val="24"/>
                <w:szCs w:val="24"/>
                <w:highlight w:val="none"/>
                <w14:textFill>
                  <w14:solidFill>
                    <w14:schemeClr w14:val="tx1"/>
                  </w14:solidFill>
                </w14:textFill>
              </w:rPr>
              <w:t>）</w:t>
            </w:r>
          </w:p>
        </w:tc>
        <w:tc>
          <w:tcPr>
            <w:tcW w:w="2580" w:type="dxa"/>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11026.86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2046" w:type="dxa"/>
            <w:noWrap w:val="0"/>
            <w:vAlign w:val="center"/>
          </w:tcPr>
          <w:p>
            <w:pPr>
              <w:pStyle w:val="3"/>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专项评价设置情况</w:t>
            </w:r>
          </w:p>
        </w:tc>
        <w:tc>
          <w:tcPr>
            <w:tcW w:w="6581" w:type="dxa"/>
            <w:gridSpan w:val="3"/>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2046" w:type="dxa"/>
            <w:noWrap w:val="0"/>
            <w:vAlign w:val="center"/>
          </w:tcPr>
          <w:p>
            <w:pPr>
              <w:pStyle w:val="3"/>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规划情况</w:t>
            </w:r>
          </w:p>
        </w:tc>
        <w:tc>
          <w:tcPr>
            <w:tcW w:w="6581" w:type="dxa"/>
            <w:gridSpan w:val="3"/>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46" w:type="dxa"/>
            <w:noWrap w:val="0"/>
            <w:vAlign w:val="center"/>
          </w:tcPr>
          <w:p>
            <w:pPr>
              <w:pStyle w:val="3"/>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规划环境影响</w:t>
            </w:r>
          </w:p>
          <w:p>
            <w:pPr>
              <w:pStyle w:val="3"/>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评价情况</w:t>
            </w:r>
          </w:p>
        </w:tc>
        <w:tc>
          <w:tcPr>
            <w:tcW w:w="6581" w:type="dxa"/>
            <w:gridSpan w:val="3"/>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46" w:type="dxa"/>
            <w:noWrap w:val="0"/>
            <w:vAlign w:val="center"/>
          </w:tcPr>
          <w:p>
            <w:pPr>
              <w:pStyle w:val="3"/>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规划及规划环境影响评价符合性分析</w:t>
            </w:r>
          </w:p>
        </w:tc>
        <w:tc>
          <w:tcPr>
            <w:tcW w:w="6581" w:type="dxa"/>
            <w:gridSpan w:val="3"/>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无</w:t>
            </w:r>
          </w:p>
        </w:tc>
      </w:tr>
    </w:tbl>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br w:type="page"/>
      </w:r>
    </w:p>
    <w:tbl>
      <w:tblPr>
        <w:tblStyle w:val="31"/>
        <w:tblW w:w="486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2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590" w:hRule="atLeast"/>
          <w:jc w:val="center"/>
        </w:trPr>
        <w:tc>
          <w:tcPr>
            <w:tcW w:w="441" w:type="dxa"/>
            <w:noWrap w:val="0"/>
            <w:vAlign w:val="center"/>
          </w:tcPr>
          <w:p>
            <w:pPr>
              <w:pStyle w:val="4"/>
              <w:spacing w:line="240" w:lineRule="auto"/>
              <w:rPr>
                <w:rFonts w:hint="default" w:ascii="Times New Roman" w:hAnsi="Times New Roman" w:cs="Times New Roman"/>
                <w:color w:val="000000" w:themeColor="text1"/>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color w:val="000000" w:themeColor="text1"/>
                <w14:textFill>
                  <w14:solidFill>
                    <w14:schemeClr w14:val="tx1"/>
                  </w14:solidFill>
                </w14:textFill>
              </w:rPr>
            </w:pPr>
          </w:p>
          <w:p>
            <w:pPr>
              <w:pStyle w:val="2"/>
              <w:spacing w:line="240" w:lineRule="auto"/>
              <w:rPr>
                <w:rFonts w:hint="default" w:ascii="Times New Roman" w:hAnsi="Times New Roman" w:cs="Times New Roman"/>
                <w:color w:val="000000" w:themeColor="text1"/>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其他符合性分析</w:t>
            </w: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4"/>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4"/>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4"/>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4"/>
              <w:spacing w:line="240" w:lineRule="auto"/>
              <w:rPr>
                <w:rFonts w:hint="default" w:ascii="Times New Roman" w:hAnsi="Times New Roman" w:cs="Times New Roman"/>
                <w:color w:val="000000" w:themeColor="text1"/>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color w:val="000000" w:themeColor="text1"/>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其他符合性分析</w:t>
            </w: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color w:val="000000" w:themeColor="text1"/>
                <w14:textFill>
                  <w14:solidFill>
                    <w14:schemeClr w14:val="tx1"/>
                  </w14:solidFill>
                </w14:textFill>
              </w:rPr>
            </w:pPr>
          </w:p>
          <w:p>
            <w:pPr>
              <w:pStyle w:val="2"/>
              <w:spacing w:line="240" w:lineRule="auto"/>
              <w:rPr>
                <w:rFonts w:hint="default"/>
                <w:color w:val="000000" w:themeColor="text1"/>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其他符合性分析</w:t>
            </w: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spacing w:line="24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color w:val="000000" w:themeColor="text1"/>
                <w14:textFill>
                  <w14:solidFill>
                    <w14:schemeClr w14:val="tx1"/>
                  </w14:solidFill>
                </w14:textFill>
              </w:rPr>
            </w:pPr>
          </w:p>
          <w:p>
            <w:pPr>
              <w:spacing w:line="240" w:lineRule="auto"/>
              <w:rPr>
                <w:rFonts w:hint="default"/>
                <w:color w:val="000000" w:themeColor="text1"/>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其他符合性分析</w:t>
            </w: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color w:val="000000" w:themeColor="text1"/>
                <w14:textFill>
                  <w14:solidFill>
                    <w14:schemeClr w14:val="tx1"/>
                  </w14:solidFill>
                </w14:textFill>
              </w:rPr>
            </w:pPr>
          </w:p>
          <w:p>
            <w:pPr>
              <w:pStyle w:val="2"/>
              <w:rPr>
                <w:rFonts w:hint="default"/>
                <w:color w:val="000000" w:themeColor="text1"/>
                <w14:textFill>
                  <w14:solidFill>
                    <w14:schemeClr w14:val="tx1"/>
                  </w14:solidFill>
                </w14:textFill>
              </w:rPr>
            </w:pPr>
          </w:p>
          <w:p>
            <w:pPr>
              <w:rPr>
                <w:rFonts w:hint="default"/>
                <w:color w:val="000000" w:themeColor="text1"/>
                <w14:textFill>
                  <w14:solidFill>
                    <w14:schemeClr w14:val="tx1"/>
                  </w14:solidFill>
                </w14:textFill>
              </w:rPr>
            </w:pPr>
          </w:p>
          <w:p>
            <w:pPr>
              <w:pStyle w:val="2"/>
              <w:rPr>
                <w:rFonts w:hint="default"/>
                <w:color w:val="000000" w:themeColor="text1"/>
                <w14:textFill>
                  <w14:solidFill>
                    <w14:schemeClr w14:val="tx1"/>
                  </w14:solidFill>
                </w14:textFill>
              </w:rPr>
            </w:pPr>
          </w:p>
          <w:p>
            <w:pPr>
              <w:rPr>
                <w:rFonts w:hint="default"/>
                <w:color w:val="000000" w:themeColor="text1"/>
                <w14:textFill>
                  <w14:solidFill>
                    <w14:schemeClr w14:val="tx1"/>
                  </w14:solidFill>
                </w14:textFill>
              </w:rPr>
            </w:pPr>
          </w:p>
          <w:p>
            <w:pPr>
              <w:pStyle w:val="2"/>
              <w:rPr>
                <w:rFonts w:hint="default"/>
                <w:color w:val="000000" w:themeColor="text1"/>
                <w14:textFill>
                  <w14:solidFill>
                    <w14:schemeClr w14:val="tx1"/>
                  </w14:solidFill>
                </w14:textFill>
              </w:rPr>
            </w:pPr>
          </w:p>
          <w:p>
            <w:pPr>
              <w:rPr>
                <w:rFonts w:hint="default"/>
                <w:color w:val="000000" w:themeColor="text1"/>
                <w14:textFill>
                  <w14:solidFill>
                    <w14:schemeClr w14:val="tx1"/>
                  </w14:solidFill>
                </w14:textFill>
              </w:rPr>
            </w:pPr>
          </w:p>
          <w:p>
            <w:pPr>
              <w:pStyle w:val="2"/>
              <w:rPr>
                <w:rFonts w:hint="default"/>
                <w:color w:val="000000" w:themeColor="text1"/>
                <w14:textFill>
                  <w14:solidFill>
                    <w14:schemeClr w14:val="tx1"/>
                  </w14:solidFill>
                </w14:textFill>
              </w:rPr>
            </w:pPr>
          </w:p>
          <w:p>
            <w:pPr>
              <w:pStyle w:val="2"/>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其他符合性分析</w:t>
            </w: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color w:val="000000" w:themeColor="text1"/>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其他符合性分析</w:t>
            </w: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color w:val="000000" w:themeColor="text1"/>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其他符合性分析</w:t>
            </w: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color w:val="000000" w:themeColor="text1"/>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rPr>
            </w:pPr>
            <w:bookmarkStart w:id="2" w:name="_GoBack"/>
            <w:bookmarkEnd w:id="2"/>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其他符合性分析</w:t>
            </w: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
              <w:rPr>
                <w:rFonts w:hint="default"/>
                <w:color w:val="000000" w:themeColor="text1"/>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其他符合性分析</w:t>
            </w: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tc>
        <w:tc>
          <w:tcPr>
            <w:tcW w:w="825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04" w:firstLineChars="200"/>
              <w:jc w:val="left"/>
              <w:textAlignment w:val="auto"/>
              <w:rPr>
                <w:rFonts w:hint="default" w:ascii="Times New Roman" w:hAnsi="Times New Roman" w:eastAsia="宋体" w:cs="Times New Roman"/>
                <w:color w:val="000000" w:themeColor="text1"/>
                <w:spacing w:val="6"/>
                <w:sz w:val="24"/>
                <w:szCs w:val="24"/>
                <w14:textFill>
                  <w14:solidFill>
                    <w14:schemeClr w14:val="tx1"/>
                  </w14:solidFill>
                </w14:textFill>
              </w:rPr>
            </w:pPr>
            <w:r>
              <w:rPr>
                <w:rFonts w:hint="default" w:ascii="Times New Roman" w:hAnsi="Times New Roman" w:eastAsia="宋体" w:cs="Times New Roman"/>
                <w:color w:val="000000" w:themeColor="text1"/>
                <w:spacing w:val="6"/>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pacing w:val="6"/>
                <w:sz w:val="24"/>
                <w:szCs w:val="24"/>
                <w14:textFill>
                  <w14:solidFill>
                    <w14:schemeClr w14:val="tx1"/>
                  </w14:solidFill>
                </w14:textFill>
              </w:rPr>
              <w:t>产业政策分析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（1）项目为</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C4220非金属废料和碎屑加工处理</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，属于2019年10月30日</w:t>
            </w:r>
            <w:r>
              <w:rPr>
                <w:rFonts w:hint="default" w:ascii="Times New Roman" w:hAnsi="Times New Roman" w:eastAsia="宋体" w:cs="Times New Roman"/>
                <w:bCs/>
                <w:color w:val="000000" w:themeColor="text1"/>
                <w:sz w:val="24"/>
                <w:szCs w:val="24"/>
                <w:lang w:eastAsia="zh-CN"/>
                <w14:textFill>
                  <w14:solidFill>
                    <w14:schemeClr w14:val="tx1"/>
                  </w14:solidFill>
                </w14:textFill>
              </w:rPr>
              <w:t>国家发改委令第2</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Cs/>
                <w:color w:val="000000" w:themeColor="text1"/>
                <w:sz w:val="24"/>
                <w:szCs w:val="24"/>
                <w:lang w:eastAsia="zh-CN"/>
                <w14:textFill>
                  <w14:solidFill>
                    <w14:schemeClr w14:val="tx1"/>
                  </w14:solidFill>
                </w14:textFill>
              </w:rPr>
              <w:t>号《产业结构调整指导目录(20</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19</w:t>
            </w:r>
            <w:r>
              <w:rPr>
                <w:rFonts w:hint="default" w:ascii="Times New Roman" w:hAnsi="Times New Roman" w:eastAsia="宋体" w:cs="Times New Roman"/>
                <w:bCs/>
                <w:color w:val="000000" w:themeColor="text1"/>
                <w:sz w:val="24"/>
                <w:szCs w:val="24"/>
                <w:lang w:eastAsia="zh-CN"/>
                <w14:textFill>
                  <w14:solidFill>
                    <w14:schemeClr w14:val="tx1"/>
                  </w14:solidFill>
                </w14:textFill>
              </w:rPr>
              <w:t>年本)》</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中</w:t>
            </w:r>
            <w:r>
              <w:rPr>
                <w:rFonts w:hint="eastAsia" w:cs="Times New Roman"/>
                <w:bCs/>
                <w:color w:val="000000" w:themeColor="text1"/>
                <w:sz w:val="24"/>
                <w:szCs w:val="24"/>
                <w:lang w:val="en-US" w:eastAsia="zh-CN"/>
                <w14:textFill>
                  <w14:solidFill>
                    <w14:schemeClr w14:val="tx1"/>
                  </w14:solidFill>
                </w14:textFill>
              </w:rPr>
              <w:t>四十三环境保护与资源节约综合利用20、城镇垃圾、农村生活垃圾、农村生活污水、污泥及其他固体废弃物减量化、资源化、无害化处理和综合利用工程”鼓励</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类</w:t>
            </w:r>
            <w:r>
              <w:rPr>
                <w:rFonts w:hint="eastAsia" w:cs="Times New Roman"/>
                <w:bCs/>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，符合国家产业政策。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eastAsia" w:cs="Times New Roman"/>
                <w:color w:val="000000" w:themeColor="text1"/>
                <w:kern w:val="0"/>
                <w:sz w:val="24"/>
                <w:szCs w:val="24"/>
                <w:highlight w:val="none"/>
                <w:lang w:val="en-US" w:eastAsia="zh-CN"/>
                <w14:textFill>
                  <w14:solidFill>
                    <w14:schemeClr w14:val="tx1"/>
                  </w14:solidFill>
                </w14:textFill>
              </w:rPr>
              <w:t>企业所使用的</w:t>
            </w:r>
            <w:r>
              <w:rPr>
                <w:rFonts w:hint="eastAsia" w:cs="Times New Roman"/>
                <w:bCs/>
                <w:color w:val="000000" w:themeColor="text1"/>
                <w:sz w:val="24"/>
                <w:szCs w:val="24"/>
                <w:lang w:val="en-US" w:eastAsia="zh-CN"/>
                <w14:textFill>
                  <w14:solidFill>
                    <w14:schemeClr w14:val="tx1"/>
                  </w14:solidFill>
                </w14:textFill>
              </w:rPr>
              <w:t>生产设备符合</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《落后</w:t>
            </w:r>
            <w:r>
              <w:rPr>
                <w:rFonts w:hint="eastAsia" w:cs="Times New Roman"/>
                <w:bCs/>
                <w:color w:val="000000" w:themeColor="text1"/>
                <w:sz w:val="24"/>
                <w:szCs w:val="24"/>
                <w:lang w:val="en-US" w:eastAsia="zh-CN"/>
                <w14:textFill>
                  <w14:solidFill>
                    <w14:schemeClr w14:val="tx1"/>
                  </w14:solidFill>
                </w14:textFill>
              </w:rPr>
              <w:t>淘汰</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设备</w:t>
            </w:r>
            <w:r>
              <w:rPr>
                <w:rFonts w:hint="eastAsia" w:cs="Times New Roman"/>
                <w:bCs/>
                <w:color w:val="000000" w:themeColor="text1"/>
                <w:sz w:val="24"/>
                <w:szCs w:val="24"/>
                <w:lang w:val="en-US" w:eastAsia="zh-CN"/>
                <w14:textFill>
                  <w14:solidFill>
                    <w14:schemeClr w14:val="tx1"/>
                  </w14:solidFill>
                </w14:textFill>
              </w:rPr>
              <w:t>目录</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《产业结构调整指导目录(2019年本)》相关要求</w:t>
            </w:r>
            <w:r>
              <w:rPr>
                <w:rFonts w:hint="eastAsia" w:cs="Times New Roman"/>
                <w:bCs/>
                <w:color w:val="000000" w:themeColor="text1"/>
                <w:sz w:val="24"/>
                <w:szCs w:val="24"/>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项目不属于《关于河北省区域禁（限）批建项目的实施意见（试行）》（冀政[2009]89号）中区域禁止和限制建设项目，不在该文件规定的环境敏感区内，也不属于《河北省新增限制和淘汰类产业目录（2015年版）》中限制和淘汰类项目，符合河北省政策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（4）项目为</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C4220非金属废料和碎屑加工处理</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，不属于秦皇岛市发展和改革委员会制定的《秦皇岛市限制和禁止投资的产业目录（2020年修订版）》中限制类和淘汰类，符合秦皇岛市产业政策要求。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Cs/>
                <w:color w:val="000000" w:themeColor="text1"/>
                <w:sz w:val="24"/>
                <w:szCs w:val="24"/>
                <w:highlight w:val="yellow"/>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（5）本项目已取得</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秦皇岛市抚宁区</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行政审批局企业投资项目备案信息，备案编号：</w:t>
            </w:r>
            <w:r>
              <w:rPr>
                <w:rFonts w:hint="eastAsia" w:cs="Times New Roman"/>
                <w:bCs/>
                <w:color w:val="000000" w:themeColor="text1"/>
                <w:sz w:val="24"/>
                <w:szCs w:val="24"/>
                <w:highlight w:val="none"/>
                <w:lang w:val="en-US" w:eastAsia="zh-CN"/>
                <w14:textFill>
                  <w14:solidFill>
                    <w14:schemeClr w14:val="tx1"/>
                  </w14:solidFill>
                </w14:textFill>
              </w:rPr>
              <w:t>抚行审备【2023】6号</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，项目代码：2301-130306-89-05-477320。</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2、选址合理性分析</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本项目位于</w:t>
            </w:r>
            <w:r>
              <w:rPr>
                <w:rFonts w:hint="eastAsia" w:ascii="Times New Roman" w:hAnsi="Times New Roman" w:cs="Times New Roman"/>
                <w:color w:val="000000" w:themeColor="text1"/>
                <w:highlight w:val="none"/>
                <w:lang w:val="en-US" w:eastAsia="zh-CN"/>
                <w14:textFill>
                  <w14:solidFill>
                    <w14:schemeClr w14:val="tx1"/>
                  </w14:solidFill>
                </w14:textFill>
              </w:rPr>
              <w:t>河北省秦皇岛市抚宁区留守营镇潘官营村南</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企业租赁潘官营村土地</w:t>
            </w:r>
            <w:r>
              <w:rPr>
                <w:rFonts w:hint="default" w:ascii="Times New Roman" w:hAnsi="Times New Roman" w:cs="Times New Roman"/>
                <w:color w:val="000000" w:themeColor="text1"/>
                <w:kern w:val="0"/>
                <w:sz w:val="24"/>
                <w:szCs w:val="24"/>
                <w:highlight w:val="none"/>
                <w14:textFill>
                  <w14:solidFill>
                    <w14:schemeClr w14:val="tx1"/>
                  </w14:solidFill>
                </w14:textFill>
              </w:rPr>
              <w:t>（租赁协议</w:t>
            </w:r>
            <w:r>
              <w:rPr>
                <w:rFonts w:hint="eastAsia" w:cs="Times New Roman"/>
                <w:color w:val="000000" w:themeColor="text1"/>
                <w:kern w:val="0"/>
                <w:sz w:val="24"/>
                <w:szCs w:val="24"/>
                <w:highlight w:val="none"/>
                <w:lang w:val="en-US" w:eastAsia="zh-CN"/>
                <w14:textFill>
                  <w14:solidFill>
                    <w14:schemeClr w14:val="tx1"/>
                  </w14:solidFill>
                </w14:textFill>
              </w:rPr>
              <w:t>以及土地证明</w:t>
            </w:r>
            <w:r>
              <w:rPr>
                <w:rFonts w:hint="default" w:ascii="Times New Roman" w:hAnsi="Times New Roman" w:cs="Times New Roman"/>
                <w:color w:val="000000" w:themeColor="text1"/>
                <w:kern w:val="0"/>
                <w:sz w:val="24"/>
                <w:szCs w:val="24"/>
                <w:highlight w:val="none"/>
                <w14:textFill>
                  <w14:solidFill>
                    <w14:schemeClr w14:val="tx1"/>
                  </w14:solidFill>
                </w14:textFill>
              </w:rPr>
              <w:t>详见附件）</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用地类型为</w:t>
            </w:r>
            <w:r>
              <w:rPr>
                <w:rFonts w:hint="eastAsia" w:ascii="Times New Roman" w:hAnsi="Times New Roman" w:cs="Times New Roman"/>
                <w:color w:val="000000" w:themeColor="text1"/>
                <w:highlight w:val="none"/>
                <w:lang w:val="en-US" w:eastAsia="zh-CN"/>
                <w14:textFill>
                  <w14:solidFill>
                    <w14:schemeClr w14:val="tx1"/>
                  </w14:solidFill>
                </w14:textFill>
              </w:rPr>
              <w:t>建设用地</w:t>
            </w:r>
            <w:r>
              <w:rPr>
                <w:rFonts w:hint="default" w:ascii="Times New Roman" w:hAnsi="Times New Roman" w:cs="Times New Roman"/>
                <w:color w:val="000000" w:themeColor="text1"/>
                <w:highlight w:val="none"/>
                <w:lang w:val="en-US" w:eastAsia="zh-CN"/>
                <w14:textFill>
                  <w14:solidFill>
                    <w14:schemeClr w14:val="tx1"/>
                  </w14:solidFill>
                </w14:textFill>
              </w:rPr>
              <w:t>，符合秦皇岛市土地利用总体规划要求同时符合</w:t>
            </w:r>
            <w:r>
              <w:rPr>
                <w:rFonts w:hint="eastAsia" w:ascii="Times New Roman" w:hAnsi="Times New Roman" w:cs="Times New Roman"/>
                <w:color w:val="000000" w:themeColor="text1"/>
                <w:highlight w:val="none"/>
                <w:lang w:val="en-US" w:eastAsia="zh-CN"/>
                <w14:textFill>
                  <w14:solidFill>
                    <w14:schemeClr w14:val="tx1"/>
                  </w14:solidFill>
                </w14:textFill>
              </w:rPr>
              <w:t>抚宁区土地利用规划，厂址为允许建设区。</w:t>
            </w:r>
            <w:r>
              <w:rPr>
                <w:rFonts w:hint="eastAsia" w:cs="Times New Roman"/>
                <w:color w:val="000000" w:themeColor="text1"/>
                <w:kern w:val="0"/>
                <w:sz w:val="24"/>
                <w:szCs w:val="24"/>
                <w:highlight w:val="none"/>
                <w:lang w:val="en-US" w:eastAsia="zh-CN"/>
                <w14:textFill>
                  <w14:solidFill>
                    <w14:schemeClr w14:val="tx1"/>
                  </w14:solidFill>
                </w14:textFill>
              </w:rPr>
              <w:t>本项目厂界与高压线垂直投影距离为10m，本项目旁高压线等级为110kv，符合《中华人民共和国电力设施保护条例实施细则》中对于距离相关要求：距离建筑物水平安全距离6.0m。供电站附近不建设居民区、幼儿园等，本项目属于工业企业，根据《电磁辐射管理办法》符合相关要求；企业运营期所产生的废水不外排，固体废物均合理利用，废气达标排放</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厂址周围无饮用水源保护区、自然保护区和风景名胜区等敏感区域。项目不在国土资源部、国家发展和改革委员会发布的《限制用地项目目录（2012年本）》和《禁止用地项目目录（2012年本）》的范围内，项目场地不在河北省冀政[2009]89号《关于河北省区域禁（限）批建设项目的实施意见（试行）》范围内，也不属于《河北省环境敏感区支持、限制及禁止建设项目名录（2005年本）》中的限制、禁止内容</w:t>
            </w:r>
            <w:r>
              <w:rPr>
                <w:rFonts w:hint="eastAsia" w:ascii="Times New Roman" w:hAnsi="Times New Roman" w:cs="Times New Roman"/>
                <w:color w:val="000000" w:themeColor="text1"/>
                <w:highlight w:val="none"/>
                <w:lang w:val="en-US" w:eastAsia="zh-CN"/>
                <w14:textFill>
                  <w14:solidFill>
                    <w14:schemeClr w14:val="tx1"/>
                  </w14:solidFill>
                </w14:textFill>
              </w:rPr>
              <w:t>。</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综上所述，本项目选址可行</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3、平面布局合理</w:t>
            </w:r>
            <w:r>
              <w:rPr>
                <w:rFonts w:hint="default" w:ascii="Times New Roman" w:hAnsi="Times New Roman" w:eastAsia="宋体" w:cs="Times New Roman"/>
                <w:bCs/>
                <w:color w:val="000000" w:themeColor="text1"/>
                <w:sz w:val="24"/>
                <w:szCs w:val="24"/>
                <w14:textFill>
                  <w14:solidFill>
                    <w14:schemeClr w14:val="tx1"/>
                  </w14:solidFill>
                </w14:textFill>
              </w:rPr>
              <w:t>性分析</w:t>
            </w:r>
          </w:p>
          <w:p>
            <w:pPr>
              <w:pStyle w:val="3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w:t>
            </w:r>
            <w:r>
              <w:rPr>
                <w:rFonts w:hint="eastAsia" w:cs="Times New Roman"/>
                <w:bCs/>
                <w:color w:val="000000" w:themeColor="text1"/>
                <w:sz w:val="24"/>
                <w:szCs w:val="24"/>
                <w:highlight w:val="none"/>
                <w:lang w:val="en-US" w:eastAsia="zh-CN"/>
                <w14:textFill>
                  <w14:solidFill>
                    <w14:schemeClr w14:val="tx1"/>
                  </w14:solidFill>
                </w14:textFill>
              </w:rPr>
              <w:t>生产区域位于厂区内北侧</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办公楼位于厂界西侧</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生产设备均至于生产车间内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布局合理。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三线一单</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符合性分析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根据《关于以改善环境质量为核心加强环境影响评价管理的通知》（环环评[2016]150号），文中</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为适应以改善环境质量为核心的环境管理要求，切实加强环境影响评价（以下简称环评）管理，落实生态保护红线、环境质量底线、资源利用上线和环境准入负面清单（以下简称</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三线一单</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）约束，建立项目环评审批与规划环评、现有项目环境管理、区域环境质量联动机制（以下简称</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三挂钩</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机制），更好地发挥环评制度从源头防范环境污染和生态破坏的作用，加快推进改善环境质量</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的要求，本项目结合生态环境部关于</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三线一单</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要求进行判定，详见下表。</w:t>
            </w:r>
          </w:p>
          <w:p>
            <w:pPr>
              <w:pStyle w:val="48"/>
              <w:pageBreakBefore w:val="0"/>
              <w:widowControl w:val="0"/>
              <w:kinsoku/>
              <w:wordWrap/>
              <w:topLinePunct w:val="0"/>
              <w:bidi w:val="0"/>
              <w:spacing w:line="240" w:lineRule="auto"/>
              <w:textAlignment w:val="auto"/>
              <w:rPr>
                <w:rFonts w:hint="default" w:ascii="Times New Roman" w:hAnsi="Times New Roman" w:eastAsia="宋体" w:cs="Times New Roman"/>
                <w:color w:val="000000" w:themeColor="text1"/>
                <w:sz w:val="21"/>
                <w:szCs w:val="16"/>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16"/>
                <w:highlight w:val="none"/>
                <w:lang w:val="en-US" w:eastAsia="zh-CN"/>
                <w14:textFill>
                  <w14:solidFill>
                    <w14:schemeClr w14:val="tx1"/>
                  </w14:solidFill>
                </w14:textFill>
              </w:rPr>
              <w:t>表1-2  “三线一单”符合性分析</w:t>
            </w:r>
          </w:p>
          <w:tbl>
            <w:tblPr>
              <w:tblStyle w:val="3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0"/>
              <w:gridCol w:w="3162"/>
              <w:gridCol w:w="3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内容</w:t>
                  </w:r>
                </w:p>
              </w:tc>
              <w:tc>
                <w:tcPr>
                  <w:tcW w:w="1963"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文件要求</w:t>
                  </w:r>
                </w:p>
              </w:tc>
              <w:tc>
                <w:tcPr>
                  <w:tcW w:w="2328"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生态保护红线</w:t>
                  </w:r>
                </w:p>
              </w:tc>
              <w:tc>
                <w:tcPr>
                  <w:tcW w:w="1963"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生态保护红线是生态空间范围内具有特殊重要生态功能必须实行强制性严格保护的区域。在生态保护红线范围内，严控各类开发建设活动，依法不予审批新建工业项目和矿产开发项目的环评文件。</w:t>
                  </w:r>
                </w:p>
              </w:tc>
              <w:tc>
                <w:tcPr>
                  <w:tcW w:w="2328"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w:t>
                  </w:r>
                  <w:r>
                    <w:rPr>
                      <w:rFonts w:hint="eastAsia" w:cs="Times New Roman"/>
                      <w:color w:val="000000" w:themeColor="text1"/>
                      <w:sz w:val="21"/>
                      <w:szCs w:val="21"/>
                      <w:lang w:val="en-US" w:eastAsia="zh-CN"/>
                      <w14:textFill>
                        <w14:solidFill>
                          <w14:schemeClr w14:val="tx1"/>
                        </w14:solidFill>
                      </w14:textFill>
                    </w:rPr>
                    <w:t>秦皇岛市抚宁区留守营镇潘官营村</w:t>
                  </w:r>
                  <w:r>
                    <w:rPr>
                      <w:rFonts w:hint="default" w:ascii="Times New Roman" w:hAnsi="Times New Roman" w:eastAsia="宋体" w:cs="Times New Roman"/>
                      <w:color w:val="000000" w:themeColor="text1"/>
                      <w:sz w:val="21"/>
                      <w:szCs w:val="21"/>
                      <w14:textFill>
                        <w14:solidFill>
                          <w14:schemeClr w14:val="tx1"/>
                        </w14:solidFill>
                      </w14:textFill>
                    </w:rPr>
                    <w:t>，该地区周围无自然保护区、风景名胜区、饮用水水源保护区等生态保护目标，</w:t>
                  </w:r>
                  <w:r>
                    <w:rPr>
                      <w:rFonts w:hint="eastAsia" w:cs="Times New Roman"/>
                      <w:color w:val="000000" w:themeColor="text1"/>
                      <w:sz w:val="21"/>
                      <w:szCs w:val="21"/>
                      <w:lang w:val="en-US" w:eastAsia="zh-CN"/>
                      <w14:textFill>
                        <w14:solidFill>
                          <w14:schemeClr w14:val="tx1"/>
                        </w14:solidFill>
                      </w14:textFill>
                    </w:rPr>
                    <w:t>不位于生态保护红线内，</w:t>
                  </w:r>
                  <w:r>
                    <w:rPr>
                      <w:rFonts w:hint="default" w:ascii="Times New Roman" w:hAnsi="Times New Roman" w:eastAsia="宋体" w:cs="Times New Roman"/>
                      <w:color w:val="000000" w:themeColor="text1"/>
                      <w:sz w:val="21"/>
                      <w:szCs w:val="21"/>
                      <w14:textFill>
                        <w14:solidFill>
                          <w14:schemeClr w14:val="tx1"/>
                        </w14:solidFill>
                      </w14:textFill>
                    </w:rPr>
                    <w:t>满足生态保护红线要求。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环境质量底线</w:t>
                  </w:r>
                </w:p>
              </w:tc>
              <w:tc>
                <w:tcPr>
                  <w:tcW w:w="1963"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tc>
              <w:tc>
                <w:tcPr>
                  <w:tcW w:w="2328"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本项目所在区域环境空气质量</w:t>
                  </w:r>
                  <w:r>
                    <w:rPr>
                      <w:rFonts w:hint="eastAsia" w:cs="Times New Roman"/>
                      <w:color w:val="000000" w:themeColor="text1"/>
                      <w:sz w:val="21"/>
                      <w:szCs w:val="21"/>
                      <w:lang w:val="en-US" w:eastAsia="zh-CN"/>
                      <w14:textFill>
                        <w14:solidFill>
                          <w14:schemeClr w14:val="tx1"/>
                        </w14:solidFill>
                      </w14:textFill>
                    </w:rPr>
                    <w:t>不</w:t>
                  </w:r>
                  <w:r>
                    <w:rPr>
                      <w:rFonts w:hint="default" w:ascii="Times New Roman" w:hAnsi="Times New Roman" w:eastAsia="宋体" w:cs="Times New Roman"/>
                      <w:color w:val="000000" w:themeColor="text1"/>
                      <w:sz w:val="21"/>
                      <w:szCs w:val="21"/>
                      <w14:textFill>
                        <w14:solidFill>
                          <w14:schemeClr w14:val="tx1"/>
                        </w14:solidFill>
                      </w14:textFill>
                    </w:rPr>
                    <w:t>达标，经过国家和社会各界的共同努力，环境空气质量可以得到改善，长期以来可以达标，项目所在区域声环境质量、水环境质量能够满足相应的标准要求，本项目废气</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产生量较小且经</w:t>
                  </w:r>
                  <w:r>
                    <w:rPr>
                      <w:rFonts w:hint="eastAsia" w:cs="Times New Roman"/>
                      <w:color w:val="000000" w:themeColor="text1"/>
                      <w:sz w:val="21"/>
                      <w:szCs w:val="21"/>
                      <w:lang w:val="en-US" w:eastAsia="zh-CN"/>
                      <w14:textFill>
                        <w14:solidFill>
                          <w14:schemeClr w14:val="tx1"/>
                        </w14:solidFill>
                      </w14:textFill>
                    </w:rPr>
                    <w:t>喷淋设施</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处理后能够达标排放，噪声</w:t>
                  </w:r>
                  <w:r>
                    <w:rPr>
                      <w:rFonts w:hint="default" w:ascii="Times New Roman" w:hAnsi="Times New Roman" w:eastAsia="宋体" w:cs="Times New Roman"/>
                      <w:color w:val="000000" w:themeColor="text1"/>
                      <w:sz w:val="21"/>
                      <w:szCs w:val="21"/>
                      <w14:textFill>
                        <w14:solidFill>
                          <w14:schemeClr w14:val="tx1"/>
                        </w14:solidFill>
                      </w14:textFill>
                    </w:rPr>
                    <w:t>采取相应措施</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后</w:t>
                  </w:r>
                  <w:r>
                    <w:rPr>
                      <w:rFonts w:hint="default" w:ascii="Times New Roman" w:hAnsi="Times New Roman" w:eastAsia="宋体" w:cs="Times New Roman"/>
                      <w:color w:val="000000" w:themeColor="text1"/>
                      <w:sz w:val="21"/>
                      <w:szCs w:val="21"/>
                      <w14:textFill>
                        <w14:solidFill>
                          <w14:schemeClr w14:val="tx1"/>
                        </w14:solidFill>
                      </w14:textFill>
                    </w:rPr>
                    <w:t>达标排放</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废水主要为生活污水，</w:t>
                  </w:r>
                  <w:r>
                    <w:rPr>
                      <w:rFonts w:hint="eastAsia" w:cs="Times New Roman"/>
                      <w:color w:val="000000" w:themeColor="text1"/>
                      <w:sz w:val="21"/>
                      <w:szCs w:val="21"/>
                      <w:lang w:val="en-US" w:eastAsia="zh-CN"/>
                      <w14:textFill>
                        <w14:solidFill>
                          <w14:schemeClr w14:val="tx1"/>
                        </w14:solidFill>
                      </w14:textFill>
                    </w:rPr>
                    <w:t>化粪池处理后定期由清污车外运处置</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本项目产生的</w:t>
                  </w:r>
                  <w:r>
                    <w:rPr>
                      <w:rFonts w:hint="default" w:ascii="Times New Roman" w:hAnsi="Times New Roman" w:eastAsia="宋体" w:cs="Times New Roman"/>
                      <w:color w:val="000000" w:themeColor="text1"/>
                      <w:sz w:val="21"/>
                      <w:szCs w:val="21"/>
                      <w14:textFill>
                        <w14:solidFill>
                          <w14:schemeClr w14:val="tx1"/>
                        </w14:solidFill>
                      </w14:textFill>
                    </w:rPr>
                    <w:t>固体废物妥善处理后，对周围环境的影响不大，</w:t>
                  </w:r>
                  <w:r>
                    <w:rPr>
                      <w:rFonts w:hint="eastAsia" w:cs="Times New Roman"/>
                      <w:color w:val="000000" w:themeColor="text1"/>
                      <w:sz w:val="21"/>
                      <w:szCs w:val="21"/>
                      <w:lang w:val="en-US" w:eastAsia="zh-CN"/>
                      <w14:textFill>
                        <w14:solidFill>
                          <w14:schemeClr w14:val="tx1"/>
                        </w14:solidFill>
                      </w14:textFill>
                    </w:rPr>
                    <w:t>本项目利用炉渣进行一系列处理后选出成品砂及金属，属于固体废物综合利用项目，</w:t>
                  </w:r>
                  <w:r>
                    <w:rPr>
                      <w:rFonts w:hint="default" w:ascii="Times New Roman" w:hAnsi="Times New Roman" w:eastAsia="宋体" w:cs="Times New Roman"/>
                      <w:color w:val="000000" w:themeColor="text1"/>
                      <w:sz w:val="21"/>
                      <w:szCs w:val="21"/>
                      <w14:textFill>
                        <w14:solidFill>
                          <w14:schemeClr w14:val="tx1"/>
                        </w14:solidFill>
                      </w14:textFill>
                    </w:rPr>
                    <w:t>符合环境质量底线要求。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资源利用上线</w:t>
                  </w:r>
                </w:p>
              </w:tc>
              <w:tc>
                <w:tcPr>
                  <w:tcW w:w="1963"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资源利用上线是各地区能源、水、土地等资源消耗不得突破的</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天花板</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328"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val="en-US" w:eastAsia="zh-CN"/>
                      <w14:textFill>
                        <w14:solidFill>
                          <w14:schemeClr w14:val="tx1"/>
                        </w14:solidFill>
                      </w14:textFill>
                    </w:rPr>
                    <w:t>新建</w:t>
                  </w:r>
                  <w:r>
                    <w:rPr>
                      <w:rFonts w:hint="default" w:ascii="Times New Roman" w:hAnsi="Times New Roman" w:eastAsia="宋体" w:cs="Times New Roman"/>
                      <w:color w:val="000000" w:themeColor="text1"/>
                      <w:sz w:val="21"/>
                      <w:szCs w:val="21"/>
                      <w:lang w:eastAsia="zh-CN"/>
                      <w14:textFill>
                        <w14:solidFill>
                          <w14:schemeClr w14:val="tx1"/>
                        </w14:solidFill>
                      </w14:textFill>
                    </w:rPr>
                    <w:t>项目</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项目在现有场地内进行建设，供水供电依托管网</w:t>
                  </w:r>
                  <w:r>
                    <w:rPr>
                      <w:rFonts w:hint="default" w:ascii="Times New Roman" w:hAnsi="Times New Roman" w:eastAsia="宋体" w:cs="Times New Roman"/>
                      <w:color w:val="000000" w:themeColor="text1"/>
                      <w:sz w:val="21"/>
                      <w:szCs w:val="21"/>
                      <w14:textFill>
                        <w14:solidFill>
                          <w14:schemeClr w14:val="tx1"/>
                        </w14:solidFill>
                      </w14:textFill>
                    </w:rPr>
                    <w:t>，符合资源利用上线要求。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环境准入负面清单</w:t>
                  </w:r>
                </w:p>
              </w:tc>
              <w:tc>
                <w:tcPr>
                  <w:tcW w:w="1963"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328" w:type="pct"/>
                  <w:noWrap w:val="0"/>
                  <w:vAlign w:val="center"/>
                </w:tcPr>
                <w:p>
                  <w:pPr>
                    <w:pStyle w:val="50"/>
                    <w:keepNext w:val="0"/>
                    <w:keepLines w:val="0"/>
                    <w:pageBreakBefore w:val="0"/>
                    <w:widowControl w:val="0"/>
                    <w:kinsoku/>
                    <w:wordWrap/>
                    <w:overflowPunct/>
                    <w:topLinePunct w:val="0"/>
                    <w:bidi w:val="0"/>
                    <w:adjustRightInd w:val="0"/>
                    <w:snapToGrid w:val="0"/>
                    <w:spacing w:line="240" w:lineRule="auto"/>
                    <w:ind w:firstLine="420" w:firstLineChars="200"/>
                    <w:jc w:val="left"/>
                    <w:textAlignment w:val="auto"/>
                    <w:rPr>
                      <w:rFonts w:hint="default" w:ascii="Times New Roman" w:hAnsi="Times New Roman" w:eastAsia="宋体" w:cs="Times New Roman"/>
                      <w:b w:val="0"/>
                      <w:snapToGrid w:val="0"/>
                      <w:color w:val="000000" w:themeColor="text1"/>
                      <w:spacing w:val="0"/>
                      <w:w w:val="100"/>
                      <w:sz w:val="21"/>
                      <w:szCs w:val="21"/>
                      <w14:textFill>
                        <w14:solidFill>
                          <w14:schemeClr w14:val="tx1"/>
                        </w14:solidFill>
                      </w14:textFill>
                    </w:rPr>
                  </w:pPr>
                  <w:r>
                    <w:rPr>
                      <w:rFonts w:hint="default" w:ascii="Times New Roman" w:hAnsi="Times New Roman" w:eastAsia="宋体" w:cs="Times New Roman"/>
                      <w:b w:val="0"/>
                      <w:snapToGrid w:val="0"/>
                      <w:color w:val="000000" w:themeColor="text1"/>
                      <w:spacing w:val="0"/>
                      <w:w w:val="100"/>
                      <w:sz w:val="21"/>
                      <w:szCs w:val="21"/>
                      <w14:textFill>
                        <w14:solidFill>
                          <w14:schemeClr w14:val="tx1"/>
                        </w14:solidFill>
                      </w14:textFill>
                    </w:rPr>
                    <w:t>本项目不属于《市场准入负面清单（</w:t>
                  </w:r>
                  <w:r>
                    <w:rPr>
                      <w:rFonts w:hint="default" w:ascii="Times New Roman" w:hAnsi="Times New Roman" w:eastAsia="宋体" w:cs="Times New Roman"/>
                      <w:b w:val="0"/>
                      <w:snapToGrid w:val="0"/>
                      <w:color w:val="000000" w:themeColor="text1"/>
                      <w:spacing w:val="0"/>
                      <w:w w:val="100"/>
                      <w:sz w:val="21"/>
                      <w:szCs w:val="21"/>
                      <w:lang w:val="en-US" w:eastAsia="zh-CN"/>
                      <w14:textFill>
                        <w14:solidFill>
                          <w14:schemeClr w14:val="tx1"/>
                        </w14:solidFill>
                      </w14:textFill>
                    </w:rPr>
                    <w:t>20</w:t>
                  </w:r>
                  <w:r>
                    <w:rPr>
                      <w:rFonts w:hint="eastAsia" w:cs="Times New Roman"/>
                      <w:b w:val="0"/>
                      <w:snapToGrid w:val="0"/>
                      <w:color w:val="000000" w:themeColor="text1"/>
                      <w:spacing w:val="0"/>
                      <w:w w:val="100"/>
                      <w:sz w:val="21"/>
                      <w:szCs w:val="21"/>
                      <w:lang w:val="en-US" w:eastAsia="zh-CN"/>
                      <w14:textFill>
                        <w14:solidFill>
                          <w14:schemeClr w14:val="tx1"/>
                        </w14:solidFill>
                      </w14:textFill>
                    </w:rPr>
                    <w:t>22</w:t>
                  </w:r>
                  <w:r>
                    <w:rPr>
                      <w:rFonts w:hint="default" w:ascii="Times New Roman" w:hAnsi="Times New Roman" w:eastAsia="宋体" w:cs="Times New Roman"/>
                      <w:b w:val="0"/>
                      <w:snapToGrid w:val="0"/>
                      <w:color w:val="000000" w:themeColor="text1"/>
                      <w:spacing w:val="0"/>
                      <w:w w:val="100"/>
                      <w:sz w:val="21"/>
                      <w:szCs w:val="21"/>
                      <w14:textFill>
                        <w14:solidFill>
                          <w14:schemeClr w14:val="tx1"/>
                        </w14:solidFill>
                      </w14:textFill>
                    </w:rPr>
                    <w:t>年版）》、《河北省禁止投资的产业目录》、《秦皇岛市</w:t>
                  </w:r>
                  <w:r>
                    <w:rPr>
                      <w:rFonts w:hint="default" w:ascii="Times New Roman" w:hAnsi="Times New Roman" w:eastAsia="宋体" w:cs="Times New Roman"/>
                      <w:b w:val="0"/>
                      <w:snapToGrid w:val="0"/>
                      <w:color w:val="000000" w:themeColor="text1"/>
                      <w:spacing w:val="0"/>
                      <w:w w:val="100"/>
                      <w:sz w:val="21"/>
                      <w:szCs w:val="21"/>
                      <w:lang w:eastAsia="zh-CN"/>
                      <w14:textFill>
                        <w14:solidFill>
                          <w14:schemeClr w14:val="tx1"/>
                        </w14:solidFill>
                      </w14:textFill>
                    </w:rPr>
                    <w:t>限</w:t>
                  </w:r>
                  <w:r>
                    <w:rPr>
                      <w:rFonts w:hint="default" w:ascii="Times New Roman" w:hAnsi="Times New Roman" w:eastAsia="宋体" w:cs="Times New Roman"/>
                      <w:b w:val="0"/>
                      <w:snapToGrid w:val="0"/>
                      <w:color w:val="000000" w:themeColor="text1"/>
                      <w:spacing w:val="0"/>
                      <w:w w:val="100"/>
                      <w:sz w:val="21"/>
                      <w:szCs w:val="21"/>
                      <w:lang w:val="en-US" w:eastAsia="zh-CN"/>
                      <w14:textFill>
                        <w14:solidFill>
                          <w14:schemeClr w14:val="tx1"/>
                        </w14:solidFill>
                      </w14:textFill>
                    </w:rPr>
                    <w:t>制</w:t>
                  </w:r>
                  <w:r>
                    <w:rPr>
                      <w:rFonts w:hint="default" w:ascii="Times New Roman" w:hAnsi="Times New Roman" w:eastAsia="宋体" w:cs="Times New Roman"/>
                      <w:b w:val="0"/>
                      <w:snapToGrid w:val="0"/>
                      <w:color w:val="000000" w:themeColor="text1"/>
                      <w:spacing w:val="0"/>
                      <w:w w:val="100"/>
                      <w:sz w:val="21"/>
                      <w:szCs w:val="21"/>
                      <w14:textFill>
                        <w14:solidFill>
                          <w14:schemeClr w14:val="tx1"/>
                        </w14:solidFill>
                      </w14:textFill>
                    </w:rPr>
                    <w:t>和禁止投资的产业目录（2020年修订版）》中的</w:t>
                  </w:r>
                  <w:r>
                    <w:rPr>
                      <w:rFonts w:hint="default" w:ascii="Times New Roman" w:hAnsi="Times New Roman" w:eastAsia="宋体" w:cs="Times New Roman"/>
                      <w:b w:val="0"/>
                      <w:snapToGrid w:val="0"/>
                      <w:color w:val="000000" w:themeColor="text1"/>
                      <w:spacing w:val="0"/>
                      <w:w w:val="100"/>
                      <w:sz w:val="21"/>
                      <w:szCs w:val="21"/>
                      <w:lang w:eastAsia="zh-CN"/>
                      <w14:textFill>
                        <w14:solidFill>
                          <w14:schemeClr w14:val="tx1"/>
                        </w14:solidFill>
                      </w14:textFill>
                    </w:rPr>
                    <w:t>限</w:t>
                  </w:r>
                  <w:r>
                    <w:rPr>
                      <w:rFonts w:hint="default" w:ascii="Times New Roman" w:hAnsi="Times New Roman" w:eastAsia="宋体" w:cs="Times New Roman"/>
                      <w:b w:val="0"/>
                      <w:snapToGrid w:val="0"/>
                      <w:color w:val="000000" w:themeColor="text1"/>
                      <w:spacing w:val="0"/>
                      <w:w w:val="100"/>
                      <w:sz w:val="21"/>
                      <w:szCs w:val="21"/>
                      <w:lang w:val="en-US" w:eastAsia="zh-CN"/>
                      <w14:textFill>
                        <w14:solidFill>
                          <w14:schemeClr w14:val="tx1"/>
                        </w14:solidFill>
                      </w14:textFill>
                    </w:rPr>
                    <w:t>制</w:t>
                  </w:r>
                  <w:r>
                    <w:rPr>
                      <w:rFonts w:hint="default" w:ascii="Times New Roman" w:hAnsi="Times New Roman" w:eastAsia="宋体" w:cs="Times New Roman"/>
                      <w:b w:val="0"/>
                      <w:snapToGrid w:val="0"/>
                      <w:color w:val="000000" w:themeColor="text1"/>
                      <w:spacing w:val="0"/>
                      <w:w w:val="100"/>
                      <w:sz w:val="21"/>
                      <w:szCs w:val="21"/>
                      <w14:textFill>
                        <w14:solidFill>
                          <w14:schemeClr w14:val="tx1"/>
                        </w14:solidFill>
                      </w14:textFill>
                    </w:rPr>
                    <w:t>类和淘汰类项目，不在环境准入负面清单之列。</w:t>
                  </w:r>
                </w:p>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bl>
          <w:p>
            <w:pPr>
              <w:pStyle w:val="41"/>
              <w:widowControl w:val="0"/>
              <w:numPr>
                <w:ilvl w:val="0"/>
                <w:numId w:val="0"/>
              </w:numPr>
              <w:adjustRightInd w:val="0"/>
              <w:spacing w:line="360" w:lineRule="auto"/>
              <w:jc w:val="both"/>
              <w:rPr>
                <w:rFonts w:hint="default" w:ascii="Times New Roman" w:hAnsi="Times New Roman" w:cs="Times New Roman"/>
                <w:color w:val="000000" w:themeColor="text1"/>
                <w:highlight w:val="none"/>
                <w14:textFill>
                  <w14:solidFill>
                    <w14:schemeClr w14:val="tx1"/>
                  </w14:solidFill>
                </w14:textFill>
              </w:rPr>
            </w:pPr>
          </w:p>
          <w:p>
            <w:pPr>
              <w:pStyle w:val="41"/>
              <w:widowControl w:val="0"/>
              <w:numPr>
                <w:ilvl w:val="0"/>
                <w:numId w:val="0"/>
              </w:numPr>
              <w:adjustRightInd w:val="0"/>
              <w:spacing w:line="360" w:lineRule="auto"/>
              <w:jc w:val="both"/>
              <w:rPr>
                <w:rFonts w:hint="default" w:ascii="Times New Roman" w:hAnsi="Times New Roman" w:cs="Times New Roman"/>
                <w:color w:val="000000" w:themeColor="text1"/>
                <w:highlight w:val="none"/>
                <w14:textFill>
                  <w14:solidFill>
                    <w14:schemeClr w14:val="tx1"/>
                  </w14:solidFill>
                </w14:textFill>
              </w:rPr>
            </w:pPr>
          </w:p>
          <w:p>
            <w:pPr>
              <w:pStyle w:val="41"/>
              <w:widowControl w:val="0"/>
              <w:numPr>
                <w:ilvl w:val="0"/>
                <w:numId w:val="0"/>
              </w:numPr>
              <w:adjustRightInd w:val="0"/>
              <w:spacing w:line="360" w:lineRule="auto"/>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3630930</wp:posOffset>
                  </wp:positionH>
                  <wp:positionV relativeFrom="paragraph">
                    <wp:posOffset>5243830</wp:posOffset>
                  </wp:positionV>
                  <wp:extent cx="1359535" cy="925195"/>
                  <wp:effectExtent l="0" t="0" r="12065" b="8255"/>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1359535" cy="925195"/>
                          </a:xfrm>
                          <a:prstGeom prst="rect">
                            <a:avLst/>
                          </a:prstGeom>
                          <a:noFill/>
                          <a:ln>
                            <a:noFill/>
                          </a:ln>
                        </pic:spPr>
                      </pic:pic>
                    </a:graphicData>
                  </a:graphic>
                </wp:anchor>
              </w:drawing>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2985135</wp:posOffset>
                      </wp:positionH>
                      <wp:positionV relativeFrom="paragraph">
                        <wp:posOffset>4220210</wp:posOffset>
                      </wp:positionV>
                      <wp:extent cx="371475" cy="335280"/>
                      <wp:effectExtent l="17145" t="19050" r="11430" b="7620"/>
                      <wp:wrapNone/>
                      <wp:docPr id="2" name="直接箭头连接符 2"/>
                      <wp:cNvGraphicFramePr/>
                      <a:graphic xmlns:a="http://schemas.openxmlformats.org/drawingml/2006/main">
                        <a:graphicData uri="http://schemas.microsoft.com/office/word/2010/wordprocessingShape">
                          <wps:wsp>
                            <wps:cNvCnPr/>
                            <wps:spPr>
                              <a:xfrm>
                                <a:off x="4718685" y="5538470"/>
                                <a:ext cx="371475" cy="335280"/>
                              </a:xfrm>
                              <a:prstGeom prst="straightConnector1">
                                <a:avLst/>
                              </a:prstGeom>
                              <a:noFill/>
                              <a:ln w="50800" cap="flat" cmpd="sng" algn="ctr">
                                <a:solidFill>
                                  <a:srgbClr val="FF0000"/>
                                </a:solidFill>
                                <a:prstDash val="solid"/>
                                <a:tailEnd type="arrow"/>
                              </a:ln>
                              <a:effectLst/>
                            </wps:spPr>
                            <wps:bodyPr/>
                          </wps:wsp>
                        </a:graphicData>
                      </a:graphic>
                    </wp:anchor>
                  </w:drawing>
                </mc:Choice>
                <mc:Fallback>
                  <w:pict>
                    <v:shape id="_x0000_s1026" o:spid="_x0000_s1026" o:spt="32" type="#_x0000_t32" style="position:absolute;left:0pt;margin-left:235.05pt;margin-top:332.3pt;height:26.4pt;width:29.25pt;z-index:251661312;mso-width-relative:page;mso-height-relative:page;" filled="f" stroked="t" coordsize="21600,21600" o:gfxdata="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tR8V2QAAAAsBAAAPAAAAAAAA&#10;AAEAIAAAACIAAABkcnMvZG93bnJldi54bWxQSwECFAAUAAAACACHTuJAEgKDWxECAADmAwAADgAA&#10;AAAAAAABACAAAAAoAQAAZHJzL2Uyb0RvYy54bWxQSwUGAAAAAAYABgBZAQAAqwUAAAAA&#10;">
                      <v:fill on="f" focussize="0,0"/>
                      <v:stroke weight="4pt" color="#FF0000" joinstyle="round" endarrow="open"/>
                      <v:imagedata o:title=""/>
                      <o:lock v:ext="edit" aspectratio="f"/>
                    </v:shape>
                  </w:pict>
                </mc:Fallback>
              </mc:AlternateConten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2037715</wp:posOffset>
                      </wp:positionH>
                      <wp:positionV relativeFrom="paragraph">
                        <wp:posOffset>4093210</wp:posOffset>
                      </wp:positionV>
                      <wp:extent cx="1029970" cy="437515"/>
                      <wp:effectExtent l="0" t="0" r="6350" b="4445"/>
                      <wp:wrapNone/>
                      <wp:docPr id="3" name="文本框 3"/>
                      <wp:cNvGraphicFramePr/>
                      <a:graphic xmlns:a="http://schemas.openxmlformats.org/drawingml/2006/main">
                        <a:graphicData uri="http://schemas.microsoft.com/office/word/2010/wordprocessingShape">
                          <wps:wsp>
                            <wps:cNvSpPr txBox="1"/>
                            <wps:spPr>
                              <a:xfrm>
                                <a:off x="3642995" y="4887595"/>
                                <a:ext cx="1029970" cy="437515"/>
                              </a:xfrm>
                              <a:prstGeom prst="rect">
                                <a:avLst/>
                              </a:prstGeom>
                              <a:solidFill>
                                <a:schemeClr val="bg1"/>
                              </a:solidFill>
                              <a:ln w="6350">
                                <a:noFill/>
                              </a:ln>
                              <a:effectLst/>
                            </wps:spPr>
                            <wps:txbx>
                              <w:txbxContent>
                                <w:p>
                                  <w:pPr>
                                    <w:ind w:left="0" w:leftChars="0" w:firstLine="0" w:firstLineChars="0"/>
                                    <w:rPr>
                                      <w:rFonts w:hint="eastAsia" w:eastAsia="宋体"/>
                                      <w:color w:val="FF0000"/>
                                      <w:sz w:val="44"/>
                                      <w:szCs w:val="44"/>
                                      <w:highlight w:val="none"/>
                                      <w:lang w:val="en-US" w:eastAsia="zh-CN"/>
                                    </w:rPr>
                                  </w:pPr>
                                  <w:r>
                                    <w:rPr>
                                      <w:rFonts w:hint="eastAsia"/>
                                      <w:color w:val="FF0000"/>
                                      <w:sz w:val="44"/>
                                      <w:szCs w:val="44"/>
                                      <w:highlight w:val="none"/>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45pt;margin-top:322.3pt;height:34.45pt;width:81.1pt;z-index:251662336;mso-width-relative:page;mso-height-relative:page;" fillcolor="#FFFFFF [3212]" filled="t" stroked="f" coordsize="21600,21600" o:gfxdata="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noYe/XAAAACwEAAA8AAAAAAAAAAQAgAAAAIgAAAGRycy9kb3ducmV2LnhtbFBLAQIUABQAAAAI&#10;AIdO4kDHS1gdYAIAAKkEAAAOAAAAAAAAAAEAIAAAACYBAABkcnMvZTJvRG9jLnhtbFBLBQYAAAAA&#10;BgAGAFkBAAD4BQAAAAA=&#10;">
                      <v:fill on="t" focussize="0,0"/>
                      <v:stroke on="f" weight="0.5pt"/>
                      <v:imagedata o:title=""/>
                      <o:lock v:ext="edit" aspectratio="f"/>
                      <v:textbox>
                        <w:txbxContent>
                          <w:p>
                            <w:pPr>
                              <w:ind w:left="0" w:leftChars="0" w:firstLine="0" w:firstLineChars="0"/>
                              <w:rPr>
                                <w:rFonts w:hint="eastAsia" w:eastAsia="宋体"/>
                                <w:color w:val="FF0000"/>
                                <w:sz w:val="44"/>
                                <w:szCs w:val="44"/>
                                <w:highlight w:val="none"/>
                                <w:lang w:val="en-US" w:eastAsia="zh-CN"/>
                              </w:rPr>
                            </w:pPr>
                            <w:r>
                              <w:rPr>
                                <w:rFonts w:hint="eastAsia"/>
                                <w:color w:val="FF0000"/>
                                <w:sz w:val="44"/>
                                <w:szCs w:val="44"/>
                                <w:highlight w:val="none"/>
                                <w:lang w:val="en-US" w:eastAsia="zh-CN"/>
                              </w:rPr>
                              <w:t>本项目</w:t>
                            </w:r>
                          </w:p>
                        </w:txbxContent>
                      </v:textbox>
                    </v:shape>
                  </w:pict>
                </mc:Fallback>
              </mc:AlternateContent>
            </w:r>
            <w:r>
              <w:rPr>
                <w:rFonts w:hint="default" w:ascii="Times New Roman" w:hAnsi="Times New Roman" w:cs="Times New Roman"/>
                <w:color w:val="000000" w:themeColor="text1"/>
                <w:highlight w:val="none"/>
                <w:lang w:val="en-US" w:eastAsia="zh-CN"/>
                <w14:textFill>
                  <w14:solidFill>
                    <w14:schemeClr w14:val="tx1"/>
                  </w14:solidFill>
                </w14:textFill>
              </w:rPr>
              <w:drawing>
                <wp:inline distT="0" distB="0" distL="114300" distR="114300">
                  <wp:extent cx="5119370" cy="7681595"/>
                  <wp:effectExtent l="0" t="0" r="5080" b="14605"/>
                  <wp:docPr id="8" name="图片 1" descr="秦皇岛市生态红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秦皇岛市生态红线图"/>
                          <pic:cNvPicPr>
                            <a:picLocks noChangeAspect="1"/>
                          </pic:cNvPicPr>
                        </pic:nvPicPr>
                        <pic:blipFill>
                          <a:blip r:embed="rId10"/>
                          <a:stretch>
                            <a:fillRect/>
                          </a:stretch>
                        </pic:blipFill>
                        <pic:spPr>
                          <a:xfrm>
                            <a:off x="0" y="0"/>
                            <a:ext cx="5119370" cy="7681595"/>
                          </a:xfrm>
                          <a:prstGeom prst="rect">
                            <a:avLst/>
                          </a:prstGeom>
                          <a:noFill/>
                          <a:ln>
                            <a:noFill/>
                          </a:ln>
                        </pic:spPr>
                      </pic:pic>
                    </a:graphicData>
                  </a:graphic>
                </wp:inline>
              </w:drawing>
            </w:r>
          </w:p>
          <w:p>
            <w:pPr>
              <w:pStyle w:val="48"/>
              <w:pageBreakBefore w:val="0"/>
              <w:widowControl w:val="0"/>
              <w:kinsoku/>
              <w:wordWrap/>
              <w:topLinePunct w:val="0"/>
              <w:bidi w:val="0"/>
              <w:spacing w:line="240" w:lineRule="auto"/>
              <w:textAlignment w:val="auto"/>
              <w:rPr>
                <w:rFonts w:hint="default" w:ascii="Times New Roman" w:hAnsi="Times New Roman" w:cs="Times New Roman"/>
                <w:color w:val="000000" w:themeColor="text1"/>
                <w:sz w:val="21"/>
                <w:szCs w:val="16"/>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16"/>
                <w:highlight w:val="none"/>
                <w:lang w:val="en-US" w:eastAsia="zh-CN"/>
                <w14:textFill>
                  <w14:solidFill>
                    <w14:schemeClr w14:val="tx1"/>
                  </w14:solidFill>
                </w14:textFill>
              </w:rPr>
              <w:t>图</w:t>
            </w:r>
            <w:r>
              <w:rPr>
                <w:rFonts w:hint="eastAsia" w:cs="Times New Roman"/>
                <w:color w:val="000000" w:themeColor="text1"/>
                <w:sz w:val="21"/>
                <w:szCs w:val="16"/>
                <w:highlight w:val="none"/>
                <w:lang w:val="en-US" w:eastAsia="zh-CN"/>
                <w14:textFill>
                  <w14:solidFill>
                    <w14:schemeClr w14:val="tx1"/>
                  </w14:solidFill>
                </w14:textFill>
              </w:rPr>
              <w:t>1-</w:t>
            </w:r>
            <w:r>
              <w:rPr>
                <w:rFonts w:hint="default" w:ascii="Times New Roman" w:hAnsi="Times New Roman" w:cs="Times New Roman"/>
                <w:color w:val="000000" w:themeColor="text1"/>
                <w:sz w:val="21"/>
                <w:szCs w:val="16"/>
                <w:highlight w:val="none"/>
                <w:lang w:val="en-US" w:eastAsia="zh-CN"/>
                <w14:textFill>
                  <w14:solidFill>
                    <w14:schemeClr w14:val="tx1"/>
                  </w14:solidFill>
                </w14:textFill>
              </w:rPr>
              <w:t>1  本项目与生态保护红线位置关系</w:t>
            </w:r>
          </w:p>
          <w:p>
            <w:pPr>
              <w:autoSpaceDE w:val="0"/>
              <w:autoSpaceDN w:val="0"/>
              <w:adjustRightInd w:val="0"/>
              <w:snapToGrid w:val="0"/>
              <w:spacing w:line="360" w:lineRule="auto"/>
              <w:ind w:firstLine="480" w:firstLineChars="200"/>
              <w:jc w:val="both"/>
              <w:rPr>
                <w:rFonts w:hint="default" w:ascii="Times New Roman" w:hAnsi="Times New Roman" w:cs="Times New Roman"/>
                <w:snapToGrid w:val="0"/>
                <w:color w:val="000000" w:themeColor="text1"/>
                <w:sz w:val="24"/>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snapToGrid w:val="0"/>
                <w:color w:val="000000" w:themeColor="text1"/>
                <w:sz w:val="24"/>
                <w:highlight w:val="none"/>
                <w14:textFill>
                  <w14:solidFill>
                    <w14:schemeClr w14:val="tx1"/>
                  </w14:solidFill>
                </w14:textFill>
              </w:rPr>
              <w:t>本项目位于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秦皇岛市</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抚宁区</w:t>
            </w:r>
            <w:r>
              <w:rPr>
                <w:rFonts w:hint="eastAsia" w:cs="Times New Roman"/>
                <w:color w:val="000000" w:themeColor="text1"/>
                <w:sz w:val="24"/>
                <w:szCs w:val="24"/>
                <w:highlight w:val="none"/>
                <w:lang w:val="en-US" w:eastAsia="zh-CN"/>
                <w14:textFill>
                  <w14:solidFill>
                    <w14:schemeClr w14:val="tx1"/>
                  </w14:solidFill>
                </w14:textFill>
              </w:rPr>
              <w:t>留守营镇潘官营村</w:t>
            </w:r>
            <w:r>
              <w:rPr>
                <w:rFonts w:hint="default" w:ascii="Times New Roman" w:hAnsi="Times New Roman" w:cs="Times New Roman"/>
                <w:snapToGrid w:val="0"/>
                <w:color w:val="000000" w:themeColor="text1"/>
                <w:sz w:val="24"/>
                <w:highlight w:val="none"/>
                <w14:textFill>
                  <w14:solidFill>
                    <w14:schemeClr w14:val="tx1"/>
                  </w14:solidFill>
                </w14:textFill>
              </w:rPr>
              <w:t>，按照《秦皇岛市人民政府关于秦皇岛市"三线一单"生态环境分区管控的实施意见》（秦政字【2021】6号）文件中规定本项目属于重点管控区（ZH13030620063）；</w:t>
            </w:r>
          </w:p>
          <w:p>
            <w:pPr>
              <w:pStyle w:val="48"/>
              <w:pageBreakBefore w:val="0"/>
              <w:widowControl w:val="0"/>
              <w:kinsoku/>
              <w:wordWrap/>
              <w:topLinePunct w:val="0"/>
              <w:bidi w:val="0"/>
              <w:spacing w:line="240" w:lineRule="auto"/>
              <w:textAlignment w:val="auto"/>
              <w:rPr>
                <w:rFonts w:hint="default" w:ascii="Times New Roman" w:hAnsi="Times New Roman" w:eastAsia="宋体" w:cs="Times New Roman"/>
                <w:color w:val="000000" w:themeColor="text1"/>
                <w:sz w:val="21"/>
                <w:szCs w:val="16"/>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16"/>
                <w:highlight w:val="none"/>
                <w:lang w:val="en-US" w:eastAsia="zh-CN"/>
                <w14:textFill>
                  <w14:solidFill>
                    <w14:schemeClr w14:val="tx1"/>
                  </w14:solidFill>
                </w14:textFill>
              </w:rPr>
              <w:t>表</w:t>
            </w:r>
            <w:r>
              <w:rPr>
                <w:rFonts w:hint="eastAsia" w:ascii="Times New Roman" w:hAnsi="Times New Roman" w:eastAsia="宋体" w:cs="Times New Roman"/>
                <w:color w:val="000000" w:themeColor="text1"/>
                <w:sz w:val="21"/>
                <w:szCs w:val="16"/>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16"/>
                <w:highlight w:val="none"/>
                <w:lang w:val="en-US" w:eastAsia="zh-CN"/>
                <w14:textFill>
                  <w14:solidFill>
                    <w14:schemeClr w14:val="tx1"/>
                  </w14:solidFill>
                </w14:textFill>
              </w:rPr>
              <w:t>3 本项目与秦皇岛市人民政府关于秦皇岛市"三线一单"生态环境分区管控的实施意见关系一览表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426"/>
              <w:gridCol w:w="3557"/>
              <w:gridCol w:w="2432"/>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2" w:type="pct"/>
                  <w:gridSpan w:val="3"/>
                  <w:vAlign w:val="center"/>
                </w:tcPr>
                <w:p>
                  <w:pPr>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文件内容</w:t>
                  </w:r>
                </w:p>
              </w:tc>
              <w:tc>
                <w:tcPr>
                  <w:tcW w:w="1509" w:type="pct"/>
                  <w:vAlign w:val="center"/>
                </w:tcPr>
                <w:p>
                  <w:pPr>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本项目</w:t>
                  </w:r>
                </w:p>
              </w:tc>
              <w:tc>
                <w:tcPr>
                  <w:tcW w:w="568" w:type="pct"/>
                  <w:vAlign w:val="center"/>
                </w:tcPr>
                <w:p>
                  <w:pPr>
                    <w:spacing w:line="240" w:lineRule="auto"/>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一般生态空间总体要求</w:t>
                  </w:r>
                </w:p>
              </w:tc>
              <w:tc>
                <w:tcPr>
                  <w:tcW w:w="2470" w:type="pct"/>
                  <w:gridSpan w:val="2"/>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1.禁止新建、扩建《环境保护综合名录（2017年版）及其最新名录所列“高污染、高风险”管控项目。</w:t>
                  </w:r>
                </w:p>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2.区域内要严格开发区管理，原则上不再新建各类开发区和扩大现有工业开发区的面积，已有的工业开发区要逐步改造造成低消耗、可循环、少排放、“零污染”的生态型工业区</w:t>
                  </w:r>
                </w:p>
              </w:tc>
              <w:tc>
                <w:tcPr>
                  <w:tcW w:w="1509" w:type="pct"/>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C4220非金属废料和碎屑加工处理</w:t>
                  </w:r>
                  <w:r>
                    <w:rPr>
                      <w:rFonts w:hint="default" w:ascii="Times New Roman" w:hAnsi="Times New Roman" w:eastAsia="宋体" w:cs="Times New Roman"/>
                      <w:color w:val="000000" w:themeColor="text1"/>
                      <w:sz w:val="21"/>
                      <w:szCs w:val="21"/>
                      <w:highlight w:val="none"/>
                      <w14:textFill>
                        <w14:solidFill>
                          <w14:schemeClr w14:val="tx1"/>
                        </w14:solidFill>
                      </w14:textFill>
                    </w:rPr>
                    <w:t>，不在《环境保护综合名录（2017年版）</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及其《环境保护综合名录（</w:t>
                  </w:r>
                  <w:r>
                    <w:rPr>
                      <w:rFonts w:hint="eastAsia" w:cs="Times New Roman"/>
                      <w:color w:val="000000" w:themeColor="text1"/>
                      <w:sz w:val="21"/>
                      <w:szCs w:val="21"/>
                      <w:highlight w:val="none"/>
                      <w:lang w:val="en-US" w:eastAsia="zh-CN"/>
                      <w14:textFill>
                        <w14:solidFill>
                          <w14:schemeClr w14:val="tx1"/>
                        </w14:solidFill>
                      </w14:textFill>
                    </w:rPr>
                    <w:t>2021</w:t>
                  </w:r>
                  <w:r>
                    <w:rPr>
                      <w:rFonts w:hint="default" w:ascii="Times New Roman" w:hAnsi="Times New Roman" w:eastAsia="宋体" w:cs="Times New Roman"/>
                      <w:color w:val="000000" w:themeColor="text1"/>
                      <w:sz w:val="21"/>
                      <w:szCs w:val="21"/>
                      <w:highlight w:val="none"/>
                      <w14:textFill>
                        <w14:solidFill>
                          <w14:schemeClr w14:val="tx1"/>
                        </w14:solidFill>
                      </w14:textFill>
                    </w:rPr>
                    <w:t>年版）</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所列“高污染、高风险”管控项目内。本项目</w:t>
                  </w:r>
                  <w:r>
                    <w:rPr>
                      <w:rFonts w:hint="eastAsia" w:cs="Times New Roman"/>
                      <w:color w:val="000000" w:themeColor="text1"/>
                      <w:sz w:val="21"/>
                      <w:szCs w:val="21"/>
                      <w:highlight w:val="none"/>
                      <w:lang w:val="en-US" w:eastAsia="zh-CN"/>
                      <w14:textFill>
                        <w14:solidFill>
                          <w14:schemeClr w14:val="tx1"/>
                        </w14:solidFill>
                      </w14:textFill>
                    </w:rPr>
                    <w:t>在现有场地内建设，不新增抚宁区内</w:t>
                  </w:r>
                  <w:r>
                    <w:rPr>
                      <w:rFonts w:hint="default" w:ascii="Times New Roman" w:hAnsi="Times New Roman" w:eastAsia="宋体" w:cs="Times New Roman"/>
                      <w:color w:val="000000" w:themeColor="text1"/>
                      <w:sz w:val="21"/>
                      <w:szCs w:val="21"/>
                      <w:highlight w:val="none"/>
                      <w14:textFill>
                        <w14:solidFill>
                          <w14:schemeClr w14:val="tx1"/>
                        </w14:solidFill>
                      </w14:textFill>
                    </w:rPr>
                    <w:t>占地面积</w:t>
                  </w:r>
                </w:p>
              </w:tc>
              <w:tc>
                <w:tcPr>
                  <w:tcW w:w="568" w:type="pct"/>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土壤及地下水风险防空总体管控要求</w:t>
                  </w:r>
                </w:p>
              </w:tc>
              <w:tc>
                <w:tcPr>
                  <w:tcW w:w="264" w:type="pct"/>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环境风险防控</w:t>
                  </w:r>
                </w:p>
              </w:tc>
              <w:tc>
                <w:tcPr>
                  <w:tcW w:w="2206" w:type="pct"/>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1.危险废物产生企业和利用处置企业要根据土壤污染防治相关要求，完善突发环境事件应急预案内容，并向所在地环保部门备案</w:t>
                  </w:r>
                </w:p>
              </w:tc>
              <w:tc>
                <w:tcPr>
                  <w:tcW w:w="1509" w:type="pct"/>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在企业建设完成后编制突发环境事件应急预案并在相关部门备案</w:t>
                  </w:r>
                </w:p>
              </w:tc>
              <w:tc>
                <w:tcPr>
                  <w:tcW w:w="568" w:type="pct"/>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产业布局总体管控要求</w:t>
                  </w:r>
                </w:p>
              </w:tc>
              <w:tc>
                <w:tcPr>
                  <w:tcW w:w="264" w:type="pct"/>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产业总体</w:t>
                  </w:r>
                </w:p>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布局要求</w:t>
                  </w:r>
                </w:p>
              </w:tc>
              <w:tc>
                <w:tcPr>
                  <w:tcW w:w="2206" w:type="pct"/>
                  <w:vAlign w:val="center"/>
                </w:tcPr>
                <w:p>
                  <w:pPr>
                    <w:numPr>
                      <w:ilvl w:val="0"/>
                      <w:numId w:val="1"/>
                    </w:numPr>
                    <w:spacing w:line="240" w:lineRule="auto"/>
                    <w:jc w:val="center"/>
                    <w:rPr>
                      <w:rFonts w:hint="eastAsia"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禁止新建国家《产业结构调整指导目录》中限制类、淘汰类产业项目，《市场准入负面清单》中禁止准入类及《河北省禁止投资的产业目录》、《河北省新增限制和淘汰类产业目录（2015 年版）》、《秦皇岛市限制和禁止投资的产业目录》（2020 年修订版）中的产业项目</w:t>
                  </w:r>
                  <w:r>
                    <w:rPr>
                      <w:rFonts w:hint="eastAsia" w:cs="Times New Roman"/>
                      <w:color w:val="000000" w:themeColor="text1"/>
                      <w:sz w:val="21"/>
                      <w:szCs w:val="21"/>
                      <w:highlight w:val="none"/>
                      <w:lang w:eastAsia="zh-CN"/>
                      <w14:textFill>
                        <w14:solidFill>
                          <w14:schemeClr w14:val="tx1"/>
                        </w14:solidFill>
                      </w14:textFill>
                    </w:rPr>
                    <w:t>。</w:t>
                  </w:r>
                </w:p>
                <w:p>
                  <w:pPr>
                    <w:numPr>
                      <w:ilvl w:val="0"/>
                      <w:numId w:val="1"/>
                    </w:numPr>
                    <w:spacing w:line="240" w:lineRule="auto"/>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禁止建设《环境保护综合名录（2017 年版）》中“高污染、高风险”产品加工项目。严格控制生态脆弱或环境敏感地区建设“两高”行业项目</w:t>
                  </w:r>
                </w:p>
              </w:tc>
              <w:tc>
                <w:tcPr>
                  <w:tcW w:w="1509" w:type="pct"/>
                  <w:vAlign w:val="center"/>
                </w:tcPr>
                <w:p>
                  <w:pPr>
                    <w:spacing w:line="240" w:lineRule="auto"/>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本项目为C4220非金属废料和碎屑加工处理，属于</w:t>
                  </w:r>
                  <w:r>
                    <w:rPr>
                      <w:rFonts w:hint="default" w:ascii="Times New Roman" w:hAnsi="Times New Roman" w:eastAsia="宋体" w:cs="Times New Roman"/>
                      <w:color w:val="000000" w:themeColor="text1"/>
                      <w:sz w:val="21"/>
                      <w:szCs w:val="21"/>
                      <w:highlight w:val="none"/>
                      <w14:textFill>
                        <w14:solidFill>
                          <w14:schemeClr w14:val="tx1"/>
                        </w14:solidFill>
                      </w14:textFill>
                    </w:rPr>
                    <w:t>《产业结构调整指导目录》</w:t>
                  </w:r>
                  <w:r>
                    <w:rPr>
                      <w:rFonts w:hint="eastAsia" w:eastAsia="宋体" w:cs="Times New Roman"/>
                      <w:color w:val="000000" w:themeColor="text1"/>
                      <w:sz w:val="21"/>
                      <w:szCs w:val="21"/>
                      <w:highlight w:val="none"/>
                      <w:lang w:val="en-US" w:eastAsia="zh-CN"/>
                      <w14:textFill>
                        <w14:solidFill>
                          <w14:schemeClr w14:val="tx1"/>
                        </w14:solidFill>
                      </w14:textFill>
                    </w:rPr>
                    <w:t>中鼓励类项目，不在</w:t>
                  </w:r>
                  <w:r>
                    <w:rPr>
                      <w:rFonts w:hint="default" w:ascii="Times New Roman" w:hAnsi="Times New Roman" w:eastAsia="宋体" w:cs="Times New Roman"/>
                      <w:color w:val="000000" w:themeColor="text1"/>
                      <w:sz w:val="21"/>
                      <w:szCs w:val="21"/>
                      <w:highlight w:val="none"/>
                      <w14:textFill>
                        <w14:solidFill>
                          <w14:schemeClr w14:val="tx1"/>
                        </w14:solidFill>
                      </w14:textFill>
                    </w:rPr>
                    <w:t>《市场准入负面清单</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2022年版）</w:t>
                  </w:r>
                  <w:r>
                    <w:rPr>
                      <w:rFonts w:hint="default" w:ascii="Times New Roman" w:hAnsi="Times New Roman" w:eastAsia="宋体" w:cs="Times New Roman"/>
                      <w:color w:val="000000" w:themeColor="text1"/>
                      <w:sz w:val="21"/>
                      <w:szCs w:val="21"/>
                      <w:highlight w:val="none"/>
                      <w14:textFill>
                        <w14:solidFill>
                          <w14:schemeClr w14:val="tx1"/>
                        </w14:solidFill>
                      </w14:textFill>
                    </w:rPr>
                    <w:t>》中禁止准入类及《河北省禁止投资的产业目录》、《河北省新增限制和淘汰类产业目录（2015 年版）》、《秦皇岛市限制和禁止投资的产业目录》（2020 年修订版）中</w:t>
                  </w:r>
                  <w:r>
                    <w:rPr>
                      <w:rFonts w:hint="eastAsia"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不在《环境保护综合名录（2017年版）</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及其《环境保护综合名录（</w:t>
                  </w:r>
                  <w:r>
                    <w:rPr>
                      <w:rFonts w:hint="eastAsia" w:cs="Times New Roman"/>
                      <w:color w:val="000000" w:themeColor="text1"/>
                      <w:sz w:val="21"/>
                      <w:szCs w:val="21"/>
                      <w:highlight w:val="none"/>
                      <w:lang w:val="en-US" w:eastAsia="zh-CN"/>
                      <w14:textFill>
                        <w14:solidFill>
                          <w14:schemeClr w14:val="tx1"/>
                        </w14:solidFill>
                      </w14:textFill>
                    </w:rPr>
                    <w:t>2021</w:t>
                  </w:r>
                  <w:r>
                    <w:rPr>
                      <w:rFonts w:hint="default" w:ascii="Times New Roman" w:hAnsi="Times New Roman" w:eastAsia="宋体" w:cs="Times New Roman"/>
                      <w:color w:val="000000" w:themeColor="text1"/>
                      <w:sz w:val="21"/>
                      <w:szCs w:val="21"/>
                      <w:highlight w:val="none"/>
                      <w14:textFill>
                        <w14:solidFill>
                          <w14:schemeClr w14:val="tx1"/>
                        </w14:solidFill>
                      </w14:textFill>
                    </w:rPr>
                    <w:t>年版）</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所列“高污染、高风险”管控项目内</w:t>
                  </w:r>
                </w:p>
              </w:tc>
              <w:tc>
                <w:tcPr>
                  <w:tcW w:w="568" w:type="pct"/>
                  <w:vAlign w:val="center"/>
                </w:tcPr>
                <w:p>
                  <w:pPr>
                    <w:spacing w:line="240" w:lineRule="auto"/>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1" w:type="pct"/>
                  <w:gridSpan w:val="4"/>
                  <w:vAlign w:val="center"/>
                </w:tcPr>
                <w:p>
                  <w:pPr>
                    <w:spacing w:line="240" w:lineRule="auto"/>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留守营镇</w:t>
                  </w:r>
                  <w:r>
                    <w:rPr>
                      <w:rFonts w:hint="eastAsia" w:cs="Times New Roman"/>
                      <w:color w:val="000000" w:themeColor="text1"/>
                      <w:sz w:val="21"/>
                      <w:szCs w:val="21"/>
                      <w:highlight w:val="none"/>
                      <w:lang w:eastAsia="zh-CN"/>
                      <w14:textFill>
                        <w14:solidFill>
                          <w14:schemeClr w14:val="tx1"/>
                        </w14:solidFill>
                      </w14:textFill>
                    </w:rPr>
                    <w:t>（ZH13030620063）</w:t>
                  </w:r>
                </w:p>
              </w:tc>
              <w:tc>
                <w:tcPr>
                  <w:tcW w:w="568" w:type="pct"/>
                  <w:vAlign w:val="center"/>
                </w:tcPr>
                <w:p>
                  <w:pPr>
                    <w:spacing w:line="240" w:lineRule="auto"/>
                    <w:jc w:val="center"/>
                    <w:rPr>
                      <w:rFonts w:hint="eastAsia"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维度</w:t>
                  </w:r>
                </w:p>
              </w:tc>
              <w:tc>
                <w:tcPr>
                  <w:tcW w:w="2470" w:type="pct"/>
                  <w:gridSpan w:val="2"/>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文件内容</w:t>
                  </w:r>
                </w:p>
              </w:tc>
              <w:tc>
                <w:tcPr>
                  <w:tcW w:w="1509" w:type="pct"/>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p>
              </w:tc>
              <w:tc>
                <w:tcPr>
                  <w:tcW w:w="568" w:type="pct"/>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空间布局约束</w:t>
                  </w:r>
                </w:p>
              </w:tc>
              <w:tc>
                <w:tcPr>
                  <w:tcW w:w="2470" w:type="pct"/>
                  <w:gridSpan w:val="2"/>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新建涉水工业项目须入园进区；全面摸底排查园区外涉水工业企业，确定入园时间表；确因不具备入园条件需原地保留涉水工业企业，须明确保留条件，实施尾水深度治理，排放废水主要污染物浓度必须达到受纳水体环境功能区标准，否则一律关停取缔。</w:t>
                  </w:r>
                </w:p>
              </w:tc>
              <w:tc>
                <w:tcPr>
                  <w:tcW w:w="1509" w:type="pct"/>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568" w:type="pct"/>
                  <w:vAlign w:val="center"/>
                </w:tcPr>
                <w:p>
                  <w:pPr>
                    <w:spacing w:line="240" w:lineRule="auto"/>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污染物排放管控</w:t>
                  </w:r>
                </w:p>
              </w:tc>
              <w:tc>
                <w:tcPr>
                  <w:tcW w:w="2470" w:type="pct"/>
                  <w:gridSpan w:val="2"/>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涉 VOCs 企业全面完成整治任务，实现稳定达标排放。安装在线监测或超标报警装置。2、塑料行业执行《合成树脂工业污染物排放标准GB31572-2015）、《工业企业挥发性有机物排放控制标准》（DB13/2322-2016）及《挥发性有机物</w:t>
                  </w:r>
                </w:p>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无组织排放控制标准》（GB37822-2019）相关排放要求</w:t>
                  </w:r>
                </w:p>
              </w:tc>
              <w:tc>
                <w:tcPr>
                  <w:tcW w:w="1509" w:type="pct"/>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568" w:type="pct"/>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vAlign w:val="center"/>
                </w:tcPr>
                <w:p>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环境风险防控</w:t>
                  </w:r>
                </w:p>
              </w:tc>
              <w:tc>
                <w:tcPr>
                  <w:tcW w:w="2470" w:type="pct"/>
                  <w:gridSpan w:val="2"/>
                  <w:vAlign w:val="center"/>
                </w:tcPr>
                <w:p>
                  <w:pPr>
                    <w:spacing w:line="240" w:lineRule="auto"/>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14:textFill>
                        <w14:solidFill>
                          <w14:schemeClr w14:val="tx1"/>
                        </w14:solidFill>
                      </w14:textFill>
                    </w:rPr>
                    <w:t>鼓励开展固体废弃物资源循环利用，定期对企业场地开展土壤及地下水监测。</w:t>
                  </w:r>
                </w:p>
                <w:p>
                  <w:pPr>
                    <w:spacing w:line="240" w:lineRule="auto"/>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14:textFill>
                        <w14:solidFill>
                          <w14:schemeClr w14:val="tx1"/>
                        </w14:solidFill>
                      </w14:textFill>
                    </w:rPr>
                    <w:t>对威胁地下水、饮用水水源安全的，有关县（区）要制定环境风险管控方案，落实管控措施。</w:t>
                  </w:r>
                </w:p>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确定地下水污染来源和路径，进行污染风险评估，确定修复目标和风险管控目标，启动地下水污染修复工作</w:t>
                  </w:r>
                </w:p>
              </w:tc>
              <w:tc>
                <w:tcPr>
                  <w:tcW w:w="1509" w:type="pct"/>
                  <w:vAlign w:val="center"/>
                </w:tcPr>
                <w:p>
                  <w:pPr>
                    <w:spacing w:line="240" w:lineRule="auto"/>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本项目属于</w:t>
                  </w:r>
                  <w:r>
                    <w:rPr>
                      <w:rFonts w:hint="eastAsia" w:ascii="Times New Roman" w:hAnsi="Times New Roman" w:eastAsia="宋体" w:cs="Times New Roman"/>
                      <w:color w:val="000000" w:themeColor="text1"/>
                      <w:sz w:val="21"/>
                      <w:szCs w:val="21"/>
                      <w:highlight w:val="none"/>
                      <w14:textFill>
                        <w14:solidFill>
                          <w14:schemeClr w14:val="tx1"/>
                        </w14:solidFill>
                      </w14:textFill>
                    </w:rPr>
                    <w:t>C4220非金属废料和碎屑加工处理</w:t>
                  </w:r>
                  <w:r>
                    <w:rPr>
                      <w:rFonts w:hint="eastAsia" w:eastAsia="宋体"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为</w:t>
                  </w:r>
                  <w:r>
                    <w:rPr>
                      <w:rFonts w:hint="eastAsia" w:eastAsia="宋体" w:cs="Times New Roman"/>
                      <w:color w:val="000000" w:themeColor="text1"/>
                      <w:sz w:val="21"/>
                      <w:szCs w:val="21"/>
                      <w:highlight w:val="none"/>
                      <w:lang w:val="en-US" w:eastAsia="zh-CN"/>
                      <w14:textFill>
                        <w14:solidFill>
                          <w14:schemeClr w14:val="tx1"/>
                        </w14:solidFill>
                      </w14:textFill>
                    </w:rPr>
                    <w:t>鼓励类</w:t>
                  </w:r>
                  <w:r>
                    <w:rPr>
                      <w:rFonts w:hint="eastAsia" w:cs="Times New Roman"/>
                      <w:color w:val="000000" w:themeColor="text1"/>
                      <w:sz w:val="21"/>
                      <w:szCs w:val="21"/>
                      <w:highlight w:val="none"/>
                      <w:lang w:val="en-US" w:eastAsia="zh-CN"/>
                      <w14:textFill>
                        <w14:solidFill>
                          <w14:schemeClr w14:val="tx1"/>
                        </w14:solidFill>
                      </w14:textFill>
                    </w:rPr>
                    <w:t>项目</w:t>
                  </w:r>
                  <w:r>
                    <w:rPr>
                      <w:rFonts w:hint="eastAsia" w:eastAsia="宋体" w:cs="Times New Roman"/>
                      <w:color w:val="000000" w:themeColor="text1"/>
                      <w:sz w:val="21"/>
                      <w:szCs w:val="21"/>
                      <w:highlight w:val="none"/>
                      <w:lang w:val="en-US" w:eastAsia="zh-CN"/>
                      <w14:textFill>
                        <w14:solidFill>
                          <w14:schemeClr w14:val="tx1"/>
                        </w14:solidFill>
                      </w14:textFill>
                    </w:rPr>
                    <w:t>；本项目用水不取自地下水不属于对地下水、饮用水源具有威胁项目；对地下水环境影响较小，针对报告中对地下水环境影响分析内容，本项目运营期间对地下水环境影响较小，不需进行地下水污染修复工作</w:t>
                  </w:r>
                </w:p>
              </w:tc>
              <w:tc>
                <w:tcPr>
                  <w:tcW w:w="568" w:type="pct"/>
                  <w:vAlign w:val="center"/>
                </w:tcPr>
                <w:p>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1" w:type="pct"/>
                  <w:vAlign w:val="center"/>
                </w:tcPr>
                <w:p>
                  <w:pPr>
                    <w:spacing w:line="240" w:lineRule="auto"/>
                    <w:jc w:val="center"/>
                    <w:rPr>
                      <w:rFonts w:hint="eastAsia"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资源利用效率</w:t>
                  </w:r>
                </w:p>
              </w:tc>
              <w:tc>
                <w:tcPr>
                  <w:tcW w:w="2470" w:type="pct"/>
                  <w:gridSpan w:val="2"/>
                  <w:vAlign w:val="center"/>
                </w:tcPr>
                <w:p>
                  <w:pPr>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严格控制深层承压水开采，开采矿泉水、地热水和建设地下水源热泵系统应当进行建设项目水资源论证，严格实行取水许可</w:t>
                  </w:r>
                </w:p>
              </w:tc>
              <w:tc>
                <w:tcPr>
                  <w:tcW w:w="1509" w:type="pct"/>
                  <w:vAlign w:val="center"/>
                </w:tcPr>
                <w:p>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本项目用水取自管网</w:t>
                  </w:r>
                </w:p>
              </w:tc>
              <w:tc>
                <w:tcPr>
                  <w:tcW w:w="568" w:type="pct"/>
                  <w:vAlign w:val="center"/>
                </w:tcPr>
                <w:p>
                  <w:pPr>
                    <w:spacing w:line="240" w:lineRule="auto"/>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2439035</wp:posOffset>
                      </wp:positionH>
                      <wp:positionV relativeFrom="paragraph">
                        <wp:posOffset>3279140</wp:posOffset>
                      </wp:positionV>
                      <wp:extent cx="878840" cy="285115"/>
                      <wp:effectExtent l="12700" t="12700" r="22860" b="140335"/>
                      <wp:wrapNone/>
                      <wp:docPr id="4" name="矩形标注 4"/>
                      <wp:cNvGraphicFramePr/>
                      <a:graphic xmlns:a="http://schemas.openxmlformats.org/drawingml/2006/main">
                        <a:graphicData uri="http://schemas.microsoft.com/office/word/2010/wordprocessingShape">
                          <wps:wsp>
                            <wps:cNvSpPr/>
                            <wps:spPr>
                              <a:xfrm>
                                <a:off x="4326255" y="5526405"/>
                                <a:ext cx="878840" cy="285115"/>
                              </a:xfrm>
                              <a:prstGeom prst="wedgeRectCallout">
                                <a:avLst>
                                  <a:gd name="adj1" fmla="val -32285"/>
                                  <a:gd name="adj2" fmla="val 9463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企业位置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2.05pt;margin-top:258.2pt;height:22.45pt;width:69.2pt;z-index:251666432;v-text-anchor:middle;mso-width-relative:page;mso-height-relative:page;" filled="f" stroked="t" coordsize="21600,21600" o:gfxdata="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c8ZGv3AAAAAsBAAAPAAAAAAAAAAEAIAAAACIAAABkcnMvZG93bnJl&#10;di54bWxQSwECFAAUAAAACACHTuJAFSNTMKQCAAAuBQAADgAAAAAAAAABACAAAAArAQAAZHJzL2Uy&#10;b0RvYy54bWxQSwUGAAAAAAYABgBZAQAAQQYAAAAA&#10;" adj="3826,31241">
                      <v:fill on="f" focussize="0,0"/>
                      <v:stroke weight="2pt" color="#000000 [3213]" joinstyle="round"/>
                      <v:imagedata o:title=""/>
                      <o:lock v:ext="edit" aspectratio="f"/>
                      <v:textbox>
                        <w:txbxContent>
                          <w:p>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企业位置</w:t>
                            </w:r>
                          </w:p>
                        </w:txbxContent>
                      </v:textbox>
                    </v:shape>
                  </w:pict>
                </mc:Fallback>
              </mc:AlternateContent>
            </w:r>
            <w:r>
              <w:rPr>
                <w:color w:val="000000" w:themeColor="text1"/>
                <w14:textFill>
                  <w14:solidFill>
                    <w14:schemeClr w14:val="tx1"/>
                  </w14:solidFill>
                </w14:textFill>
              </w:rPr>
              <w:drawing>
                <wp:inline distT="0" distB="0" distL="114300" distR="114300">
                  <wp:extent cx="4944110" cy="6598920"/>
                  <wp:effectExtent l="0" t="0" r="8890" b="11430"/>
                  <wp:docPr id="1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2"/>
                          <pic:cNvPicPr>
                            <a:picLocks noChangeAspect="1"/>
                          </pic:cNvPicPr>
                        </pic:nvPicPr>
                        <pic:blipFill>
                          <a:blip r:embed="rId11"/>
                          <a:stretch>
                            <a:fillRect/>
                          </a:stretch>
                        </pic:blipFill>
                        <pic:spPr>
                          <a:xfrm>
                            <a:off x="0" y="0"/>
                            <a:ext cx="4944110" cy="65989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5、其他文件符合性</w:t>
            </w:r>
          </w:p>
          <w:p>
            <w:pPr>
              <w:pStyle w:val="48"/>
              <w:pageBreakBefore w:val="0"/>
              <w:widowControl w:val="0"/>
              <w:kinsoku/>
              <w:wordWrap/>
              <w:topLinePunct w:val="0"/>
              <w:bidi w:val="0"/>
              <w:spacing w:line="240" w:lineRule="auto"/>
              <w:textAlignment w:val="auto"/>
              <w:rPr>
                <w:rFonts w:hint="default" w:ascii="Times New Roman" w:hAnsi="Times New Roman" w:eastAsia="宋体" w:cs="Times New Roman"/>
                <w:color w:val="000000" w:themeColor="text1"/>
                <w:sz w:val="21"/>
                <w:szCs w:val="16"/>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16"/>
                <w:highlight w:val="none"/>
                <w:lang w:val="en-US" w:eastAsia="zh-CN"/>
                <w14:textFill>
                  <w14:solidFill>
                    <w14:schemeClr w14:val="tx1"/>
                  </w14:solidFill>
                </w14:textFill>
              </w:rPr>
              <w:t>表1-4  项目与其他文件符合性分析</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4219"/>
              <w:gridCol w:w="1399"/>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文件名称</w:t>
                  </w:r>
                </w:p>
              </w:tc>
              <w:tc>
                <w:tcPr>
                  <w:tcW w:w="2617"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文件内容</w:t>
                  </w:r>
                </w:p>
              </w:tc>
              <w:tc>
                <w:tcPr>
                  <w:tcW w:w="868"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本项目</w:t>
                  </w:r>
                </w:p>
              </w:tc>
              <w:tc>
                <w:tcPr>
                  <w:tcW w:w="472"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《国务院关于印发大气污染防治行动计划的通知》（2013年9月10日）</w:t>
                  </w:r>
                </w:p>
              </w:tc>
              <w:tc>
                <w:tcPr>
                  <w:tcW w:w="2617"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1.建设工程施工现场应全封闭设置围挡墙，严禁敞开式作业，施工现场道路应进行地面硬化；2.严控“两高”行业新增产能；3.加快淘汰落后产能4.压缩过剩产能。</w:t>
                  </w:r>
                </w:p>
              </w:tc>
              <w:tc>
                <w:tcPr>
                  <w:tcW w:w="868"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1.本工程施工期落实“六个百分百”和“两个全覆盖”2.本项目不属于“两高”行业3.本项目不属于淘汰落后产能项目4.本项目不属于产能过剩项目</w:t>
                  </w:r>
                </w:p>
              </w:tc>
              <w:tc>
                <w:tcPr>
                  <w:tcW w:w="472"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《河北省生态环境保护“十四五”规划》（冀政字〔2022〕2号）</w:t>
                  </w:r>
                </w:p>
              </w:tc>
              <w:tc>
                <w:tcPr>
                  <w:tcW w:w="2617"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强化区域大气污染综合治理。加强区域大气污染联防联控，探索建立交界区域大气环境管理共建共管机制，强化重大项目环境影响评价区域会商。石家庄、唐山、邢台、邯郸市重点开展PM</w:t>
                  </w:r>
                  <w:r>
                    <w:rPr>
                      <w:rFonts w:hint="default" w:ascii="Times New Roman" w:hAnsi="Times New Roman" w:cs="Times New Roman" w:eastAsiaTheme="minorEastAsia"/>
                      <w:color w:val="000000" w:themeColor="text1"/>
                      <w:sz w:val="21"/>
                      <w:szCs w:val="21"/>
                      <w:highlight w:val="none"/>
                      <w:vertAlign w:val="subscript"/>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和臭氧协同治理；沧州、衡水、廊坊、保定市和雄安新区重点开展挥发性有机物（VOCs）及氮氧化物协同治理；张家口、承德、秦皇岛市重点加强臭氧污染控制</w:t>
                  </w:r>
                </w:p>
              </w:tc>
              <w:tc>
                <w:tcPr>
                  <w:tcW w:w="868"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本项目废气排放污染物</w:t>
                  </w:r>
                  <w:r>
                    <w:rPr>
                      <w:rFonts w:hint="eastAsia" w:cs="Times New Roman" w:eastAsiaTheme="minorEastAsia"/>
                      <w:color w:val="000000" w:themeColor="text1"/>
                      <w:sz w:val="21"/>
                      <w:szCs w:val="21"/>
                      <w:highlight w:val="none"/>
                      <w:lang w:val="en-US" w:eastAsia="zh-CN"/>
                      <w14:textFill>
                        <w14:solidFill>
                          <w14:schemeClr w14:val="tx1"/>
                        </w14:solidFill>
                      </w14:textFill>
                    </w:rPr>
                    <w:t>仅</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为颗粒物</w:t>
                  </w:r>
                </w:p>
              </w:tc>
              <w:tc>
                <w:tcPr>
                  <w:tcW w:w="472"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pct"/>
                  <w:vAlign w:val="center"/>
                </w:tcPr>
                <w:p>
                  <w:pPr>
                    <w:spacing w:line="240" w:lineRule="auto"/>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《关于促进砂石行业健康有序发展的指导意见》（发改价格〔2020〕473号）</w:t>
                  </w:r>
                </w:p>
              </w:tc>
              <w:tc>
                <w:tcPr>
                  <w:tcW w:w="2617"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鼓励利用固废资源制造再生砂石</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：鼓励利用建筑拆除垃圾等固废资源生产砂石替代材料，清理不合理的区域限制措施，增加再生砂石供给</w:t>
                  </w:r>
                </w:p>
              </w:tc>
              <w:tc>
                <w:tcPr>
                  <w:tcW w:w="868"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本项目原料来源</w:t>
                  </w:r>
                  <w:r>
                    <w:rPr>
                      <w:rFonts w:hint="eastAsia" w:cs="Times New Roman" w:eastAsiaTheme="minorEastAsia"/>
                      <w:color w:val="000000" w:themeColor="text1"/>
                      <w:sz w:val="21"/>
                      <w:szCs w:val="21"/>
                      <w:highlight w:val="none"/>
                      <w:lang w:val="en-US" w:eastAsia="zh-CN"/>
                      <w14:textFill>
                        <w14:solidFill>
                          <w14:schemeClr w14:val="tx1"/>
                        </w14:solidFill>
                      </w14:textFill>
                    </w:rPr>
                    <w:t>生活垃圾焚烧发</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电厂炉渣</w:t>
                  </w:r>
                </w:p>
              </w:tc>
              <w:tc>
                <w:tcPr>
                  <w:tcW w:w="472"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《建材行业碳达峰实施方案》（工信部联原【2022】149号）</w:t>
                  </w:r>
                </w:p>
              </w:tc>
              <w:tc>
                <w:tcPr>
                  <w:tcW w:w="2617"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鼓励以高炉炉渣、粉煤灰等对产品性能无害的工业固体废物废弃物为主要原料的超细粉生产利用。</w:t>
                  </w:r>
                </w:p>
              </w:tc>
              <w:tc>
                <w:tcPr>
                  <w:tcW w:w="868"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本项目原</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料来源</w:t>
                  </w:r>
                  <w:r>
                    <w:rPr>
                      <w:rFonts w:hint="eastAsia" w:cs="Times New Roman" w:eastAsiaTheme="minorEastAsia"/>
                      <w:color w:val="000000" w:themeColor="text1"/>
                      <w:sz w:val="21"/>
                      <w:szCs w:val="21"/>
                      <w:highlight w:val="none"/>
                      <w:lang w:val="en-US" w:eastAsia="zh-CN"/>
                      <w14:textFill>
                        <w14:solidFill>
                          <w14:schemeClr w14:val="tx1"/>
                        </w14:solidFill>
                      </w14:textFill>
                    </w:rPr>
                    <w:t>生活垃圾焚烧发</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电厂炉渣，产品有砂石以及</w:t>
                  </w:r>
                  <w:r>
                    <w:rPr>
                      <w:rFonts w:hint="eastAsia" w:cs="Times New Roman" w:eastAsiaTheme="minorEastAsia"/>
                      <w:color w:val="000000" w:themeColor="text1"/>
                      <w:sz w:val="21"/>
                      <w:szCs w:val="21"/>
                      <w:highlight w:val="none"/>
                      <w:lang w:val="en-US" w:eastAsia="zh-CN"/>
                      <w14:textFill>
                        <w14:solidFill>
                          <w14:schemeClr w14:val="tx1"/>
                        </w14:solidFill>
                      </w14:textFill>
                    </w:rPr>
                    <w:t>铝屑、铁屑</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等</w:t>
                  </w:r>
                </w:p>
              </w:tc>
              <w:tc>
                <w:tcPr>
                  <w:tcW w:w="472"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pct"/>
                  <w:vMerge w:val="restar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《秦皇岛市十四五规划》秦政字〔2022〕10号</w:t>
                  </w:r>
                </w:p>
              </w:tc>
              <w:tc>
                <w:tcPr>
                  <w:tcW w:w="2617"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深化建筑扬尘专项整治。严格落实建筑工程绿色施工规范，建立健全扬尘管控体系，对扬尘重点污染源实行清单化动态管理，将绿色施工纳入企业生态环境信用评价。压实企业主体责任，房屋建筑施工工地落实“六个百分百”和“两个全覆盖”；强化执法督查，对管控不到位，扬尘排放超标的，依法予以严惩，将不良信息纳入建筑市场信用管理体系，情节严重的，列入建筑市场主体“黑名单”。房屋建筑施工工地加装门禁系统，工程完工后，门禁系统可拆卸、可重复利用。县城及城市规划建设用地范围内房屋建筑工地全面做到围挡、物料堆放覆盖、土方开挖湿地作业、路面硬化、出入车辆清洗、渣土车辆密闭运输。建筑工地实现视频监控和PM</w:t>
                  </w:r>
                  <w:r>
                    <w:rPr>
                      <w:rFonts w:hint="eastAsia" w:ascii="Times New Roman" w:hAnsi="Times New Roman" w:cs="Times New Roman" w:eastAsiaTheme="minorEastAsia"/>
                      <w:color w:val="000000" w:themeColor="text1"/>
                      <w:sz w:val="21"/>
                      <w:szCs w:val="21"/>
                      <w:highlight w:val="none"/>
                      <w:vertAlign w:val="subscript"/>
                      <w:lang w:val="en-US" w:eastAsia="zh-CN"/>
                      <w14:textFill>
                        <w14:solidFill>
                          <w14:schemeClr w14:val="tx1"/>
                        </w14:solidFill>
                      </w14:textFill>
                    </w:rPr>
                    <w:t>10</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在线监测联网全覆盖</w:t>
                  </w:r>
                </w:p>
              </w:tc>
              <w:tc>
                <w:tcPr>
                  <w:tcW w:w="868"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施工期落实“六个百分百”和“两个全覆盖”</w:t>
                  </w:r>
                </w:p>
              </w:tc>
              <w:tc>
                <w:tcPr>
                  <w:tcW w:w="472"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 w:type="pct"/>
                  <w:vMerge w:val="continue"/>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2617"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加快构建废旧物资循环利用体系。开展“无废城市”创建，推动固体废物资源化利用，发展资源回用利用产业。发展秸秆固体成型燃料和秸秆生物气化等技术，促进农作物秸秆饲料化、基质化、肥料化、能源化利用，延长产业链条。健全强制报废制度和废旧家电、消费电子等耐用消费品回收处理体系。以电器电子产品、汽车产品、饮料纸基复合包装物为重点，加快落实生产者责任延伸制度。支持建立发动机、变速箱等汽车旧件回收、再制造加工体系。构建建筑垃圾管理和资源化利用体系，建立健全政策引导、市场推动、社会参与的长效推进机制</w:t>
                  </w:r>
                </w:p>
              </w:tc>
              <w:tc>
                <w:tcPr>
                  <w:tcW w:w="868"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本项目为</w:t>
                  </w:r>
                  <w:r>
                    <w:rPr>
                      <w:rFonts w:hint="eastAsia" w:cs="Times New Roman" w:eastAsiaTheme="minorEastAsia"/>
                      <w:color w:val="000000" w:themeColor="text1"/>
                      <w:sz w:val="21"/>
                      <w:szCs w:val="21"/>
                      <w:highlight w:val="none"/>
                      <w:lang w:val="en-US" w:eastAsia="zh-CN"/>
                      <w14:textFill>
                        <w14:solidFill>
                          <w14:schemeClr w14:val="tx1"/>
                        </w14:solidFill>
                      </w14:textFill>
                    </w:rPr>
                    <w:t>生活垃圾焚烧发</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电厂炉渣综合利用项目</w:t>
                  </w:r>
                </w:p>
              </w:tc>
              <w:tc>
                <w:tcPr>
                  <w:tcW w:w="472"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符合</w:t>
                  </w:r>
                </w:p>
              </w:tc>
            </w:tr>
          </w:tbl>
          <w:p>
            <w:pPr>
              <w:pStyle w:val="47"/>
              <w:bidi w:val="0"/>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tc>
      </w:tr>
    </w:tbl>
    <w:p>
      <w:pPr>
        <w:spacing w:line="360" w:lineRule="auto"/>
        <w:outlineLvl w:val="0"/>
        <w:rPr>
          <w:rFonts w:hint="default" w:ascii="Times New Roman" w:hAnsi="Times New Roman" w:eastAsia="黑体" w:cs="Times New Roman"/>
          <w:color w:val="000000" w:themeColor="text1"/>
          <w:sz w:val="30"/>
          <w:highlight w:val="none"/>
          <w14:textFill>
            <w14:solidFill>
              <w14:schemeClr w14:val="tx1"/>
            </w14:solidFill>
          </w14:textFill>
        </w:rPr>
        <w:sectPr>
          <w:footerReference r:id="rId5" w:type="default"/>
          <w:pgSz w:w="11905" w:h="16838"/>
          <w:pgMar w:top="1440" w:right="1587" w:bottom="1440" w:left="1587" w:header="851" w:footer="850" w:gutter="0"/>
          <w:pgBorders>
            <w:top w:val="none" w:sz="0" w:space="0"/>
            <w:left w:val="none" w:sz="0" w:space="0"/>
            <w:bottom w:val="none" w:sz="0" w:space="0"/>
            <w:right w:val="none" w:sz="0" w:space="0"/>
          </w:pgBorders>
          <w:pgNumType w:fmt="decimal" w:start="1"/>
          <w:cols w:space="0" w:num="1"/>
          <w:rtlGutter w:val="0"/>
          <w:docGrid w:linePitch="312" w:charSpace="0"/>
        </w:sectPr>
      </w:pPr>
    </w:p>
    <w:p>
      <w:pPr>
        <w:pStyle w:val="2"/>
        <w:bidi w:val="0"/>
        <w:jc w:val="center"/>
        <w:rPr>
          <w:rFonts w:hint="eastAsia" w:ascii="黑体" w:hAnsi="黑体" w:eastAsia="黑体" w:cs="黑体"/>
          <w:b w:val="0"/>
          <w:bCs w:val="0"/>
          <w:color w:val="000000" w:themeColor="text1"/>
          <w:sz w:val="30"/>
          <w:szCs w:val="30"/>
          <w:highlight w:val="none"/>
          <w14:textFill>
            <w14:solidFill>
              <w14:schemeClr w14:val="tx1"/>
            </w14:solidFill>
          </w14:textFill>
        </w:rPr>
      </w:pPr>
      <w:r>
        <w:rPr>
          <w:rFonts w:hint="eastAsia" w:ascii="黑体" w:hAnsi="黑体" w:eastAsia="黑体" w:cs="黑体"/>
          <w:b w:val="0"/>
          <w:bCs w:val="0"/>
          <w:color w:val="000000" w:themeColor="text1"/>
          <w:sz w:val="30"/>
          <w:szCs w:val="30"/>
          <w:highlight w:val="none"/>
          <w14:textFill>
            <w14:solidFill>
              <w14:schemeClr w14:val="tx1"/>
            </w14:solidFill>
          </w14:textFill>
        </w:rPr>
        <w:t>二、建设项目工程分析</w:t>
      </w:r>
    </w:p>
    <w:tbl>
      <w:tblPr>
        <w:tblStyle w:val="31"/>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85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7" w:hRule="atLeast"/>
          <w:jc w:val="center"/>
        </w:trPr>
        <w:tc>
          <w:tcPr>
            <w:tcW w:w="488" w:type="dxa"/>
            <w:noWrap w:val="0"/>
            <w:vAlign w:val="center"/>
          </w:tcPr>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建设内容</w:t>
            </w: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5"/>
              <w:rPr>
                <w:rFonts w:hint="default"/>
                <w:color w:val="000000" w:themeColor="text1"/>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建设内容</w:t>
            </w: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5"/>
              <w:rPr>
                <w:rFonts w:hint="default"/>
                <w:color w:val="000000" w:themeColor="text1"/>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建设内容</w:t>
            </w: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5"/>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5"/>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5"/>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5"/>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5"/>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5"/>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5"/>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5"/>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5"/>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5"/>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5"/>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5"/>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Style w:val="25"/>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建设内容</w:t>
            </w: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p>
        </w:tc>
        <w:tc>
          <w:tcPr>
            <w:tcW w:w="8583" w:type="dxa"/>
            <w:noWrap w:val="0"/>
            <w:vAlign w:val="top"/>
          </w:tcPr>
          <w:p>
            <w:pPr>
              <w:pStyle w:val="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1、项目简介</w:t>
            </w:r>
          </w:p>
          <w:p>
            <w:pPr>
              <w:pStyle w:val="47"/>
              <w:bidi w:val="0"/>
              <w:rPr>
                <w:rFonts w:hint="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秦皇岛隆博环保科技有限公司成立于2022年7</w:t>
            </w:r>
            <w:r>
              <w:rPr>
                <w:rFonts w:hint="eastAsia" w:eastAsia="宋体"/>
                <w:color w:val="000000" w:themeColor="text1"/>
                <w:lang w:val="en-US" w:eastAsia="zh-CN"/>
                <w14:textFill>
                  <w14:solidFill>
                    <w14:schemeClr w14:val="tx1"/>
                  </w14:solidFill>
                </w14:textFill>
              </w:rPr>
              <w:t>月。</w:t>
            </w:r>
            <w:r>
              <w:rPr>
                <w:color w:val="000000" w:themeColor="text1"/>
                <w14:textFill>
                  <w14:solidFill>
                    <w14:schemeClr w14:val="tx1"/>
                  </w14:solidFill>
                </w14:textFill>
              </w:rPr>
              <w:t>目前国内垃圾焚烧炉渣的处置方式以进入垃圾卫生填埋场填埋为主，占用了大量的填埋库容</w:t>
            </w:r>
            <w:r>
              <w:rPr>
                <w:rFonts w:hint="eastAsia"/>
                <w:color w:val="000000" w:themeColor="text1"/>
                <w:lang w:val="en-US" w:eastAsia="zh-CN"/>
                <w14:textFill>
                  <w14:solidFill>
                    <w14:schemeClr w14:val="tx1"/>
                  </w14:solidFill>
                </w14:textFill>
              </w:rPr>
              <w:t>并对对环境具有一定污染性。国务院于2011年4月19日发出《关于进一步加强城市生活垃圾处理工作意见的通知》，对城市生活垃圾处理和资源化综合利用做出了部署，这一政策的制定为我国生活垃圾处理环保产业的发展带来了巨大的历史机遇。近年来，许多科研机构和生产企业，研究开发垃圾焚烧发电厂炉渣综合利用方法。根据《生活垃圾焚烧污染控制标准》（GB18485-2014）、《固体废物鉴别标准 通则（GB 34330—2017）》以及炉渣检验报告分析，生活垃圾焚烧炉渣属于一般工业固体废物，可以作为一般工业固废进行处理或利用，炉渣经过处理后可选出环保砂、废旧金属等外售利用。因此企业决定投资2322万元建设炉渣综合利用项目，来源为周边50km之内的生活垃圾焚烧发电厂。项目建成后年处理生活垃圾焚烧炉渣20万吨。</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根据《中华人民共和国环境影响评价法》、《国务院关于修改〈建设项目环境保护管理条例〉的决定》（中华人民共和国国务院令第682 号）及《建设项目环境影响评价分类管理名录》（2021 年版）中的有关规定，本项目属于“三十九、废弃资源综合利用业；非金属废料和碎屑加工处理422”中“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类项目，因此需编制环境影响报告表。</w:t>
            </w:r>
          </w:p>
          <w:p>
            <w:pPr>
              <w:pStyle w:val="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工程简介</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w:t>
            </w:r>
          </w:p>
          <w:p>
            <w:pPr>
              <w:pStyle w:val="8"/>
              <w:bidi w:val="0"/>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cs="Times New Roman"/>
                <w:b/>
                <w:bCs/>
                <w:color w:val="000000" w:themeColor="text1"/>
                <w:kern w:val="2"/>
                <w:sz w:val="24"/>
                <w:szCs w:val="24"/>
                <w:highlight w:val="none"/>
                <w:lang w:val="en-US" w:eastAsia="zh-CN" w:bidi="ar-SA"/>
                <w14:textFill>
                  <w14:solidFill>
                    <w14:schemeClr w14:val="tx1"/>
                  </w14:solidFill>
                </w14:textFill>
              </w:rPr>
              <w:t>2.1工程概况</w:t>
            </w:r>
          </w:p>
          <w:p>
            <w:pPr>
              <w:pStyle w:val="8"/>
              <w:bidi w:val="0"/>
              <w:ind w:firstLine="480" w:firstLineChars="200"/>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（1）企业地理位置及周边关系</w:t>
            </w:r>
          </w:p>
          <w:p>
            <w:pPr>
              <w:bidi w:val="0"/>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val="0"/>
                <w:color w:val="000000" w:themeColor="text1"/>
                <w:kern w:val="2"/>
                <w:sz w:val="24"/>
                <w:szCs w:val="24"/>
                <w:highlight w:val="none"/>
                <w:lang w:val="en-US" w:eastAsia="zh-CN" w:bidi="ar-SA"/>
                <w14:textFill>
                  <w14:solidFill>
                    <w14:schemeClr w14:val="tx1"/>
                  </w14:solidFill>
                </w14:textFill>
              </w:rPr>
              <w:t>秦皇岛隆博环保科技有限公司</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位于</w:t>
            </w:r>
            <w:r>
              <w:rPr>
                <w:rFonts w:hint="default" w:ascii="Times New Roman" w:hAnsi="Times New Roman" w:cs="Times New Roman"/>
                <w:b w:val="0"/>
                <w:color w:val="000000" w:themeColor="text1"/>
                <w:kern w:val="2"/>
                <w:sz w:val="24"/>
                <w:szCs w:val="24"/>
                <w:highlight w:val="none"/>
                <w:lang w:val="en-US" w:eastAsia="zh-CN" w:bidi="ar-SA"/>
                <w14:textFill>
                  <w14:solidFill>
                    <w14:schemeClr w14:val="tx1"/>
                  </w14:solidFill>
                </w14:textFill>
              </w:rPr>
              <w:t>秦皇岛市抚宁区</w:t>
            </w:r>
            <w:r>
              <w:rPr>
                <w:rFonts w:hint="eastAsia" w:cs="Times New Roman"/>
                <w:b w:val="0"/>
                <w:color w:val="000000" w:themeColor="text1"/>
                <w:kern w:val="2"/>
                <w:sz w:val="24"/>
                <w:szCs w:val="24"/>
                <w:highlight w:val="none"/>
                <w:lang w:val="en-US" w:eastAsia="zh-CN" w:bidi="ar-SA"/>
                <w14:textFill>
                  <w14:solidFill>
                    <w14:schemeClr w14:val="tx1"/>
                  </w14:solidFill>
                </w14:textFill>
              </w:rPr>
              <w:t>留守营镇潘官营村南</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。厂址中心坐标为：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东经119°17'51.273"，北纬39°53'9.524"</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项目东侧为</w:t>
            </w:r>
            <w:r>
              <w:rPr>
                <w:rFonts w:hint="eastAsia" w:cs="Times New Roman"/>
                <w:color w:val="000000" w:themeColor="text1"/>
                <w:sz w:val="24"/>
                <w:szCs w:val="24"/>
                <w:highlight w:val="none"/>
                <w:lang w:val="en-US" w:eastAsia="zh-CN"/>
                <w14:textFill>
                  <w14:solidFill>
                    <w14:schemeClr w14:val="tx1"/>
                  </w14:solidFill>
                </w14:textFill>
              </w:rPr>
              <w:t>空地</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，西侧为空地，南侧为</w:t>
            </w:r>
            <w:r>
              <w:rPr>
                <w:rFonts w:hint="eastAsia" w:cs="Times New Roman"/>
                <w:color w:val="000000" w:themeColor="text1"/>
                <w:sz w:val="24"/>
                <w:szCs w:val="24"/>
                <w:highlight w:val="none"/>
                <w:lang w:val="en-US" w:eastAsia="zh-CN"/>
                <w14:textFill>
                  <w14:solidFill>
                    <w14:schemeClr w14:val="tx1"/>
                  </w14:solidFill>
                </w14:textFill>
              </w:rPr>
              <w:t>闲置厂房</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，北侧为</w:t>
            </w:r>
            <w:r>
              <w:rPr>
                <w:rFonts w:hint="eastAsia" w:cs="Times New Roman"/>
                <w:color w:val="000000" w:themeColor="text1"/>
                <w:sz w:val="24"/>
                <w:szCs w:val="24"/>
                <w:highlight w:val="none"/>
                <w:lang w:val="en-US" w:eastAsia="zh-CN"/>
                <w14:textFill>
                  <w14:solidFill>
                    <w14:schemeClr w14:val="tx1"/>
                  </w14:solidFill>
                </w14:textFill>
              </w:rPr>
              <w:t>农田</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项目距离最近敏感点为东北侧140m潘官营村</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pPr>
              <w:numPr>
                <w:ilvl w:val="0"/>
                <w:numId w:val="0"/>
              </w:numPr>
              <w:bidi w:val="0"/>
              <w:ind w:firstLine="480" w:firstLineChars="200"/>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pPr>
            <w:r>
              <w:rPr>
                <w:rFonts w:hint="eastAsia" w:cs="Times New Roman"/>
                <w:b w:val="0"/>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用地情况：</w:t>
            </w:r>
            <w:r>
              <w:rPr>
                <w:rFonts w:hint="eastAsia" w:cs="Times New Roman"/>
                <w:b w:val="0"/>
                <w:color w:val="000000" w:themeColor="text1"/>
                <w:kern w:val="2"/>
                <w:sz w:val="24"/>
                <w:szCs w:val="24"/>
                <w:highlight w:val="none"/>
                <w:lang w:val="en-US" w:eastAsia="zh-CN" w:bidi="ar-SA"/>
                <w14:textFill>
                  <w14:solidFill>
                    <w14:schemeClr w14:val="tx1"/>
                  </w14:solidFill>
                </w14:textFill>
              </w:rPr>
              <w:t>企业用地性质为建设用地，占地</w:t>
            </w:r>
            <w:r>
              <w:rPr>
                <w:rFonts w:hint="eastAsia" w:ascii="Times New Roman" w:hAnsi="Times New Roman" w:cs="Times New Roman"/>
                <w:color w:val="000000" w:themeColor="text1"/>
                <w:highlight w:val="none"/>
                <w:lang w:val="en-US" w:eastAsia="zh-CN"/>
                <w14:textFill>
                  <w14:solidFill>
                    <w14:schemeClr w14:val="tx1"/>
                  </w14:solidFill>
                </w14:textFill>
              </w:rPr>
              <w:t>16.54亩（约11026.86平方米）</w:t>
            </w:r>
            <w:r>
              <w:rPr>
                <w:rFonts w:hint="eastAsia" w:cs="Times New Roman"/>
                <w:b w:val="0"/>
                <w:color w:val="000000" w:themeColor="text1"/>
                <w:kern w:val="2"/>
                <w:sz w:val="24"/>
                <w:szCs w:val="24"/>
                <w:highlight w:val="none"/>
                <w:lang w:val="en-US" w:eastAsia="zh-CN" w:bidi="ar-SA"/>
                <w14:textFill>
                  <w14:solidFill>
                    <w14:schemeClr w14:val="tx1"/>
                  </w14:solidFill>
                </w14:textFill>
              </w:rPr>
              <w:t>。符合抚宁区土地利用总体规划</w:t>
            </w:r>
            <w:r>
              <w:rPr>
                <w:rFonts w:hint="default" w:ascii="Times New Roman" w:hAnsi="Times New Roman" w:cs="Times New Roman"/>
                <w:b w:val="0"/>
                <w:color w:val="000000" w:themeColor="text1"/>
                <w:kern w:val="2"/>
                <w:sz w:val="24"/>
                <w:szCs w:val="24"/>
                <w:highlight w:val="none"/>
                <w:lang w:val="en-US" w:eastAsia="zh-CN" w:bidi="ar-SA"/>
                <w14:textFill>
                  <w14:solidFill>
                    <w14:schemeClr w14:val="tx1"/>
                  </w14:solidFill>
                </w14:textFill>
              </w:rPr>
              <w:t>。</w:t>
            </w:r>
          </w:p>
          <w:p>
            <w:pPr>
              <w:numPr>
                <w:ilvl w:val="0"/>
                <w:numId w:val="0"/>
              </w:numPr>
              <w:bidi w:val="0"/>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（3）平面布置：</w:t>
            </w:r>
            <w:r>
              <w:rPr>
                <w:rFonts w:hint="eastAsia" w:cs="Times New Roman"/>
                <w:color w:val="000000" w:themeColor="text1"/>
                <w:highlight w:val="none"/>
                <w:lang w:val="en-US" w:eastAsia="zh-CN"/>
                <w14:textFill>
                  <w14:solidFill>
                    <w14:schemeClr w14:val="tx1"/>
                  </w14:solidFill>
                </w14:textFill>
              </w:rPr>
              <w:t>厂区西侧为办公楼，生产车间位于厂区内北侧。</w:t>
            </w:r>
            <w:r>
              <w:rPr>
                <w:rFonts w:hint="default" w:ascii="Times New Roman" w:hAnsi="Times New Roman" w:eastAsia="宋体" w:cs="Times New Roman"/>
                <w:color w:val="000000" w:themeColor="text1"/>
                <w:highlight w:val="none"/>
                <w:lang w:val="en-US" w:eastAsia="zh-CN"/>
                <w14:textFill>
                  <w14:solidFill>
                    <w14:schemeClr w14:val="tx1"/>
                  </w14:solidFill>
                </w14:textFill>
              </w:rPr>
              <w:t>具体见附图</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（4）劳动定员及工作制度：工程劳动定员</w:t>
            </w:r>
            <w:r>
              <w:rPr>
                <w:rFonts w:hint="eastAsia" w:ascii="Times New Roman" w:hAnsi="Times New Roman" w:cs="Times New Roman"/>
                <w:color w:val="000000" w:themeColor="text1"/>
                <w:highlight w:val="none"/>
                <w:lang w:val="en-US" w:eastAsia="zh-CN"/>
                <w14:textFill>
                  <w14:solidFill>
                    <w14:schemeClr w14:val="tx1"/>
                  </w14:solidFill>
                </w14:textFill>
              </w:rPr>
              <w:t>16</w:t>
            </w:r>
            <w:r>
              <w:rPr>
                <w:rFonts w:hint="default" w:ascii="Times New Roman" w:hAnsi="Times New Roman" w:cs="Times New Roman"/>
                <w:color w:val="000000" w:themeColor="text1"/>
                <w:highlight w:val="none"/>
                <w:lang w:val="en-US" w:eastAsia="zh-CN"/>
                <w14:textFill>
                  <w14:solidFill>
                    <w14:schemeClr w14:val="tx1"/>
                  </w14:solidFill>
                </w14:textFill>
              </w:rPr>
              <w:t>人，</w:t>
            </w:r>
            <w:r>
              <w:rPr>
                <w:rFonts w:hint="default" w:ascii="Times New Roman" w:hAnsi="Times New Roman" w:cs="Times New Roman"/>
                <w:color w:val="000000" w:themeColor="text1"/>
                <w:highlight w:val="none"/>
                <w14:textFill>
                  <w14:solidFill>
                    <w14:schemeClr w14:val="tx1"/>
                  </w14:solidFill>
                </w14:textFill>
              </w:rPr>
              <w:t>年生产</w:t>
            </w:r>
            <w:r>
              <w:rPr>
                <w:rFonts w:hint="eastAsia" w:ascii="Times New Roman" w:hAnsi="Times New Roman" w:cs="Times New Roman"/>
                <w:color w:val="000000" w:themeColor="text1"/>
                <w:highlight w:val="none"/>
                <w:lang w:val="en-US" w:eastAsia="zh-CN"/>
                <w14:textFill>
                  <w14:solidFill>
                    <w14:schemeClr w14:val="tx1"/>
                  </w14:solidFill>
                </w14:textFill>
              </w:rPr>
              <w:t>350</w:t>
            </w:r>
            <w:r>
              <w:rPr>
                <w:rFonts w:hint="default" w:ascii="Times New Roman" w:hAnsi="Times New Roman" w:cs="Times New Roman"/>
                <w:color w:val="000000" w:themeColor="text1"/>
                <w:highlight w:val="none"/>
                <w14:textFill>
                  <w14:solidFill>
                    <w14:schemeClr w14:val="tx1"/>
                  </w14:solidFill>
                </w14:textFill>
              </w:rPr>
              <w:t>天</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一班制，每班8小时</w:t>
            </w:r>
            <w:r>
              <w:rPr>
                <w:rFonts w:hint="eastAsia" w:ascii="Times New Roman" w:hAnsi="Times New Roman" w:cs="Times New Roman"/>
                <w:color w:val="000000" w:themeColor="text1"/>
                <w:highlight w:val="none"/>
                <w:lang w:val="en-US" w:eastAsia="zh-CN"/>
                <w14:textFill>
                  <w14:solidFill>
                    <w14:schemeClr w14:val="tx1"/>
                  </w14:solidFill>
                </w14:textFill>
              </w:rPr>
              <w:t>，夜间不生产</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8"/>
              <w:bidi w:val="0"/>
              <w:rPr>
                <w:rFonts w:hint="default" w:cs="Times New Roman"/>
                <w:b/>
                <w:bCs/>
                <w:color w:val="000000" w:themeColor="text1"/>
                <w:kern w:val="2"/>
                <w:sz w:val="24"/>
                <w:szCs w:val="24"/>
                <w:highlight w:val="none"/>
                <w:lang w:val="en-US" w:eastAsia="zh-CN" w:bidi="ar-SA"/>
                <w14:textFill>
                  <w14:solidFill>
                    <w14:schemeClr w14:val="tx1"/>
                  </w14:solidFill>
                </w14:textFill>
              </w:rPr>
            </w:pPr>
            <w:r>
              <w:rPr>
                <w:rFonts w:hint="eastAsia" w:cs="Times New Roman"/>
                <w:b/>
                <w:bCs/>
                <w:color w:val="000000" w:themeColor="text1"/>
                <w:kern w:val="2"/>
                <w:sz w:val="24"/>
                <w:szCs w:val="24"/>
                <w:highlight w:val="none"/>
                <w:lang w:val="en-US" w:eastAsia="zh-CN" w:bidi="ar-SA"/>
                <w14:textFill>
                  <w14:solidFill>
                    <w14:schemeClr w14:val="tx1"/>
                  </w14:solidFill>
                </w14:textFill>
              </w:rPr>
              <w:t>2.2</w:t>
            </w:r>
            <w:r>
              <w:rPr>
                <w:rFonts w:hint="default" w:cs="Times New Roman"/>
                <w:b/>
                <w:bCs/>
                <w:color w:val="000000" w:themeColor="text1"/>
                <w:kern w:val="2"/>
                <w:sz w:val="24"/>
                <w:szCs w:val="24"/>
                <w:highlight w:val="none"/>
                <w:lang w:val="en-US" w:eastAsia="zh-CN" w:bidi="ar-SA"/>
                <w14:textFill>
                  <w14:solidFill>
                    <w14:schemeClr w14:val="tx1"/>
                  </w14:solidFill>
                </w14:textFill>
              </w:rPr>
              <w:t>、工程规模及工程内容</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租用抚宁区留守营镇潘官营村委会所建厂房，新上一条炉渣综合利用生产线，本项目占地16.54亩（约11026.86平方米），购置投料系统、皮带输送机、除铁器、滚筒筛、破碎机、跳汰机、摇床等设备，建设完成后年处理炉渣20万吨。</w:t>
            </w:r>
            <w:r>
              <w:rPr>
                <w:rFonts w:hint="default" w:ascii="Times New Roman" w:hAnsi="Times New Roman" w:cs="Times New Roman"/>
                <w:color w:val="000000" w:themeColor="text1"/>
                <w:highlight w:val="none"/>
                <w:lang w:val="en-US" w:eastAsia="zh-CN"/>
                <w14:textFill>
                  <w14:solidFill>
                    <w14:schemeClr w14:val="tx1"/>
                  </w14:solidFill>
                </w14:textFill>
              </w:rPr>
              <w:t>具体</w:t>
            </w:r>
            <w:r>
              <w:rPr>
                <w:rFonts w:hint="eastAsia" w:ascii="Times New Roman" w:hAnsi="Times New Roman"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lang w:val="en-US" w:eastAsia="zh-CN"/>
                <w14:textFill>
                  <w14:solidFill>
                    <w14:schemeClr w14:val="tx1"/>
                  </w14:solidFill>
                </w14:textFill>
              </w:rPr>
              <w:t>情况如下：</w:t>
            </w:r>
          </w:p>
          <w:p>
            <w:pPr>
              <w:pStyle w:val="48"/>
              <w:pageBreakBefore w:val="0"/>
              <w:widowControl w:val="0"/>
              <w:kinsoku/>
              <w:wordWrap/>
              <w:topLinePunct w:val="0"/>
              <w:bidi w:val="0"/>
              <w:spacing w:line="240" w:lineRule="auto"/>
              <w:textAlignment w:val="auto"/>
              <w:rPr>
                <w:rFonts w:hint="default" w:ascii="Times New Roman" w:hAnsi="Times New Roman" w:eastAsia="宋体" w:cs="Times New Roman"/>
                <w:color w:val="000000" w:themeColor="text1"/>
                <w:sz w:val="21"/>
                <w:szCs w:val="16"/>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16"/>
                <w:highlight w:val="none"/>
                <w:lang w:val="en-US" w:eastAsia="zh-CN"/>
                <w14:textFill>
                  <w14:solidFill>
                    <w14:schemeClr w14:val="tx1"/>
                  </w14:solidFill>
                </w14:textFill>
              </w:rPr>
              <w:t>表2</w:t>
            </w:r>
            <w:r>
              <w:rPr>
                <w:rFonts w:hint="eastAsia" w:ascii="Times New Roman" w:hAnsi="Times New Roman" w:eastAsia="宋体" w:cs="Times New Roman"/>
                <w:color w:val="000000" w:themeColor="text1"/>
                <w:sz w:val="21"/>
                <w:szCs w:val="16"/>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16"/>
                <w:highlight w:val="none"/>
                <w:lang w:val="en-US" w:eastAsia="zh-CN"/>
                <w14:textFill>
                  <w14:solidFill>
                    <w14:schemeClr w14:val="tx1"/>
                  </w14:solidFill>
                </w14:textFill>
              </w:rPr>
              <w:t xml:space="preserve">  项目组成一览表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426"/>
              <w:gridCol w:w="1218"/>
              <w:gridCol w:w="5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4"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工程分类</w:t>
                  </w:r>
                </w:p>
              </w:tc>
              <w:tc>
                <w:tcPr>
                  <w:tcW w:w="984" w:type="pct"/>
                  <w:gridSpan w:val="2"/>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项目名称</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工程</w:t>
                  </w:r>
                  <w:r>
                    <w:rPr>
                      <w:rFonts w:hint="eastAsia" w:cs="Times New Roman" w:eastAsiaTheme="minorEastAsia"/>
                      <w:color w:val="000000" w:themeColor="text1"/>
                      <w:sz w:val="21"/>
                      <w:szCs w:val="21"/>
                      <w:highlight w:val="none"/>
                      <w:lang w:val="en-US" w:eastAsia="zh-CN"/>
                      <w14:textFill>
                        <w14:solidFill>
                          <w14:schemeClr w14:val="tx1"/>
                        </w14:solidFill>
                      </w14:textFill>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主体工程</w:t>
                  </w:r>
                </w:p>
              </w:tc>
              <w:tc>
                <w:tcPr>
                  <w:tcW w:w="984" w:type="pct"/>
                  <w:gridSpan w:val="2"/>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生产车间</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建筑面积为</w:t>
                  </w:r>
                  <w:r>
                    <w:rPr>
                      <w:rFonts w:hint="eastAsia" w:cs="Times New Roman" w:eastAsiaTheme="minorEastAsia"/>
                      <w:color w:val="000000" w:themeColor="text1"/>
                      <w:sz w:val="21"/>
                      <w:szCs w:val="21"/>
                      <w:highlight w:val="none"/>
                      <w:lang w:val="en-US" w:eastAsia="zh-CN"/>
                      <w14:textFill>
                        <w14:solidFill>
                          <w14:schemeClr w14:val="tx1"/>
                        </w14:solidFill>
                      </w14:textFill>
                    </w:rPr>
                    <w:t>5000</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r>
                    <w:rPr>
                      <w:rFonts w:hint="eastAsia" w:cs="Times New Roman" w:eastAsiaTheme="minorEastAsia"/>
                      <w:color w:val="000000" w:themeColor="text1"/>
                      <w:sz w:val="21"/>
                      <w:szCs w:val="21"/>
                      <w:highlight w:val="none"/>
                      <w:lang w:val="en-US" w:eastAsia="zh-CN"/>
                      <w14:textFill>
                        <w14:solidFill>
                          <w14:schemeClr w14:val="tx1"/>
                        </w14:solidFill>
                      </w14:textFill>
                    </w:rPr>
                    <w:t>目前已搭建完成，</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一层，钢结构，建设有1条炉渣处理生产线，</w:t>
                  </w:r>
                  <w:r>
                    <w:rPr>
                      <w:rFonts w:hint="eastAsia" w:cs="Times New Roman" w:eastAsiaTheme="minorEastAsia"/>
                      <w:color w:val="000000" w:themeColor="text1"/>
                      <w:sz w:val="21"/>
                      <w:szCs w:val="21"/>
                      <w:highlight w:val="none"/>
                      <w:lang w:val="en-US" w:eastAsia="zh-CN"/>
                      <w14:textFill>
                        <w14:solidFill>
                          <w14:schemeClr w14:val="tx1"/>
                        </w14:solidFill>
                      </w14:textFill>
                    </w:rPr>
                    <w:t>车间</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内设置球磨机、破碎机、跳汰机等设备，年处理生活垃圾焚烧炉渣20万吨；主要包括炉渣处理区、炉渣原料堆放区、未燃尽物料暂存区、废旧金属区</w:t>
                  </w:r>
                  <w:r>
                    <w:rPr>
                      <w:rFonts w:hint="eastAsia" w:cs="Times New Roman" w:eastAsiaTheme="minorEastAsia"/>
                      <w:color w:val="000000" w:themeColor="text1"/>
                      <w:sz w:val="21"/>
                      <w:szCs w:val="21"/>
                      <w:highlight w:val="none"/>
                      <w:lang w:val="en-US" w:eastAsia="zh-CN"/>
                      <w14:textFill>
                        <w14:solidFill>
                          <w14:schemeClr w14:val="tx1"/>
                        </w14:solidFill>
                      </w14:textFill>
                    </w:rPr>
                    <w:t>、产品堆放区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vMerge w:val="restar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辅助工程</w:t>
                  </w:r>
                </w:p>
              </w:tc>
              <w:tc>
                <w:tcPr>
                  <w:tcW w:w="984" w:type="pct"/>
                  <w:gridSpan w:val="2"/>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宿舍</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建筑面积为500㎡，</w:t>
                  </w:r>
                  <w:r>
                    <w:rPr>
                      <w:rFonts w:hint="eastAsia" w:cs="Times New Roman" w:eastAsiaTheme="minorEastAsia"/>
                      <w:color w:val="000000" w:themeColor="text1"/>
                      <w:sz w:val="21"/>
                      <w:szCs w:val="21"/>
                      <w:highlight w:val="none"/>
                      <w:lang w:val="en-US" w:eastAsia="zh-CN"/>
                      <w14:textFill>
                        <w14:solidFill>
                          <w14:schemeClr w14:val="tx1"/>
                        </w14:solidFill>
                      </w14:textFill>
                    </w:rPr>
                    <w:t>2处，</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 xml:space="preserve"> </w:t>
                  </w:r>
                  <w:r>
                    <w:rPr>
                      <w:rFonts w:hint="eastAsia" w:cs="Times New Roman" w:eastAsiaTheme="minorEastAsia"/>
                      <w:color w:val="000000" w:themeColor="text1"/>
                      <w:sz w:val="21"/>
                      <w:szCs w:val="21"/>
                      <w:highlight w:val="none"/>
                      <w:lang w:val="en-US" w:eastAsia="zh-CN"/>
                      <w14:textFill>
                        <w14:solidFill>
                          <w14:schemeClr w14:val="tx1"/>
                        </w14:solidFill>
                      </w14:textFill>
                    </w:rPr>
                    <w:t>均为</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一层，主要用于员工休息</w:t>
                  </w:r>
                  <w:r>
                    <w:rPr>
                      <w:rFonts w:hint="eastAsia" w:cs="Times New Roman" w:eastAsiaTheme="minorEastAsia"/>
                      <w:color w:val="000000" w:themeColor="text1"/>
                      <w:sz w:val="21"/>
                      <w:szCs w:val="21"/>
                      <w:highlight w:val="none"/>
                      <w:lang w:val="en-US" w:eastAsia="zh-CN"/>
                      <w14:textFill>
                        <w14:solidFill>
                          <w14:schemeClr w14:val="tx1"/>
                        </w14:solidFill>
                      </w14:textFill>
                    </w:rPr>
                    <w:t>，不提供洗浴，不提供食堂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noWrap w:val="0"/>
                  <w:vAlign w:val="center"/>
                </w:tcPr>
                <w:p>
                  <w:pPr>
                    <w:spacing w:line="240" w:lineRule="auto"/>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984" w:type="pct"/>
                  <w:gridSpan w:val="2"/>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办公楼</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建筑面积500㎡， 2层，砖瓦结构，主要用于员工办公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noWrap w:val="0"/>
                  <w:vAlign w:val="center"/>
                </w:tcPr>
                <w:p>
                  <w:pPr>
                    <w:spacing w:line="240" w:lineRule="auto"/>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984" w:type="pct"/>
                  <w:gridSpan w:val="2"/>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厕所</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设置水冲厕所，并配备化粪池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restar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储运工程</w:t>
                  </w:r>
                </w:p>
              </w:tc>
              <w:tc>
                <w:tcPr>
                  <w:tcW w:w="984" w:type="pct"/>
                  <w:gridSpan w:val="2"/>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炉渣原料堆放区</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位于生产车间内东侧，占地面积为1200m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，用于堆放原料炉渣，</w:t>
                  </w:r>
                  <w:r>
                    <w:rPr>
                      <w:rFonts w:hint="eastAsia" w:cs="Times New Roman" w:eastAsiaTheme="minorEastAsia"/>
                      <w:color w:val="000000" w:themeColor="text1"/>
                      <w:sz w:val="21"/>
                      <w:szCs w:val="21"/>
                      <w:highlight w:val="none"/>
                      <w:lang w:val="en-US" w:eastAsia="zh-CN"/>
                      <w14:textFill>
                        <w14:solidFill>
                          <w14:schemeClr w14:val="tx1"/>
                        </w14:solidFill>
                      </w14:textFill>
                    </w:rPr>
                    <w:t>设置水喷淋（冬季设置保温措施），</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地面设置有导流水渠，少量渗沥废水进入沉淀池（防渗系数≤10</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cm/s，容积45m³）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noWrap w:val="0"/>
                  <w:vAlign w:val="center"/>
                </w:tcPr>
                <w:p>
                  <w:pPr>
                    <w:spacing w:line="240" w:lineRule="auto"/>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984" w:type="pct"/>
                  <w:gridSpan w:val="2"/>
                  <w:tcBorders>
                    <w:tl2br w:val="nil"/>
                    <w:tr2bl w:val="nil"/>
                  </w:tcBorders>
                  <w:noWrap w:val="0"/>
                  <w:vAlign w:val="center"/>
                </w:tcPr>
                <w:p>
                  <w:pPr>
                    <w:spacing w:line="240" w:lineRule="auto"/>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未燃尽物料暂存区</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位于炉渣处理车间内生产线北侧，占地面积为50m</w:t>
                  </w:r>
                  <w:r>
                    <w:rPr>
                      <w:rFonts w:hint="eastAsia"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，用于堆放未燃尽物区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noWrap w:val="0"/>
                  <w:vAlign w:val="center"/>
                </w:tcPr>
                <w:p>
                  <w:pPr>
                    <w:spacing w:line="240" w:lineRule="auto"/>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984" w:type="pct"/>
                  <w:gridSpan w:val="2"/>
                  <w:tcBorders>
                    <w:tl2br w:val="nil"/>
                    <w:tr2bl w:val="nil"/>
                  </w:tcBorders>
                  <w:noWrap w:val="0"/>
                  <w:vAlign w:val="center"/>
                </w:tcPr>
                <w:p>
                  <w:pPr>
                    <w:spacing w:line="240" w:lineRule="auto"/>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废旧金属区</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位于炉渣处理车间内生产线下方，占地面积为 210m</w:t>
                  </w:r>
                  <w:r>
                    <w:rPr>
                      <w:rFonts w:hint="eastAsia"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，用于堆放炉渣处理分选出的各类金属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noWrap w:val="0"/>
                  <w:vAlign w:val="center"/>
                </w:tcPr>
                <w:p>
                  <w:pPr>
                    <w:spacing w:line="240" w:lineRule="auto"/>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984" w:type="pct"/>
                  <w:gridSpan w:val="2"/>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成品堆放区</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位于炉渣处理车间内</w:t>
                  </w:r>
                  <w:r>
                    <w:rPr>
                      <w:rFonts w:hint="eastAsia" w:cs="Times New Roman" w:eastAsiaTheme="minorEastAsia"/>
                      <w:color w:val="000000" w:themeColor="text1"/>
                      <w:sz w:val="21"/>
                      <w:szCs w:val="21"/>
                      <w:highlight w:val="none"/>
                      <w:lang w:val="en-US" w:eastAsia="zh-CN"/>
                      <w14:textFill>
                        <w14:solidFill>
                          <w14:schemeClr w14:val="tx1"/>
                        </w14:solidFill>
                      </w14:textFill>
                    </w:rPr>
                    <w:t>，占地面积为1000㎡，</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用于堆放</w:t>
                  </w:r>
                  <w:r>
                    <w:rPr>
                      <w:rFonts w:hint="eastAsia" w:cs="Times New Roman" w:eastAsiaTheme="minorEastAsia"/>
                      <w:color w:val="000000" w:themeColor="text1"/>
                      <w:sz w:val="21"/>
                      <w:szCs w:val="21"/>
                      <w:highlight w:val="none"/>
                      <w:lang w:val="en-US" w:eastAsia="zh-CN"/>
                      <w14:textFill>
                        <w14:solidFill>
                          <w14:schemeClr w14:val="tx1"/>
                        </w14:solidFill>
                      </w14:textFill>
                    </w:rPr>
                    <w:t>成品砂，设置水喷淋（冬季设置保温措施）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restar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公用工程</w:t>
                  </w:r>
                </w:p>
              </w:tc>
              <w:tc>
                <w:tcPr>
                  <w:tcW w:w="984" w:type="pct"/>
                  <w:gridSpan w:val="2"/>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供水</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984" w:type="pct"/>
                  <w:gridSpan w:val="2"/>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供热</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车间不用热；</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办公</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楼、宿舍</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空调供暖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984" w:type="pct"/>
                  <w:gridSpan w:val="2"/>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供电</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厂区自备变压器（干式）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restar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环保工程</w:t>
                  </w:r>
                </w:p>
              </w:tc>
              <w:tc>
                <w:tcPr>
                  <w:tcW w:w="255" w:type="pct"/>
                  <w:vMerge w:val="restar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废气</w:t>
                  </w:r>
                </w:p>
              </w:tc>
              <w:tc>
                <w:tcPr>
                  <w:tcW w:w="729"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原料暂存</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全封闭车间+水喷淋（冬季设置保温措施）</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处理后</w:t>
                  </w:r>
                  <w:r>
                    <w:rPr>
                      <w:rFonts w:hint="eastAsia" w:cs="Times New Roman" w:eastAsiaTheme="minorEastAsia"/>
                      <w:color w:val="000000" w:themeColor="text1"/>
                      <w:sz w:val="21"/>
                      <w:szCs w:val="21"/>
                      <w:highlight w:val="none"/>
                      <w:lang w:val="en-US" w:eastAsia="zh-CN"/>
                      <w14:textFill>
                        <w14:solidFill>
                          <w14:schemeClr w14:val="tx1"/>
                        </w14:solidFill>
                      </w14:textFill>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255"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29"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运输扬尘</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采取车辆苫盖措施；厂外运输委托第三方运输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255" w:type="pct"/>
                  <w:vMerge w:val="restar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废水</w:t>
                  </w:r>
                </w:p>
              </w:tc>
              <w:tc>
                <w:tcPr>
                  <w:tcW w:w="729"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生产废水</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生产废水经沉淀池</w:t>
                  </w:r>
                  <w:r>
                    <w:rPr>
                      <w:rFonts w:hint="eastAsia" w:cs="Times New Roman" w:eastAsiaTheme="minorEastAsia"/>
                      <w:color w:val="000000" w:themeColor="text1"/>
                      <w:sz w:val="21"/>
                      <w:szCs w:val="21"/>
                      <w:highlight w:val="none"/>
                      <w:lang w:val="en-US" w:eastAsia="zh-CN"/>
                      <w14:textFill>
                        <w14:solidFill>
                          <w14:schemeClr w14:val="tx1"/>
                        </w14:solidFill>
                      </w14:textFill>
                    </w:rPr>
                    <w:t>（1座，45m³）</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处理后回用不外排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44"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255"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29"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生活污水</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生活废水进化粪池处理后定期</w:t>
                  </w:r>
                  <w:r>
                    <w:rPr>
                      <w:rFonts w:hint="eastAsia" w:cs="Times New Roman" w:eastAsiaTheme="minorEastAsia"/>
                      <w:color w:val="000000" w:themeColor="text1"/>
                      <w:sz w:val="21"/>
                      <w:szCs w:val="21"/>
                      <w:highlight w:val="none"/>
                      <w:lang w:val="en-US" w:eastAsia="zh-CN"/>
                      <w14:textFill>
                        <w14:solidFill>
                          <w14:schemeClr w14:val="tx1"/>
                        </w14:solidFill>
                      </w14:textFill>
                    </w:rPr>
                    <w:t>由清污车清运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255"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噪声</w:t>
                  </w:r>
                </w:p>
              </w:tc>
              <w:tc>
                <w:tcPr>
                  <w:tcW w:w="729"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设备噪声</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选用低噪声设备，建筑隔声，距离衰减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255" w:type="pct"/>
                  <w:vMerge w:val="restar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固废</w:t>
                  </w:r>
                </w:p>
              </w:tc>
              <w:tc>
                <w:tcPr>
                  <w:tcW w:w="729"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沉淀池泥沙</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压滤成泥饼后</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暂存固废暂存区，统一外售</w:t>
                  </w:r>
                  <w:r>
                    <w:rPr>
                      <w:rFonts w:hint="eastAsia" w:cs="Times New Roman" w:eastAsiaTheme="minorEastAsia"/>
                      <w:color w:val="000000" w:themeColor="text1"/>
                      <w:sz w:val="21"/>
                      <w:szCs w:val="21"/>
                      <w:highlight w:val="none"/>
                      <w:lang w:val="en-US" w:eastAsia="zh-CN"/>
                      <w14:textFill>
                        <w14:solidFill>
                          <w14:schemeClr w14:val="tx1"/>
                        </w14:solidFill>
                      </w14:textFill>
                    </w:rPr>
                    <w:t>做建筑材料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255"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29"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未燃尽垃圾</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集中收集后，电厂回收利用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255"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29"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废润滑油桶</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暂存于危废暂存间内，定期由有资质单位运输处理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44"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255"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729"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生活垃圾</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定点收集后委托环卫部门清运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984" w:type="pct"/>
                  <w:gridSpan w:val="2"/>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危废间</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建筑面积</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，用于暂时存放</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危废</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。危废间为重点防渗区，重点防渗区域地面及裙墙采取防渗措施，室内底部铺设1m粘土层(保护层，同时作为辅助防渗层)压实平整，粘土层上铺设双层HDPE——GCL复合防渗系统(2×2mm厚的高密度聚乙烯膜、300g/m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土工织物膨润土垫)，上部外加耐腐蚀混凝土15cm(保护层)等防渗，渗透系数≤10</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cm/s（或采取同等有效防渗措施）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44" w:type="pct"/>
                  <w:vMerge w:val="continue"/>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984" w:type="pct"/>
                  <w:gridSpan w:val="2"/>
                  <w:tcBorders>
                    <w:tl2br w:val="nil"/>
                    <w:tr2bl w:val="nil"/>
                  </w:tcBorders>
                  <w:noWrap w:val="0"/>
                  <w:vAlign w:val="center"/>
                </w:tcPr>
                <w:p>
                  <w:pPr>
                    <w:spacing w:line="240" w:lineRule="auto"/>
                    <w:jc w:val="cente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非道路移动机械</w:t>
                  </w:r>
                </w:p>
              </w:tc>
              <w:tc>
                <w:tcPr>
                  <w:tcW w:w="357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按相关要求对非道路移动机械进行管理，并做好台账工作</w:t>
                  </w:r>
                </w:p>
              </w:tc>
            </w:tr>
          </w:tbl>
          <w:p>
            <w:pPr>
              <w:pStyle w:val="47"/>
              <w:numPr>
                <w:ilvl w:val="0"/>
                <w:numId w:val="0"/>
              </w:numPr>
              <w:bidi w:val="0"/>
              <w:ind w:leftChars="0"/>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2.3</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、工程主要生产设备</w:t>
            </w:r>
          </w:p>
          <w:p>
            <w:pPr>
              <w:pStyle w:val="4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生产设备一览表如下表：</w:t>
            </w:r>
          </w:p>
          <w:p>
            <w:pPr>
              <w:pStyle w:val="48"/>
              <w:pageBreakBefore w:val="0"/>
              <w:widowControl w:val="0"/>
              <w:kinsoku/>
              <w:wordWrap/>
              <w:topLinePunct w:val="0"/>
              <w:bidi w:val="0"/>
              <w:spacing w:line="240" w:lineRule="auto"/>
              <w:textAlignment w:val="auto"/>
              <w:rPr>
                <w:rFonts w:hint="default" w:ascii="Times New Roman" w:hAnsi="Times New Roman" w:eastAsia="宋体" w:cs="Times New Roman"/>
                <w:color w:val="000000" w:themeColor="text1"/>
                <w:sz w:val="21"/>
                <w:szCs w:val="16"/>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16"/>
                <w:highlight w:val="none"/>
                <w:lang w:val="en-US" w:eastAsia="zh-CN"/>
                <w14:textFill>
                  <w14:solidFill>
                    <w14:schemeClr w14:val="tx1"/>
                  </w14:solidFill>
                </w14:textFill>
              </w:rPr>
              <w:t>表</w:t>
            </w:r>
            <w:r>
              <w:rPr>
                <w:rFonts w:hint="eastAsia" w:ascii="Times New Roman" w:hAnsi="Times New Roman" w:eastAsia="宋体" w:cs="Times New Roman"/>
                <w:color w:val="000000" w:themeColor="text1"/>
                <w:sz w:val="21"/>
                <w:szCs w:val="16"/>
                <w:highlight w:val="none"/>
                <w:lang w:val="en-US" w:eastAsia="zh-CN"/>
                <w14:textFill>
                  <w14:solidFill>
                    <w14:schemeClr w14:val="tx1"/>
                  </w14:solidFill>
                </w14:textFill>
              </w:rPr>
              <w:t xml:space="preserve">2-2 </w:t>
            </w:r>
            <w:r>
              <w:rPr>
                <w:rFonts w:hint="default" w:ascii="Times New Roman" w:hAnsi="Times New Roman" w:eastAsia="宋体" w:cs="Times New Roman"/>
                <w:color w:val="000000" w:themeColor="text1"/>
                <w:sz w:val="21"/>
                <w:szCs w:val="16"/>
                <w:highlight w:val="none"/>
                <w:lang w:val="en-US" w:eastAsia="zh-CN"/>
                <w14:textFill>
                  <w14:solidFill>
                    <w14:schemeClr w14:val="tx1"/>
                  </w14:solidFill>
                </w14:textFill>
              </w:rPr>
              <w:t xml:space="preserve"> 生产设备一览表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2705"/>
              <w:gridCol w:w="3258"/>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序号</w:t>
                  </w:r>
                </w:p>
              </w:tc>
              <w:tc>
                <w:tcPr>
                  <w:tcW w:w="1619"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设备名称</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规格型号</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数量（台套）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存料斗</w:t>
                  </w:r>
                </w:p>
              </w:tc>
              <w:tc>
                <w:tcPr>
                  <w:tcW w:w="1950"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3.5m×3m</w:t>
                  </w:r>
                </w:p>
              </w:tc>
              <w:tc>
                <w:tcPr>
                  <w:tcW w:w="845" w:type="pct"/>
                  <w:shd w:val="clear" w:color="000000" w:fill="FFFFFF"/>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震动给料机</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SGZG80</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w:t>
                  </w:r>
                </w:p>
              </w:tc>
              <w:tc>
                <w:tcPr>
                  <w:tcW w:w="1619" w:type="pct"/>
                  <w:vMerge w:val="restar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皮带输送机</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800型</w:t>
                  </w:r>
                </w:p>
              </w:tc>
              <w:tc>
                <w:tcPr>
                  <w:tcW w:w="845" w:type="pct"/>
                  <w:vMerge w:val="restar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w:t>
                  </w:r>
                </w:p>
              </w:tc>
              <w:tc>
                <w:tcPr>
                  <w:tcW w:w="1619" w:type="pct"/>
                  <w:vMerge w:val="continue"/>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650型</w:t>
                  </w:r>
                </w:p>
              </w:tc>
              <w:tc>
                <w:tcPr>
                  <w:tcW w:w="845" w:type="pct"/>
                  <w:vMerge w:val="continue"/>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挂式电磁除铁器</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RCDD-8T</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6</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湿式顺流磁选机</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CTS-80/2200</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7</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逆转磁选机</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8</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摇床自卸除铁器</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RCYC-3</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9</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炉渣初分选滚笼</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GT1300/3500</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10</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水选单层分级滚笼</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GT1300/6000</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11</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生料滚笼</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GT1300/6000</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12</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选碎铁滚笼</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GT1200/3500</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13</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选破碎金属滚笼</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GT600/1500</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14</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脱水筛</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1800/6000</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15</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废铁破碎机</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JSPCD800</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16</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炉渣破碎机</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JSPCD800</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17</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渣头破碎机</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400型</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18</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跳汰机</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JT4-2A</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19</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摇床</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大槽钢6S</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涡电流分选机</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SES-150</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21</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细沙沉淀斗</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4000*12000*3500</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22</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洗砂机</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XL915</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23</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板框压滤机</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XMZS500/2000</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24</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卧式渣浆泵</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6/4D-G</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25</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卧式离心泵</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 xml:space="preserve"> ISW200-250(I)</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26</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地下池集水泵</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 xml:space="preserve"> 100ZJ-IA42</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27</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摇床水泵</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 xml:space="preserve"> 100WL80</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28</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清洗地面水泵</w:t>
                  </w:r>
                </w:p>
              </w:tc>
              <w:tc>
                <w:tcPr>
                  <w:tcW w:w="1950"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29</w:t>
                  </w:r>
                </w:p>
              </w:tc>
              <w:tc>
                <w:tcPr>
                  <w:tcW w:w="1619" w:type="pct"/>
                  <w:shd w:val="clear" w:color="auto" w:fill="auto"/>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循环水池</w:t>
                  </w:r>
                </w:p>
              </w:tc>
              <w:tc>
                <w:tcPr>
                  <w:tcW w:w="1950" w:type="pct"/>
                  <w:vAlign w:val="center"/>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容积240m³</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30</w:t>
                  </w:r>
                </w:p>
              </w:tc>
              <w:tc>
                <w:tcPr>
                  <w:tcW w:w="1619" w:type="pct"/>
                  <w:shd w:val="clear" w:color="auto" w:fill="auto"/>
                  <w:vAlign w:val="center"/>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沉淀池</w:t>
                  </w:r>
                </w:p>
              </w:tc>
              <w:tc>
                <w:tcPr>
                  <w:tcW w:w="1950" w:type="pct"/>
                  <w:vAlign w:val="center"/>
                </w:tcPr>
                <w:p>
                  <w:pPr>
                    <w:spacing w:line="240" w:lineRule="auto"/>
                    <w:jc w:val="center"/>
                    <w:rPr>
                      <w:rFonts w:hint="eastAsia"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容积45m³</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31</w:t>
                  </w:r>
                </w:p>
              </w:tc>
              <w:tc>
                <w:tcPr>
                  <w:tcW w:w="1619" w:type="pct"/>
                  <w:shd w:val="clear" w:color="auto" w:fill="auto"/>
                  <w:vAlign w:val="center"/>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沉砂池</w:t>
                  </w:r>
                </w:p>
              </w:tc>
              <w:tc>
                <w:tcPr>
                  <w:tcW w:w="1950" w:type="pct"/>
                  <w:vAlign w:val="center"/>
                </w:tcPr>
                <w:p>
                  <w:pPr>
                    <w:spacing w:line="240" w:lineRule="auto"/>
                    <w:jc w:val="center"/>
                    <w:rPr>
                      <w:rFonts w:hint="eastAsia"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容积45m³</w:t>
                  </w:r>
                </w:p>
              </w:tc>
              <w:tc>
                <w:tcPr>
                  <w:tcW w:w="845" w:type="pct"/>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84" w:type="pct"/>
                  <w:vAlign w:val="center"/>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32</w:t>
                  </w:r>
                </w:p>
              </w:tc>
              <w:tc>
                <w:tcPr>
                  <w:tcW w:w="1619" w:type="pct"/>
                  <w:shd w:val="clear" w:color="auto" w:fill="auto"/>
                  <w:vAlign w:val="center"/>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球磨机</w:t>
                  </w:r>
                </w:p>
              </w:tc>
              <w:tc>
                <w:tcPr>
                  <w:tcW w:w="1950" w:type="pct"/>
                  <w:vAlign w:val="center"/>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w:t>
                  </w:r>
                </w:p>
              </w:tc>
              <w:tc>
                <w:tcPr>
                  <w:tcW w:w="845" w:type="pct"/>
                  <w:vAlign w:val="center"/>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w:t>
                  </w:r>
                </w:p>
              </w:tc>
            </w:tr>
          </w:tbl>
          <w:p>
            <w:pPr>
              <w:pStyle w:val="47"/>
              <w:numPr>
                <w:ilvl w:val="0"/>
                <w:numId w:val="0"/>
              </w:numPr>
              <w:bidi w:val="0"/>
              <w:ind w:leftChars="0"/>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2.4工程原辅材料</w:t>
            </w:r>
          </w:p>
          <w:p>
            <w:pPr>
              <w:pStyle w:val="48"/>
              <w:pageBreakBefore w:val="0"/>
              <w:widowControl w:val="0"/>
              <w:kinsoku/>
              <w:wordWrap/>
              <w:topLinePunct w:val="0"/>
              <w:bidi w:val="0"/>
              <w:spacing w:line="240" w:lineRule="auto"/>
              <w:textAlignment w:val="auto"/>
              <w:rPr>
                <w:rFonts w:hint="default" w:ascii="Times New Roman" w:hAnsi="Times New Roman" w:eastAsia="宋体" w:cs="Times New Roman"/>
                <w:color w:val="000000" w:themeColor="text1"/>
                <w:sz w:val="21"/>
                <w:szCs w:val="16"/>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16"/>
                <w:highlight w:val="none"/>
                <w:lang w:val="en-US" w:eastAsia="zh-CN"/>
                <w14:textFill>
                  <w14:solidFill>
                    <w14:schemeClr w14:val="tx1"/>
                  </w14:solidFill>
                </w14:textFill>
              </w:rPr>
              <w:t>表2-3</w:t>
            </w:r>
            <w:r>
              <w:rPr>
                <w:rFonts w:hint="default" w:ascii="Times New Roman" w:hAnsi="Times New Roman" w:eastAsia="宋体" w:cs="Times New Roman"/>
                <w:color w:val="000000" w:themeColor="text1"/>
                <w:sz w:val="21"/>
                <w:szCs w:val="16"/>
                <w:highlight w:val="none"/>
                <w:lang w:val="en-US" w:eastAsia="zh-CN"/>
                <w14:textFill>
                  <w14:solidFill>
                    <w14:schemeClr w14:val="tx1"/>
                  </w14:solidFill>
                </w14:textFill>
              </w:rPr>
              <w:t xml:space="preserve">  主要原辅材料消耗一览表</w:t>
            </w:r>
          </w:p>
          <w:tbl>
            <w:tblPr>
              <w:tblStyle w:val="31"/>
              <w:tblW w:w="498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92"/>
              <w:gridCol w:w="1107"/>
              <w:gridCol w:w="1234"/>
              <w:gridCol w:w="1317"/>
              <w:gridCol w:w="36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2" w:hRule="atLeast"/>
                <w:jc w:val="center"/>
              </w:trPr>
              <w:tc>
                <w:tcPr>
                  <w:tcW w:w="595"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序号</w:t>
                  </w:r>
                </w:p>
              </w:tc>
              <w:tc>
                <w:tcPr>
                  <w:tcW w:w="664"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名称</w:t>
                  </w:r>
                </w:p>
              </w:tc>
              <w:tc>
                <w:tcPr>
                  <w:tcW w:w="74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单位</w:t>
                  </w:r>
                </w:p>
              </w:tc>
              <w:tc>
                <w:tcPr>
                  <w:tcW w:w="79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用量</w:t>
                  </w:r>
                </w:p>
              </w:tc>
              <w:tc>
                <w:tcPr>
                  <w:tcW w:w="2209"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95"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c>
                <w:tcPr>
                  <w:tcW w:w="664"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炉渣</w:t>
                  </w:r>
                </w:p>
              </w:tc>
              <w:tc>
                <w:tcPr>
                  <w:tcW w:w="74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万t</w:t>
                  </w:r>
                </w:p>
              </w:tc>
              <w:tc>
                <w:tcPr>
                  <w:tcW w:w="79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20</w:t>
                  </w:r>
                </w:p>
              </w:tc>
              <w:tc>
                <w:tcPr>
                  <w:tcW w:w="2209"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来源于生活垃圾焚烧发电厂，含水率约30%</w:t>
                  </w:r>
                  <w:r>
                    <w:rPr>
                      <w:rFonts w:hint="eastAsia" w:cs="Times New Roman" w:eastAsiaTheme="minorEastAsia"/>
                      <w:color w:val="000000" w:themeColor="text1"/>
                      <w:sz w:val="21"/>
                      <w:szCs w:val="21"/>
                      <w:highlight w:val="none"/>
                      <w:lang w:val="en-US" w:eastAsia="zh-CN"/>
                      <w14:textFill>
                        <w14:solidFill>
                          <w14:schemeClr w14:val="tx1"/>
                        </w14:solidFill>
                      </w14:textFill>
                    </w:rPr>
                    <w:t>，粒径在0.1-300mm，每天设计消耗约571t。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95"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w:t>
                  </w:r>
                </w:p>
              </w:tc>
              <w:tc>
                <w:tcPr>
                  <w:tcW w:w="664"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润滑油</w:t>
                  </w:r>
                </w:p>
              </w:tc>
              <w:tc>
                <w:tcPr>
                  <w:tcW w:w="74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t</w:t>
                  </w:r>
                </w:p>
              </w:tc>
              <w:tc>
                <w:tcPr>
                  <w:tcW w:w="79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c>
                <w:tcPr>
                  <w:tcW w:w="2209"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外购，</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规格为160kg/桶，最大存储量为1桶</w:t>
                  </w:r>
                  <w:r>
                    <w:rPr>
                      <w:rFonts w:hint="eastAsia" w:cs="Times New Roman" w:eastAsiaTheme="minorEastAsia"/>
                      <w:color w:val="000000" w:themeColor="text1"/>
                      <w:sz w:val="21"/>
                      <w:szCs w:val="21"/>
                      <w:highlight w:val="none"/>
                      <w:lang w:val="en-US" w:eastAsia="zh-CN"/>
                      <w14:textFill>
                        <w14:solidFill>
                          <w14:schemeClr w14:val="tx1"/>
                        </w14:solidFill>
                      </w14:textFill>
                    </w:rPr>
                    <w:t>，设备使用过程中全部消耗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95"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4</w:t>
                  </w:r>
                </w:p>
              </w:tc>
              <w:tc>
                <w:tcPr>
                  <w:tcW w:w="664"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水</w:t>
                  </w:r>
                </w:p>
              </w:tc>
              <w:tc>
                <w:tcPr>
                  <w:tcW w:w="74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m³/a</w:t>
                  </w:r>
                </w:p>
              </w:tc>
              <w:tc>
                <w:tcPr>
                  <w:tcW w:w="79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2.28万</w:t>
                  </w:r>
                </w:p>
              </w:tc>
              <w:tc>
                <w:tcPr>
                  <w:tcW w:w="2209"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5" w:hRule="atLeast"/>
                <w:jc w:val="center"/>
              </w:trPr>
              <w:tc>
                <w:tcPr>
                  <w:tcW w:w="595"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5</w:t>
                  </w:r>
                </w:p>
              </w:tc>
              <w:tc>
                <w:tcPr>
                  <w:tcW w:w="664"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柴油</w:t>
                  </w:r>
                </w:p>
              </w:tc>
              <w:tc>
                <w:tcPr>
                  <w:tcW w:w="74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t</w:t>
                  </w:r>
                </w:p>
              </w:tc>
              <w:tc>
                <w:tcPr>
                  <w:tcW w:w="790" w:type="pct"/>
                  <w:tcBorders>
                    <w:tl2br w:val="nil"/>
                    <w:tr2bl w:val="nil"/>
                  </w:tcBorders>
                  <w:noWrap w:val="0"/>
                  <w:vAlign w:val="center"/>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17.5</w:t>
                  </w:r>
                </w:p>
              </w:tc>
              <w:tc>
                <w:tcPr>
                  <w:tcW w:w="2209" w:type="pct"/>
                  <w:tcBorders>
                    <w:tl2br w:val="nil"/>
                    <w:tr2bl w:val="nil"/>
                  </w:tcBorders>
                  <w:noWrap w:val="0"/>
                  <w:vAlign w:val="center"/>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铲车用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95"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6</w:t>
                  </w:r>
                </w:p>
              </w:tc>
              <w:tc>
                <w:tcPr>
                  <w:tcW w:w="664"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电</w:t>
                  </w:r>
                </w:p>
              </w:tc>
              <w:tc>
                <w:tcPr>
                  <w:tcW w:w="74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万kw·h</w:t>
                  </w:r>
                </w:p>
              </w:tc>
              <w:tc>
                <w:tcPr>
                  <w:tcW w:w="79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300</w:t>
                  </w:r>
                </w:p>
              </w:tc>
              <w:tc>
                <w:tcPr>
                  <w:tcW w:w="2209"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厂区自备变压器（干式）</w:t>
                  </w:r>
                </w:p>
              </w:tc>
            </w:tr>
          </w:tbl>
          <w:p>
            <w:pPr>
              <w:pStyle w:val="47"/>
              <w:bidi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炉渣成分和理化性质：</w:t>
            </w:r>
            <w:r>
              <w:rPr>
                <w:rFonts w:hint="eastAsia"/>
                <w:color w:val="000000" w:themeColor="text1"/>
                <w:lang w:val="en-US" w:eastAsia="zh-CN"/>
                <w14:textFill>
                  <w14:solidFill>
                    <w14:schemeClr w14:val="tx1"/>
                  </w14:solidFill>
                </w14:textFill>
              </w:rPr>
              <w:t>根据《生活垃圾焚烧污染控制标准》（GB18485-2014）中炉渣分析，炉渣属于一般工业固体废物，可以作为一般工业固废进行处理处置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，不属于危险废物，主要成分为氧化锰、氧化硅、氧化钙、氧化铝、氧化铁以及少量未燃尽的有机物、废金属等。类比同类垃圾焚烧厂的数据，炉渣中的主要成分见下表</w:t>
            </w:r>
            <w:r>
              <w:rPr>
                <w:rFonts w:hint="eastAsia" w:ascii="Times New Roman" w:hAnsi="Times New Roman" w:cs="Times New Roman"/>
                <w:color w:val="000000" w:themeColor="text1"/>
                <w:highlight w:val="none"/>
                <w:lang w:val="en-US" w:eastAsia="zh-CN"/>
                <w14:textFill>
                  <w14:solidFill>
                    <w14:schemeClr w14:val="tx1"/>
                  </w14:solidFill>
                </w14:textFill>
              </w:rPr>
              <w:t>。</w:t>
            </w:r>
          </w:p>
          <w:p>
            <w:pPr>
              <w:pStyle w:val="48"/>
              <w:pageBreakBefore w:val="0"/>
              <w:widowControl w:val="0"/>
              <w:kinsoku/>
              <w:wordWrap/>
              <w:topLinePunct w:val="0"/>
              <w:bidi w:val="0"/>
              <w:spacing w:line="240" w:lineRule="auto"/>
              <w:textAlignment w:val="auto"/>
              <w:rPr>
                <w:rFonts w:hint="default" w:ascii="Times New Roman" w:hAnsi="Times New Roman" w:eastAsia="宋体" w:cs="Times New Roman"/>
                <w:color w:val="000000" w:themeColor="text1"/>
                <w:sz w:val="21"/>
                <w:szCs w:val="16"/>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16"/>
                <w:highlight w:val="none"/>
                <w:lang w:val="en-US" w:eastAsia="zh-CN"/>
                <w14:textFill>
                  <w14:solidFill>
                    <w14:schemeClr w14:val="tx1"/>
                  </w14:solidFill>
                </w14:textFill>
              </w:rPr>
              <w:t>表2-4  炉渣成分一览表</w:t>
            </w:r>
            <w:r>
              <w:rPr>
                <w:rFonts w:hint="eastAsia" w:cs="Times New Roman"/>
                <w:color w:val="000000" w:themeColor="text1"/>
                <w:sz w:val="21"/>
                <w:szCs w:val="16"/>
                <w:highlight w:val="none"/>
                <w:lang w:val="en-US" w:eastAsia="zh-CN"/>
                <w14:textFill>
                  <w14:solidFill>
                    <w14:schemeClr w14:val="tx1"/>
                  </w14:solidFill>
                </w14:textFill>
              </w:rPr>
              <w:t>（%）</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1193"/>
              <w:gridCol w:w="1194"/>
              <w:gridCol w:w="1193"/>
              <w:gridCol w:w="1195"/>
              <w:gridCol w:w="1195"/>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SiO</w:t>
                  </w:r>
                  <w:r>
                    <w:rPr>
                      <w:rFonts w:hint="eastAsia" w:ascii="Times New Roman" w:hAnsi="Times New Roman" w:cs="Times New Roman" w:eastAsiaTheme="minorEastAsia"/>
                      <w:color w:val="000000" w:themeColor="text1"/>
                      <w:sz w:val="21"/>
                      <w:szCs w:val="21"/>
                      <w:highlight w:val="none"/>
                      <w:vertAlign w:val="subscript"/>
                      <w:lang w:val="en-US" w:eastAsia="zh-CN"/>
                      <w14:textFill>
                        <w14:solidFill>
                          <w14:schemeClr w14:val="tx1"/>
                        </w14:solidFill>
                      </w14:textFill>
                    </w:rPr>
                    <w:t>2</w:t>
                  </w:r>
                </w:p>
              </w:tc>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Al</w:t>
                  </w:r>
                  <w:r>
                    <w:rPr>
                      <w:rFonts w:hint="eastAsia" w:ascii="Times New Roman" w:hAnsi="Times New Roman" w:cs="Times New Roman" w:eastAsiaTheme="minorEastAsia"/>
                      <w:color w:val="000000" w:themeColor="text1"/>
                      <w:sz w:val="21"/>
                      <w:szCs w:val="21"/>
                      <w:highlight w:val="none"/>
                      <w:vertAlign w:val="sub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O</w:t>
                  </w:r>
                  <w:r>
                    <w:rPr>
                      <w:rFonts w:hint="eastAsia" w:ascii="Times New Roman" w:hAnsi="Times New Roman" w:cs="Times New Roman" w:eastAsiaTheme="minorEastAsia"/>
                      <w:color w:val="000000" w:themeColor="text1"/>
                      <w:sz w:val="21"/>
                      <w:szCs w:val="21"/>
                      <w:highlight w:val="none"/>
                      <w:vertAlign w:val="subscript"/>
                      <w:lang w:val="en-US" w:eastAsia="zh-CN"/>
                      <w14:textFill>
                        <w14:solidFill>
                          <w14:schemeClr w14:val="tx1"/>
                        </w14:solidFill>
                      </w14:textFill>
                    </w:rPr>
                    <w:t>3</w:t>
                  </w:r>
                </w:p>
              </w:tc>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CaO</w:t>
                  </w:r>
                </w:p>
              </w:tc>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Fe</w:t>
                  </w:r>
                  <w:r>
                    <w:rPr>
                      <w:rFonts w:hint="eastAsia" w:ascii="Times New Roman" w:hAnsi="Times New Roman" w:cs="Times New Roman" w:eastAsiaTheme="minorEastAsia"/>
                      <w:color w:val="000000" w:themeColor="text1"/>
                      <w:sz w:val="21"/>
                      <w:szCs w:val="21"/>
                      <w:highlight w:val="none"/>
                      <w:vertAlign w:val="sub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O</w:t>
                  </w:r>
                  <w:r>
                    <w:rPr>
                      <w:rFonts w:hint="eastAsia" w:ascii="Times New Roman" w:hAnsi="Times New Roman" w:cs="Times New Roman" w:eastAsiaTheme="minorEastAsia"/>
                      <w:color w:val="000000" w:themeColor="text1"/>
                      <w:sz w:val="21"/>
                      <w:szCs w:val="21"/>
                      <w:highlight w:val="none"/>
                      <w:vertAlign w:val="subscript"/>
                      <w:lang w:val="en-US" w:eastAsia="zh-CN"/>
                      <w14:textFill>
                        <w14:solidFill>
                          <w14:schemeClr w14:val="tx1"/>
                        </w14:solidFill>
                      </w14:textFill>
                    </w:rPr>
                    <w:t>3</w:t>
                  </w:r>
                </w:p>
              </w:tc>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MgO</w:t>
                  </w:r>
                </w:p>
              </w:tc>
              <w:tc>
                <w:tcPr>
                  <w:tcW w:w="1196"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Na</w:t>
                  </w:r>
                  <w:r>
                    <w:rPr>
                      <w:rFonts w:hint="eastAsia" w:ascii="Times New Roman" w:hAnsi="Times New Roman" w:cs="Times New Roman" w:eastAsiaTheme="minorEastAsia"/>
                      <w:color w:val="000000" w:themeColor="text1"/>
                      <w:sz w:val="21"/>
                      <w:szCs w:val="21"/>
                      <w:highlight w:val="none"/>
                      <w:vertAlign w:val="sub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O</w:t>
                  </w:r>
                </w:p>
              </w:tc>
              <w:tc>
                <w:tcPr>
                  <w:tcW w:w="1196"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K</w:t>
                  </w:r>
                  <w:r>
                    <w:rPr>
                      <w:rFonts w:hint="eastAsia" w:ascii="Times New Roman" w:hAnsi="Times New Roman" w:cs="Times New Roman" w:eastAsiaTheme="minorEastAsia"/>
                      <w:color w:val="000000" w:themeColor="text1"/>
                      <w:sz w:val="21"/>
                      <w:szCs w:val="21"/>
                      <w:highlight w:val="none"/>
                      <w:vertAlign w:val="sub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45</w:t>
                  </w:r>
                </w:p>
              </w:tc>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16</w:t>
                  </w:r>
                </w:p>
              </w:tc>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10</w:t>
                  </w:r>
                </w:p>
              </w:tc>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w:t>
                  </w:r>
                </w:p>
              </w:tc>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c>
                <w:tcPr>
                  <w:tcW w:w="1196"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c>
                <w:tcPr>
                  <w:tcW w:w="1196"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CaCO</w:t>
                  </w:r>
                  <w:r>
                    <w:rPr>
                      <w:rFonts w:hint="eastAsia" w:ascii="Times New Roman" w:hAnsi="Times New Roman" w:cs="Times New Roman" w:eastAsiaTheme="minorEastAsia"/>
                      <w:color w:val="000000" w:themeColor="text1"/>
                      <w:sz w:val="21"/>
                      <w:szCs w:val="21"/>
                      <w:highlight w:val="none"/>
                      <w:vertAlign w:val="subscript"/>
                      <w:lang w:val="en-US" w:eastAsia="zh-CN"/>
                      <w14:textFill>
                        <w14:solidFill>
                          <w14:schemeClr w14:val="tx1"/>
                        </w14:solidFill>
                      </w14:textFill>
                    </w:rPr>
                    <w:t>3</w:t>
                  </w:r>
                </w:p>
              </w:tc>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CaSO</w:t>
                  </w:r>
                  <w:r>
                    <w:rPr>
                      <w:rFonts w:hint="eastAsia" w:ascii="Times New Roman" w:hAnsi="Times New Roman" w:cs="Times New Roman" w:eastAsiaTheme="minorEastAsia"/>
                      <w:color w:val="000000" w:themeColor="text1"/>
                      <w:sz w:val="21"/>
                      <w:szCs w:val="21"/>
                      <w:highlight w:val="none"/>
                      <w:vertAlign w:val="subscript"/>
                      <w:lang w:val="en-US" w:eastAsia="zh-CN"/>
                      <w14:textFill>
                        <w14:solidFill>
                          <w14:schemeClr w14:val="tx1"/>
                        </w14:solidFill>
                      </w14:textFill>
                    </w:rPr>
                    <w:t>4</w:t>
                  </w:r>
                </w:p>
              </w:tc>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Ca(OH)</w:t>
                  </w:r>
                  <w:r>
                    <w:rPr>
                      <w:rFonts w:hint="eastAsia" w:ascii="Times New Roman" w:hAnsi="Times New Roman" w:cs="Times New Roman" w:eastAsiaTheme="minorEastAsia"/>
                      <w:color w:val="000000" w:themeColor="text1"/>
                      <w:sz w:val="21"/>
                      <w:szCs w:val="21"/>
                      <w:highlight w:val="none"/>
                      <w:vertAlign w:val="subscript"/>
                      <w:lang w:val="en-US" w:eastAsia="zh-CN"/>
                      <w14:textFill>
                        <w14:solidFill>
                          <w14:schemeClr w14:val="tx1"/>
                        </w14:solidFill>
                      </w14:textFill>
                    </w:rPr>
                    <w:t>2</w:t>
                  </w:r>
                </w:p>
              </w:tc>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CaCl</w:t>
                  </w:r>
                  <w:r>
                    <w:rPr>
                      <w:rFonts w:hint="eastAsia" w:ascii="Times New Roman" w:hAnsi="Times New Roman" w:cs="Times New Roman" w:eastAsiaTheme="minorEastAsia"/>
                      <w:color w:val="000000" w:themeColor="text1"/>
                      <w:sz w:val="21"/>
                      <w:szCs w:val="21"/>
                      <w:highlight w:val="none"/>
                      <w:vertAlign w:val="subscript"/>
                      <w:lang w:val="en-US" w:eastAsia="zh-CN"/>
                      <w14:textFill>
                        <w14:solidFill>
                          <w14:schemeClr w14:val="tx1"/>
                        </w14:solidFill>
                      </w14:textFill>
                    </w:rPr>
                    <w:t>2</w:t>
                  </w:r>
                </w:p>
              </w:tc>
              <w:tc>
                <w:tcPr>
                  <w:tcW w:w="1195" w:type="dxa"/>
                  <w:vAlign w:val="center"/>
                </w:tcPr>
                <w:p>
                  <w:pPr>
                    <w:spacing w:line="240" w:lineRule="auto"/>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KCl+NaCl</w:t>
                  </w:r>
                </w:p>
              </w:tc>
              <w:tc>
                <w:tcPr>
                  <w:tcW w:w="1196"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重金属</w:t>
                  </w:r>
                  <w:r>
                    <w:rPr>
                      <w:rFonts w:hint="eastAsia" w:cs="Times New Roman" w:eastAsiaTheme="minorEastAsia"/>
                      <w:color w:val="000000" w:themeColor="text1"/>
                      <w:sz w:val="21"/>
                      <w:szCs w:val="21"/>
                      <w:highlight w:val="none"/>
                      <w:lang w:val="en-US" w:eastAsia="zh-CN"/>
                      <w14:textFill>
                        <w14:solidFill>
                          <w14:schemeClr w14:val="tx1"/>
                        </w14:solidFill>
                      </w14:textFill>
                    </w:rPr>
                    <w:t>（铜、铝、铁）</w:t>
                  </w:r>
                </w:p>
              </w:tc>
              <w:tc>
                <w:tcPr>
                  <w:tcW w:w="1196" w:type="dxa"/>
                  <w:vAlign w:val="center"/>
                </w:tcPr>
                <w:p>
                  <w:pPr>
                    <w:spacing w:line="240" w:lineRule="auto"/>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w:t>
                  </w:r>
                </w:p>
              </w:tc>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w:t>
                  </w:r>
                </w:p>
              </w:tc>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w:t>
                  </w:r>
                </w:p>
              </w:tc>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w:t>
                  </w:r>
                </w:p>
              </w:tc>
              <w:tc>
                <w:tcPr>
                  <w:tcW w:w="1195"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c>
                <w:tcPr>
                  <w:tcW w:w="1196" w:type="dxa"/>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c>
                <w:tcPr>
                  <w:tcW w:w="1196" w:type="dxa"/>
                  <w:vAlign w:val="center"/>
                </w:tcPr>
                <w:p>
                  <w:pPr>
                    <w:spacing w:line="240" w:lineRule="auto"/>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r>
          </w:tbl>
          <w:p>
            <w:pPr>
              <w:pStyle w:val="47"/>
              <w:bidi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炉渣在去除铁器后主要含熔渣、陶瓷碎片、砖石和玻璃等，可燃物的总量小于1%，炉渣是通过高温焚烧形成的产物，其颗粒粗细分布较均匀，物质组成复杂，具有较高的强度；金属和有机质含量较低，坚固性好，符合国家标准《生活垃圾焚烧炉渣集料》（GB/T25032-2010）中对集料原料的要求，可用于外售做建材。炉渣含水率约为15%-30%，本项目取</w:t>
            </w:r>
            <w:r>
              <w:rPr>
                <w:rFonts w:hint="eastAsia" w:ascii="Times New Roman" w:hAnsi="Times New Roman" w:cs="Times New Roman"/>
                <w:color w:val="000000" w:themeColor="text1"/>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pPr>
              <w:pStyle w:val="47"/>
              <w:numPr>
                <w:ilvl w:val="0"/>
                <w:numId w:val="0"/>
              </w:numPr>
              <w:bidi w:val="0"/>
              <w:ind w:leftChars="0"/>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2.5、</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产品规模</w:t>
            </w:r>
          </w:p>
          <w:p>
            <w:pPr>
              <w:pStyle w:val="47"/>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w:t>
            </w:r>
            <w:r>
              <w:rPr>
                <w:rFonts w:hint="eastAsia" w:ascii="Times New Roman" w:hAnsi="Times New Roman" w:cs="Times New Roman"/>
                <w:color w:val="000000" w:themeColor="text1"/>
                <w:highlight w:val="none"/>
                <w:lang w:val="en-US" w:eastAsia="zh-CN"/>
                <w14:textFill>
                  <w14:solidFill>
                    <w14:schemeClr w14:val="tx1"/>
                  </w14:solidFill>
                </w14:textFill>
              </w:rPr>
              <w:t>设计规模</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年处理炉渣20万t。</w:t>
            </w:r>
          </w:p>
          <w:p>
            <w:pPr>
              <w:pStyle w:val="48"/>
              <w:pageBreakBefore w:val="0"/>
              <w:widowControl w:val="0"/>
              <w:kinsoku/>
              <w:wordWrap/>
              <w:topLinePunct w:val="0"/>
              <w:bidi w:val="0"/>
              <w:spacing w:line="240" w:lineRule="auto"/>
              <w:textAlignment w:val="auto"/>
              <w:rPr>
                <w:rFonts w:hint="default" w:ascii="Times New Roman" w:hAnsi="Times New Roman" w:eastAsia="宋体" w:cs="Times New Roman"/>
                <w:color w:val="000000" w:themeColor="text1"/>
                <w:sz w:val="21"/>
                <w:szCs w:val="16"/>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16"/>
                <w:highlight w:val="none"/>
                <w:lang w:val="en-US" w:eastAsia="zh-CN"/>
                <w14:textFill>
                  <w14:solidFill>
                    <w14:schemeClr w14:val="tx1"/>
                  </w14:solidFill>
                </w14:textFill>
              </w:rPr>
              <w:t>表2-</w:t>
            </w:r>
            <w:r>
              <w:rPr>
                <w:rFonts w:hint="eastAsia" w:cs="Times New Roman"/>
                <w:color w:val="000000" w:themeColor="text1"/>
                <w:sz w:val="21"/>
                <w:szCs w:val="16"/>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16"/>
                <w:highlight w:val="none"/>
                <w:lang w:val="en-US" w:eastAsia="zh-CN"/>
                <w14:textFill>
                  <w14:solidFill>
                    <w14:schemeClr w14:val="tx1"/>
                  </w14:solidFill>
                </w14:textFill>
              </w:rPr>
              <w:t xml:space="preserve">  产品规模一览表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2"/>
              <w:gridCol w:w="3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94" w:type="pct"/>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产品名称</w:t>
                  </w:r>
                </w:p>
              </w:tc>
              <w:tc>
                <w:tcPr>
                  <w:tcW w:w="2305" w:type="pct"/>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年产生量（t）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2694" w:type="pct"/>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废旧金属（含铝、铁、铜）</w:t>
                  </w:r>
                </w:p>
              </w:tc>
              <w:tc>
                <w:tcPr>
                  <w:tcW w:w="2305" w:type="pct"/>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pct"/>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砂石</w:t>
                  </w:r>
                </w:p>
              </w:tc>
              <w:tc>
                <w:tcPr>
                  <w:tcW w:w="2305" w:type="pct"/>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12万</w:t>
                  </w:r>
                </w:p>
              </w:tc>
            </w:tr>
          </w:tbl>
          <w:p>
            <w:pPr>
              <w:pStyle w:val="48"/>
              <w:pageBreakBefore w:val="0"/>
              <w:widowControl w:val="0"/>
              <w:kinsoku/>
              <w:wordWrap/>
              <w:topLinePunct w:val="0"/>
              <w:bidi w:val="0"/>
              <w:spacing w:line="240" w:lineRule="auto"/>
              <w:jc w:val="both"/>
              <w:textAlignment w:val="auto"/>
              <w:rPr>
                <w:rFonts w:hint="eastAsia" w:ascii="Times New Roman" w:hAnsi="Times New Roman" w:eastAsia="宋体" w:cs="Times New Roman"/>
                <w:color w:val="000000" w:themeColor="text1"/>
                <w:sz w:val="21"/>
                <w:szCs w:val="16"/>
                <w:highlight w:val="none"/>
                <w:lang w:val="en-US" w:eastAsia="zh-CN"/>
                <w14:textFill>
                  <w14:solidFill>
                    <w14:schemeClr w14:val="tx1"/>
                  </w14:solidFill>
                </w14:textFill>
              </w:rPr>
            </w:pPr>
            <w:r>
              <w:rPr>
                <w:rFonts w:hint="eastAsia" w:cs="Times New Roman"/>
                <w:color w:val="000000" w:themeColor="text1"/>
                <w:sz w:val="21"/>
                <w:szCs w:val="16"/>
                <w:highlight w:val="none"/>
                <w:lang w:val="en-US" w:eastAsia="zh-CN"/>
                <w14:textFill>
                  <w14:solidFill>
                    <w14:schemeClr w14:val="tx1"/>
                  </w14:solidFill>
                </w14:textFill>
              </w:rPr>
              <w:t>注：</w:t>
            </w:r>
            <w:r>
              <w:rPr>
                <w:rFonts w:hint="eastAsia" w:ascii="Times New Roman" w:hAnsi="Times New Roman" w:eastAsia="宋体" w:cs="Times New Roman"/>
                <w:color w:val="000000" w:themeColor="text1"/>
                <w:sz w:val="21"/>
                <w:szCs w:val="16"/>
                <w:highlight w:val="none"/>
                <w:lang w:val="en-US" w:eastAsia="zh-CN"/>
                <w14:textFill>
                  <w14:solidFill>
                    <w14:schemeClr w14:val="tx1"/>
                  </w14:solidFill>
                </w14:textFill>
              </w:rPr>
              <w:t>砂石执行《建设用砂》（GB/T 14684-2011）和《建设用卵石、碎石》（GB/T 14685-2011）</w:t>
            </w:r>
          </w:p>
          <w:p>
            <w:pPr>
              <w:pStyle w:val="48"/>
              <w:pageBreakBefore w:val="0"/>
              <w:widowControl w:val="0"/>
              <w:kinsoku/>
              <w:wordWrap/>
              <w:topLinePunct w:val="0"/>
              <w:bidi w:val="0"/>
              <w:spacing w:line="240" w:lineRule="auto"/>
              <w:textAlignment w:val="auto"/>
              <w:rPr>
                <w:rFonts w:hint="default" w:ascii="Times New Roman" w:hAnsi="Times New Roman" w:eastAsia="宋体" w:cs="Times New Roman"/>
                <w:color w:val="000000" w:themeColor="text1"/>
                <w:sz w:val="21"/>
                <w:szCs w:val="16"/>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16"/>
                <w:highlight w:val="none"/>
                <w:lang w:val="en-US" w:eastAsia="zh-CN"/>
                <w14:textFill>
                  <w14:solidFill>
                    <w14:schemeClr w14:val="tx1"/>
                  </w14:solidFill>
                </w14:textFill>
              </w:rPr>
              <w:t>表2-</w:t>
            </w:r>
            <w:r>
              <w:rPr>
                <w:rFonts w:hint="eastAsia" w:cs="Times New Roman"/>
                <w:color w:val="000000" w:themeColor="text1"/>
                <w:sz w:val="21"/>
                <w:szCs w:val="16"/>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16"/>
                <w:highlight w:val="none"/>
                <w:lang w:val="en-US" w:eastAsia="zh-CN"/>
                <w14:textFill>
                  <w14:solidFill>
                    <w14:schemeClr w14:val="tx1"/>
                  </w14:solidFill>
                </w14:textFill>
              </w:rPr>
              <w:t xml:space="preserve">  物料平衡一览表</w:t>
            </w:r>
            <w:r>
              <w:rPr>
                <w:rFonts w:hint="eastAsia" w:cs="Times New Roman"/>
                <w:color w:val="000000" w:themeColor="text1"/>
                <w:sz w:val="21"/>
                <w:szCs w:val="16"/>
                <w:highlight w:val="none"/>
                <w:lang w:val="en-US" w:eastAsia="zh-CN"/>
                <w14:textFill>
                  <w14:solidFill>
                    <w14:schemeClr w14:val="tx1"/>
                  </w14:solidFill>
                </w14:textFill>
              </w:rPr>
              <w:t>（不含水）</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1"/>
              <w:gridCol w:w="1466"/>
              <w:gridCol w:w="2540"/>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78" w:type="pct"/>
                  <w:gridSpan w:val="2"/>
                </w:tcPr>
                <w:p>
                  <w:pPr>
                    <w:spacing w:line="240" w:lineRule="auto"/>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物料投入</w:t>
                  </w:r>
                  <w:r>
                    <w:rPr>
                      <w:rFonts w:hint="eastAsia" w:cs="Times New Roman" w:eastAsiaTheme="minorEastAsia"/>
                      <w:color w:val="000000" w:themeColor="text1"/>
                      <w:sz w:val="21"/>
                      <w:szCs w:val="21"/>
                      <w:highlight w:val="none"/>
                      <w:lang w:val="en-US" w:eastAsia="zh-CN"/>
                      <w14:textFill>
                        <w14:solidFill>
                          <w14:schemeClr w14:val="tx1"/>
                        </w14:solidFill>
                      </w14:textFill>
                    </w:rPr>
                    <w:t>（t）</w:t>
                  </w:r>
                </w:p>
              </w:tc>
              <w:tc>
                <w:tcPr>
                  <w:tcW w:w="2721" w:type="pct"/>
                  <w:gridSpan w:val="2"/>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物料</w:t>
                  </w:r>
                  <w:r>
                    <w:rPr>
                      <w:rFonts w:hint="eastAsia" w:cs="Times New Roman" w:eastAsiaTheme="minorEastAsia"/>
                      <w:color w:val="000000" w:themeColor="text1"/>
                      <w:sz w:val="21"/>
                      <w:szCs w:val="21"/>
                      <w:highlight w:val="none"/>
                      <w:lang w:val="en-US" w:eastAsia="zh-CN"/>
                      <w14:textFill>
                        <w14:solidFill>
                          <w14:schemeClr w14:val="tx1"/>
                        </w14:solidFill>
                      </w14:textFill>
                    </w:rPr>
                    <w:t>产出（t）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pct"/>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炉渣</w:t>
                  </w:r>
                </w:p>
              </w:tc>
              <w:tc>
                <w:tcPr>
                  <w:tcW w:w="877" w:type="pct"/>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14万</w:t>
                  </w:r>
                </w:p>
              </w:tc>
              <w:tc>
                <w:tcPr>
                  <w:tcW w:w="1520" w:type="pct"/>
                  <w:vAlign w:val="top"/>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废旧金属（含铝、铁、铜）</w:t>
                  </w:r>
                </w:p>
              </w:tc>
              <w:tc>
                <w:tcPr>
                  <w:tcW w:w="1201" w:type="pct"/>
                  <w:vAlign w:val="top"/>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401" w:type="pct"/>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p>
              </w:tc>
              <w:tc>
                <w:tcPr>
                  <w:tcW w:w="877" w:type="pct"/>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p>
              </w:tc>
              <w:tc>
                <w:tcPr>
                  <w:tcW w:w="1520" w:type="pct"/>
                  <w:vAlign w:val="top"/>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砂石</w:t>
                  </w:r>
                </w:p>
              </w:tc>
              <w:tc>
                <w:tcPr>
                  <w:tcW w:w="1201" w:type="pct"/>
                  <w:vAlign w:val="top"/>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83740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pct"/>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p>
              </w:tc>
              <w:tc>
                <w:tcPr>
                  <w:tcW w:w="877" w:type="pct"/>
                </w:tcPr>
                <w:p>
                  <w:pPr>
                    <w:spacing w:line="240" w:lineRule="auto"/>
                    <w:jc w:val="center"/>
                    <w:rPr>
                      <w:rFonts w:hint="eastAsia" w:cs="Times New Roman" w:eastAsiaTheme="minorEastAsia"/>
                      <w:color w:val="000000" w:themeColor="text1"/>
                      <w:sz w:val="21"/>
                      <w:szCs w:val="21"/>
                      <w:highlight w:val="none"/>
                      <w:lang w:val="en-US" w:eastAsia="zh-CN"/>
                      <w14:textFill>
                        <w14:solidFill>
                          <w14:schemeClr w14:val="tx1"/>
                        </w14:solidFill>
                      </w14:textFill>
                    </w:rPr>
                  </w:pPr>
                </w:p>
              </w:tc>
              <w:tc>
                <w:tcPr>
                  <w:tcW w:w="1520" w:type="pct"/>
                  <w:vAlign w:val="top"/>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粉尘</w:t>
                  </w:r>
                </w:p>
              </w:tc>
              <w:tc>
                <w:tcPr>
                  <w:tcW w:w="1201" w:type="pct"/>
                  <w:vAlign w:val="top"/>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kern w:val="2"/>
                      <w:sz w:val="21"/>
                      <w:szCs w:val="21"/>
                      <w:highlight w:val="none"/>
                      <w:lang w:val="en-US" w:eastAsia="zh-CN" w:bidi="ar-SA"/>
                      <w14:textFill>
                        <w14:solidFill>
                          <w14:schemeClr w14:val="tx1"/>
                        </w14:solidFill>
                      </w14:textFill>
                    </w:rPr>
                    <w:t>0.0294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pct"/>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p>
              </w:tc>
              <w:tc>
                <w:tcPr>
                  <w:tcW w:w="877" w:type="pct"/>
                </w:tcPr>
                <w:p>
                  <w:pPr>
                    <w:spacing w:line="240" w:lineRule="auto"/>
                    <w:jc w:val="center"/>
                    <w:rPr>
                      <w:rFonts w:hint="eastAsia" w:cs="Times New Roman" w:eastAsiaTheme="minorEastAsia"/>
                      <w:color w:val="000000" w:themeColor="text1"/>
                      <w:sz w:val="21"/>
                      <w:szCs w:val="21"/>
                      <w:highlight w:val="none"/>
                      <w:lang w:val="en-US" w:eastAsia="zh-CN"/>
                      <w14:textFill>
                        <w14:solidFill>
                          <w14:schemeClr w14:val="tx1"/>
                        </w14:solidFill>
                      </w14:textFill>
                    </w:rPr>
                  </w:pPr>
                </w:p>
              </w:tc>
              <w:tc>
                <w:tcPr>
                  <w:tcW w:w="1520" w:type="pct"/>
                  <w:vAlign w:val="top"/>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未燃尽垃圾</w:t>
                  </w:r>
                </w:p>
              </w:tc>
              <w:tc>
                <w:tcPr>
                  <w:tcW w:w="1201" w:type="pct"/>
                  <w:vAlign w:val="top"/>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30263.9706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pct"/>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p>
              </w:tc>
              <w:tc>
                <w:tcPr>
                  <w:tcW w:w="877" w:type="pct"/>
                </w:tcPr>
                <w:p>
                  <w:pPr>
                    <w:spacing w:line="240" w:lineRule="auto"/>
                    <w:jc w:val="center"/>
                    <w:rPr>
                      <w:rFonts w:hint="eastAsia" w:cs="Times New Roman" w:eastAsiaTheme="minorEastAsia"/>
                      <w:color w:val="000000" w:themeColor="text1"/>
                      <w:sz w:val="21"/>
                      <w:szCs w:val="21"/>
                      <w:highlight w:val="none"/>
                      <w:lang w:val="en-US" w:eastAsia="zh-CN"/>
                      <w14:textFill>
                        <w14:solidFill>
                          <w14:schemeClr w14:val="tx1"/>
                        </w14:solidFill>
                      </w14:textFill>
                    </w:rPr>
                  </w:pPr>
                </w:p>
              </w:tc>
              <w:tc>
                <w:tcPr>
                  <w:tcW w:w="1520" w:type="pct"/>
                  <w:vAlign w:val="top"/>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沉淀池泥沙</w:t>
                  </w:r>
                </w:p>
              </w:tc>
              <w:tc>
                <w:tcPr>
                  <w:tcW w:w="1201" w:type="pct"/>
                  <w:vAlign w:val="top"/>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23996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1" w:type="pct"/>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合计</w:t>
                  </w:r>
                </w:p>
              </w:tc>
              <w:tc>
                <w:tcPr>
                  <w:tcW w:w="877" w:type="pct"/>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14万</w:t>
                  </w:r>
                </w:p>
              </w:tc>
              <w:tc>
                <w:tcPr>
                  <w:tcW w:w="1520" w:type="pct"/>
                  <w:vAlign w:val="top"/>
                </w:tcPr>
                <w:p>
                  <w:pPr>
                    <w:spacing w:line="240" w:lineRule="auto"/>
                    <w:jc w:val="center"/>
                    <w:rPr>
                      <w:rFonts w:hint="eastAsia" w:cs="Times New Roman" w:eastAsiaTheme="minorEastAsia"/>
                      <w:color w:val="000000" w:themeColor="text1"/>
                      <w:sz w:val="21"/>
                      <w:szCs w:val="21"/>
                      <w:highlight w:val="none"/>
                      <w:lang w:val="en-US" w:eastAsia="zh-CN"/>
                      <w14:textFill>
                        <w14:solidFill>
                          <w14:schemeClr w14:val="tx1"/>
                        </w14:solidFill>
                      </w14:textFill>
                    </w:rPr>
                  </w:pPr>
                </w:p>
              </w:tc>
              <w:tc>
                <w:tcPr>
                  <w:tcW w:w="1201" w:type="pct"/>
                  <w:vAlign w:val="top"/>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14万</w:t>
                  </w:r>
                </w:p>
              </w:tc>
            </w:tr>
          </w:tbl>
          <w:p>
            <w:pPr>
              <w:pStyle w:val="47"/>
              <w:numPr>
                <w:ilvl w:val="0"/>
                <w:numId w:val="0"/>
              </w:numPr>
              <w:bidi w:val="0"/>
              <w:ind w:leftChars="0"/>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2.6</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水资源及能源消耗情况</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2.6.1给排水</w:t>
            </w: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生活用水：</w:t>
            </w:r>
            <w:r>
              <w:rPr>
                <w:rFonts w:hint="eastAsia" w:ascii="Times New Roman" w:hAnsi="Times New Roman" w:cs="Times New Roman"/>
                <w:color w:val="000000" w:themeColor="text1"/>
                <w:highlight w:val="none"/>
                <w:lang w:val="en-US" w:eastAsia="zh-CN"/>
                <w14:textFill>
                  <w14:solidFill>
                    <w14:schemeClr w14:val="tx1"/>
                  </w14:solidFill>
                </w14:textFill>
              </w:rPr>
              <w:t>厂区职工16人，按照《河北省地方标准用水定额》（DB13/T1161.3-2021），并结合企业提供资料，员工生活用水量按照40L/人•天，则项目生活用水量为0.64m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/d（224m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/a），生活废水按照80%计算，产生量为0.512m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/d（179.2m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/a），排入化粪池后定期由清污车清运。</w:t>
            </w: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生产用水：生产用水主要为炉渣工序用水（跳汰、滚轮等）、清洗地面以及喷淋用水。炉渣工序新鲜水量为60m³/d（21000m³），炉渣工序损耗水量136.87m³/d（47904.5m³/a），循环水量为240m³/d（84000m³/a），砂料蒸发96.87m³/d（33904.5m³/a），随砂料成品带走103.6m³/d（36260m³/a），进入沉淀池230.96m³/d（80836m³/a）；清洗地面用水量为12m³/d（3600m³/a），其中蒸发量为2.4m³/d（720m³/a），循环水量为9.6m³/d（2880m³/a）；水喷淋系统用水量为10m³/d（3000m³/a），其中蒸发量为2m³/d（600m³/a），循环水量为8m³/d（2400m³/a）。</w:t>
            </w:r>
          </w:p>
          <w:p>
            <w:pPr>
              <w:pStyle w:val="48"/>
              <w:pageBreakBefore w:val="0"/>
              <w:widowControl w:val="0"/>
              <w:kinsoku/>
              <w:wordWrap/>
              <w:topLinePunct w:val="0"/>
              <w:bidi w:val="0"/>
              <w:spacing w:line="240" w:lineRule="auto"/>
              <w:textAlignment w:val="auto"/>
              <w:rPr>
                <w:rFonts w:hint="eastAsia" w:ascii="Times New Roman" w:hAnsi="Times New Roman" w:eastAsia="宋体" w:cs="Times New Roman"/>
                <w:color w:val="000000" w:themeColor="text1"/>
                <w:sz w:val="21"/>
                <w:szCs w:val="16"/>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16"/>
                <w:highlight w:val="none"/>
                <w:lang w:val="en-US" w:eastAsia="zh-CN"/>
                <w14:textFill>
                  <w14:solidFill>
                    <w14:schemeClr w14:val="tx1"/>
                  </w14:solidFill>
                </w14:textFill>
              </w:rPr>
              <w:t>表2-</w:t>
            </w:r>
            <w:r>
              <w:rPr>
                <w:rFonts w:hint="eastAsia" w:cs="Times New Roman"/>
                <w:color w:val="000000" w:themeColor="text1"/>
                <w:sz w:val="21"/>
                <w:szCs w:val="16"/>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16"/>
                <w:highlight w:val="none"/>
                <w:lang w:val="en-US" w:eastAsia="zh-CN"/>
                <w14:textFill>
                  <w14:solidFill>
                    <w14:schemeClr w14:val="tx1"/>
                  </w14:solidFill>
                </w14:textFill>
              </w:rPr>
              <w:t xml:space="preserve">  项目给排水水量平衡表    单位：m</w:t>
            </w:r>
            <w:r>
              <w:rPr>
                <w:rFonts w:hint="eastAsia" w:ascii="Times New Roman" w:hAnsi="Times New Roman" w:eastAsia="宋体" w:cs="Times New Roman"/>
                <w:color w:val="000000" w:themeColor="text1"/>
                <w:sz w:val="21"/>
                <w:szCs w:val="16"/>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16"/>
                <w:highlight w:val="none"/>
                <w:lang w:val="en-US" w:eastAsia="zh-CN"/>
                <w14:textFill>
                  <w14:solidFill>
                    <w14:schemeClr w14:val="tx1"/>
                  </w14:solidFill>
                </w14:textFill>
              </w:rPr>
              <w:t>/d</w:t>
            </w:r>
          </w:p>
          <w:tbl>
            <w:tblPr>
              <w:tblStyle w:val="31"/>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388"/>
              <w:gridCol w:w="955"/>
              <w:gridCol w:w="1501"/>
              <w:gridCol w:w="1814"/>
              <w:gridCol w:w="904"/>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1"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序号</w:t>
                  </w:r>
                </w:p>
              </w:tc>
              <w:tc>
                <w:tcPr>
                  <w:tcW w:w="1388"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用水环节</w:t>
                  </w:r>
                </w:p>
              </w:tc>
              <w:tc>
                <w:tcPr>
                  <w:tcW w:w="955"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总用水量</w:t>
                  </w:r>
                </w:p>
              </w:tc>
              <w:tc>
                <w:tcPr>
                  <w:tcW w:w="1501"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补充新鲜水量</w:t>
                  </w:r>
                </w:p>
              </w:tc>
              <w:tc>
                <w:tcPr>
                  <w:tcW w:w="1814"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循环（重复）水量</w:t>
                  </w:r>
                </w:p>
              </w:tc>
              <w:tc>
                <w:tcPr>
                  <w:tcW w:w="904" w:type="dxa"/>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损耗量</w:t>
                  </w:r>
                </w:p>
              </w:tc>
              <w:tc>
                <w:tcPr>
                  <w:tcW w:w="1157"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排放水量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71"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p>
              </w:tc>
              <w:tc>
                <w:tcPr>
                  <w:tcW w:w="1388" w:type="dxa"/>
                  <w:noWrap w:val="0"/>
                  <w:tcMar>
                    <w:left w:w="57" w:type="dxa"/>
                    <w:right w:w="57" w:type="dxa"/>
                  </w:tcMar>
                  <w:vAlign w:val="center"/>
                </w:tcPr>
                <w:p>
                  <w:pPr>
                    <w:spacing w:line="240" w:lineRule="auto"/>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炉渣</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用水</w:t>
                  </w:r>
                </w:p>
              </w:tc>
              <w:tc>
                <w:tcPr>
                  <w:tcW w:w="955"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300</w:t>
                  </w:r>
                </w:p>
              </w:tc>
              <w:tc>
                <w:tcPr>
                  <w:tcW w:w="1501"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60</w:t>
                  </w:r>
                </w:p>
              </w:tc>
              <w:tc>
                <w:tcPr>
                  <w:tcW w:w="1814"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240</w:t>
                  </w:r>
                </w:p>
              </w:tc>
              <w:tc>
                <w:tcPr>
                  <w:tcW w:w="904" w:type="dxa"/>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136.87</w:t>
                  </w:r>
                </w:p>
              </w:tc>
              <w:tc>
                <w:tcPr>
                  <w:tcW w:w="1157"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1"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w:t>
                  </w:r>
                </w:p>
              </w:tc>
              <w:tc>
                <w:tcPr>
                  <w:tcW w:w="1388" w:type="dxa"/>
                  <w:noWrap w:val="0"/>
                  <w:tcMar>
                    <w:left w:w="57" w:type="dxa"/>
                    <w:right w:w="57" w:type="dxa"/>
                  </w:tcMar>
                  <w:vAlign w:val="center"/>
                </w:tcPr>
                <w:p>
                  <w:pPr>
                    <w:spacing w:line="240" w:lineRule="auto"/>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清洗地面</w:t>
                  </w:r>
                </w:p>
              </w:tc>
              <w:tc>
                <w:tcPr>
                  <w:tcW w:w="955"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12</w:t>
                  </w:r>
                </w:p>
              </w:tc>
              <w:tc>
                <w:tcPr>
                  <w:tcW w:w="1501"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2.4</w:t>
                  </w:r>
                </w:p>
              </w:tc>
              <w:tc>
                <w:tcPr>
                  <w:tcW w:w="1814"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9.6</w:t>
                  </w:r>
                </w:p>
              </w:tc>
              <w:tc>
                <w:tcPr>
                  <w:tcW w:w="904" w:type="dxa"/>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2.4</w:t>
                  </w:r>
                </w:p>
              </w:tc>
              <w:tc>
                <w:tcPr>
                  <w:tcW w:w="1157"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1"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w:t>
                  </w:r>
                </w:p>
              </w:tc>
              <w:tc>
                <w:tcPr>
                  <w:tcW w:w="1388"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水喷淋系统</w:t>
                  </w:r>
                </w:p>
              </w:tc>
              <w:tc>
                <w:tcPr>
                  <w:tcW w:w="955"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10</w:t>
                  </w:r>
                </w:p>
              </w:tc>
              <w:tc>
                <w:tcPr>
                  <w:tcW w:w="1501"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w:t>
                  </w:r>
                </w:p>
              </w:tc>
              <w:tc>
                <w:tcPr>
                  <w:tcW w:w="1814"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8</w:t>
                  </w:r>
                </w:p>
              </w:tc>
              <w:tc>
                <w:tcPr>
                  <w:tcW w:w="904" w:type="dxa"/>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w:t>
                  </w:r>
                </w:p>
              </w:tc>
              <w:tc>
                <w:tcPr>
                  <w:tcW w:w="1157"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571"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4</w:t>
                  </w:r>
                </w:p>
              </w:tc>
              <w:tc>
                <w:tcPr>
                  <w:tcW w:w="1388"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生活用水</w:t>
                  </w:r>
                </w:p>
              </w:tc>
              <w:tc>
                <w:tcPr>
                  <w:tcW w:w="955"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0.64</w:t>
                  </w:r>
                </w:p>
              </w:tc>
              <w:tc>
                <w:tcPr>
                  <w:tcW w:w="1501"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0.64</w:t>
                  </w:r>
                </w:p>
              </w:tc>
              <w:tc>
                <w:tcPr>
                  <w:tcW w:w="1814"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0</w:t>
                  </w:r>
                </w:p>
              </w:tc>
              <w:tc>
                <w:tcPr>
                  <w:tcW w:w="904" w:type="dxa"/>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0.128</w:t>
                  </w:r>
                </w:p>
              </w:tc>
              <w:tc>
                <w:tcPr>
                  <w:tcW w:w="1157"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59" w:type="dxa"/>
                  <w:gridSpan w:val="2"/>
                  <w:noWrap w:val="0"/>
                  <w:tcMar>
                    <w:left w:w="57" w:type="dxa"/>
                    <w:right w:w="57" w:type="dxa"/>
                  </w:tcMar>
                  <w:vAlign w:val="center"/>
                </w:tcPr>
                <w:p>
                  <w:pPr>
                    <w:spacing w:line="240" w:lineRule="auto"/>
                    <w:jc w:val="center"/>
                    <w:rPr>
                      <w:rFonts w:hint="default"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合计</w:t>
                  </w:r>
                </w:p>
              </w:tc>
              <w:tc>
                <w:tcPr>
                  <w:tcW w:w="955"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322.64</w:t>
                  </w:r>
                </w:p>
              </w:tc>
              <w:tc>
                <w:tcPr>
                  <w:tcW w:w="1501"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65.04</w:t>
                  </w:r>
                </w:p>
              </w:tc>
              <w:tc>
                <w:tcPr>
                  <w:tcW w:w="1814"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257.6</w:t>
                  </w:r>
                </w:p>
              </w:tc>
              <w:tc>
                <w:tcPr>
                  <w:tcW w:w="904" w:type="dxa"/>
                  <w:noWrap w:val="0"/>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141.398</w:t>
                  </w:r>
                </w:p>
              </w:tc>
              <w:tc>
                <w:tcPr>
                  <w:tcW w:w="1157" w:type="dxa"/>
                  <w:noWrap w:val="0"/>
                  <w:tcMar>
                    <w:left w:w="57" w:type="dxa"/>
                    <w:right w:w="57" w:type="dxa"/>
                  </w:tcMar>
                  <w:vAlign w:val="center"/>
                </w:tcPr>
                <w:p>
                  <w:pPr>
                    <w:spacing w:line="240" w:lineRule="auto"/>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0.512</w:t>
                  </w:r>
                </w:p>
              </w:tc>
            </w:tr>
          </w:tbl>
          <w:p>
            <w:pPr>
              <w:pStyle w:val="47"/>
              <w:bidi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drawing>
                <wp:inline distT="0" distB="0" distL="114300" distR="114300">
                  <wp:extent cx="3707765" cy="2890520"/>
                  <wp:effectExtent l="0" t="0" r="6985" b="5080"/>
                  <wp:docPr id="7" name="ECB019B1-382A-4266-B25C-5B523AA43C14-1" descr="C:/Users/Administrator/AppData/Local/Temp/wps.iDNBn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1" descr="C:/Users/Administrator/AppData/Local/Temp/wps.iDNBnVwps"/>
                          <pic:cNvPicPr>
                            <a:picLocks noChangeAspect="1"/>
                          </pic:cNvPicPr>
                        </pic:nvPicPr>
                        <pic:blipFill>
                          <a:blip r:embed="rId12"/>
                          <a:srcRect l="5977" t="5354" r="2410" b="3500"/>
                          <a:stretch>
                            <a:fillRect/>
                          </a:stretch>
                        </pic:blipFill>
                        <pic:spPr>
                          <a:xfrm>
                            <a:off x="0" y="0"/>
                            <a:ext cx="3707765" cy="2890520"/>
                          </a:xfrm>
                          <a:prstGeom prst="rect">
                            <a:avLst/>
                          </a:prstGeom>
                        </pic:spPr>
                      </pic:pic>
                    </a:graphicData>
                  </a:graphic>
                </wp:inline>
              </w:drawing>
            </w:r>
          </w:p>
          <w:p>
            <w:pPr>
              <w:pStyle w:val="48"/>
              <w:bidi w:val="0"/>
              <w:rPr>
                <w:rFonts w:hint="default" w:ascii="Times New Roman" w:hAnsi="Times New Roman" w:eastAsia="宋体" w:cs="Times New Roman"/>
                <w:b/>
                <w:color w:val="000000" w:themeColor="text1"/>
                <w:kern w:val="21"/>
                <w:sz w:val="21"/>
                <w:szCs w:val="16"/>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1"/>
                <w:sz w:val="21"/>
                <w:szCs w:val="16"/>
                <w:highlight w:val="none"/>
                <w:lang w:val="en-US" w:eastAsia="zh-CN" w:bidi="ar-SA"/>
                <w14:textFill>
                  <w14:solidFill>
                    <w14:schemeClr w14:val="tx1"/>
                  </w14:solidFill>
                </w14:textFill>
              </w:rPr>
              <w:t xml:space="preserve">图2-1  </w:t>
            </w:r>
            <w:r>
              <w:rPr>
                <w:rFonts w:hint="eastAsia" w:cs="Times New Roman"/>
                <w:b/>
                <w:color w:val="000000" w:themeColor="text1"/>
                <w:kern w:val="21"/>
                <w:sz w:val="21"/>
                <w:szCs w:val="16"/>
                <w:highlight w:val="none"/>
                <w:lang w:val="en-US" w:eastAsia="zh-CN" w:bidi="ar-SA"/>
                <w14:textFill>
                  <w14:solidFill>
                    <w14:schemeClr w14:val="tx1"/>
                  </w14:solidFill>
                </w14:textFill>
              </w:rPr>
              <w:t>本</w:t>
            </w:r>
            <w:r>
              <w:rPr>
                <w:rFonts w:hint="eastAsia" w:ascii="Times New Roman" w:hAnsi="Times New Roman" w:eastAsia="宋体" w:cs="Times New Roman"/>
                <w:b/>
                <w:color w:val="000000" w:themeColor="text1"/>
                <w:kern w:val="21"/>
                <w:sz w:val="21"/>
                <w:szCs w:val="16"/>
                <w:highlight w:val="none"/>
                <w:lang w:val="en-US" w:eastAsia="zh-CN" w:bidi="ar-SA"/>
                <w14:textFill>
                  <w14:solidFill>
                    <w14:schemeClr w14:val="tx1"/>
                  </w14:solidFill>
                </w14:textFill>
              </w:rPr>
              <w:t>工程水平衡图  单位：m³/d</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2.6.2</w:t>
            </w:r>
            <w:r>
              <w:rPr>
                <w:rFonts w:hint="default" w:ascii="Times New Roman" w:hAnsi="Times New Roman" w:cs="Times New Roman"/>
                <w:color w:val="000000" w:themeColor="text1"/>
                <w:highlight w:val="none"/>
                <w:lang w:val="en-US" w:eastAsia="zh-CN"/>
                <w14:textFill>
                  <w14:solidFill>
                    <w14:schemeClr w14:val="tx1"/>
                  </w14:solidFill>
                </w14:textFill>
              </w:rPr>
              <w:t>供电</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本项目用电由</w:t>
            </w:r>
            <w:r>
              <w:rPr>
                <w:rFonts w:hint="eastAsia" w:ascii="Times New Roman" w:hAnsi="Times New Roman" w:cs="Times New Roman"/>
                <w:color w:val="000000" w:themeColor="text1"/>
                <w:highlight w:val="none"/>
                <w:lang w:val="en-US" w:eastAsia="zh-CN"/>
                <w14:textFill>
                  <w14:solidFill>
                    <w14:schemeClr w14:val="tx1"/>
                  </w14:solidFill>
                </w14:textFill>
              </w:rPr>
              <w:t>厂区变压器</w:t>
            </w:r>
            <w:r>
              <w:rPr>
                <w:rFonts w:hint="default" w:ascii="Times New Roman" w:hAnsi="Times New Roman" w:cs="Times New Roman"/>
                <w:color w:val="000000" w:themeColor="text1"/>
                <w:highlight w:val="none"/>
                <w:lang w:val="en-US" w:eastAsia="zh-CN"/>
                <w14:textFill>
                  <w14:solidFill>
                    <w14:schemeClr w14:val="tx1"/>
                  </w14:solidFill>
                </w14:textFill>
              </w:rPr>
              <w:t>提供，</w:t>
            </w:r>
            <w:r>
              <w:rPr>
                <w:rFonts w:hint="eastAsia" w:ascii="Times New Roman" w:hAnsi="Times New Roman" w:cs="Times New Roman"/>
                <w:color w:val="000000" w:themeColor="text1"/>
                <w:highlight w:val="none"/>
                <w:lang w:val="en-US" w:eastAsia="zh-CN"/>
                <w14:textFill>
                  <w14:solidFill>
                    <w14:schemeClr w14:val="tx1"/>
                  </w14:solidFill>
                </w14:textFill>
              </w:rPr>
              <w:t>可满足厂区内用电需求</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2.6.3供</w:t>
            </w:r>
            <w:r>
              <w:rPr>
                <w:rFonts w:hint="default" w:ascii="Times New Roman" w:hAnsi="Times New Roman" w:cs="Times New Roman"/>
                <w:color w:val="000000" w:themeColor="text1"/>
                <w:highlight w:val="none"/>
                <w:lang w:val="en-US" w:eastAsia="zh-CN"/>
                <w14:textFill>
                  <w14:solidFill>
                    <w14:schemeClr w14:val="tx1"/>
                  </w14:solidFill>
                </w14:textFill>
              </w:rPr>
              <w:t>热</w:t>
            </w: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冬季办公室用空调供</w:t>
            </w:r>
            <w:r>
              <w:rPr>
                <w:rFonts w:hint="eastAsia" w:ascii="Times New Roman" w:hAnsi="Times New Roman" w:cs="Times New Roman"/>
                <w:color w:val="000000" w:themeColor="text1"/>
                <w:highlight w:val="none"/>
                <w:lang w:val="en-US" w:eastAsia="zh-CN"/>
                <w14:textFill>
                  <w14:solidFill>
                    <w14:schemeClr w14:val="tx1"/>
                  </w14:solidFill>
                </w14:textFill>
              </w:rPr>
              <w:t>暖</w:t>
            </w:r>
            <w:r>
              <w:rPr>
                <w:rFonts w:hint="default" w:ascii="Times New Roman" w:hAnsi="Times New Roman" w:cs="Times New Roman"/>
                <w:color w:val="000000" w:themeColor="text1"/>
                <w:highlight w:val="none"/>
                <w:lang w:val="en-US" w:eastAsia="zh-CN"/>
                <w14:textFill>
                  <w14:solidFill>
                    <w14:schemeClr w14:val="tx1"/>
                  </w14:solidFill>
                </w14:textFill>
              </w:rPr>
              <w:t>，生产车间不用热</w:t>
            </w:r>
            <w:r>
              <w:rPr>
                <w:rFonts w:hint="eastAsia" w:ascii="Times New Roman" w:hAnsi="Times New Roman" w:cs="Times New Roman"/>
                <w:color w:val="000000" w:themeColor="text1"/>
                <w:highlight w:val="none"/>
                <w:lang w:val="en-US" w:eastAsia="zh-CN"/>
                <w14:textFill>
                  <w14:solidFill>
                    <w14:schemeClr w14:val="tx1"/>
                  </w14:solidFill>
                </w14:textFill>
              </w:rPr>
              <w:t>。</w:t>
            </w: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p>
          <w:p>
            <w:pPr>
              <w:pStyle w:val="47"/>
              <w:bidi w:val="0"/>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tc>
      </w:tr>
    </w:tbl>
    <w:p>
      <w:pPr>
        <w:pStyle w:val="3"/>
        <w:bidi w:val="0"/>
        <w:rPr>
          <w:rFonts w:hint="default" w:ascii="Times New Roman" w:hAnsi="Times New Roman" w:cs="Times New Roman"/>
          <w:color w:val="000000" w:themeColor="text1"/>
          <w:highlight w:val="none"/>
          <w:vertAlign w:val="baseline"/>
          <w14:textFill>
            <w14:solidFill>
              <w14:schemeClr w14:val="tx1"/>
            </w14:solidFill>
          </w14:textFill>
        </w:rPr>
        <w:sectPr>
          <w:pgSz w:w="11905" w:h="16838"/>
          <w:pgMar w:top="1440" w:right="1587" w:bottom="1440" w:left="1587"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8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 w:type="dxa"/>
            <w:noWrap w:val="0"/>
            <w:vAlign w:val="center"/>
          </w:tcPr>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工艺流程和产排污环节</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30"/>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30"/>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30"/>
              <w:ind w:left="0" w:leftChars="0" w:firstLine="0" w:firstLineChars="0"/>
              <w:rPr>
                <w:rFonts w:hint="default"/>
                <w:color w:val="000000" w:themeColor="text1"/>
                <w:lang w:val="en-US" w:eastAsia="zh-CN"/>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工艺流程和产排污环节</w:t>
            </w:r>
          </w:p>
        </w:tc>
        <w:tc>
          <w:tcPr>
            <w:tcW w:w="8586" w:type="dxa"/>
            <w:noWrap w:val="0"/>
            <w:vAlign w:val="center"/>
          </w:tcPr>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主要工艺环节说明：</w:t>
            </w:r>
          </w:p>
          <w:p>
            <w:pPr>
              <w:pStyle w:val="47"/>
              <w:bidi w:val="0"/>
              <w:ind w:left="0" w:leftChars="0"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314950" cy="2936875"/>
                  <wp:effectExtent l="0" t="0" r="0" b="15875"/>
                  <wp:docPr id="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1"/>
                          <pic:cNvPicPr>
                            <a:picLocks noChangeAspect="1"/>
                          </pic:cNvPicPr>
                        </pic:nvPicPr>
                        <pic:blipFill>
                          <a:blip r:embed="rId13"/>
                          <a:stretch>
                            <a:fillRect/>
                          </a:stretch>
                        </pic:blipFill>
                        <pic:spPr>
                          <a:xfrm>
                            <a:off x="0" y="0"/>
                            <a:ext cx="5314950" cy="2936875"/>
                          </a:xfrm>
                          <a:prstGeom prst="rect">
                            <a:avLst/>
                          </a:prstGeom>
                          <a:noFill/>
                          <a:ln>
                            <a:noFill/>
                          </a:ln>
                        </pic:spPr>
                      </pic:pic>
                    </a:graphicData>
                  </a:graphic>
                </wp:inline>
              </w:drawing>
            </w:r>
          </w:p>
          <w:p>
            <w:pPr>
              <w:pStyle w:val="48"/>
              <w:bidi w:val="0"/>
              <w:rPr>
                <w:rFonts w:hint="default" w:ascii="Times New Roman" w:hAnsi="Times New Roman" w:eastAsia="宋体" w:cs="Times New Roman"/>
                <w:b/>
                <w:color w:val="000000" w:themeColor="text1"/>
                <w:kern w:val="21"/>
                <w:sz w:val="21"/>
                <w:szCs w:val="16"/>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1"/>
                <w:sz w:val="21"/>
                <w:szCs w:val="16"/>
                <w:highlight w:val="none"/>
                <w:lang w:val="en-US" w:eastAsia="zh-CN" w:bidi="ar-SA"/>
                <w14:textFill>
                  <w14:solidFill>
                    <w14:schemeClr w14:val="tx1"/>
                  </w14:solidFill>
                </w14:textFill>
              </w:rPr>
              <w:t>图2-</w:t>
            </w:r>
            <w:r>
              <w:rPr>
                <w:rFonts w:hint="eastAsia" w:cs="Times New Roman"/>
                <w:b/>
                <w:color w:val="000000" w:themeColor="text1"/>
                <w:kern w:val="21"/>
                <w:sz w:val="21"/>
                <w:szCs w:val="16"/>
                <w:highlight w:val="none"/>
                <w:lang w:val="en-US" w:eastAsia="zh-CN" w:bidi="ar-SA"/>
                <w14:textFill>
                  <w14:solidFill>
                    <w14:schemeClr w14:val="tx1"/>
                  </w14:solidFill>
                </w14:textFill>
              </w:rPr>
              <w:t>2</w:t>
            </w:r>
            <w:r>
              <w:rPr>
                <w:rFonts w:hint="default" w:ascii="Times New Roman" w:hAnsi="Times New Roman" w:eastAsia="宋体" w:cs="Times New Roman"/>
                <w:b/>
                <w:color w:val="000000" w:themeColor="text1"/>
                <w:kern w:val="21"/>
                <w:sz w:val="21"/>
                <w:szCs w:val="16"/>
                <w:highlight w:val="none"/>
                <w:lang w:val="en-US" w:eastAsia="zh-CN" w:bidi="ar-SA"/>
                <w14:textFill>
                  <w14:solidFill>
                    <w14:schemeClr w14:val="tx1"/>
                  </w14:solidFill>
                </w14:textFill>
              </w:rPr>
              <w:t xml:space="preserve"> 工艺流程及排污节点图</w:t>
            </w:r>
            <w:r>
              <w:rPr>
                <w:rFonts w:hint="eastAsia" w:ascii="Times New Roman" w:hAnsi="Times New Roman" w:eastAsia="宋体" w:cs="Times New Roman"/>
                <w:b/>
                <w:color w:val="000000" w:themeColor="text1"/>
                <w:kern w:val="21"/>
                <w:sz w:val="21"/>
                <w:szCs w:val="16"/>
                <w:highlight w:val="none"/>
                <w:lang w:val="en-US" w:eastAsia="zh-CN" w:bidi="ar-SA"/>
                <w14:textFill>
                  <w14:solidFill>
                    <w14:schemeClr w14:val="tx1"/>
                  </w14:solidFill>
                </w14:textFill>
              </w:rPr>
              <w:t xml:space="preserve"> </w:t>
            </w:r>
          </w:p>
          <w:p>
            <w:pPr>
              <w:pStyle w:val="48"/>
              <w:bidi w:val="0"/>
              <w:jc w:val="left"/>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工艺简介：</w:t>
            </w: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①炉渣运输：</w:t>
            </w:r>
            <w:r>
              <w:rPr>
                <w:rFonts w:hint="eastAsia" w:eastAsia="宋体"/>
                <w:color w:val="000000" w:themeColor="text1"/>
                <w14:textFill>
                  <w14:solidFill>
                    <w14:schemeClr w14:val="tx1"/>
                  </w14:solidFill>
                </w14:textFill>
              </w:rPr>
              <w:t>生活垃圾焚烧发电厂</w:t>
            </w:r>
            <w:r>
              <w:rPr>
                <w:rFonts w:hint="default" w:ascii="Times New Roman" w:hAnsi="Times New Roman" w:cs="Times New Roman"/>
                <w:color w:val="000000" w:themeColor="text1"/>
                <w:highlight w:val="none"/>
                <w:lang w:val="en-US" w:eastAsia="zh-CN"/>
                <w14:textFill>
                  <w14:solidFill>
                    <w14:schemeClr w14:val="tx1"/>
                  </w14:solidFill>
                </w14:textFill>
              </w:rPr>
              <w:t>的炉渣出炉后洒水冷却（含水率约为</w:t>
            </w:r>
            <w:r>
              <w:rPr>
                <w:rFonts w:hint="eastAsia" w:ascii="Times New Roman" w:hAnsi="Times New Roman" w:cs="Times New Roman"/>
                <w:color w:val="000000" w:themeColor="text1"/>
                <w:highlight w:val="none"/>
                <w:lang w:val="en-US" w:eastAsia="zh-CN"/>
                <w14:textFill>
                  <w14:solidFill>
                    <w14:schemeClr w14:val="tx1"/>
                  </w14:solidFill>
                </w14:textFill>
              </w:rPr>
              <w:t>30</w:t>
            </w:r>
            <w:r>
              <w:rPr>
                <w:rFonts w:hint="default" w:ascii="Times New Roman" w:hAnsi="Times New Roman" w:cs="Times New Roman"/>
                <w:color w:val="000000" w:themeColor="text1"/>
                <w:highlight w:val="none"/>
                <w:lang w:val="en-US" w:eastAsia="zh-CN"/>
                <w14:textFill>
                  <w14:solidFill>
                    <w14:schemeClr w14:val="tx1"/>
                  </w14:solidFill>
                </w14:textFill>
              </w:rPr>
              <w:t>%），通过专用的密封运输车运至本项目炉渣处理车间炉渣堆放区，</w:t>
            </w:r>
            <w:r>
              <w:rPr>
                <w:rFonts w:hint="eastAsia" w:ascii="Times New Roman" w:hAnsi="Times New Roman" w:cs="Times New Roman"/>
                <w:color w:val="000000" w:themeColor="text1"/>
                <w:highlight w:val="none"/>
                <w:lang w:val="en-US" w:eastAsia="zh-CN"/>
                <w14:textFill>
                  <w14:solidFill>
                    <w14:schemeClr w14:val="tx1"/>
                  </w14:solidFill>
                </w14:textFill>
              </w:rPr>
              <w:t>避免长时间堆存物料产生扬尘，堆放区设置水喷淋措施抑尘；</w:t>
            </w:r>
            <w:r>
              <w:rPr>
                <w:rFonts w:hint="default" w:ascii="Times New Roman" w:hAnsi="Times New Roman" w:cs="Times New Roman"/>
                <w:color w:val="000000" w:themeColor="text1"/>
                <w:highlight w:val="none"/>
                <w:lang w:val="en-US" w:eastAsia="zh-CN"/>
                <w14:textFill>
                  <w14:solidFill>
                    <w14:schemeClr w14:val="tx1"/>
                  </w14:solidFill>
                </w14:textFill>
              </w:rPr>
              <w:t>地面设置有导流水渠，少量渗沥废水进入沉淀池</w:t>
            </w:r>
            <w:r>
              <w:rPr>
                <w:rFonts w:hint="eastAsia" w:ascii="Times New Roman" w:hAnsi="Times New Roman" w:cs="Times New Roman"/>
                <w:color w:val="000000" w:themeColor="text1"/>
                <w:highlight w:val="none"/>
                <w:lang w:val="en-US" w:eastAsia="zh-CN"/>
                <w14:textFill>
                  <w14:solidFill>
                    <w14:schemeClr w14:val="tx1"/>
                  </w14:solidFill>
                </w14:textFill>
              </w:rPr>
              <w:t>。</w:t>
            </w:r>
          </w:p>
          <w:p>
            <w:pPr>
              <w:pStyle w:val="47"/>
              <w:bidi w:val="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此工艺产污节点主要为：炉渣堆放产生的颗粒物</w:t>
            </w:r>
            <w:r>
              <w:rPr>
                <w:rFonts w:hint="default" w:ascii="Times New Roman" w:hAnsi="Times New Roman" w:cs="Times New Roman"/>
                <w:b/>
                <w:bCs/>
                <w:color w:val="000000" w:themeColor="text1"/>
                <w:highlight w:val="none"/>
                <w:lang w:val="en-US" w:eastAsia="zh-CN"/>
                <w14:textFill>
                  <w14:solidFill>
                    <w14:schemeClr w14:val="tx1"/>
                  </w14:solidFill>
                </w14:textFill>
              </w:rPr>
              <w:t>。</w:t>
            </w: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②</w:t>
            </w:r>
            <w:r>
              <w:rPr>
                <w:rFonts w:hint="eastAsia" w:ascii="Times New Roman" w:hAnsi="Times New Roman" w:cs="Times New Roman"/>
                <w:color w:val="000000" w:themeColor="text1"/>
                <w:highlight w:val="none"/>
                <w:lang w:val="en-US" w:eastAsia="zh-CN"/>
                <w14:textFill>
                  <w14:solidFill>
                    <w14:schemeClr w14:val="tx1"/>
                  </w14:solidFill>
                </w14:textFill>
              </w:rPr>
              <w:t>铲车</w:t>
            </w:r>
            <w:r>
              <w:rPr>
                <w:rFonts w:hint="default" w:ascii="Times New Roman" w:hAnsi="Times New Roman" w:cs="Times New Roman"/>
                <w:color w:val="000000" w:themeColor="text1"/>
                <w:highlight w:val="none"/>
                <w:lang w:val="en-US" w:eastAsia="zh-CN"/>
                <w14:textFill>
                  <w14:solidFill>
                    <w14:schemeClr w14:val="tx1"/>
                  </w14:solidFill>
                </w14:textFill>
              </w:rPr>
              <w:t>：炉渣由</w:t>
            </w:r>
            <w:r>
              <w:rPr>
                <w:rFonts w:hint="eastAsia" w:ascii="Times New Roman" w:hAnsi="Times New Roman" w:cs="Times New Roman"/>
                <w:color w:val="000000" w:themeColor="text1"/>
                <w:highlight w:val="none"/>
                <w:lang w:val="en-US" w:eastAsia="zh-CN"/>
                <w14:textFill>
                  <w14:solidFill>
                    <w14:schemeClr w14:val="tx1"/>
                  </w14:solidFill>
                </w14:textFill>
              </w:rPr>
              <w:t>铲车从炉渣堆放区</w:t>
            </w:r>
            <w:r>
              <w:rPr>
                <w:rFonts w:hint="default" w:ascii="Times New Roman" w:hAnsi="Times New Roman" w:cs="Times New Roman"/>
                <w:color w:val="000000" w:themeColor="text1"/>
                <w:highlight w:val="none"/>
                <w:lang w:val="en-US" w:eastAsia="zh-CN"/>
                <w14:textFill>
                  <w14:solidFill>
                    <w14:schemeClr w14:val="tx1"/>
                  </w14:solidFill>
                </w14:textFill>
              </w:rPr>
              <w:t>送入</w:t>
            </w:r>
            <w:r>
              <w:rPr>
                <w:rFonts w:hint="eastAsia" w:ascii="Times New Roman" w:hAnsi="Times New Roman" w:cs="Times New Roman"/>
                <w:color w:val="000000" w:themeColor="text1"/>
                <w:highlight w:val="none"/>
                <w:lang w:val="en-US" w:eastAsia="zh-CN"/>
                <w14:textFill>
                  <w14:solidFill>
                    <w14:schemeClr w14:val="tx1"/>
                  </w14:solidFill>
                </w14:textFill>
              </w:rPr>
              <w:t>皮带，炉渣含水率30%，含水率较大，不易起尘。</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③</w:t>
            </w:r>
            <w:r>
              <w:rPr>
                <w:rFonts w:hint="eastAsia" w:ascii="Times New Roman" w:hAnsi="Times New Roman" w:cs="Times New Roman"/>
                <w:color w:val="000000" w:themeColor="text1"/>
                <w:highlight w:val="none"/>
                <w:lang w:val="en-US" w:eastAsia="zh-CN"/>
                <w14:textFill>
                  <w14:solidFill>
                    <w14:schemeClr w14:val="tx1"/>
                  </w14:solidFill>
                </w14:textFill>
              </w:rPr>
              <w:t>除铁器</w:t>
            </w:r>
            <w:r>
              <w:rPr>
                <w:rFonts w:hint="default" w:ascii="Times New Roman" w:hAnsi="Times New Roman" w:cs="Times New Roman"/>
                <w:color w:val="000000" w:themeColor="text1"/>
                <w:highlight w:val="none"/>
                <w:lang w:val="en-US" w:eastAsia="zh-CN"/>
                <w14:textFill>
                  <w14:solidFill>
                    <w14:schemeClr w14:val="tx1"/>
                  </w14:solidFill>
                </w14:textFill>
              </w:rPr>
              <w:t>：炉渣进入</w:t>
            </w:r>
            <w:r>
              <w:rPr>
                <w:rFonts w:hint="eastAsia" w:ascii="Times New Roman" w:hAnsi="Times New Roman" w:cs="Times New Roman"/>
                <w:color w:val="000000" w:themeColor="text1"/>
                <w:highlight w:val="none"/>
                <w:lang w:val="en-US" w:eastAsia="zh-CN"/>
                <w14:textFill>
                  <w14:solidFill>
                    <w14:schemeClr w14:val="tx1"/>
                  </w14:solidFill>
                </w14:textFill>
              </w:rPr>
              <w:t>上</w:t>
            </w:r>
            <w:r>
              <w:rPr>
                <w:rFonts w:hint="default" w:ascii="Times New Roman" w:hAnsi="Times New Roman" w:cs="Times New Roman"/>
                <w:color w:val="000000" w:themeColor="text1"/>
                <w:highlight w:val="none"/>
                <w:lang w:val="en-US" w:eastAsia="zh-CN"/>
                <w14:textFill>
                  <w14:solidFill>
                    <w14:schemeClr w14:val="tx1"/>
                  </w14:solidFill>
                </w14:textFill>
              </w:rPr>
              <w:t>料斗后通过皮带进入</w:t>
            </w:r>
            <w:r>
              <w:rPr>
                <w:rFonts w:hint="eastAsia" w:ascii="Times New Roman" w:hAnsi="Times New Roman" w:cs="Times New Roman"/>
                <w:color w:val="000000" w:themeColor="text1"/>
                <w:highlight w:val="none"/>
                <w:lang w:val="en-US" w:eastAsia="zh-CN"/>
                <w14:textFill>
                  <w14:solidFill>
                    <w14:schemeClr w14:val="tx1"/>
                  </w14:solidFill>
                </w14:textFill>
              </w:rPr>
              <w:t>除铁器</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含铁物料直接进入打铁机，剩余不含铁物料进入一级滚筒筛。</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④一级滚筒筛：不含铁物料</w:t>
            </w:r>
            <w:r>
              <w:rPr>
                <w:rFonts w:hint="default" w:ascii="Times New Roman" w:hAnsi="Times New Roman" w:cs="Times New Roman"/>
                <w:color w:val="000000" w:themeColor="text1"/>
                <w:highlight w:val="none"/>
                <w:lang w:val="en-US" w:eastAsia="zh-CN"/>
                <w14:textFill>
                  <w14:solidFill>
                    <w14:schemeClr w14:val="tx1"/>
                  </w14:solidFill>
                </w14:textFill>
              </w:rPr>
              <w:t>经过旋转的滚笼后，直径≤</w:t>
            </w:r>
            <w:r>
              <w:rPr>
                <w:rFonts w:hint="eastAsia" w:ascii="Times New Roman" w:hAnsi="Times New Roman" w:cs="Times New Roman"/>
                <w:color w:val="000000" w:themeColor="text1"/>
                <w:highlight w:val="none"/>
                <w:lang w:val="en-US" w:eastAsia="zh-CN"/>
                <w14:textFill>
                  <w14:solidFill>
                    <w14:schemeClr w14:val="tx1"/>
                  </w14:solidFill>
                </w14:textFill>
              </w:rPr>
              <w:t>120</w:t>
            </w:r>
            <w:r>
              <w:rPr>
                <w:rFonts w:hint="default" w:ascii="Times New Roman" w:hAnsi="Times New Roman" w:cs="Times New Roman"/>
                <w:color w:val="000000" w:themeColor="text1"/>
                <w:highlight w:val="none"/>
                <w:lang w:val="en-US" w:eastAsia="zh-CN"/>
                <w14:textFill>
                  <w14:solidFill>
                    <w14:schemeClr w14:val="tx1"/>
                  </w14:solidFill>
                </w14:textFill>
              </w:rPr>
              <w:t>mm的炉渣颗粒透过滚笼侧面网孔流出，进入下一道工序；而体积较大的渣块（＞</w:t>
            </w:r>
            <w:r>
              <w:rPr>
                <w:rFonts w:hint="eastAsia" w:ascii="Times New Roman" w:hAnsi="Times New Roman" w:cs="Times New Roman"/>
                <w:color w:val="000000" w:themeColor="text1"/>
                <w:highlight w:val="none"/>
                <w:lang w:val="en-US" w:eastAsia="zh-CN"/>
                <w14:textFill>
                  <w14:solidFill>
                    <w14:schemeClr w14:val="tx1"/>
                  </w14:solidFill>
                </w14:textFill>
              </w:rPr>
              <w:t>12</w:t>
            </w:r>
            <w:r>
              <w:rPr>
                <w:rFonts w:hint="default" w:ascii="Times New Roman" w:hAnsi="Times New Roman" w:cs="Times New Roman"/>
                <w:color w:val="000000" w:themeColor="text1"/>
                <w:highlight w:val="none"/>
                <w:lang w:val="en-US" w:eastAsia="zh-CN"/>
                <w14:textFill>
                  <w14:solidFill>
                    <w14:schemeClr w14:val="tx1"/>
                  </w14:solidFill>
                </w14:textFill>
              </w:rPr>
              <w:t>0mm）则通过喇叭状</w:t>
            </w:r>
            <w:r>
              <w:rPr>
                <w:rFonts w:hint="eastAsia" w:ascii="Times New Roman" w:hAnsi="Times New Roman" w:cs="Times New Roman"/>
                <w:color w:val="000000" w:themeColor="text1"/>
                <w:highlight w:val="none"/>
                <w:lang w:val="en-US" w:eastAsia="zh-CN"/>
                <w14:textFill>
                  <w14:solidFill>
                    <w14:schemeClr w14:val="tx1"/>
                  </w14:solidFill>
                </w14:textFill>
              </w:rPr>
              <w:t>滚筛</w:t>
            </w:r>
            <w:r>
              <w:rPr>
                <w:rFonts w:hint="default" w:ascii="Times New Roman" w:hAnsi="Times New Roman" w:cs="Times New Roman"/>
                <w:color w:val="000000" w:themeColor="text1"/>
                <w:highlight w:val="none"/>
                <w:lang w:val="en-US" w:eastAsia="zh-CN"/>
                <w14:textFill>
                  <w14:solidFill>
                    <w14:schemeClr w14:val="tx1"/>
                  </w14:solidFill>
                </w14:textFill>
              </w:rPr>
              <w:t>的大口端流出，通过</w:t>
            </w:r>
            <w:r>
              <w:rPr>
                <w:rFonts w:hint="eastAsia" w:ascii="Times New Roman" w:hAnsi="Times New Roman" w:cs="Times New Roman"/>
                <w:color w:val="000000" w:themeColor="text1"/>
                <w:highlight w:val="none"/>
                <w:lang w:val="en-US" w:eastAsia="zh-CN"/>
                <w14:textFill>
                  <w14:solidFill>
                    <w14:schemeClr w14:val="tx1"/>
                  </w14:solidFill>
                </w14:textFill>
              </w:rPr>
              <w:t>输送带</w:t>
            </w:r>
            <w:r>
              <w:rPr>
                <w:rFonts w:hint="default" w:ascii="Times New Roman" w:hAnsi="Times New Roman" w:cs="Times New Roman"/>
                <w:color w:val="000000" w:themeColor="text1"/>
                <w:highlight w:val="none"/>
                <w:lang w:val="en-US" w:eastAsia="zh-CN"/>
                <w14:textFill>
                  <w14:solidFill>
                    <w14:schemeClr w14:val="tx1"/>
                  </w14:solidFill>
                </w14:textFill>
              </w:rPr>
              <w:t>送入</w:t>
            </w:r>
            <w:r>
              <w:rPr>
                <w:rFonts w:hint="eastAsia" w:ascii="Times New Roman" w:hAnsi="Times New Roman" w:cs="Times New Roman"/>
                <w:color w:val="000000" w:themeColor="text1"/>
                <w:highlight w:val="none"/>
                <w:lang w:val="en-US" w:eastAsia="zh-CN"/>
                <w14:textFill>
                  <w14:solidFill>
                    <w14:schemeClr w14:val="tx1"/>
                  </w14:solidFill>
                </w14:textFill>
              </w:rPr>
              <w:t>打砂</w:t>
            </w:r>
            <w:r>
              <w:rPr>
                <w:rFonts w:hint="default" w:ascii="Times New Roman" w:hAnsi="Times New Roman" w:cs="Times New Roman"/>
                <w:color w:val="000000" w:themeColor="text1"/>
                <w:highlight w:val="none"/>
                <w:lang w:val="en-US" w:eastAsia="zh-CN"/>
                <w14:textFill>
                  <w14:solidFill>
                    <w14:schemeClr w14:val="tx1"/>
                  </w14:solidFill>
                </w14:textFill>
              </w:rPr>
              <w:t>破碎机进行一级破碎。未燃尽物料在传送带上被人工拣出和滚笼筛分出，集中堆放在未燃尽</w:t>
            </w:r>
            <w:r>
              <w:rPr>
                <w:rFonts w:hint="eastAsia" w:ascii="Times New Roman" w:hAnsi="Times New Roman" w:cs="Times New Roman"/>
                <w:color w:val="000000" w:themeColor="text1"/>
                <w:highlight w:val="none"/>
                <w:lang w:val="en-US" w:eastAsia="zh-CN"/>
                <w14:textFill>
                  <w14:solidFill>
                    <w14:schemeClr w14:val="tx1"/>
                  </w14:solidFill>
                </w14:textFill>
              </w:rPr>
              <w:t>垃圾</w:t>
            </w:r>
            <w:r>
              <w:rPr>
                <w:rFonts w:hint="default" w:ascii="Times New Roman" w:hAnsi="Times New Roman" w:cs="Times New Roman"/>
                <w:color w:val="000000" w:themeColor="text1"/>
                <w:highlight w:val="none"/>
                <w:lang w:val="en-US" w:eastAsia="zh-CN"/>
                <w14:textFill>
                  <w14:solidFill>
                    <w14:schemeClr w14:val="tx1"/>
                  </w14:solidFill>
                </w14:textFill>
              </w:rPr>
              <w:t>堆放区，送回垃圾焚烧发电厂重新焚烧</w:t>
            </w:r>
            <w:r>
              <w:rPr>
                <w:rFonts w:hint="eastAsia" w:ascii="Times New Roman" w:hAnsi="Times New Roman" w:cs="Times New Roman"/>
                <w:color w:val="000000" w:themeColor="text1"/>
                <w:highlight w:val="none"/>
                <w:lang w:val="en-US" w:eastAsia="zh-CN"/>
                <w14:textFill>
                  <w14:solidFill>
                    <w14:schemeClr w14:val="tx1"/>
                  </w14:solidFill>
                </w14:textFill>
              </w:rPr>
              <w:t>。</w:t>
            </w: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此工艺产污节点主要为：滚筒筛产生的未燃尽物料</w:t>
            </w:r>
            <w:r>
              <w:rPr>
                <w:rFonts w:hint="eastAsia" w:ascii="Times New Roman" w:hAnsi="Times New Roman" w:cs="Times New Roman"/>
                <w:color w:val="000000" w:themeColor="text1"/>
                <w:highlight w:val="none"/>
                <w:lang w:val="en-US" w:eastAsia="zh-CN"/>
                <w14:textFill>
                  <w14:solidFill>
                    <w14:schemeClr w14:val="tx1"/>
                  </w14:solidFill>
                </w14:textFill>
              </w:rPr>
              <w:t>。</w:t>
            </w: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④废铁破碎：直径小于120mm的物料经输送带进入废铁破碎机与除铁器内含铁物料经高速旋转的转子迅速加速，物料在破碎腔内受到若干次撞击、磨擦和研磨破碎</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废铁破碎机工作时加水。</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此工艺产污节点主要为：废铁破碎机工作产生的噪声</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⑤除铁器：废铁破碎机处理后的炉渣进入除铁器，此设备利用矿物之间存在的磁性差异，将铁磁性杂质去除，由弃铁胶带将铁磁杂物拽至二级滚筒筛卸下，达到自动除铁的目的，除铁器工作时加水。</w:t>
            </w:r>
          </w:p>
          <w:p>
            <w:pPr>
              <w:pStyle w:val="47"/>
              <w:bidi w:val="0"/>
              <w:rPr>
                <w:rFonts w:hint="eastAsia" w:ascii="Times New Roman" w:hAnsi="Times New Roman" w:cs="Times New Roman"/>
                <w:b/>
                <w:bCs/>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此工艺产污节点主要为：除铁器工作产生的噪声。</w:t>
            </w:r>
          </w:p>
          <w:p>
            <w:pPr>
              <w:pStyle w:val="47"/>
              <w:bidi w:val="0"/>
              <w:ind w:left="0" w:leftChars="0" w:firstLine="480"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⑥二级滚筒筛：铁磁杂物经滚筒筛（直径≥60mm）筛分出铁件，＜60mm筛分出铁屑外售</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⑦</w:t>
            </w:r>
            <w:r>
              <w:rPr>
                <w:rFonts w:hint="default" w:ascii="Times New Roman" w:hAnsi="Times New Roman" w:cs="Times New Roman"/>
                <w:color w:val="000000" w:themeColor="text1"/>
                <w:highlight w:val="none"/>
                <w:lang w:val="en-US" w:eastAsia="zh-CN"/>
                <w14:textFill>
                  <w14:solidFill>
                    <w14:schemeClr w14:val="tx1"/>
                  </w14:solidFill>
                </w14:textFill>
              </w:rPr>
              <w:t>一级破碎：</w:t>
            </w:r>
            <w:r>
              <w:rPr>
                <w:rFonts w:hint="eastAsia" w:ascii="Times New Roman" w:hAnsi="Times New Roman" w:cs="Times New Roman"/>
                <w:color w:val="000000" w:themeColor="text1"/>
                <w:highlight w:val="none"/>
                <w:lang w:val="en-US" w:eastAsia="zh-CN"/>
                <w14:textFill>
                  <w14:solidFill>
                    <w14:schemeClr w14:val="tx1"/>
                  </w14:solidFill>
                </w14:textFill>
              </w:rPr>
              <w:t>滚筒筛</w:t>
            </w:r>
            <w:r>
              <w:rPr>
                <w:rFonts w:hint="default" w:ascii="Times New Roman" w:hAnsi="Times New Roman" w:cs="Times New Roman"/>
                <w:color w:val="000000" w:themeColor="text1"/>
                <w:highlight w:val="none"/>
                <w:lang w:val="en-US" w:eastAsia="zh-CN"/>
                <w14:textFill>
                  <w14:solidFill>
                    <w14:schemeClr w14:val="tx1"/>
                  </w14:solidFill>
                </w14:textFill>
              </w:rPr>
              <w:t>分出的体积较大的渣块（＞</w:t>
            </w:r>
            <w:r>
              <w:rPr>
                <w:rFonts w:hint="eastAsia" w:ascii="Times New Roman" w:hAnsi="Times New Roman" w:cs="Times New Roman"/>
                <w:color w:val="000000" w:themeColor="text1"/>
                <w:highlight w:val="none"/>
                <w:lang w:val="en-US" w:eastAsia="zh-CN"/>
                <w14:textFill>
                  <w14:solidFill>
                    <w14:schemeClr w14:val="tx1"/>
                  </w14:solidFill>
                </w14:textFill>
              </w:rPr>
              <w:t>120</w:t>
            </w:r>
            <w:r>
              <w:rPr>
                <w:rFonts w:hint="default" w:ascii="Times New Roman" w:hAnsi="Times New Roman" w:cs="Times New Roman"/>
                <w:color w:val="000000" w:themeColor="text1"/>
                <w:highlight w:val="none"/>
                <w:lang w:val="en-US" w:eastAsia="zh-CN"/>
                <w14:textFill>
                  <w14:solidFill>
                    <w14:schemeClr w14:val="tx1"/>
                  </w14:solidFill>
                </w14:textFill>
              </w:rPr>
              <w:t>mm）送入一级破碎机进行一级破碎后，破碎完成后落入</w:t>
            </w:r>
            <w:r>
              <w:rPr>
                <w:rFonts w:hint="eastAsia" w:ascii="Times New Roman" w:hAnsi="Times New Roman" w:cs="Times New Roman"/>
                <w:color w:val="000000" w:themeColor="text1"/>
                <w:highlight w:val="none"/>
                <w:lang w:val="en-US" w:eastAsia="zh-CN"/>
                <w14:textFill>
                  <w14:solidFill>
                    <w14:schemeClr w14:val="tx1"/>
                  </w14:solidFill>
                </w14:textFill>
              </w:rPr>
              <w:t>磁选机</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破碎时加水，为湿法作业。</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此工艺产污节点主要为：破碎机工作产生的噪声</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⑧</w:t>
            </w:r>
            <w:r>
              <w:rPr>
                <w:rFonts w:hint="default" w:ascii="Times New Roman" w:hAnsi="Times New Roman" w:cs="Times New Roman"/>
                <w:color w:val="000000" w:themeColor="text1"/>
                <w:highlight w:val="none"/>
                <w:lang w:val="en-US" w:eastAsia="zh-CN"/>
                <w14:textFill>
                  <w14:solidFill>
                    <w14:schemeClr w14:val="tx1"/>
                  </w14:solidFill>
                </w14:textFill>
              </w:rPr>
              <w:t>磁选：破碎机出口设置湿式磁选机，由破碎机出口流出的炉渣及冲洗水混合物，流经湿式磁选机下方，炉渣中所含有铁及铁粉等磁性金属被磁选出来。</w:t>
            </w: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⑨一级</w:t>
            </w:r>
            <w:r>
              <w:rPr>
                <w:rFonts w:hint="default" w:ascii="Times New Roman" w:hAnsi="Times New Roman" w:cs="Times New Roman"/>
                <w:color w:val="000000" w:themeColor="text1"/>
                <w:highlight w:val="none"/>
                <w:lang w:val="en-US" w:eastAsia="zh-CN"/>
                <w14:textFill>
                  <w14:solidFill>
                    <w14:schemeClr w14:val="tx1"/>
                  </w14:solidFill>
                </w14:textFill>
              </w:rPr>
              <w:t>跳汰：经磁选后的炉渣和水混合物，流入锯齿波跳汰机。锯齿波跳汰机根据跳汰床层理论分层规律，其跳汰脉动曲线呈锯齿形，上升水流快于下降水流，使炉渣中的重颗粒物质得到充分沉降，</w:t>
            </w:r>
            <w:r>
              <w:rPr>
                <w:rFonts w:hint="eastAsia" w:ascii="Times New Roman" w:hAnsi="Times New Roman" w:cs="Times New Roman"/>
                <w:color w:val="000000" w:themeColor="text1"/>
                <w:highlight w:val="none"/>
                <w:lang w:val="en-US" w:eastAsia="zh-CN"/>
                <w14:textFill>
                  <w14:solidFill>
                    <w14:schemeClr w14:val="tx1"/>
                  </w14:solidFill>
                </w14:textFill>
              </w:rPr>
              <w:t>较轻比重的金属颗粒物进入洗砂器滚筛跳铝机进行金属的分类回收。比重较重的重金属进入二级跳汰机。</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此工艺产污节点主要为：跳汰机工作产生的噪声</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⑩二级跳汰、摇床：</w:t>
            </w:r>
            <w:r>
              <w:rPr>
                <w:rFonts w:hint="default" w:ascii="Times New Roman" w:hAnsi="Times New Roman" w:cs="Times New Roman"/>
                <w:color w:val="000000" w:themeColor="text1"/>
                <w:highlight w:val="none"/>
                <w:lang w:val="en-US" w:eastAsia="zh-CN"/>
                <w14:textFill>
                  <w14:solidFill>
                    <w14:schemeClr w14:val="tx1"/>
                  </w14:solidFill>
                </w14:textFill>
              </w:rPr>
              <w:t>比重较重的金属颗粒随着下降水流沉降到</w:t>
            </w:r>
            <w:r>
              <w:rPr>
                <w:rFonts w:hint="eastAsia" w:ascii="Times New Roman" w:hAnsi="Times New Roman" w:cs="Times New Roman"/>
                <w:color w:val="000000" w:themeColor="text1"/>
                <w:highlight w:val="none"/>
                <w:lang w:val="en-US" w:eastAsia="zh-CN"/>
                <w14:textFill>
                  <w14:solidFill>
                    <w14:schemeClr w14:val="tx1"/>
                  </w14:solidFill>
                </w14:textFill>
              </w:rPr>
              <w:t>二级</w:t>
            </w:r>
            <w:r>
              <w:rPr>
                <w:rFonts w:hint="default" w:ascii="Times New Roman" w:hAnsi="Times New Roman" w:cs="Times New Roman"/>
                <w:color w:val="000000" w:themeColor="text1"/>
                <w:highlight w:val="none"/>
                <w:lang w:val="en-US" w:eastAsia="zh-CN"/>
                <w14:textFill>
                  <w14:solidFill>
                    <w14:schemeClr w14:val="tx1"/>
                  </w14:solidFill>
                </w14:textFill>
              </w:rPr>
              <w:t>跳汰机最后进入摇床</w:t>
            </w:r>
            <w:r>
              <w:rPr>
                <w:rFonts w:hint="eastAsia" w:ascii="Times New Roman" w:hAnsi="Times New Roman" w:cs="Times New Roman"/>
                <w:color w:val="000000" w:themeColor="text1"/>
                <w:highlight w:val="none"/>
                <w:lang w:val="en-US" w:eastAsia="zh-CN"/>
                <w14:textFill>
                  <w14:solidFill>
                    <w14:schemeClr w14:val="tx1"/>
                  </w14:solidFill>
                </w14:textFill>
              </w:rPr>
              <w:t>、破碎机、</w:t>
            </w:r>
            <w:r>
              <w:rPr>
                <w:rFonts w:hint="default" w:ascii="Times New Roman" w:hAnsi="Times New Roman" w:cs="Times New Roman"/>
                <w:color w:val="000000" w:themeColor="text1"/>
                <w:highlight w:val="none"/>
                <w:lang w:val="en-US" w:eastAsia="zh-CN"/>
                <w14:textFill>
                  <w14:solidFill>
                    <w14:schemeClr w14:val="tx1"/>
                  </w14:solidFill>
                </w14:textFill>
              </w:rPr>
              <w:t>除铁器进行金属的分类回收；而</w:t>
            </w:r>
            <w:r>
              <w:rPr>
                <w:rFonts w:hint="eastAsia" w:ascii="Times New Roman" w:hAnsi="Times New Roman" w:cs="Times New Roman"/>
                <w:color w:val="000000" w:themeColor="text1"/>
                <w:highlight w:val="none"/>
                <w:lang w:val="en-US" w:eastAsia="zh-CN"/>
                <w14:textFill>
                  <w14:solidFill>
                    <w14:schemeClr w14:val="tx1"/>
                  </w14:solidFill>
                </w14:textFill>
              </w:rPr>
              <w:t>其中</w:t>
            </w:r>
            <w:r>
              <w:rPr>
                <w:rFonts w:hint="default" w:ascii="Times New Roman" w:hAnsi="Times New Roman" w:cs="Times New Roman"/>
                <w:color w:val="000000" w:themeColor="text1"/>
                <w:highlight w:val="none"/>
                <w:lang w:val="en-US" w:eastAsia="zh-CN"/>
                <w14:textFill>
                  <w14:solidFill>
                    <w14:schemeClr w14:val="tx1"/>
                  </w14:solidFill>
                </w14:textFill>
              </w:rPr>
              <w:t>比重较轻的物质（基本上已经去除了所有金属物质）则</w:t>
            </w:r>
            <w:r>
              <w:rPr>
                <w:rFonts w:hint="eastAsia" w:ascii="Times New Roman" w:hAnsi="Times New Roman" w:cs="Times New Roman"/>
                <w:color w:val="000000" w:themeColor="text1"/>
                <w:highlight w:val="none"/>
                <w:lang w:val="en-US" w:eastAsia="zh-CN"/>
                <w14:textFill>
                  <w14:solidFill>
                    <w14:schemeClr w14:val="tx1"/>
                  </w14:solidFill>
                </w14:textFill>
              </w:rPr>
              <w:t>直接进入摇床进行重金属颗粒物回收，剩余砂、水混合物进入沉砂池。</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此工艺产污节点主要为：跳汰机工作产生的噪声</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47"/>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⑪洗砂器、滚筒筛、跳铝机：一级</w:t>
            </w:r>
            <w:r>
              <w:rPr>
                <w:rFonts w:hint="default" w:ascii="Times New Roman" w:hAnsi="Times New Roman" w:cs="Times New Roman"/>
                <w:color w:val="000000" w:themeColor="text1"/>
                <w:highlight w:val="none"/>
                <w:lang w:val="en-US" w:eastAsia="zh-CN"/>
                <w14:textFill>
                  <w14:solidFill>
                    <w14:schemeClr w14:val="tx1"/>
                  </w14:solidFill>
                </w14:textFill>
              </w:rPr>
              <w:t>跳汰炉渣（轻）进入洗砂</w:t>
            </w:r>
            <w:r>
              <w:rPr>
                <w:rFonts w:hint="eastAsia" w:ascii="Times New Roman" w:hAnsi="Times New Roman" w:cs="Times New Roman"/>
                <w:color w:val="000000" w:themeColor="text1"/>
                <w:highlight w:val="none"/>
                <w:lang w:val="en-US" w:eastAsia="zh-CN"/>
                <w14:textFill>
                  <w14:solidFill>
                    <w14:schemeClr w14:val="tx1"/>
                  </w14:solidFill>
                </w14:textFill>
              </w:rPr>
              <w:t>器</w:t>
            </w:r>
            <w:r>
              <w:rPr>
                <w:rFonts w:hint="default" w:ascii="Times New Roman" w:hAnsi="Times New Roman" w:cs="Times New Roman"/>
                <w:color w:val="000000" w:themeColor="text1"/>
                <w:highlight w:val="none"/>
                <w:lang w:val="en-US" w:eastAsia="zh-CN"/>
                <w14:textFill>
                  <w14:solidFill>
                    <w14:schemeClr w14:val="tx1"/>
                  </w14:solidFill>
                </w14:textFill>
              </w:rPr>
              <w:t>，经过洗砂机的砂进入</w:t>
            </w:r>
            <w:r>
              <w:rPr>
                <w:rFonts w:hint="eastAsia" w:ascii="Times New Roman" w:hAnsi="Times New Roman" w:cs="Times New Roman"/>
                <w:color w:val="000000" w:themeColor="text1"/>
                <w:highlight w:val="none"/>
                <w:lang w:val="en-US" w:eastAsia="zh-CN"/>
                <w14:textFill>
                  <w14:solidFill>
                    <w14:schemeClr w14:val="tx1"/>
                  </w14:solidFill>
                </w14:textFill>
              </w:rPr>
              <w:t>滚筒筛，直径≥10mm的砂进入1号跳铝机其中粗砂回破碎机重新破碎磁选</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重金属（铝）外售；＜10mm的金属颗粒物进入2号跳铝机其中砂进入脱水筛后外售制砖，重金属（铝）外售。脱水筛剩余水进入沉砂池。</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此工艺产污节点主要为：滚筒筛工作时产生的噪声</w:t>
            </w:r>
            <w:r>
              <w:rPr>
                <w:rFonts w:hint="eastAsia" w:ascii="Times New Roman" w:hAnsi="Times New Roman" w:cs="Times New Roman"/>
                <w:color w:val="000000" w:themeColor="text1"/>
                <w:highlight w:val="none"/>
                <w:lang w:val="en-US" w:eastAsia="zh-CN"/>
                <w14:textFill>
                  <w14:solidFill>
                    <w14:schemeClr w14:val="tx1"/>
                  </w14:solidFill>
                </w14:textFill>
              </w:rPr>
              <w:t>。</w:t>
            </w:r>
          </w:p>
          <w:p>
            <w:pPr>
              <w:pStyle w:val="47"/>
              <w:bidi w:val="0"/>
              <w:spacing w:line="360" w:lineRule="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⑫</w:t>
            </w:r>
            <w:r>
              <w:rPr>
                <w:rFonts w:hint="default" w:ascii="Times New Roman" w:hAnsi="Times New Roman" w:cs="Times New Roman"/>
                <w:color w:val="000000" w:themeColor="text1"/>
                <w:highlight w:val="none"/>
                <w:lang w:val="en-US" w:eastAsia="zh-CN"/>
                <w14:textFill>
                  <w14:solidFill>
                    <w14:schemeClr w14:val="tx1"/>
                  </w14:solidFill>
                </w14:textFill>
              </w:rPr>
              <w:t>沉砂</w:t>
            </w:r>
            <w:r>
              <w:rPr>
                <w:rFonts w:hint="eastAsia" w:ascii="Times New Roman" w:hAnsi="Times New Roman" w:cs="Times New Roman"/>
                <w:color w:val="000000" w:themeColor="text1"/>
                <w:highlight w:val="none"/>
                <w:lang w:val="en-US" w:eastAsia="zh-CN"/>
                <w14:textFill>
                  <w14:solidFill>
                    <w14:schemeClr w14:val="tx1"/>
                  </w14:solidFill>
                </w14:textFill>
              </w:rPr>
              <w:t>池</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沉淀池</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摇床的砂、水混合物以及尾砂进入沉砂池后上层水进入沉淀池，底砂回洗砂器进行脱水后外售给制砖厂；沉淀池上清液进循环清水池后回用于生产，沉淀池底泥进行压滤后外售制砖，压滤过程产生的水进循环清水池</w:t>
            </w:r>
            <w:r>
              <w:rPr>
                <w:rFonts w:hint="default" w:ascii="Times New Roman" w:hAnsi="Times New Roman" w:cs="Times New Roman"/>
                <w:color w:val="000000" w:themeColor="text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 w:type="dxa"/>
            <w:noWrap w:val="0"/>
            <w:vAlign w:val="center"/>
          </w:tcPr>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与项目有关的原有环境污染问题</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both"/>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tc>
        <w:tc>
          <w:tcPr>
            <w:tcW w:w="8586" w:type="dxa"/>
            <w:noWrap w:val="0"/>
            <w:vAlign w:val="center"/>
          </w:tcPr>
          <w:p>
            <w:pPr>
              <w:pStyle w:val="47"/>
              <w:bidi w:val="0"/>
              <w:ind w:left="0" w:leftChars="0" w:firstLine="480"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本项目为新建项目，不存在原有环境污染问题。</w:t>
            </w:r>
          </w:p>
          <w:p>
            <w:pPr>
              <w:pStyle w:val="47"/>
              <w:bidi w:val="0"/>
              <w:ind w:left="0" w:leftChars="0" w:firstLine="0" w:firstLineChars="0"/>
              <w:rPr>
                <w:rFonts w:hint="default" w:ascii="Times New Roman" w:hAnsi="Times New Roman" w:cs="Times New Roman"/>
                <w:color w:val="000000" w:themeColor="text1"/>
                <w:highlight w:val="none"/>
                <w:lang w:val="en-US" w:eastAsia="zh-CN"/>
                <w14:textFill>
                  <w14:solidFill>
                    <w14:schemeClr w14:val="tx1"/>
                  </w14:solidFill>
                </w14:textFill>
              </w:rPr>
            </w:pPr>
          </w:p>
        </w:tc>
      </w:tr>
    </w:tbl>
    <w:p>
      <w:pPr>
        <w:rPr>
          <w:rFonts w:hint="default" w:ascii="Times New Roman" w:hAnsi="Times New Roman" w:cs="Times New Roman"/>
          <w:color w:val="000000" w:themeColor="text1"/>
          <w:highlight w:val="none"/>
          <w14:textFill>
            <w14:solidFill>
              <w14:schemeClr w14:val="tx1"/>
            </w14:solidFill>
          </w14:textFill>
        </w:rPr>
        <w:sectPr>
          <w:pgSz w:w="11905" w:h="16838"/>
          <w:pgMar w:top="1440" w:right="1587" w:bottom="1440" w:left="1587"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pPr>
        <w:pStyle w:val="2"/>
        <w:bidi w:val="0"/>
        <w:jc w:val="center"/>
        <w:rPr>
          <w:rFonts w:hint="default" w:ascii="黑体" w:hAnsi="黑体" w:eastAsia="黑体" w:cs="黑体"/>
          <w:b w:val="0"/>
          <w:bCs w:val="0"/>
          <w:color w:val="000000" w:themeColor="text1"/>
          <w:sz w:val="30"/>
          <w:szCs w:val="30"/>
          <w:highlight w:val="none"/>
          <w14:textFill>
            <w14:solidFill>
              <w14:schemeClr w14:val="tx1"/>
            </w14:solidFill>
          </w14:textFill>
        </w:rPr>
      </w:pPr>
      <w:r>
        <w:rPr>
          <w:rFonts w:hint="default" w:ascii="黑体" w:hAnsi="黑体" w:eastAsia="黑体" w:cs="黑体"/>
          <w:b w:val="0"/>
          <w:bCs w:val="0"/>
          <w:color w:val="000000" w:themeColor="text1"/>
          <w:sz w:val="30"/>
          <w:szCs w:val="30"/>
          <w:highlight w:val="none"/>
          <w14:textFill>
            <w14:solidFill>
              <w14:schemeClr w14:val="tx1"/>
            </w14:solidFill>
          </w14:textFill>
        </w:rPr>
        <w:t>三、区域环境质量现状、环境保护目标及评价标准</w:t>
      </w:r>
    </w:p>
    <w:tbl>
      <w:tblPr>
        <w:tblStyle w:val="31"/>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85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4" w:hRule="atLeast"/>
          <w:jc w:val="center"/>
        </w:trPr>
        <w:tc>
          <w:tcPr>
            <w:tcW w:w="487" w:type="dxa"/>
            <w:noWrap w:val="0"/>
            <w:vAlign w:val="center"/>
          </w:tcPr>
          <w:p>
            <w:pPr>
              <w:pStyle w:val="3"/>
              <w:bidi w:val="0"/>
              <w:spacing w:line="24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区域</w:t>
            </w:r>
          </w:p>
          <w:p>
            <w:pPr>
              <w:pStyle w:val="3"/>
              <w:bidi w:val="0"/>
              <w:spacing w:line="24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环境</w:t>
            </w:r>
          </w:p>
          <w:p>
            <w:pPr>
              <w:pStyle w:val="3"/>
              <w:bidi w:val="0"/>
              <w:spacing w:line="24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质量</w:t>
            </w:r>
          </w:p>
          <w:p>
            <w:pPr>
              <w:pStyle w:val="3"/>
              <w:bidi w:val="0"/>
              <w:spacing w:line="24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现状</w:t>
            </w:r>
          </w:p>
        </w:tc>
        <w:tc>
          <w:tcPr>
            <w:tcW w:w="8584" w:type="dxa"/>
            <w:noWrap w:val="0"/>
            <w:vAlign w:val="center"/>
          </w:tcPr>
          <w:p>
            <w:pPr>
              <w:pStyle w:val="2"/>
              <w:bidi w:val="0"/>
              <w:rPr>
                <w:rFonts w:hint="default" w:ascii="Times New Roman" w:hAnsi="Times New Roman" w:cs="Times New Roman"/>
                <w:color w:val="000000" w:themeColor="text1"/>
                <w:sz w:val="24"/>
                <w:szCs w:val="28"/>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1 环境空气质量现状</w:t>
            </w:r>
          </w:p>
          <w:p>
            <w:pPr>
              <w:spacing w:line="360" w:lineRule="auto"/>
              <w:ind w:firstLine="480" w:firstLineChars="200"/>
              <w:jc w:val="both"/>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根据《秦皇岛市大气污染防治工作领导小组办公室关于2022年12月份环境空气质量情况的通报》（秦气防领办〔2023〕4号）可知，2022年抚宁区臭氧（O</w:t>
            </w:r>
            <w:r>
              <w:rPr>
                <w:rFonts w:hint="eastAsia"/>
                <w:color w:val="000000" w:themeColor="text1"/>
                <w:sz w:val="24"/>
                <w:szCs w:val="24"/>
                <w:highlight w:val="none"/>
                <w:vertAlign w:val="subscript"/>
                <w14:textFill>
                  <w14:solidFill>
                    <w14:schemeClr w14:val="tx1"/>
                  </w14:solidFill>
                </w14:textFill>
              </w:rPr>
              <w:t>3</w:t>
            </w:r>
            <w:r>
              <w:rPr>
                <w:rFonts w:hint="eastAsia"/>
                <w:color w:val="000000" w:themeColor="text1"/>
                <w:sz w:val="24"/>
                <w:szCs w:val="24"/>
                <w:highlight w:val="none"/>
                <w14:textFill>
                  <w14:solidFill>
                    <w14:schemeClr w14:val="tx1"/>
                  </w14:solidFill>
                </w14:textFill>
              </w:rPr>
              <w:t>）浓度不达标，超标倍数为0.075，其他指标均达到《环境空气质量标准》(GB3095-2012)二级标准要求</w:t>
            </w:r>
            <w:r>
              <w:rPr>
                <w:rFonts w:hint="default" w:ascii="Times New Roman" w:hAnsi="Times New Roman" w:cs="Times New Roman"/>
                <w:color w:val="000000" w:themeColor="text1"/>
                <w:sz w:val="24"/>
                <w:szCs w:val="24"/>
                <w:highlight w:val="none"/>
                <w14:textFill>
                  <w14:solidFill>
                    <w14:schemeClr w14:val="tx1"/>
                  </w14:solidFill>
                </w14:textFill>
              </w:rPr>
              <w:t>。</w:t>
            </w:r>
          </w:p>
          <w:p>
            <w:pPr>
              <w:adjustRightInd w:val="0"/>
              <w:snapToGrid w:val="0"/>
              <w:spacing w:line="240" w:lineRule="auto"/>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 xml:space="preserve">表3-1  </w:t>
            </w:r>
            <w:r>
              <w:rPr>
                <w:rFonts w:hint="eastAsia" w:cs="Times New Roman"/>
                <w:b/>
                <w:bCs/>
                <w:color w:val="000000" w:themeColor="text1"/>
                <w:sz w:val="21"/>
                <w:szCs w:val="21"/>
                <w:highlight w:val="none"/>
                <w:lang w:val="en-US" w:eastAsia="zh-CN"/>
                <w14:textFill>
                  <w14:solidFill>
                    <w14:schemeClr w14:val="tx1"/>
                  </w14:solidFill>
                </w14:textFill>
              </w:rPr>
              <w:t>抚宁区</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环境空气质量情况</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3216"/>
              <w:gridCol w:w="1367"/>
              <w:gridCol w:w="1367"/>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污染物</w:t>
                  </w:r>
                </w:p>
              </w:tc>
              <w:tc>
                <w:tcPr>
                  <w:tcW w:w="1923"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年评价指标</w:t>
                  </w:r>
                </w:p>
              </w:tc>
              <w:tc>
                <w:tcPr>
                  <w:tcW w:w="817"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现状浓度</w:t>
                  </w:r>
                </w:p>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μg/m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817"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标准值</w:t>
                  </w:r>
                </w:p>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μg/m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818"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SO</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p>
              </w:tc>
              <w:tc>
                <w:tcPr>
                  <w:tcW w:w="1923"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年平均质量浓度</w:t>
                  </w:r>
                </w:p>
              </w:tc>
              <w:tc>
                <w:tcPr>
                  <w:tcW w:w="817"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817"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818"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22"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NO</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p>
              </w:tc>
              <w:tc>
                <w:tcPr>
                  <w:tcW w:w="1923"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年平均质量浓度</w:t>
                  </w:r>
                </w:p>
              </w:tc>
              <w:tc>
                <w:tcPr>
                  <w:tcW w:w="817"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28</w:t>
                  </w:r>
                </w:p>
              </w:tc>
              <w:tc>
                <w:tcPr>
                  <w:tcW w:w="817"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818"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PM</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p>
              </w:tc>
              <w:tc>
                <w:tcPr>
                  <w:tcW w:w="1923"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年平均质量浓度</w:t>
                  </w:r>
                </w:p>
              </w:tc>
              <w:tc>
                <w:tcPr>
                  <w:tcW w:w="817"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817"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70</w:t>
                  </w:r>
                </w:p>
              </w:tc>
              <w:tc>
                <w:tcPr>
                  <w:tcW w:w="818"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PM</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2.5</w:t>
                  </w:r>
                </w:p>
              </w:tc>
              <w:tc>
                <w:tcPr>
                  <w:tcW w:w="1923"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年平均质量浓度</w:t>
                  </w:r>
                </w:p>
              </w:tc>
              <w:tc>
                <w:tcPr>
                  <w:tcW w:w="817"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29</w:t>
                  </w:r>
                </w:p>
              </w:tc>
              <w:tc>
                <w:tcPr>
                  <w:tcW w:w="817"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818"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CO</w:t>
                  </w:r>
                </w:p>
              </w:tc>
              <w:tc>
                <w:tcPr>
                  <w:tcW w:w="1923"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24小时平均第95位百分位数</w:t>
                  </w:r>
                </w:p>
              </w:tc>
              <w:tc>
                <w:tcPr>
                  <w:tcW w:w="817"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1.4</w:t>
                  </w:r>
                </w:p>
              </w:tc>
              <w:tc>
                <w:tcPr>
                  <w:tcW w:w="817"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818"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O</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p>
              </w:tc>
              <w:tc>
                <w:tcPr>
                  <w:tcW w:w="1923"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8小时平均第90位百分位数</w:t>
                  </w:r>
                </w:p>
              </w:tc>
              <w:tc>
                <w:tcPr>
                  <w:tcW w:w="817"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172</w:t>
                  </w:r>
                </w:p>
              </w:tc>
              <w:tc>
                <w:tcPr>
                  <w:tcW w:w="817"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160</w:t>
                  </w:r>
                </w:p>
              </w:tc>
              <w:tc>
                <w:tcPr>
                  <w:tcW w:w="818" w:type="pct"/>
                  <w:tcBorders>
                    <w:top w:val="single" w:color="auto" w:sz="4" w:space="0"/>
                    <w:left w:val="single" w:color="auto" w:sz="4" w:space="0"/>
                    <w:bottom w:val="single" w:color="auto" w:sz="4" w:space="0"/>
                    <w:right w:val="single" w:color="auto" w:sz="4" w:space="0"/>
                  </w:tcBorders>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0.075</w:t>
                  </w:r>
                </w:p>
              </w:tc>
            </w:tr>
          </w:tbl>
          <w:p>
            <w:pPr>
              <w:spacing w:line="360" w:lineRule="auto"/>
              <w:ind w:firstLine="480" w:firstLineChars="200"/>
              <w:rPr>
                <w:rFonts w:hint="eastAsia"/>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《秦皇岛市生态环境保护“十四五”规划（2021-2025年）》中指出，实施“协同开展PM</w:t>
            </w:r>
            <w:r>
              <w:rPr>
                <w:rFonts w:hint="default"/>
                <w:color w:val="000000" w:themeColor="text1"/>
                <w:sz w:val="24"/>
                <w:szCs w:val="24"/>
                <w:highlight w:val="none"/>
                <w:vertAlign w:val="subscript"/>
                <w:lang w:val="en-US" w:eastAsia="zh-CN"/>
                <w14:textFill>
                  <w14:solidFill>
                    <w14:schemeClr w14:val="tx1"/>
                  </w14:solidFill>
                </w14:textFill>
              </w:rPr>
              <w:t>2.5</w:t>
            </w:r>
            <w:r>
              <w:rPr>
                <w:rFonts w:hint="default"/>
                <w:color w:val="000000" w:themeColor="text1"/>
                <w:sz w:val="24"/>
                <w:szCs w:val="24"/>
                <w:highlight w:val="none"/>
                <w:lang w:val="en-US" w:eastAsia="zh-CN"/>
                <w14:textFill>
                  <w14:solidFill>
                    <w14:schemeClr w14:val="tx1"/>
                  </w14:solidFill>
                </w14:textFill>
              </w:rPr>
              <w:t>与臭氧污染防治、完善PM</w:t>
            </w:r>
            <w:r>
              <w:rPr>
                <w:rFonts w:hint="default"/>
                <w:color w:val="000000" w:themeColor="text1"/>
                <w:sz w:val="24"/>
                <w:szCs w:val="24"/>
                <w:highlight w:val="none"/>
                <w:vertAlign w:val="subscript"/>
                <w:lang w:val="en-US" w:eastAsia="zh-CN"/>
                <w14:textFill>
                  <w14:solidFill>
                    <w14:schemeClr w14:val="tx1"/>
                  </w14:solidFill>
                </w14:textFill>
              </w:rPr>
              <w:t>2.5</w:t>
            </w:r>
            <w:r>
              <w:rPr>
                <w:rFonts w:hint="default"/>
                <w:color w:val="000000" w:themeColor="text1"/>
                <w:sz w:val="24"/>
                <w:szCs w:val="24"/>
                <w:highlight w:val="none"/>
                <w:lang w:val="en-US" w:eastAsia="zh-CN"/>
                <w14:textFill>
                  <w14:solidFill>
                    <w14:schemeClr w14:val="tx1"/>
                  </w14:solidFill>
                </w14:textFill>
              </w:rPr>
              <w:t>与臭氧预测预报体系、强化区域大气污染综合治理”等措施，如此区域大气环境将逐步改善</w:t>
            </w:r>
            <w:r>
              <w:rPr>
                <w:rFonts w:hint="eastAsia"/>
                <w:color w:val="000000" w:themeColor="text1"/>
                <w:sz w:val="24"/>
                <w:szCs w:val="24"/>
                <w:highlight w:val="none"/>
                <w:lang w:val="en-US" w:eastAsia="zh-CN"/>
                <w14:textFill>
                  <w14:solidFill>
                    <w14:schemeClr w14:val="tx1"/>
                  </w14:solidFill>
                </w14:textFill>
              </w:rPr>
              <w:t>。</w:t>
            </w:r>
          </w:p>
          <w:p>
            <w:pPr>
              <w:pStyle w:val="2"/>
              <w:bidi w:val="0"/>
              <w:rPr>
                <w:rFonts w:hint="default" w:ascii="Times New Roman" w:hAnsi="Times New Roman" w:cs="Times New Roman"/>
                <w:color w:val="000000" w:themeColor="text1"/>
                <w:sz w:val="24"/>
                <w:szCs w:val="28"/>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 xml:space="preserve">2 声环境质量现状  </w:t>
            </w:r>
          </w:p>
          <w:p>
            <w:pPr>
              <w:bidi w:val="0"/>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本项目区域声环境质量符合《声环境质量标准》（GB3096-2008）</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7" w:type="dxa"/>
            <w:noWrap w:val="0"/>
            <w:vAlign w:val="center"/>
          </w:tcPr>
          <w:p>
            <w:pPr>
              <w:pStyle w:val="3"/>
              <w:bidi w:val="0"/>
              <w:spacing w:line="24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环境</w:t>
            </w:r>
          </w:p>
          <w:p>
            <w:pPr>
              <w:pStyle w:val="3"/>
              <w:bidi w:val="0"/>
              <w:spacing w:line="24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保护</w:t>
            </w:r>
          </w:p>
          <w:p>
            <w:pPr>
              <w:pStyle w:val="3"/>
              <w:bidi w:val="0"/>
              <w:spacing w:line="24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目标</w:t>
            </w:r>
          </w:p>
        </w:tc>
        <w:tc>
          <w:tcPr>
            <w:tcW w:w="8584" w:type="dxa"/>
            <w:noWrap w:val="0"/>
            <w:vAlign w:val="center"/>
          </w:tcPr>
          <w:p>
            <w:pPr>
              <w:pStyle w:val="2"/>
              <w:bidi w:val="0"/>
              <w:spacing w:line="360" w:lineRule="auto"/>
              <w:rPr>
                <w:rFonts w:hint="default" w:ascii="Times New Roman" w:hAnsi="Times New Roman" w:cs="Times New Roman"/>
                <w:color w:val="000000" w:themeColor="text1"/>
                <w:sz w:val="24"/>
                <w:szCs w:val="28"/>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1大气环境</w:t>
            </w:r>
          </w:p>
          <w:p>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项目位于</w:t>
            </w:r>
            <w:r>
              <w:rPr>
                <w:rFonts w:hint="default" w:ascii="Times New Roman" w:hAnsi="Times New Roman" w:cs="Times New Roman"/>
                <w:b w:val="0"/>
                <w:color w:val="000000" w:themeColor="text1"/>
                <w:kern w:val="2"/>
                <w:sz w:val="24"/>
                <w:szCs w:val="24"/>
                <w:highlight w:val="none"/>
                <w:lang w:val="en-US" w:eastAsia="zh-CN" w:bidi="ar-SA"/>
                <w14:textFill>
                  <w14:solidFill>
                    <w14:schemeClr w14:val="tx1"/>
                  </w14:solidFill>
                </w14:textFill>
              </w:rPr>
              <w:t>秦皇岛市抚宁区</w:t>
            </w:r>
            <w:r>
              <w:rPr>
                <w:rFonts w:hint="eastAsia" w:cs="Times New Roman"/>
                <w:b w:val="0"/>
                <w:color w:val="000000" w:themeColor="text1"/>
                <w:kern w:val="2"/>
                <w:sz w:val="24"/>
                <w:szCs w:val="24"/>
                <w:highlight w:val="none"/>
                <w:lang w:val="en-US" w:eastAsia="zh-CN" w:bidi="ar-SA"/>
                <w14:textFill>
                  <w14:solidFill>
                    <w14:schemeClr w14:val="tx1"/>
                  </w14:solidFill>
                </w14:textFill>
              </w:rPr>
              <w:t>留守营镇潘官营村南</w:t>
            </w:r>
            <w:r>
              <w:rPr>
                <w:rFonts w:hint="default" w:ascii="Times New Roman" w:hAnsi="Times New Roman" w:cs="Times New Roman"/>
                <w:color w:val="000000" w:themeColor="text1"/>
                <w:highlight w:val="none"/>
                <w:lang w:eastAsia="zh-CN"/>
                <w14:textFill>
                  <w14:solidFill>
                    <w14:schemeClr w14:val="tx1"/>
                  </w14:solidFill>
                </w14:textFill>
              </w:rPr>
              <w:t>，厂界500m范围</w:t>
            </w:r>
            <w:r>
              <w:rPr>
                <w:rFonts w:hint="default" w:ascii="Times New Roman" w:hAnsi="Times New Roman" w:cs="Times New Roman"/>
                <w:color w:val="000000" w:themeColor="text1"/>
                <w:sz w:val="24"/>
                <w:szCs w:val="24"/>
                <w:highlight w:val="none"/>
                <w14:textFill>
                  <w14:solidFill>
                    <w14:schemeClr w14:val="tx1"/>
                  </w14:solidFill>
                </w14:textFill>
              </w:rPr>
              <w:t>内无自然保护区、风景名胜区、文化区。主要保护目标为</w:t>
            </w:r>
            <w:r>
              <w:rPr>
                <w:rFonts w:hint="eastAsia" w:cs="Times New Roman"/>
                <w:color w:val="000000" w:themeColor="text1"/>
                <w:sz w:val="24"/>
                <w:szCs w:val="24"/>
                <w:highlight w:val="none"/>
                <w:lang w:val="en-US" w:eastAsia="zh-CN"/>
                <w14:textFill>
                  <w14:solidFill>
                    <w14:schemeClr w14:val="tx1"/>
                  </w14:solidFill>
                </w14:textFill>
              </w:rPr>
              <w:t>东北侧140m潘官营村</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pPr>
              <w:pStyle w:val="2"/>
              <w:bidi w:val="0"/>
              <w:spacing w:line="360" w:lineRule="auto"/>
              <w:rPr>
                <w:rFonts w:hint="default" w:ascii="Times New Roman" w:hAnsi="Times New Roman" w:cs="Times New Roman"/>
                <w:color w:val="000000" w:themeColor="text1"/>
                <w:sz w:val="24"/>
                <w:szCs w:val="28"/>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2声环境</w:t>
            </w:r>
          </w:p>
          <w:p>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本项目厂界外50米范围内无声环境保护目标。</w:t>
            </w:r>
          </w:p>
          <w:p>
            <w:pPr>
              <w:pStyle w:val="2"/>
              <w:bidi w:val="0"/>
              <w:spacing w:line="360" w:lineRule="auto"/>
              <w:rPr>
                <w:rFonts w:hint="default" w:ascii="Times New Roman" w:hAnsi="Times New Roman" w:cs="Times New Roman"/>
                <w:color w:val="000000" w:themeColor="text1"/>
                <w:sz w:val="24"/>
                <w:szCs w:val="28"/>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3地下水环境</w:t>
            </w:r>
          </w:p>
          <w:p>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本项目厂界外500米范围内无热水、矿泉水、温泉等特殊地下水资源</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潘官营村存在</w:t>
            </w:r>
            <w:r>
              <w:rPr>
                <w:rFonts w:hint="default" w:ascii="Times New Roman" w:hAnsi="Times New Roman" w:cs="Times New Roman"/>
                <w:color w:val="000000" w:themeColor="text1"/>
                <w:sz w:val="24"/>
                <w:szCs w:val="24"/>
                <w:highlight w:val="none"/>
                <w14:textFill>
                  <w14:solidFill>
                    <w14:schemeClr w14:val="tx1"/>
                  </w14:solidFill>
                </w14:textFill>
              </w:rPr>
              <w:t>地下水集中式饮用水水源</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主要保护目标为东北侧140m潘官营村范围地下水源</w:t>
            </w:r>
            <w:r>
              <w:rPr>
                <w:rFonts w:hint="default" w:ascii="Times New Roman" w:hAnsi="Times New Roman" w:cs="Times New Roman"/>
                <w:color w:val="000000" w:themeColor="text1"/>
                <w:sz w:val="24"/>
                <w:szCs w:val="24"/>
                <w:highlight w:val="none"/>
                <w14:textFill>
                  <w14:solidFill>
                    <w14:schemeClr w14:val="tx1"/>
                  </w14:solidFill>
                </w14:textFill>
              </w:rPr>
              <w:t>。</w:t>
            </w:r>
          </w:p>
          <w:p>
            <w:pPr>
              <w:spacing w:line="360" w:lineRule="auto"/>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主要环境保护对象为附近的居民区该项目的主要环境保护目标及保护级别见下表</w:t>
            </w:r>
            <w:r>
              <w:rPr>
                <w:rFonts w:hint="default" w:ascii="Times New Roman" w:hAnsi="Times New Roman" w:cs="Times New Roman"/>
                <w:color w:val="000000" w:themeColor="text1"/>
                <w:sz w:val="24"/>
                <w:highlight w:val="none"/>
                <w14:textFill>
                  <w14:solidFill>
                    <w14:schemeClr w14:val="tx1"/>
                  </w14:solidFill>
                </w14:textFill>
              </w:rPr>
              <w:t>。</w:t>
            </w:r>
          </w:p>
          <w:p>
            <w:pPr>
              <w:pStyle w:val="48"/>
              <w:bidi w:val="0"/>
              <w:rPr>
                <w:rFonts w:hint="default" w:ascii="Times New Roman" w:hAnsi="Times New Roman" w:eastAsia="宋体" w:cs="Times New Roman"/>
                <w:b/>
                <w:color w:val="000000" w:themeColor="text1"/>
                <w:kern w:val="21"/>
                <w:sz w:val="21"/>
                <w:szCs w:val="16"/>
                <w:highlight w:val="none"/>
                <w:lang w:val="en-US" w:eastAsia="zh-CN" w:bidi="ar-SA"/>
                <w14:textFill>
                  <w14:solidFill>
                    <w14:schemeClr w14:val="tx1"/>
                  </w14:solidFill>
                </w14:textFill>
              </w:rPr>
            </w:pPr>
          </w:p>
          <w:p>
            <w:pPr>
              <w:pStyle w:val="48"/>
              <w:bidi w:val="0"/>
              <w:rPr>
                <w:rFonts w:hint="default" w:ascii="Times New Roman" w:hAnsi="Times New Roman" w:eastAsia="宋体" w:cs="Times New Roman"/>
                <w:b/>
                <w:color w:val="000000" w:themeColor="text1"/>
                <w:kern w:val="21"/>
                <w:sz w:val="21"/>
                <w:szCs w:val="16"/>
                <w:highlight w:val="none"/>
                <w:lang w:val="en-US" w:eastAsia="zh-CN" w:bidi="ar-SA"/>
                <w14:textFill>
                  <w14:solidFill>
                    <w14:schemeClr w14:val="tx1"/>
                  </w14:solidFill>
                </w14:textFill>
              </w:rPr>
            </w:pPr>
          </w:p>
          <w:p>
            <w:pPr>
              <w:pStyle w:val="48"/>
              <w:bidi w:val="0"/>
              <w:rPr>
                <w:rFonts w:hint="default" w:ascii="Times New Roman" w:hAnsi="Times New Roman" w:eastAsia="宋体" w:cs="Times New Roman"/>
                <w:b/>
                <w:color w:val="000000" w:themeColor="text1"/>
                <w:kern w:val="21"/>
                <w:sz w:val="21"/>
                <w:szCs w:val="16"/>
                <w:highlight w:val="none"/>
                <w:lang w:val="en-US" w:eastAsia="zh-CN" w:bidi="ar-SA"/>
                <w14:textFill>
                  <w14:solidFill>
                    <w14:schemeClr w14:val="tx1"/>
                  </w14:solidFill>
                </w14:textFill>
              </w:rPr>
            </w:pPr>
          </w:p>
          <w:p>
            <w:pPr>
              <w:pStyle w:val="48"/>
              <w:bidi w:val="0"/>
              <w:rPr>
                <w:rFonts w:hint="default" w:ascii="Times New Roman" w:hAnsi="Times New Roman" w:eastAsia="宋体" w:cs="Times New Roman"/>
                <w:b/>
                <w:color w:val="000000" w:themeColor="text1"/>
                <w:kern w:val="21"/>
                <w:sz w:val="21"/>
                <w:szCs w:val="16"/>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1"/>
                <w:sz w:val="21"/>
                <w:szCs w:val="16"/>
                <w:highlight w:val="none"/>
                <w:lang w:val="en-US" w:eastAsia="zh-CN" w:bidi="ar-SA"/>
                <w14:textFill>
                  <w14:solidFill>
                    <w14:schemeClr w14:val="tx1"/>
                  </w14:solidFill>
                </w14:textFill>
              </w:rPr>
              <w:t>表</w:t>
            </w:r>
            <w:r>
              <w:rPr>
                <w:rFonts w:hint="eastAsia" w:ascii="Times New Roman" w:hAnsi="Times New Roman" w:eastAsia="宋体" w:cs="Times New Roman"/>
                <w:b/>
                <w:color w:val="000000" w:themeColor="text1"/>
                <w:kern w:val="21"/>
                <w:sz w:val="21"/>
                <w:szCs w:val="16"/>
                <w:highlight w:val="none"/>
                <w:lang w:val="en-US" w:eastAsia="zh-CN" w:bidi="ar-SA"/>
                <w14:textFill>
                  <w14:solidFill>
                    <w14:schemeClr w14:val="tx1"/>
                  </w14:solidFill>
                </w14:textFill>
              </w:rPr>
              <w:t xml:space="preserve">3-2  </w:t>
            </w:r>
            <w:r>
              <w:rPr>
                <w:rFonts w:hint="default" w:ascii="Times New Roman" w:hAnsi="Times New Roman" w:eastAsia="宋体" w:cs="Times New Roman"/>
                <w:b/>
                <w:color w:val="000000" w:themeColor="text1"/>
                <w:kern w:val="21"/>
                <w:sz w:val="21"/>
                <w:szCs w:val="16"/>
                <w:highlight w:val="none"/>
                <w:lang w:val="en-US" w:eastAsia="zh-CN" w:bidi="ar-SA"/>
                <w14:textFill>
                  <w14:solidFill>
                    <w14:schemeClr w14:val="tx1"/>
                  </w14:solidFill>
                </w14:textFill>
              </w:rPr>
              <w:t>项目主要环境保护目标和保护级别</w:t>
            </w:r>
          </w:p>
          <w:tbl>
            <w:tblPr>
              <w:tblStyle w:val="31"/>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229"/>
              <w:gridCol w:w="2799"/>
              <w:gridCol w:w="1057"/>
              <w:gridCol w:w="1475"/>
              <w:gridCol w:w="890"/>
              <w:gridCol w:w="8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8" w:hRule="atLeast"/>
                <w:tblHeader/>
                <w:jc w:val="center"/>
              </w:trPr>
              <w:tc>
                <w:tcPr>
                  <w:tcW w:w="736" w:type="pct"/>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名称</w:t>
                  </w:r>
                </w:p>
              </w:tc>
              <w:tc>
                <w:tcPr>
                  <w:tcW w:w="1676" w:type="pct"/>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坐标</w:t>
                  </w:r>
                </w:p>
              </w:tc>
              <w:tc>
                <w:tcPr>
                  <w:tcW w:w="633" w:type="pct"/>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保护</w:t>
                  </w:r>
                </w:p>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对象</w:t>
                  </w:r>
                </w:p>
              </w:tc>
              <w:tc>
                <w:tcPr>
                  <w:tcW w:w="883" w:type="pct"/>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环境功能区</w:t>
                  </w:r>
                </w:p>
              </w:tc>
              <w:tc>
                <w:tcPr>
                  <w:tcW w:w="533" w:type="pct"/>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相对厂址方位</w:t>
                  </w:r>
                </w:p>
              </w:tc>
              <w:tc>
                <w:tcPr>
                  <w:tcW w:w="537" w:type="pct"/>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相对厂界距离/m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73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潘官营村</w:t>
                  </w:r>
                </w:p>
              </w:tc>
              <w:tc>
                <w:tcPr>
                  <w:tcW w:w="1676" w:type="pct"/>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E119.277279°N39.824830°</w:t>
                  </w:r>
                </w:p>
              </w:tc>
              <w:tc>
                <w:tcPr>
                  <w:tcW w:w="633" w:type="pct"/>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村民</w:t>
                  </w:r>
                </w:p>
              </w:tc>
              <w:tc>
                <w:tcPr>
                  <w:tcW w:w="883" w:type="pct"/>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二类区</w:t>
                  </w:r>
                </w:p>
              </w:tc>
              <w:tc>
                <w:tcPr>
                  <w:tcW w:w="53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东北侧</w:t>
                  </w:r>
                </w:p>
              </w:tc>
              <w:tc>
                <w:tcPr>
                  <w:tcW w:w="53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73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潘官营村</w:t>
                  </w:r>
                </w:p>
              </w:tc>
              <w:tc>
                <w:tcPr>
                  <w:tcW w:w="1676" w:type="pct"/>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E119.277279°N39.824830°</w:t>
                  </w:r>
                </w:p>
              </w:tc>
              <w:tc>
                <w:tcPr>
                  <w:tcW w:w="633" w:type="pct"/>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地下水源</w:t>
                  </w:r>
                </w:p>
              </w:tc>
              <w:tc>
                <w:tcPr>
                  <w:tcW w:w="883" w:type="pct"/>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III类</w:t>
                  </w:r>
                </w:p>
              </w:tc>
              <w:tc>
                <w:tcPr>
                  <w:tcW w:w="53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东北侧</w:t>
                  </w:r>
                </w:p>
              </w:tc>
              <w:tc>
                <w:tcPr>
                  <w:tcW w:w="53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140</w:t>
                  </w:r>
                </w:p>
              </w:tc>
            </w:tr>
          </w:tbl>
          <w:p>
            <w:pPr>
              <w:bidi w:val="0"/>
              <w:rPr>
                <w:rFonts w:hint="default" w:ascii="Times New Roman" w:hAnsi="Times New Roman" w:eastAsia="宋体" w:cs="Times New Roman"/>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8" w:hRule="atLeast"/>
          <w:jc w:val="center"/>
        </w:trPr>
        <w:tc>
          <w:tcPr>
            <w:tcW w:w="487" w:type="dxa"/>
            <w:noWrap w:val="0"/>
            <w:tcMar>
              <w:left w:w="28" w:type="dxa"/>
              <w:right w:w="28" w:type="dxa"/>
            </w:tcMar>
            <w:vAlign w:val="center"/>
          </w:tcPr>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污染</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物排</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放控</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制标</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准</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eastAsia"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tc>
        <w:tc>
          <w:tcPr>
            <w:tcW w:w="8584" w:type="dxa"/>
            <w:noWrap w:val="0"/>
            <w:vAlign w:val="center"/>
          </w:tcPr>
          <w:p>
            <w:pPr>
              <w:pStyle w:val="2"/>
              <w:bidi w:val="0"/>
              <w:spacing w:line="360" w:lineRule="auto"/>
              <w:jc w:val="both"/>
              <w:rPr>
                <w:rFonts w:hint="default" w:ascii="Times New Roman" w:hAnsi="Times New Roman" w:cs="Times New Roman"/>
                <w:color w:val="000000" w:themeColor="text1"/>
                <w:sz w:val="24"/>
                <w:szCs w:val="28"/>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8"/>
                <w:highlight w:val="none"/>
                <w:lang w:val="en-US" w:eastAsia="zh-CN"/>
                <w14:textFill>
                  <w14:solidFill>
                    <w14:schemeClr w14:val="tx1"/>
                  </w14:solidFill>
                </w14:textFill>
              </w:rPr>
              <w:t>1 施工期</w:t>
            </w:r>
          </w:p>
          <w:p>
            <w:pPr>
              <w:bidi w:val="0"/>
              <w:spacing w:line="360" w:lineRule="auto"/>
              <w:ind w:firstLine="480" w:firstLineChars="200"/>
              <w:jc w:val="both"/>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1.噪声</w:t>
            </w:r>
          </w:p>
          <w:p>
            <w:pPr>
              <w:bidi w:val="0"/>
              <w:spacing w:line="360" w:lineRule="auto"/>
              <w:ind w:firstLine="480" w:firstLineChars="200"/>
              <w:jc w:val="both"/>
              <w:rPr>
                <w:rFonts w:hint="eastAsia"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施工期噪声执行《建筑施工场界环境噪声排放标准》（GB12523-2011）：昼间70dB(A)</w:t>
            </w:r>
            <w:r>
              <w:rPr>
                <w:rFonts w:hint="eastAsia" w:cs="Times New Roman"/>
                <w:color w:val="000000" w:themeColor="text1"/>
                <w:lang w:val="en-US" w:eastAsia="zh-CN"/>
                <w14:textFill>
                  <w14:solidFill>
                    <w14:schemeClr w14:val="tx1"/>
                  </w14:solidFill>
                </w14:textFill>
              </w:rPr>
              <w:t>。</w:t>
            </w:r>
          </w:p>
          <w:p>
            <w:pPr>
              <w:bidi w:val="0"/>
              <w:spacing w:line="360" w:lineRule="auto"/>
              <w:ind w:firstLine="480" w:firstLineChars="200"/>
              <w:jc w:val="both"/>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2.废气</w:t>
            </w:r>
          </w:p>
          <w:p>
            <w:pPr>
              <w:bidi w:val="0"/>
              <w:spacing w:line="360" w:lineRule="auto"/>
              <w:ind w:firstLine="480" w:firstLineChars="200"/>
              <w:jc w:val="both"/>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扬尘执行《施工场地扬尘排放标准》（DB13/2934-2019）：监测点颗粒物浓度限值为80µg/m</w:t>
            </w:r>
            <w:r>
              <w:rPr>
                <w:rFonts w:hint="default" w:cs="Times New Roman"/>
                <w:color w:val="000000" w:themeColor="text1"/>
                <w:vertAlign w:val="superscript"/>
                <w:lang w:val="en-US" w:eastAsia="zh-CN"/>
                <w14:textFill>
                  <w14:solidFill>
                    <w14:schemeClr w14:val="tx1"/>
                  </w14:solidFill>
                </w14:textFill>
              </w:rPr>
              <w:t>3</w:t>
            </w:r>
            <w:r>
              <w:rPr>
                <w:rFonts w:hint="default" w:cs="Times New Roman"/>
                <w:color w:val="000000" w:themeColor="text1"/>
                <w:lang w:val="en-US" w:eastAsia="zh-CN"/>
                <w14:textFill>
                  <w14:solidFill>
                    <w14:schemeClr w14:val="tx1"/>
                  </w14:solidFill>
                </w14:textFill>
              </w:rPr>
              <w:t>，监测点数量执行《施工场地扬尘排放标准》表3相关要求。</w:t>
            </w:r>
          </w:p>
          <w:p>
            <w:pPr>
              <w:pStyle w:val="2"/>
              <w:bidi w:val="0"/>
              <w:spacing w:line="360" w:lineRule="auto"/>
              <w:jc w:val="both"/>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2 运营期</w:t>
            </w:r>
          </w:p>
          <w:p>
            <w:pPr>
              <w:pStyle w:val="3"/>
              <w:bidi w:val="0"/>
              <w:spacing w:line="360" w:lineRule="auto"/>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2.1废气</w:t>
            </w:r>
          </w:p>
          <w:p>
            <w:pPr>
              <w:spacing w:line="360" w:lineRule="auto"/>
              <w:ind w:firstLine="480" w:firstLineChars="200"/>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炉渣堆放区无组织颗粒物执行《大气污染物综合排放标准》（GB16297-1996）中表2无组织排放监控浓度限值以及《秦皇岛市人民政府办公室关于执行钢铁等行业大气污染物排放特别要求的通知》（2021-10）中无组织排放浓度特别管控要求，即0.3mg/m³</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spacing w:line="240" w:lineRule="auto"/>
              <w:ind w:firstLine="422" w:firstLineChars="20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表3-3  大气污染物排放浓度一览表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1837"/>
              <w:gridCol w:w="1374"/>
              <w:gridCol w:w="3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09" w:type="pct"/>
                  <w:gridSpan w:val="2"/>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污染物名称</w:t>
                  </w:r>
                </w:p>
              </w:tc>
              <w:tc>
                <w:tcPr>
                  <w:tcW w:w="822" w:type="pct"/>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排放限值</w:t>
                  </w:r>
                </w:p>
              </w:tc>
              <w:tc>
                <w:tcPr>
                  <w:tcW w:w="2368" w:type="pct"/>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pct"/>
                  <w:vMerge w:val="restart"/>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098" w:type="pct"/>
                  <w:vMerge w:val="restart"/>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无组织（企业边界）</w:t>
                  </w:r>
                </w:p>
              </w:tc>
              <w:tc>
                <w:tcPr>
                  <w:tcW w:w="822" w:type="pct"/>
                  <w:vMerge w:val="restart"/>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0.3mg/m³</w:t>
                  </w:r>
                </w:p>
              </w:tc>
              <w:tc>
                <w:tcPr>
                  <w:tcW w:w="2368" w:type="pct"/>
                  <w:vMerge w:val="restart"/>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《大气污染物综合排放标准》（GB16297-1996）中表2无组织排放监控浓度限值以及《秦皇岛市人民政府办公室关于执行钢铁等行业大气污染物排放特别要求的通知》（2021-10）中无组织排放浓度特别管控要求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10" w:type="pct"/>
                  <w:vMerge w:val="continue"/>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98" w:type="pct"/>
                  <w:vMerge w:val="continue"/>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2" w:type="pct"/>
                  <w:vMerge w:val="continue"/>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68" w:type="pct"/>
                  <w:vMerge w:val="continue"/>
                  <w:noWrap w:val="0"/>
                  <w:vAlign w:val="center"/>
                </w:tcPr>
                <w:p>
                  <w:pPr>
                    <w:pStyle w:val="93"/>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pPr>
              <w:pStyle w:val="3"/>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2.2噪声</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设备噪声排放执行《工业企业厂界环境噪声排放标准》(GB12348—2008)中的</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类标准，昼间≤</w:t>
            </w:r>
            <w:r>
              <w:rPr>
                <w:rFonts w:hint="eastAsia" w:ascii="Times New Roman" w:hAnsi="Times New Roman" w:cs="Times New Roman"/>
                <w:color w:val="000000" w:themeColor="text1"/>
                <w:highlight w:val="none"/>
                <w:lang w:val="en-US" w:eastAsia="zh-CN"/>
                <w14:textFill>
                  <w14:solidFill>
                    <w14:schemeClr w14:val="tx1"/>
                  </w14:solidFill>
                </w14:textFill>
              </w:rPr>
              <w:t>65</w:t>
            </w:r>
            <w:r>
              <w:rPr>
                <w:rFonts w:hint="default" w:ascii="Times New Roman" w:hAnsi="Times New Roman" w:cs="Times New Roman"/>
                <w:color w:val="000000" w:themeColor="text1"/>
                <w:highlight w:val="none"/>
                <w:lang w:val="en-US" w:eastAsia="zh-CN"/>
                <w14:textFill>
                  <w14:solidFill>
                    <w14:schemeClr w14:val="tx1"/>
                  </w14:solidFill>
                </w14:textFill>
              </w:rPr>
              <w:t>dB(A)</w:t>
            </w:r>
            <w:r>
              <w:rPr>
                <w:rFonts w:hint="eastAsia" w:ascii="Times New Roman" w:hAnsi="Times New Roman" w:cs="Times New Roman"/>
                <w:color w:val="000000" w:themeColor="text1"/>
                <w:highlight w:val="none"/>
                <w:lang w:val="en-US" w:eastAsia="zh-CN"/>
                <w14:textFill>
                  <w14:solidFill>
                    <w14:schemeClr w14:val="tx1"/>
                  </w14:solidFill>
                </w14:textFill>
              </w:rPr>
              <w:t>，夜间不生产</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3"/>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2.3 固体废物</w:t>
            </w:r>
          </w:p>
          <w:p>
            <w:pPr>
              <w:pStyle w:val="47"/>
              <w:bidi w:val="0"/>
              <w:rPr>
                <w:rFonts w:hint="eastAsia" w:ascii="Times New Roman" w:hAnsi="Times New Roman" w:eastAsia="宋体" w:cs="Times New Roman"/>
                <w:color w:val="000000" w:themeColor="text1"/>
                <w:highlight w:val="none"/>
                <w:lang w:eastAsia="zh-CN"/>
                <w14:textFill>
                  <w14:solidFill>
                    <w14:schemeClr w14:val="tx1"/>
                  </w14:solidFill>
                </w14:textFill>
              </w:rPr>
            </w:pPr>
            <w:r>
              <w:rPr>
                <w:color w:val="000000" w:themeColor="text1"/>
                <w14:textFill>
                  <w14:solidFill>
                    <w14:schemeClr w14:val="tx1"/>
                  </w14:solidFill>
                </w14:textFill>
              </w:rPr>
              <w:t>一般工业固体废物</w:t>
            </w:r>
            <w:r>
              <w:rPr>
                <w:rFonts w:hint="eastAsia"/>
                <w:color w:val="000000" w:themeColor="text1"/>
                <w:lang w:val="en-US" w:eastAsia="zh-CN"/>
                <w14:textFill>
                  <w14:solidFill>
                    <w14:schemeClr w14:val="tx1"/>
                  </w14:solidFill>
                </w14:textFill>
              </w:rPr>
              <w:t>满足防渗漏、防扬散、防雨淋要求</w:t>
            </w:r>
            <w:r>
              <w:rPr>
                <w:color w:val="000000" w:themeColor="text1"/>
                <w14:textFill>
                  <w14:solidFill>
                    <w14:schemeClr w14:val="tx1"/>
                  </w14:solidFill>
                </w14:textFill>
              </w:rPr>
              <w:t>；危险废物执行《危险废物贮存污染控制标准》（GB18597-2001）及其修改单要求</w:t>
            </w:r>
            <w:r>
              <w:rPr>
                <w:rFonts w:hint="eastAsia"/>
                <w:color w:val="000000" w:themeColor="text1"/>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60" w:hRule="atLeast"/>
          <w:jc w:val="center"/>
        </w:trPr>
        <w:tc>
          <w:tcPr>
            <w:tcW w:w="487" w:type="dxa"/>
            <w:noWrap w:val="0"/>
            <w:vAlign w:val="center"/>
          </w:tcPr>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总量</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控制</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指标</w:t>
            </w:r>
          </w:p>
        </w:tc>
        <w:tc>
          <w:tcPr>
            <w:tcW w:w="8584" w:type="dxa"/>
            <w:noWrap w:val="0"/>
            <w:vAlign w:val="center"/>
          </w:tcPr>
          <w:p>
            <w:pPr>
              <w:pStyle w:val="47"/>
              <w:bidi w:val="0"/>
              <w:rPr>
                <w:rFonts w:hint="default" w:ascii="Times New Roman" w:hAnsi="Times New Roman" w:cs="Times New Roman"/>
                <w:b w:val="0"/>
                <w:color w:val="000000" w:themeColor="text1"/>
                <w:kern w:val="2"/>
                <w:position w:val="-52"/>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环境保护十三五计划实施总量控制的污染物种类，结合当地的环境质量现状及建设项目污染物排放特征，按照最大限度减少污染物排放量及区域污染物排放总量原则，该项目实行总量控制的污染物为COD、氨氮、S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X</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、VOC。本项目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COD、氨氮、SO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、NO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X</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、VOC</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均为0。</w:t>
            </w:r>
          </w:p>
        </w:tc>
      </w:tr>
    </w:tbl>
    <w:p>
      <w:pPr>
        <w:pStyle w:val="2"/>
        <w:bidi w:val="0"/>
        <w:jc w:val="center"/>
        <w:rPr>
          <w:rFonts w:hint="default" w:ascii="黑体" w:hAnsi="黑体" w:eastAsia="黑体" w:cs="黑体"/>
          <w:b w:val="0"/>
          <w:bCs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6"/>
          <w:szCs w:val="36"/>
          <w:highlight w:val="none"/>
          <w14:textFill>
            <w14:solidFill>
              <w14:schemeClr w14:val="tx1"/>
            </w14:solidFill>
          </w14:textFill>
        </w:rPr>
        <w:br w:type="page"/>
      </w:r>
      <w:r>
        <w:rPr>
          <w:rFonts w:hint="default" w:ascii="黑体" w:hAnsi="黑体" w:eastAsia="黑体" w:cs="黑体"/>
          <w:b w:val="0"/>
          <w:bCs w:val="0"/>
          <w:color w:val="000000" w:themeColor="text1"/>
          <w:sz w:val="30"/>
          <w:szCs w:val="30"/>
          <w:highlight w:val="none"/>
          <w14:textFill>
            <w14:solidFill>
              <w14:schemeClr w14:val="tx1"/>
            </w14:solidFill>
          </w14:textFill>
        </w:rPr>
        <w:t>四、主要环境影响和保护措施</w:t>
      </w:r>
    </w:p>
    <w:tbl>
      <w:tblPr>
        <w:tblStyle w:val="31"/>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2"/>
        <w:gridCol w:w="86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7" w:hRule="atLeast"/>
          <w:jc w:val="center"/>
        </w:trPr>
        <w:tc>
          <w:tcPr>
            <w:tcW w:w="442" w:type="dxa"/>
            <w:noWrap w:val="0"/>
            <w:tcMar>
              <w:left w:w="28" w:type="dxa"/>
              <w:right w:w="28" w:type="dxa"/>
            </w:tcMar>
            <w:vAlign w:val="center"/>
          </w:tcPr>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施</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工</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期</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环</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境</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保</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护</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措</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施</w:t>
            </w:r>
          </w:p>
        </w:tc>
        <w:tc>
          <w:tcPr>
            <w:tcW w:w="8629" w:type="dxa"/>
            <w:noWrap w:val="0"/>
            <w:vAlign w:val="center"/>
          </w:tcPr>
          <w:p>
            <w:pPr>
              <w:adjustRightInd w:val="0"/>
              <w:snapToGrid w:val="0"/>
              <w:spacing w:line="360" w:lineRule="auto"/>
              <w:ind w:firstLine="480" w:firstLineChars="200"/>
              <w:rPr>
                <w:rFonts w:hint="eastAsia"/>
                <w:color w:val="000000" w:themeColor="text1"/>
                <w:kern w:val="0"/>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目前企业钢结构厂房已完成搭建，仅涉及后续的车间内地面硬化以及生产设备安装</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施工期的影响是暂时的，企业不涉及土建等施工，对于周围环境影响较小，不在此进行分析</w:t>
            </w:r>
            <w:r>
              <w:rPr>
                <w:rFonts w:hint="eastAsia"/>
                <w:color w:val="000000" w:themeColor="text1"/>
                <w:sz w:val="24"/>
                <w:szCs w:val="24"/>
                <w:highlight w:val="none"/>
                <w14:textFill>
                  <w14:solidFill>
                    <w14:schemeClr w14:val="tx1"/>
                  </w14:solidFill>
                </w14:textFill>
              </w:rPr>
              <w:t>。</w:t>
            </w:r>
          </w:p>
          <w:p>
            <w:pPr>
              <w:adjustRightInd w:val="0"/>
              <w:snapToGrid w:val="0"/>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45" w:hRule="atLeast"/>
          <w:jc w:val="center"/>
        </w:trPr>
        <w:tc>
          <w:tcPr>
            <w:tcW w:w="442" w:type="dxa"/>
            <w:noWrap w:val="0"/>
            <w:tcMar>
              <w:left w:w="28" w:type="dxa"/>
              <w:right w:w="28" w:type="dxa"/>
            </w:tcMar>
            <w:vAlign w:val="center"/>
          </w:tcPr>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5"/>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5"/>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5"/>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运营</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期环</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境影</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响和</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保护</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措施</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5"/>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5"/>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运营</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期环</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境影</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响和</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保护</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措施</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both"/>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运营</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期环</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境影</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响和</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保护</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措施</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运营</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期环</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境影</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响和</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保护</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措施</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运营</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期环</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境影</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响和</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保护</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措施</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运营</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期环</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境影</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响和</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保护</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措施</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运营</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期环</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境影</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响和</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保护</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措施</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运营</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期环</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境影</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响和</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保护</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措施</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运营</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期环</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境影</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响和</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保护</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措施</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运营</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期环</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境影</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响和</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保护</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措施</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运营</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期环</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境影</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响和</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保护</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措施</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运营</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期环</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境影</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响和</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保护</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措施</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运营</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期环</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境影</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响和</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保护</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措施</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both"/>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运营</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期环</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境影</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响和</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保护</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措施</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运营</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期环</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境影</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响和</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保护</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措施</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rPr>
                <w:rFonts w:hint="default"/>
                <w:color w:val="000000" w:themeColor="text1"/>
                <w:lang w:val="en-US" w:eastAsia="zh-CN"/>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运营</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期环</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境影</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响和</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保护</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措施</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pStyle w:val="2"/>
              <w:spacing w:line="240" w:lineRule="auto"/>
              <w:ind w:left="0" w:leftChars="0" w:firstLine="0" w:firstLineChars="0"/>
              <w:jc w:val="both"/>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运营</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期环</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境影</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响和</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保护</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t>措施</w:t>
            </w: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p>
            <w:pPr>
              <w:pStyle w:val="2"/>
              <w:spacing w:line="240" w:lineRule="auto"/>
              <w:ind w:left="0" w:leftChars="0" w:firstLine="0" w:firstLineChars="0"/>
              <w:jc w:val="center"/>
              <w:rPr>
                <w:rFonts w:hint="default" w:ascii="Times New Roman" w:hAnsi="Times New Roman" w:eastAsia="宋体" w:cs="Times New Roman"/>
                <w:b/>
                <w:bCs w:val="0"/>
                <w:color w:val="000000" w:themeColor="text1"/>
                <w:kern w:val="2"/>
                <w:sz w:val="24"/>
                <w:szCs w:val="21"/>
                <w:highlight w:val="none"/>
                <w:lang w:val="en-US" w:eastAsia="zh-CN" w:bidi="ar-SA"/>
                <w14:textFill>
                  <w14:solidFill>
                    <w14:schemeClr w14:val="tx1"/>
                  </w14:solidFill>
                </w14:textFill>
              </w:rPr>
            </w:pPr>
          </w:p>
        </w:tc>
        <w:tc>
          <w:tcPr>
            <w:tcW w:w="8629" w:type="dxa"/>
            <w:noWrap w:val="0"/>
            <w:vAlign w:val="center"/>
          </w:tcPr>
          <w:p>
            <w:pPr>
              <w:pStyle w:val="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1 </w:t>
            </w:r>
            <w:r>
              <w:rPr>
                <w:rFonts w:hint="default" w:ascii="Times New Roman" w:hAnsi="Times New Roman" w:cs="Times New Roman"/>
                <w:color w:val="000000" w:themeColor="text1"/>
                <w14:textFill>
                  <w14:solidFill>
                    <w14:schemeClr w14:val="tx1"/>
                  </w14:solidFill>
                </w14:textFill>
              </w:rPr>
              <w:t>大气环境影响分析</w:t>
            </w:r>
          </w:p>
          <w:p>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本项目使用的炉渣</w:t>
            </w:r>
            <w:r>
              <w:rPr>
                <w:rFonts w:hint="eastAsia" w:ascii="宋体" w:hAnsi="宋体" w:cs="宋体"/>
                <w:color w:val="000000" w:themeColor="text1"/>
                <w:sz w:val="24"/>
                <w:szCs w:val="24"/>
                <w:lang w:val="en-US" w:eastAsia="zh-CN"/>
                <w14:textFill>
                  <w14:solidFill>
                    <w14:schemeClr w14:val="tx1"/>
                  </w14:solidFill>
                </w14:textFill>
              </w:rPr>
              <w:t>为</w:t>
            </w:r>
            <w:r>
              <w:rPr>
                <w:rFonts w:hint="eastAsia" w:eastAsia="宋体"/>
                <w:color w:val="000000" w:themeColor="text1"/>
                <w14:textFill>
                  <w14:solidFill>
                    <w14:schemeClr w14:val="tx1"/>
                  </w14:solidFill>
                </w14:textFill>
              </w:rPr>
              <w:t>生活垃圾焚烧发电厂</w:t>
            </w:r>
            <w:r>
              <w:rPr>
                <w:rFonts w:eastAsia="宋体"/>
                <w:color w:val="000000" w:themeColor="text1"/>
                <w14:textFill>
                  <w14:solidFill>
                    <w14:schemeClr w14:val="tx1"/>
                  </w14:solidFill>
                </w14:textFill>
              </w:rPr>
              <w:t>垃圾焚烧炉渣</w:t>
            </w:r>
            <w:r>
              <w:rPr>
                <w:rFonts w:ascii="宋体" w:hAnsi="宋体" w:eastAsia="宋体" w:cs="宋体"/>
                <w:color w:val="000000" w:themeColor="text1"/>
                <w:sz w:val="24"/>
                <w:szCs w:val="24"/>
                <w14:textFill>
                  <w14:solidFill>
                    <w14:schemeClr w14:val="tx1"/>
                  </w14:solidFill>
                </w14:textFill>
              </w:rPr>
              <w:t>，炉渣含水率约为</w:t>
            </w:r>
            <w:r>
              <w:rPr>
                <w:rFonts w:hint="eastAsia" w:ascii="宋体" w:hAnsi="宋体" w:eastAsia="宋体" w:cs="宋体"/>
                <w:color w:val="000000" w:themeColor="text1"/>
                <w:sz w:val="24"/>
                <w:szCs w:val="24"/>
                <w:lang w:val="en-US" w:eastAsia="zh-CN"/>
                <w14:textFill>
                  <w14:solidFill>
                    <w14:schemeClr w14:val="tx1"/>
                  </w14:solidFill>
                </w14:textFill>
              </w:rPr>
              <w:t>30</w:t>
            </w:r>
            <w:r>
              <w:rPr>
                <w:rFonts w:ascii="宋体" w:hAnsi="宋体" w:eastAsia="宋体" w:cs="宋体"/>
                <w:color w:val="000000" w:themeColor="text1"/>
                <w:sz w:val="24"/>
                <w:szCs w:val="24"/>
                <w14:textFill>
                  <w14:solidFill>
                    <w14:schemeClr w14:val="tx1"/>
                  </w14:solidFill>
                </w14:textFill>
              </w:rPr>
              <w:t>%，厂外道路运输过程采用密闭车辆运输</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并采取苫布加盖措施</w:t>
            </w:r>
            <w:r>
              <w:rPr>
                <w:rFonts w:ascii="宋体" w:hAnsi="宋体" w:eastAsia="宋体" w:cs="宋体"/>
                <w:color w:val="000000" w:themeColor="text1"/>
                <w:sz w:val="24"/>
                <w:szCs w:val="24"/>
                <w14:textFill>
                  <w14:solidFill>
                    <w14:schemeClr w14:val="tx1"/>
                  </w14:solidFill>
                </w14:textFill>
              </w:rPr>
              <w:t>，车间内炉渣输送也采用皮带运输，</w:t>
            </w:r>
            <w:r>
              <w:rPr>
                <w:rFonts w:hint="eastAsia" w:ascii="宋体" w:hAnsi="宋体" w:cs="宋体"/>
                <w:color w:val="000000" w:themeColor="text1"/>
                <w:sz w:val="24"/>
                <w:szCs w:val="24"/>
                <w:lang w:val="en-US" w:eastAsia="zh-CN"/>
                <w14:textFill>
                  <w14:solidFill>
                    <w14:schemeClr w14:val="tx1"/>
                  </w14:solidFill>
                </w14:textFill>
              </w:rPr>
              <w:t>给料采用铲车上料，考虑原料含水率较大，</w:t>
            </w:r>
            <w:r>
              <w:rPr>
                <w:rFonts w:ascii="宋体" w:hAnsi="宋体" w:eastAsia="宋体" w:cs="宋体"/>
                <w:color w:val="000000" w:themeColor="text1"/>
                <w:sz w:val="24"/>
                <w:szCs w:val="24"/>
                <w14:textFill>
                  <w14:solidFill>
                    <w14:schemeClr w14:val="tx1"/>
                  </w14:solidFill>
                </w14:textFill>
              </w:rPr>
              <w:t>不易起尘。分选出的成品砂在</w:t>
            </w:r>
            <w:r>
              <w:rPr>
                <w:rFonts w:hint="eastAsia" w:ascii="宋体" w:hAnsi="宋体" w:eastAsia="宋体" w:cs="宋体"/>
                <w:color w:val="000000" w:themeColor="text1"/>
                <w:sz w:val="24"/>
                <w:szCs w:val="24"/>
                <w:lang w:val="en-US" w:eastAsia="zh-CN"/>
                <w14:textFill>
                  <w14:solidFill>
                    <w14:schemeClr w14:val="tx1"/>
                  </w14:solidFill>
                </w14:textFill>
              </w:rPr>
              <w:t>成品</w:t>
            </w:r>
            <w:r>
              <w:rPr>
                <w:rFonts w:ascii="宋体" w:hAnsi="宋体" w:eastAsia="宋体" w:cs="宋体"/>
                <w:color w:val="000000" w:themeColor="text1"/>
                <w:sz w:val="24"/>
                <w:szCs w:val="24"/>
                <w14:textFill>
                  <w14:solidFill>
                    <w14:schemeClr w14:val="tx1"/>
                  </w14:solidFill>
                </w14:textFill>
              </w:rPr>
              <w:t>砂堆存区沥干水分，此时</w:t>
            </w:r>
            <w:r>
              <w:rPr>
                <w:rFonts w:hint="eastAsia" w:ascii="宋体" w:hAnsi="宋体" w:eastAsia="宋体" w:cs="宋体"/>
                <w:color w:val="000000" w:themeColor="text1"/>
                <w:sz w:val="24"/>
                <w:szCs w:val="24"/>
                <w:lang w:val="en-US" w:eastAsia="zh-CN"/>
                <w14:textFill>
                  <w14:solidFill>
                    <w14:schemeClr w14:val="tx1"/>
                  </w14:solidFill>
                </w14:textFill>
              </w:rPr>
              <w:t>成品</w:t>
            </w:r>
            <w:r>
              <w:rPr>
                <w:rFonts w:ascii="宋体" w:hAnsi="宋体" w:eastAsia="宋体" w:cs="宋体"/>
                <w:color w:val="000000" w:themeColor="text1"/>
                <w:sz w:val="24"/>
                <w:szCs w:val="24"/>
                <w14:textFill>
                  <w14:solidFill>
                    <w14:schemeClr w14:val="tx1"/>
                  </w14:solidFill>
                </w14:textFill>
              </w:rPr>
              <w:t>砂含水率约为</w:t>
            </w:r>
            <w:r>
              <w:rPr>
                <w:rFonts w:hint="eastAsia" w:ascii="宋体" w:hAnsi="宋体" w:cs="宋体"/>
                <w:color w:val="000000" w:themeColor="text1"/>
                <w:sz w:val="24"/>
                <w:szCs w:val="24"/>
                <w:lang w:val="en-US" w:eastAsia="zh-CN"/>
                <w14:textFill>
                  <w14:solidFill>
                    <w14:schemeClr w14:val="tx1"/>
                  </w14:solidFill>
                </w14:textFill>
              </w:rPr>
              <w:t>15</w:t>
            </w:r>
            <w:r>
              <w:rPr>
                <w:rFonts w:ascii="宋体" w:hAnsi="宋体" w:eastAsia="宋体" w:cs="宋体"/>
                <w:color w:val="000000" w:themeColor="text1"/>
                <w:sz w:val="24"/>
                <w:szCs w:val="24"/>
                <w14:textFill>
                  <w14:solidFill>
                    <w14:schemeClr w14:val="tx1"/>
                  </w14:solidFill>
                </w14:textFill>
              </w:rPr>
              <w:t>%，堆存过程不易起尘。原料炉渣在筛分及破碎</w:t>
            </w:r>
            <w:r>
              <w:rPr>
                <w:rFonts w:hint="eastAsia" w:ascii="宋体" w:hAnsi="宋体" w:eastAsia="宋体" w:cs="宋体"/>
                <w:color w:val="000000" w:themeColor="text1"/>
                <w:sz w:val="24"/>
                <w:szCs w:val="24"/>
                <w:lang w:val="en-US" w:eastAsia="zh-CN"/>
                <w14:textFill>
                  <w14:solidFill>
                    <w14:schemeClr w14:val="tx1"/>
                  </w14:solidFill>
                </w14:textFill>
              </w:rPr>
              <w:t>等</w:t>
            </w:r>
            <w:r>
              <w:rPr>
                <w:rFonts w:ascii="宋体" w:hAnsi="宋体" w:eastAsia="宋体" w:cs="宋体"/>
                <w:color w:val="000000" w:themeColor="text1"/>
                <w:sz w:val="24"/>
                <w:szCs w:val="24"/>
                <w14:textFill>
                  <w14:solidFill>
                    <w14:schemeClr w14:val="tx1"/>
                  </w14:solidFill>
                </w14:textFill>
              </w:rPr>
              <w:t>过程</w:t>
            </w:r>
            <w:r>
              <w:rPr>
                <w:rFonts w:hint="eastAsia" w:ascii="宋体" w:hAnsi="宋体" w:eastAsia="宋体" w:cs="宋体"/>
                <w:color w:val="000000" w:themeColor="text1"/>
                <w:sz w:val="24"/>
                <w:szCs w:val="24"/>
                <w:lang w:val="en-US" w:eastAsia="zh-CN"/>
                <w14:textFill>
                  <w14:solidFill>
                    <w14:schemeClr w14:val="tx1"/>
                  </w14:solidFill>
                </w14:textFill>
              </w:rPr>
              <w:t>均为湿法作业</w:t>
            </w:r>
            <w:r>
              <w:rPr>
                <w:rFonts w:ascii="宋体" w:hAnsi="宋体" w:eastAsia="宋体" w:cs="宋体"/>
                <w:color w:val="000000" w:themeColor="text1"/>
                <w:sz w:val="24"/>
                <w:szCs w:val="24"/>
                <w14:textFill>
                  <w14:solidFill>
                    <w14:schemeClr w14:val="tx1"/>
                  </w14:solidFill>
                </w14:textFill>
              </w:rPr>
              <w:t>，炉渣相当于泡在水里</w:t>
            </w:r>
            <w:r>
              <w:rPr>
                <w:rFonts w:hint="eastAsia" w:ascii="宋体" w:hAnsi="宋体" w:eastAsia="宋体" w:cs="宋体"/>
                <w:color w:val="000000" w:themeColor="text1"/>
                <w:sz w:val="24"/>
                <w:szCs w:val="24"/>
                <w:lang w:val="en-US" w:eastAsia="zh-CN"/>
                <w14:textFill>
                  <w14:solidFill>
                    <w14:schemeClr w14:val="tx1"/>
                  </w14:solidFill>
                </w14:textFill>
              </w:rPr>
              <w:t>进行加工利用</w:t>
            </w:r>
            <w:r>
              <w:rPr>
                <w:rFonts w:ascii="宋体" w:hAnsi="宋体" w:eastAsia="宋体" w:cs="宋体"/>
                <w:color w:val="000000" w:themeColor="text1"/>
                <w:sz w:val="24"/>
                <w:szCs w:val="24"/>
                <w14:textFill>
                  <w14:solidFill>
                    <w14:schemeClr w14:val="tx1"/>
                  </w14:solidFill>
                </w14:textFill>
              </w:rPr>
              <w:t>，生产过程中可以看到有明显的水流，无粉尘产生。综上，项目营运期废气污染源主要是</w:t>
            </w:r>
            <w:r>
              <w:rPr>
                <w:rFonts w:hint="eastAsia" w:ascii="宋体" w:hAnsi="宋体" w:eastAsia="宋体" w:cs="宋体"/>
                <w:color w:val="000000" w:themeColor="text1"/>
                <w:sz w:val="24"/>
                <w:szCs w:val="24"/>
                <w:lang w:val="en-US" w:eastAsia="zh-CN"/>
                <w14:textFill>
                  <w14:solidFill>
                    <w14:schemeClr w14:val="tx1"/>
                  </w14:solidFill>
                </w14:textFill>
              </w:rPr>
              <w:t>炉渣堆放</w:t>
            </w:r>
            <w:r>
              <w:rPr>
                <w:rFonts w:hint="eastAsia" w:ascii="宋体" w:hAnsi="宋体" w:cs="宋体"/>
                <w:color w:val="000000" w:themeColor="text1"/>
                <w:sz w:val="24"/>
                <w:szCs w:val="24"/>
                <w:lang w:val="en-US" w:eastAsia="zh-CN"/>
                <w14:textFill>
                  <w14:solidFill>
                    <w14:schemeClr w14:val="tx1"/>
                  </w14:solidFill>
                </w14:textFill>
              </w:rPr>
              <w:t>粉尘</w:t>
            </w:r>
            <w:r>
              <w:rPr>
                <w:rFonts w:hint="default" w:ascii="Times New Roman" w:hAnsi="Times New Roman" w:cs="Times New Roman"/>
                <w:color w:val="000000" w:themeColor="text1"/>
                <w:lang w:val="en-US" w:eastAsia="zh-CN"/>
                <w14:textFill>
                  <w14:solidFill>
                    <w14:schemeClr w14:val="tx1"/>
                  </w14:solidFill>
                </w14:textFill>
              </w:rPr>
              <w:t>。</w:t>
            </w:r>
          </w:p>
          <w:p>
            <w:pPr>
              <w:pStyle w:val="26"/>
              <w:spacing w:line="360" w:lineRule="auto"/>
              <w:ind w:left="0" w:leftChars="0" w:firstLine="0" w:firstLineChars="0"/>
              <w:rPr>
                <w:rFonts w:hint="default" w:ascii="Times New Roman" w:hAnsi="Times New Roman" w:eastAsia="宋体" w:cs="Times New Roman"/>
                <w:b/>
                <w:bCs/>
                <w:color w:val="000000" w:themeColor="text1"/>
                <w:kern w:val="2"/>
                <w:sz w:val="24"/>
                <w:szCs w:val="32"/>
                <w:lang w:val="en-US" w:eastAsia="zh-CN" w:bidi="ar-SA"/>
                <w14:textFill>
                  <w14:solidFill>
                    <w14:schemeClr w14:val="tx1"/>
                  </w14:solidFill>
                </w14:textFill>
              </w:rPr>
            </w:pPr>
            <w:r>
              <w:rPr>
                <w:rFonts w:hint="default" w:eastAsia="宋体" w:cs="Times New Roman"/>
                <w:b/>
                <w:bCs/>
                <w:color w:val="000000" w:themeColor="text1"/>
                <w:kern w:val="2"/>
                <w:sz w:val="24"/>
                <w:szCs w:val="32"/>
                <w:lang w:val="en-US" w:eastAsia="zh-CN" w:bidi="ar-SA"/>
                <w14:textFill>
                  <w14:solidFill>
                    <w14:schemeClr w14:val="tx1"/>
                  </w14:solidFill>
                </w14:textFill>
              </w:rPr>
              <w:t>1.</w:t>
            </w:r>
            <w:r>
              <w:rPr>
                <w:rFonts w:hint="default" w:ascii="Times New Roman" w:hAnsi="Times New Roman" w:eastAsia="宋体" w:cs="Times New Roman"/>
                <w:b/>
                <w:bCs/>
                <w:color w:val="000000" w:themeColor="text1"/>
                <w:kern w:val="2"/>
                <w:sz w:val="24"/>
                <w:szCs w:val="32"/>
                <w:lang w:val="en-US" w:eastAsia="zh-CN" w:bidi="ar-SA"/>
                <w14:textFill>
                  <w14:solidFill>
                    <w14:schemeClr w14:val="tx1"/>
                  </w14:solidFill>
                </w14:textFill>
              </w:rPr>
              <w:t>1污染源强核算</w:t>
            </w:r>
          </w:p>
          <w:p>
            <w:pPr>
              <w:spacing w:line="360" w:lineRule="auto"/>
              <w:ind w:firstLine="480" w:firstLineChars="200"/>
              <w:jc w:val="both"/>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炉渣堆放</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炉渣堆放区</w:t>
            </w:r>
            <w:r>
              <w:rPr>
                <w:rFonts w:hint="default" w:ascii="Times New Roman" w:hAnsi="Times New Roman" w:eastAsia="宋体" w:cs="Times New Roman"/>
                <w:color w:val="000000" w:themeColor="text1"/>
                <w:sz w:val="24"/>
                <w:szCs w:val="24"/>
                <w14:textFill>
                  <w14:solidFill>
                    <w14:schemeClr w14:val="tx1"/>
                  </w14:solidFill>
                </w14:textFill>
              </w:rPr>
              <w:t>设置在炉渣处理车间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内</w:t>
            </w:r>
            <w:r>
              <w:rPr>
                <w:rFonts w:hint="default" w:ascii="Times New Roman" w:hAnsi="Times New Roman" w:eastAsia="宋体" w:cs="Times New Roman"/>
                <w:color w:val="000000" w:themeColor="text1"/>
                <w:sz w:val="24"/>
                <w:szCs w:val="24"/>
                <w14:textFill>
                  <w14:solidFill>
                    <w14:schemeClr w14:val="tx1"/>
                  </w14:solidFill>
                </w14:textFill>
              </w:rPr>
              <w:t>。运输车进厂到炉渣堆放区，炉渣卸料过程中会产生卸料粉尘。</w:t>
            </w:r>
            <w:r>
              <w:rPr>
                <w:rFonts w:hint="eastAsia" w:cs="Times New Roman"/>
                <w:color w:val="000000" w:themeColor="text1"/>
                <w:sz w:val="24"/>
                <w:szCs w:val="24"/>
                <w:lang w:val="en-US" w:eastAsia="zh-CN"/>
                <w14:textFill>
                  <w14:solidFill>
                    <w14:schemeClr w14:val="tx1"/>
                  </w14:solidFill>
                </w14:textFill>
              </w:rPr>
              <w:t>炉渣原料含水率30%，不易起尘</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但考虑堆存时间过长会产生少量粉尘，</w:t>
            </w:r>
            <w:r>
              <w:rPr>
                <w:rFonts w:hint="default" w:ascii="Times New Roman" w:hAnsi="Times New Roman" w:eastAsia="宋体" w:cs="Times New Roman"/>
                <w:color w:val="000000" w:themeColor="text1"/>
                <w:sz w:val="24"/>
                <w:szCs w:val="24"/>
                <w14:textFill>
                  <w14:solidFill>
                    <w14:schemeClr w14:val="tx1"/>
                  </w14:solidFill>
                </w14:textFill>
              </w:rPr>
              <w:t>卸料粉尘产生量</w:t>
            </w:r>
            <w:r>
              <w:rPr>
                <w:rFonts w:hint="eastAsia" w:cs="Times New Roman"/>
                <w:color w:val="000000" w:themeColor="text1"/>
                <w:sz w:val="24"/>
                <w:szCs w:val="24"/>
                <w:lang w:val="en-US" w:eastAsia="zh-CN"/>
                <w14:textFill>
                  <w14:solidFill>
                    <w14:schemeClr w14:val="tx1"/>
                  </w14:solidFill>
                </w14:textFill>
              </w:rPr>
              <w:t>按照0.0007</w:t>
            </w:r>
            <w:r>
              <w:rPr>
                <w:rFonts w:hint="default" w:ascii="Times New Roman" w:hAnsi="Times New Roman" w:eastAsia="宋体" w:cs="Times New Roman"/>
                <w:color w:val="000000" w:themeColor="text1"/>
                <w:sz w:val="24"/>
                <w:szCs w:val="24"/>
                <w14:textFill>
                  <w14:solidFill>
                    <w14:schemeClr w14:val="tx1"/>
                  </w14:solidFill>
                </w14:textFill>
              </w:rPr>
              <w:t>kg/t</w:t>
            </w:r>
            <w:r>
              <w:rPr>
                <w:rFonts w:hint="eastAsia" w:cs="Times New Roman"/>
                <w:color w:val="000000" w:themeColor="text1"/>
                <w:sz w:val="24"/>
                <w:szCs w:val="24"/>
                <w:lang w:val="en-US" w:eastAsia="zh-CN"/>
                <w14:textFill>
                  <w14:solidFill>
                    <w14:schemeClr w14:val="tx1"/>
                  </w14:solidFill>
                </w14:textFill>
              </w:rPr>
              <w:t>计算</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按照</w:t>
            </w:r>
            <w:r>
              <w:rPr>
                <w:rFonts w:hint="default" w:ascii="Times New Roman" w:hAnsi="Times New Roman" w:eastAsia="宋体" w:cs="Times New Roman"/>
                <w:color w:val="000000" w:themeColor="text1"/>
                <w:sz w:val="24"/>
                <w:szCs w:val="24"/>
                <w14:textFill>
                  <w14:solidFill>
                    <w14:schemeClr w14:val="tx1"/>
                  </w14:solidFill>
                </w14:textFill>
              </w:rPr>
              <w:t>项目年卸炉渣</w:t>
            </w:r>
            <w:r>
              <w:rPr>
                <w:rFonts w:hint="eastAsia" w:cs="Times New Roman"/>
                <w:color w:val="000000" w:themeColor="text1"/>
                <w:sz w:val="24"/>
                <w:szCs w:val="24"/>
                <w:lang w:val="en-US" w:eastAsia="zh-CN"/>
                <w14:textFill>
                  <w14:solidFill>
                    <w14:schemeClr w14:val="tx1"/>
                  </w14:solidFill>
                </w14:textFill>
              </w:rPr>
              <w:t>14</w:t>
            </w:r>
            <w:r>
              <w:rPr>
                <w:rFonts w:hint="default" w:ascii="Times New Roman" w:hAnsi="Times New Roman" w:eastAsia="宋体" w:cs="Times New Roman"/>
                <w:color w:val="000000" w:themeColor="text1"/>
                <w:sz w:val="24"/>
                <w:szCs w:val="24"/>
                <w14:textFill>
                  <w14:solidFill>
                    <w14:schemeClr w14:val="tx1"/>
                  </w14:solidFill>
                </w14:textFill>
              </w:rPr>
              <w:t>万吨，则卸料过程中粉尘产生量为</w:t>
            </w:r>
            <w:r>
              <w:rPr>
                <w:rFonts w:hint="eastAsia" w:cs="Times New Roman"/>
                <w:color w:val="000000" w:themeColor="text1"/>
                <w:sz w:val="24"/>
                <w:szCs w:val="24"/>
                <w:lang w:val="en-US" w:eastAsia="zh-CN"/>
                <w14:textFill>
                  <w14:solidFill>
                    <w14:schemeClr w14:val="tx1"/>
                  </w14:solidFill>
                </w14:textFill>
              </w:rPr>
              <w:t>0.098</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360" w:lineRule="auto"/>
              <w:ind w:firstLine="480" w:firstLineChars="20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以上</w:t>
            </w:r>
            <w:r>
              <w:rPr>
                <w:rFonts w:hint="eastAsia" w:cs="Times New Roman"/>
                <w:color w:val="000000" w:themeColor="text1"/>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合计</w:t>
            </w:r>
            <w:r>
              <w:rPr>
                <w:rFonts w:hint="eastAsia" w:cs="Times New Roman"/>
                <w:color w:val="000000" w:themeColor="text1"/>
                <w:sz w:val="24"/>
                <w:szCs w:val="24"/>
                <w:lang w:val="en-US" w:eastAsia="zh-CN"/>
                <w14:textFill>
                  <w14:solidFill>
                    <w14:schemeClr w14:val="tx1"/>
                  </w14:solidFill>
                </w14:textFill>
              </w:rPr>
              <w:t>0.098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w:t>
            </w:r>
          </w:p>
          <w:p>
            <w:pPr>
              <w:pStyle w:val="26"/>
              <w:spacing w:line="360" w:lineRule="auto"/>
              <w:ind w:left="0" w:leftChars="0" w:firstLine="0" w:firstLineChars="0"/>
              <w:rPr>
                <w:rFonts w:hint="default" w:eastAsia="宋体" w:cs="Times New Roman"/>
                <w:b/>
                <w:bCs/>
                <w:color w:val="000000" w:themeColor="text1"/>
                <w:kern w:val="2"/>
                <w:sz w:val="24"/>
                <w:szCs w:val="32"/>
                <w:lang w:val="en-US" w:eastAsia="zh-CN" w:bidi="ar-SA"/>
                <w14:textFill>
                  <w14:solidFill>
                    <w14:schemeClr w14:val="tx1"/>
                  </w14:solidFill>
                </w14:textFill>
              </w:rPr>
            </w:pPr>
            <w:r>
              <w:rPr>
                <w:rFonts w:hint="default" w:eastAsia="宋体" w:cs="Times New Roman"/>
                <w:b/>
                <w:bCs/>
                <w:color w:val="000000" w:themeColor="text1"/>
                <w:kern w:val="2"/>
                <w:sz w:val="24"/>
                <w:szCs w:val="32"/>
                <w:lang w:val="en-US" w:eastAsia="zh-CN" w:bidi="ar-SA"/>
                <w14:textFill>
                  <w14:solidFill>
                    <w14:schemeClr w14:val="tx1"/>
                  </w14:solidFill>
                </w14:textFill>
              </w:rPr>
              <w:t>1.2</w:t>
            </w:r>
            <w:r>
              <w:rPr>
                <w:rFonts w:hint="eastAsia" w:eastAsia="宋体" w:cs="Times New Roman"/>
                <w:b/>
                <w:bCs/>
                <w:color w:val="000000" w:themeColor="text1"/>
                <w:kern w:val="2"/>
                <w:sz w:val="24"/>
                <w:szCs w:val="32"/>
                <w:lang w:val="en-US" w:eastAsia="zh-CN" w:bidi="ar-SA"/>
                <w14:textFill>
                  <w14:solidFill>
                    <w14:schemeClr w14:val="tx1"/>
                  </w14:solidFill>
                </w14:textFill>
              </w:rPr>
              <w:t>污染物治理情况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根据《环境影响评价技术导则 大气环境》（HJ2.2-2018）的规定，选择项目污染源正常排放的主要污染物及排放系数，采用附录 A 推荐的 AERSCREEN 估算模型，计算项目污染源的最大环境影响。经计算本项目下风向颗粒物最大落地浓度为</w:t>
            </w:r>
            <w:r>
              <w:rPr>
                <w:rFonts w:hint="eastAsia" w:cs="Times New Roman"/>
                <w:color w:val="000000" w:themeColor="text1"/>
                <w:sz w:val="24"/>
                <w:szCs w:val="24"/>
                <w:lang w:val="en-US" w:eastAsia="zh-CN"/>
                <w14:textFill>
                  <w14:solidFill>
                    <w14:schemeClr w14:val="tx1"/>
                  </w14:solidFill>
                </w14:textFill>
              </w:rPr>
              <w:t>0.027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，无组织颗粒物满足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《大气污染物综合排放标准》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（DB13/2167—2020）中表2无组织排放标准</w:t>
            </w:r>
            <w:r>
              <w:rPr>
                <w:rFonts w:hint="eastAsia" w:cs="Times New Roman"/>
                <w:color w:val="000000" w:themeColor="text1"/>
                <w:sz w:val="24"/>
                <w:szCs w:val="24"/>
                <w:lang w:val="en-US" w:eastAsia="zh-CN"/>
                <w14:textFill>
                  <w14:solidFill>
                    <w14:schemeClr w14:val="tx1"/>
                  </w14:solidFill>
                </w14:textFill>
              </w:rPr>
              <w:t>：1.0mg/m³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且满足《秦皇岛市人民政府办公室关于执行钢铁等行业大气污染物排放特别要求的通知》要求</w:t>
            </w:r>
            <w:r>
              <w:rPr>
                <w:rFonts w:hint="eastAsia" w:cs="Times New Roman"/>
                <w:color w:val="000000" w:themeColor="text1"/>
                <w:sz w:val="24"/>
                <w:szCs w:val="24"/>
                <w:lang w:val="en-US" w:eastAsia="zh-CN"/>
                <w14:textFill>
                  <w14:solidFill>
                    <w14:schemeClr w14:val="tx1"/>
                  </w14:solidFill>
                </w14:textFill>
              </w:rPr>
              <w:t>：0.03mg/m³。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炉渣本身含水率30%，原料堆存区上方安装喷淋装置处理无组织颗粒物</w:t>
            </w:r>
            <w:r>
              <w:rPr>
                <w:rFonts w:hint="eastAsia" w:cs="Times New Roman"/>
                <w:color w:val="000000" w:themeColor="text1"/>
                <w:sz w:val="24"/>
                <w:szCs w:val="24"/>
                <w:lang w:val="en-US" w:eastAsia="zh-CN"/>
                <w14:textFill>
                  <w14:solidFill>
                    <w14:schemeClr w14:val="tx1"/>
                  </w14:solidFill>
                </w14:textFill>
              </w:rPr>
              <w:t>。根据预测情况，无组织颗粒物可达标排放，</w:t>
            </w:r>
            <w:r>
              <w:rPr>
                <w:rFonts w:hint="default" w:ascii="Times New Roman" w:hAnsi="Times New Roman" w:cs="Times New Roman"/>
                <w:color w:val="000000" w:themeColor="text1"/>
                <w:sz w:val="24"/>
                <w:highlight w:val="none"/>
                <w:lang w:val="en-US" w:eastAsia="zh-CN"/>
                <w14:textFill>
                  <w14:solidFill>
                    <w14:schemeClr w14:val="tx1"/>
                  </w14:solidFill>
                </w14:textFill>
              </w:rPr>
              <w:t>因此本项目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治理方案符合要求。</w:t>
            </w:r>
          </w:p>
          <w:p>
            <w:pPr>
              <w:pStyle w:val="26"/>
              <w:spacing w:line="360" w:lineRule="auto"/>
              <w:ind w:left="0" w:leftChars="0" w:firstLine="0" w:firstLineChars="0"/>
              <w:rPr>
                <w:rFonts w:hint="eastAsia" w:ascii="Times New Roman" w:hAnsi="Times New Roman" w:eastAsia="宋体" w:cs="Times New Roman"/>
                <w:b/>
                <w:bCs/>
                <w:color w:val="000000" w:themeColor="text1"/>
                <w:kern w:val="2"/>
                <w:sz w:val="24"/>
                <w:szCs w:val="3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32"/>
                <w:lang w:val="en-US" w:eastAsia="zh-CN" w:bidi="ar-SA"/>
                <w14:textFill>
                  <w14:solidFill>
                    <w14:schemeClr w14:val="tx1"/>
                  </w14:solidFill>
                </w14:textFill>
              </w:rPr>
              <w:t>1.3污染物排放情况</w:t>
            </w:r>
          </w:p>
          <w:p>
            <w:pPr>
              <w:pStyle w:val="29"/>
              <w:spacing w:before="0" w:after="0" w:line="360" w:lineRule="auto"/>
              <w:ind w:right="0" w:firstLine="480" w:firstLineChars="20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年工作时间2800h，喷淋</w:t>
            </w:r>
            <w:r>
              <w:rPr>
                <w:rFonts w:hint="default" w:ascii="Times New Roman" w:hAnsi="Times New Roman" w:eastAsia="宋体" w:cs="Times New Roman"/>
                <w:color w:val="000000" w:themeColor="text1"/>
                <w:sz w:val="24"/>
                <w:szCs w:val="24"/>
                <w14:textFill>
                  <w14:solidFill>
                    <w14:schemeClr w14:val="tx1"/>
                  </w14:solidFill>
                </w14:textFill>
              </w:rPr>
              <w:t>除尘效率按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70</w:t>
            </w:r>
            <w:r>
              <w:rPr>
                <w:rFonts w:hint="default" w:ascii="Times New Roman" w:hAnsi="Times New Roman" w:eastAsia="宋体" w:cs="Times New Roman"/>
                <w:color w:val="000000" w:themeColor="text1"/>
                <w:sz w:val="24"/>
                <w:szCs w:val="24"/>
                <w14:textFill>
                  <w14:solidFill>
                    <w14:schemeClr w14:val="tx1"/>
                  </w14:solidFill>
                </w14:textFill>
              </w:rPr>
              <w:t>%计，则处理后的粉尘排放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量</w:t>
            </w:r>
            <w:r>
              <w:rPr>
                <w:rFonts w:hint="default" w:ascii="Times New Roman" w:hAnsi="Times New Roman" w:eastAsia="宋体" w:cs="Times New Roman"/>
                <w:color w:val="000000" w:themeColor="text1"/>
                <w:sz w:val="24"/>
                <w:szCs w:val="24"/>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0.0294</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排放速率为</w:t>
            </w:r>
            <w:r>
              <w:rPr>
                <w:rFonts w:hint="eastAsia" w:cs="Times New Roman"/>
                <w:color w:val="000000" w:themeColor="text1"/>
                <w:sz w:val="24"/>
                <w:szCs w:val="24"/>
                <w:lang w:val="en-US" w:eastAsia="zh-CN"/>
                <w14:textFill>
                  <w14:solidFill>
                    <w14:schemeClr w14:val="tx1"/>
                  </w14:solidFill>
                </w14:textFill>
              </w:rPr>
              <w:t>0.0105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kg/h。排放浓度满足《大气污染物综合排放标准》（GB16297-1996）中表2无组织排放监控浓度限值</w:t>
            </w:r>
            <w:r>
              <w:rPr>
                <w:rFonts w:hint="eastAsia" w:cs="Times New Roman"/>
                <w:color w:val="000000" w:themeColor="text1"/>
                <w:sz w:val="24"/>
                <w:szCs w:val="24"/>
                <w:lang w:val="en-US" w:eastAsia="zh-CN"/>
                <w14:textFill>
                  <w14:solidFill>
                    <w14:schemeClr w14:val="tx1"/>
                  </w14:solidFill>
                </w14:textFill>
              </w:rPr>
              <w:t>：1.0mg/m³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以及《秦皇岛市人民政府办公室关于执行钢铁等行业大气污染物排放特别要求的通知》（2021-10）中无组织排放浓度特别管控要求，即0.3mg/m³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26"/>
              <w:spacing w:line="360" w:lineRule="auto"/>
              <w:ind w:left="0" w:leftChars="0" w:firstLine="0" w:firstLineChars="0"/>
              <w:rPr>
                <w:rFonts w:hint="eastAsia" w:ascii="Times New Roman" w:hAnsi="Times New Roman" w:eastAsia="宋体" w:cs="Times New Roman"/>
                <w:b/>
                <w:bCs/>
                <w:color w:val="000000" w:themeColor="text1"/>
                <w:kern w:val="2"/>
                <w:sz w:val="24"/>
                <w:szCs w:val="3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32"/>
                <w:lang w:val="en-US" w:eastAsia="zh-CN" w:bidi="ar-SA"/>
                <w14:textFill>
                  <w14:solidFill>
                    <w14:schemeClr w14:val="tx1"/>
                  </w14:solidFill>
                </w14:textFill>
              </w:rPr>
              <w:t>1.</w:t>
            </w:r>
            <w:r>
              <w:rPr>
                <w:rFonts w:hint="eastAsia" w:cs="Times New Roman"/>
                <w:b/>
                <w:bCs/>
                <w:color w:val="000000" w:themeColor="text1"/>
                <w:kern w:val="2"/>
                <w:sz w:val="24"/>
                <w:szCs w:val="32"/>
                <w:lang w:val="en-US" w:eastAsia="zh-CN" w:bidi="ar-SA"/>
                <w14:textFill>
                  <w14:solidFill>
                    <w14:schemeClr w14:val="tx1"/>
                  </w14:solidFill>
                </w14:textFill>
              </w:rPr>
              <w:t>4</w:t>
            </w:r>
            <w:r>
              <w:rPr>
                <w:rFonts w:hint="eastAsia" w:ascii="Times New Roman" w:hAnsi="Times New Roman" w:eastAsia="宋体" w:cs="Times New Roman"/>
                <w:b/>
                <w:bCs/>
                <w:color w:val="000000" w:themeColor="text1"/>
                <w:kern w:val="2"/>
                <w:sz w:val="24"/>
                <w:szCs w:val="32"/>
                <w:lang w:val="en-US" w:eastAsia="zh-CN" w:bidi="ar-SA"/>
                <w14:textFill>
                  <w14:solidFill>
                    <w14:schemeClr w14:val="tx1"/>
                  </w14:solidFill>
                </w14:textFill>
              </w:rPr>
              <w:t>排放口情况</w:t>
            </w:r>
          </w:p>
          <w:p>
            <w:pPr>
              <w:pStyle w:val="48"/>
              <w:bidi w:val="0"/>
              <w:rPr>
                <w:rFonts w:hint="default" w:ascii="Times New Roman" w:hAnsi="Times New Roman" w:eastAsia="宋体" w:cs="Times New Roman"/>
                <w:b/>
                <w:color w:val="000000" w:themeColor="text1"/>
                <w:kern w:val="21"/>
                <w:sz w:val="21"/>
                <w:szCs w:val="16"/>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1"/>
                <w:sz w:val="21"/>
                <w:szCs w:val="16"/>
                <w:highlight w:val="none"/>
                <w:lang w:val="en-US" w:eastAsia="zh-CN" w:bidi="ar-SA"/>
                <w14:textFill>
                  <w14:solidFill>
                    <w14:schemeClr w14:val="tx1"/>
                  </w14:solidFill>
                </w14:textFill>
              </w:rPr>
              <w:t>表</w:t>
            </w:r>
            <w:r>
              <w:rPr>
                <w:rFonts w:hint="eastAsia" w:ascii="Times New Roman" w:hAnsi="Times New Roman" w:eastAsia="宋体" w:cs="Times New Roman"/>
                <w:b/>
                <w:color w:val="000000" w:themeColor="text1"/>
                <w:kern w:val="21"/>
                <w:sz w:val="21"/>
                <w:szCs w:val="16"/>
                <w:highlight w:val="none"/>
                <w:lang w:val="en-US" w:eastAsia="zh-CN" w:bidi="ar-SA"/>
                <w14:textFill>
                  <w14:solidFill>
                    <w14:schemeClr w14:val="tx1"/>
                  </w14:solidFill>
                </w14:textFill>
              </w:rPr>
              <w:t xml:space="preserve">4-1 </w:t>
            </w:r>
            <w:r>
              <w:rPr>
                <w:rFonts w:hint="default" w:ascii="Times New Roman" w:hAnsi="Times New Roman" w:eastAsia="宋体" w:cs="Times New Roman"/>
                <w:b/>
                <w:color w:val="000000" w:themeColor="text1"/>
                <w:kern w:val="21"/>
                <w:sz w:val="21"/>
                <w:szCs w:val="16"/>
                <w:highlight w:val="none"/>
                <w:lang w:val="en-US" w:eastAsia="zh-CN" w:bidi="ar-SA"/>
                <w14:textFill>
                  <w14:solidFill>
                    <w14:schemeClr w14:val="tx1"/>
                  </w14:solidFill>
                </w14:textFill>
              </w:rPr>
              <w:t xml:space="preserve"> 面源参数一览表</w:t>
            </w:r>
          </w:p>
          <w:tbl>
            <w:tblPr>
              <w:tblStyle w:val="3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676"/>
              <w:gridCol w:w="1016"/>
              <w:gridCol w:w="983"/>
              <w:gridCol w:w="793"/>
              <w:gridCol w:w="1224"/>
              <w:gridCol w:w="983"/>
              <w:gridCol w:w="754"/>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名称</w:t>
                  </w:r>
                </w:p>
              </w:tc>
              <w:tc>
                <w:tcPr>
                  <w:tcW w:w="101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面海拔高度/m</w:t>
                  </w:r>
                </w:p>
              </w:tc>
              <w:tc>
                <w:tcPr>
                  <w:tcW w:w="983"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面源长度/m</w:t>
                  </w:r>
                </w:p>
              </w:tc>
              <w:tc>
                <w:tcPr>
                  <w:tcW w:w="793"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面源宽度/m</w:t>
                  </w:r>
                </w:p>
              </w:tc>
              <w:tc>
                <w:tcPr>
                  <w:tcW w:w="122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面源有效排放高度/m</w:t>
                  </w:r>
                </w:p>
              </w:tc>
              <w:tc>
                <w:tcPr>
                  <w:tcW w:w="983"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年排放时数/h</w:t>
                  </w:r>
                </w:p>
              </w:tc>
              <w:tc>
                <w:tcPr>
                  <w:tcW w:w="75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排放工况</w:t>
                  </w:r>
                </w:p>
              </w:tc>
              <w:tc>
                <w:tcPr>
                  <w:tcW w:w="16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9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22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5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6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炉渣</w:t>
                  </w:r>
                  <w:r>
                    <w:rPr>
                      <w:rFonts w:hint="eastAsia" w:ascii="Times New Roman" w:hAnsi="Times New Roman" w:cs="Times New Roman"/>
                      <w:color w:val="000000" w:themeColor="text1"/>
                      <w:sz w:val="21"/>
                      <w:szCs w:val="21"/>
                      <w:lang w:val="en-US" w:eastAsia="zh-CN"/>
                      <w14:textFill>
                        <w14:solidFill>
                          <w14:schemeClr w14:val="tx1"/>
                        </w14:solidFill>
                      </w14:textFill>
                    </w:rPr>
                    <w:t>车间</w:t>
                  </w:r>
                </w:p>
              </w:tc>
              <w:tc>
                <w:tcPr>
                  <w:tcW w:w="10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12.67</w:t>
                  </w:r>
                </w:p>
              </w:tc>
              <w:tc>
                <w:tcPr>
                  <w:tcW w:w="98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20</w:t>
                  </w:r>
                </w:p>
              </w:tc>
              <w:tc>
                <w:tcPr>
                  <w:tcW w:w="7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10</w:t>
                  </w:r>
                </w:p>
              </w:tc>
              <w:tc>
                <w:tcPr>
                  <w:tcW w:w="122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98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24</w:t>
                  </w:r>
                  <w:r>
                    <w:rPr>
                      <w:rFonts w:hint="eastAsia" w:eastAsia="宋体" w:cs="Times New Roman"/>
                      <w:color w:val="000000" w:themeColor="text1"/>
                      <w:sz w:val="21"/>
                      <w:szCs w:val="21"/>
                      <w:lang w:val="en-US" w:eastAsia="zh-CN"/>
                      <w14:textFill>
                        <w14:solidFill>
                          <w14:schemeClr w14:val="tx1"/>
                        </w14:solidFill>
                      </w14:textFill>
                    </w:rPr>
                    <w:t>00</w:t>
                  </w:r>
                </w:p>
              </w:tc>
              <w:tc>
                <w:tcPr>
                  <w:tcW w:w="7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正常</w:t>
                  </w:r>
                </w:p>
              </w:tc>
              <w:tc>
                <w:tcPr>
                  <w:tcW w:w="16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0.0105</w:t>
                  </w:r>
                </w:p>
              </w:tc>
            </w:tr>
          </w:tbl>
          <w:p>
            <w:pPr>
              <w:pStyle w:val="26"/>
              <w:spacing w:line="360" w:lineRule="auto"/>
              <w:ind w:left="0" w:leftChars="0" w:firstLine="0" w:firstLineChars="0"/>
              <w:rPr>
                <w:rFonts w:hint="eastAsia" w:cs="Times New Roman"/>
                <w:b/>
                <w:bCs/>
                <w:color w:val="000000" w:themeColor="text1"/>
                <w:kern w:val="2"/>
                <w:sz w:val="24"/>
                <w:szCs w:val="32"/>
                <w:lang w:val="en-US" w:eastAsia="zh-CN" w:bidi="ar-SA"/>
                <w14:textFill>
                  <w14:solidFill>
                    <w14:schemeClr w14:val="tx1"/>
                  </w14:solidFill>
                </w14:textFill>
              </w:rPr>
            </w:pPr>
            <w:r>
              <w:rPr>
                <w:rFonts w:hint="eastAsia" w:cs="Times New Roman"/>
                <w:b/>
                <w:bCs/>
                <w:color w:val="000000" w:themeColor="text1"/>
                <w:kern w:val="2"/>
                <w:sz w:val="24"/>
                <w:szCs w:val="32"/>
                <w:lang w:val="en-US" w:eastAsia="zh-CN" w:bidi="ar-SA"/>
                <w14:textFill>
                  <w14:solidFill>
                    <w14:schemeClr w14:val="tx1"/>
                  </w14:solidFill>
                </w14:textFill>
              </w:rPr>
              <w:t>1.5非正常工况</w:t>
            </w:r>
          </w:p>
          <w:p>
            <w:pPr>
              <w:adjustRightInd w:val="0"/>
              <w:snapToGrid w:val="0"/>
              <w:spacing w:line="360" w:lineRule="auto"/>
              <w:ind w:firstLine="480" w:firstLineChars="200"/>
              <w:jc w:val="left"/>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非正常生产排污包括开车、停车、检修和非正常工况的污染物排放，如工艺设备和环保设施不能正常运行时污染物的排放等。在某些非正常生产工况时，污染源强会发生很大的变化，致使装置污染物产生量在短期内大幅增加。</w:t>
            </w:r>
          </w:p>
          <w:p>
            <w:pPr>
              <w:adjustRightInd w:val="0"/>
              <w:snapToGrid w:val="0"/>
              <w:spacing w:line="360" w:lineRule="auto"/>
              <w:ind w:firstLine="480" w:firstLineChars="200"/>
              <w:jc w:val="left"/>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（1）停电、停气故障</w:t>
            </w:r>
          </w:p>
          <w:p>
            <w:pPr>
              <w:adjustRightInd w:val="0"/>
              <w:snapToGrid w:val="0"/>
              <w:spacing w:line="360" w:lineRule="auto"/>
              <w:ind w:firstLine="480" w:firstLineChars="200"/>
              <w:jc w:val="left"/>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项目生产使用电能，停电时停止生产，不会排放污染物。</w:t>
            </w:r>
          </w:p>
          <w:p>
            <w:pPr>
              <w:adjustRightInd w:val="0"/>
              <w:snapToGrid w:val="0"/>
              <w:spacing w:line="360" w:lineRule="auto"/>
              <w:ind w:firstLine="480" w:firstLineChars="200"/>
              <w:jc w:val="left"/>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（2）生产线故障</w:t>
            </w:r>
          </w:p>
          <w:p>
            <w:pPr>
              <w:adjustRightInd w:val="0"/>
              <w:snapToGrid w:val="0"/>
              <w:spacing w:line="360" w:lineRule="auto"/>
              <w:ind w:firstLine="480" w:firstLineChars="200"/>
              <w:jc w:val="left"/>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由于本项目各生产设备基本无关联度，某设备发生故障检修时，不影响</w:t>
            </w:r>
            <w:r>
              <w:rPr>
                <w:rFonts w:hint="eastAsia" w:cs="Times New Roman"/>
                <w:bCs/>
                <w:color w:val="000000" w:themeColor="text1"/>
                <w:sz w:val="24"/>
                <w:szCs w:val="24"/>
                <w:highlight w:val="none"/>
                <w:lang w:eastAsia="zh-CN"/>
                <w14:textFill>
                  <w14:solidFill>
                    <w14:schemeClr w14:val="tx1"/>
                  </w14:solidFill>
                </w14:textFill>
              </w:rPr>
              <w:t>其他设备</w:t>
            </w:r>
            <w:r>
              <w:rPr>
                <w:rFonts w:hint="default" w:ascii="Times New Roman" w:hAnsi="Times New Roman" w:cs="Times New Roman"/>
                <w:bCs/>
                <w:color w:val="000000" w:themeColor="text1"/>
                <w:sz w:val="24"/>
                <w:szCs w:val="24"/>
                <w:highlight w:val="none"/>
                <w14:textFill>
                  <w14:solidFill>
                    <w14:schemeClr w14:val="tx1"/>
                  </w14:solidFill>
                </w14:textFill>
              </w:rPr>
              <w:t>生产及污染防治设施运行。</w:t>
            </w:r>
          </w:p>
          <w:p>
            <w:pPr>
              <w:pStyle w:val="26"/>
              <w:spacing w:line="360" w:lineRule="auto"/>
              <w:ind w:left="0" w:leftChars="0" w:firstLine="0" w:firstLineChars="0"/>
              <w:rPr>
                <w:rFonts w:hint="default" w:ascii="Times New Roman" w:hAnsi="Times New Roman" w:eastAsia="宋体" w:cs="Times New Roman"/>
                <w:b/>
                <w:bCs/>
                <w:color w:val="000000" w:themeColor="text1"/>
                <w:kern w:val="2"/>
                <w:sz w:val="24"/>
                <w:szCs w:val="32"/>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32"/>
                <w:lang w:val="en-US" w:eastAsia="zh-CN" w:bidi="ar-SA"/>
                <w14:textFill>
                  <w14:solidFill>
                    <w14:schemeClr w14:val="tx1"/>
                  </w14:solidFill>
                </w14:textFill>
              </w:rPr>
              <w:t>1.</w:t>
            </w:r>
            <w:r>
              <w:rPr>
                <w:rFonts w:hint="eastAsia" w:ascii="Times New Roman" w:hAnsi="Times New Roman" w:eastAsia="宋体" w:cs="Times New Roman"/>
                <w:b/>
                <w:bCs/>
                <w:color w:val="000000" w:themeColor="text1"/>
                <w:kern w:val="2"/>
                <w:sz w:val="24"/>
                <w:szCs w:val="32"/>
                <w:lang w:val="en-US" w:eastAsia="zh-CN" w:bidi="ar-SA"/>
                <w14:textFill>
                  <w14:solidFill>
                    <w14:schemeClr w14:val="tx1"/>
                  </w14:solidFill>
                </w14:textFill>
              </w:rPr>
              <w:t>5</w:t>
            </w:r>
            <w:r>
              <w:rPr>
                <w:rFonts w:hint="default" w:ascii="Times New Roman" w:hAnsi="Times New Roman" w:eastAsia="宋体" w:cs="Times New Roman"/>
                <w:b/>
                <w:bCs/>
                <w:color w:val="000000" w:themeColor="text1"/>
                <w:kern w:val="2"/>
                <w:sz w:val="24"/>
                <w:szCs w:val="32"/>
                <w:lang w:val="en-US" w:eastAsia="zh-CN" w:bidi="ar-SA"/>
                <w14:textFill>
                  <w14:solidFill>
                    <w14:schemeClr w14:val="tx1"/>
                  </w14:solidFill>
                </w14:textFill>
              </w:rPr>
              <w:t>监测要求</w:t>
            </w:r>
          </w:p>
          <w:p>
            <w:pPr>
              <w:ind w:firstLine="480" w:firstLineChars="200"/>
              <w:jc w:val="both"/>
              <w:rPr>
                <w:rFonts w:hint="default"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按照《</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排污许可证申请与核发技术规范 </w:t>
            </w:r>
            <w:r>
              <w:rPr>
                <w:rFonts w:hint="eastAsia" w:cs="Times New Roman"/>
                <w:color w:val="000000" w:themeColor="text1"/>
                <w:sz w:val="24"/>
                <w:highlight w:val="none"/>
                <w:lang w:val="en-US" w:eastAsia="zh-CN"/>
                <w14:textFill>
                  <w14:solidFill>
                    <w14:schemeClr w14:val="tx1"/>
                  </w14:solidFill>
                </w14:textFill>
              </w:rPr>
              <w:t>废弃资源加工工业</w:t>
            </w:r>
            <w:r>
              <w:rPr>
                <w:rFonts w:hint="eastAsia" w:cs="Times New Roman"/>
                <w:b w:val="0"/>
                <w:bCs w:val="0"/>
                <w:color w:val="000000" w:themeColor="text1"/>
                <w:sz w:val="24"/>
                <w:szCs w:val="24"/>
                <w:highlight w:val="none"/>
                <w:lang w:val="en-US" w:eastAsia="zh-CN"/>
                <w14:textFill>
                  <w14:solidFill>
                    <w14:schemeClr w14:val="tx1"/>
                  </w14:solidFill>
                </w14:textFill>
              </w:rPr>
              <w:t>》中监测点位、指标以及频次要求确定本项目废气要求。</w:t>
            </w:r>
          </w:p>
          <w:p>
            <w:pPr>
              <w:numPr>
                <w:ilvl w:val="0"/>
                <w:numId w:val="0"/>
              </w:numPr>
              <w:spacing w:line="240" w:lineRule="auto"/>
              <w:ind w:left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4-</w:t>
            </w:r>
            <w:r>
              <w:rPr>
                <w:rFonts w:hint="eastAsia" w:cs="Times New Roman"/>
                <w:b/>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监测要求一览表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2133"/>
              <w:gridCol w:w="1933"/>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8" w:type="pct"/>
                  <w:tcBorders>
                    <w:tl2br w:val="nil"/>
                    <w:tr2bl w:val="nil"/>
                  </w:tcBorders>
                  <w:vAlign w:val="center"/>
                </w:tcPr>
                <w:p>
                  <w:pPr>
                    <w:pStyle w:val="57"/>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监测项目</w:t>
                  </w:r>
                </w:p>
              </w:tc>
              <w:tc>
                <w:tcPr>
                  <w:tcW w:w="1269" w:type="pct"/>
                  <w:tcBorders>
                    <w:tl2br w:val="nil"/>
                    <w:tr2bl w:val="nil"/>
                  </w:tcBorders>
                  <w:vAlign w:val="center"/>
                </w:tcPr>
                <w:p>
                  <w:pPr>
                    <w:pStyle w:val="57"/>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w:t>
                  </w:r>
                </w:p>
              </w:tc>
              <w:tc>
                <w:tcPr>
                  <w:tcW w:w="1150" w:type="pct"/>
                  <w:tcBorders>
                    <w:tl2br w:val="nil"/>
                    <w:tr2bl w:val="nil"/>
                  </w:tcBorders>
                  <w:vAlign w:val="center"/>
                </w:tcPr>
                <w:p>
                  <w:pPr>
                    <w:pStyle w:val="57"/>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监测因子</w:t>
                  </w:r>
                </w:p>
              </w:tc>
              <w:tc>
                <w:tcPr>
                  <w:tcW w:w="1341" w:type="pct"/>
                  <w:tcBorders>
                    <w:tl2br w:val="nil"/>
                    <w:tr2bl w:val="nil"/>
                  </w:tcBorders>
                  <w:vAlign w:val="center"/>
                </w:tcPr>
                <w:p>
                  <w:pPr>
                    <w:pStyle w:val="57"/>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8" w:type="pct"/>
                  <w:tcBorders>
                    <w:tl2br w:val="nil"/>
                    <w:tr2bl w:val="nil"/>
                  </w:tcBorders>
                  <w:vAlign w:val="center"/>
                </w:tcPr>
                <w:p>
                  <w:pPr>
                    <w:pStyle w:val="57"/>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废气</w:t>
                  </w:r>
                </w:p>
              </w:tc>
              <w:tc>
                <w:tcPr>
                  <w:tcW w:w="1269" w:type="pct"/>
                  <w:tcBorders>
                    <w:tl2br w:val="nil"/>
                    <w:tr2bl w:val="nil"/>
                  </w:tcBorders>
                  <w:vAlign w:val="center"/>
                </w:tcPr>
                <w:p>
                  <w:pPr>
                    <w:pStyle w:val="57"/>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厂界</w:t>
                  </w:r>
                </w:p>
              </w:tc>
              <w:tc>
                <w:tcPr>
                  <w:tcW w:w="1150" w:type="pct"/>
                  <w:tcBorders>
                    <w:tl2br w:val="nil"/>
                    <w:tr2bl w:val="nil"/>
                  </w:tcBorders>
                  <w:vAlign w:val="center"/>
                </w:tcPr>
                <w:p>
                  <w:pPr>
                    <w:pStyle w:val="57"/>
                    <w:spacing w:line="240" w:lineRule="auto"/>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颗粒物</w:t>
                  </w:r>
                </w:p>
              </w:tc>
              <w:tc>
                <w:tcPr>
                  <w:tcW w:w="1341" w:type="pct"/>
                  <w:tcBorders>
                    <w:tl2br w:val="nil"/>
                    <w:tr2bl w:val="nil"/>
                  </w:tcBorders>
                  <w:vAlign w:val="center"/>
                </w:tcPr>
                <w:p>
                  <w:pPr>
                    <w:pStyle w:val="57"/>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1次/年</w:t>
                  </w:r>
                </w:p>
              </w:tc>
            </w:tr>
          </w:tbl>
          <w:p>
            <w:pPr>
              <w:pStyle w:val="26"/>
              <w:spacing w:line="360" w:lineRule="auto"/>
              <w:ind w:left="0" w:leftChars="0" w:firstLine="0" w:firstLineChars="0"/>
              <w:rPr>
                <w:rFonts w:hint="eastAsia" w:ascii="Times New Roman" w:hAnsi="Times New Roman" w:eastAsia="宋体" w:cs="Times New Roman"/>
                <w:b/>
                <w:bCs/>
                <w:color w:val="000000" w:themeColor="text1"/>
                <w:kern w:val="2"/>
                <w:sz w:val="24"/>
                <w:szCs w:val="32"/>
                <w:lang w:val="en-US" w:eastAsia="zh-CN" w:bidi="ar-SA"/>
                <w14:textFill>
                  <w14:solidFill>
                    <w14:schemeClr w14:val="tx1"/>
                  </w14:solidFill>
                </w14:textFill>
              </w:rPr>
            </w:pPr>
            <w:r>
              <w:rPr>
                <w:rFonts w:hint="eastAsia" w:cs="Times New Roman"/>
                <w:b/>
                <w:bCs/>
                <w:color w:val="000000" w:themeColor="text1"/>
                <w:kern w:val="2"/>
                <w:sz w:val="24"/>
                <w:szCs w:val="32"/>
                <w:lang w:val="en-US" w:eastAsia="zh-CN" w:bidi="ar-SA"/>
                <w14:textFill>
                  <w14:solidFill>
                    <w14:schemeClr w14:val="tx1"/>
                  </w14:solidFill>
                </w14:textFill>
              </w:rPr>
              <w:t>1.6</w:t>
            </w:r>
            <w:r>
              <w:rPr>
                <w:rFonts w:hint="eastAsia" w:ascii="Times New Roman" w:hAnsi="Times New Roman" w:eastAsia="宋体" w:cs="Times New Roman"/>
                <w:b/>
                <w:bCs/>
                <w:color w:val="000000" w:themeColor="text1"/>
                <w:kern w:val="2"/>
                <w:sz w:val="24"/>
                <w:szCs w:val="32"/>
                <w:lang w:val="en-US" w:eastAsia="zh-CN" w:bidi="ar-SA"/>
                <w14:textFill>
                  <w14:solidFill>
                    <w14:schemeClr w14:val="tx1"/>
                  </w14:solidFill>
                </w14:textFill>
              </w:rPr>
              <w:t>达标情况分析</w:t>
            </w:r>
          </w:p>
          <w:p>
            <w:pPr>
              <w:ind w:firstLine="480" w:firstLineChars="200"/>
              <w:jc w:val="both"/>
              <w:rPr>
                <w:rFonts w:hint="default"/>
                <w:color w:val="000000" w:themeColor="text1"/>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无组织废气排放浓度</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根据《环境影响评价技术导则 大气环境》（HJ2.2-2018）的规定，选择项目污染源正常排放的主要污染物及排放系数，采用附录A推荐的 AERSCREEN 估算模型计算项目污染源的环境影响，经估算，厂界浓度</w:t>
            </w:r>
            <w:r>
              <w:rPr>
                <w:rFonts w:hint="eastAsia" w:cs="Times New Roman"/>
                <w:color w:val="000000" w:themeColor="text1"/>
                <w:kern w:val="0"/>
                <w:sz w:val="24"/>
                <w:szCs w:val="24"/>
                <w:highlight w:val="none"/>
                <w:lang w:val="en-US" w:eastAsia="zh-CN"/>
                <w14:textFill>
                  <w14:solidFill>
                    <w14:schemeClr w14:val="tx1"/>
                  </w14:solidFill>
                </w14:textFill>
              </w:rPr>
              <w:t>满足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大气污染物综合排放标准》（GB16297-1996）中表2无组织排放监控浓度限值以及《秦皇岛市人民政府办公室关于执行钢铁等行业大气污染物排放特别要求的通知》（2021-10）中无组织排放浓度特别管控要求，即0.3mg/m³</w:t>
            </w:r>
            <w:r>
              <w:rPr>
                <w:rFonts w:hint="eastAsia"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可达标排放</w:t>
            </w:r>
            <w:r>
              <w:rPr>
                <w:rFonts w:hint="eastAsia" w:cs="Times New Roman"/>
                <w:color w:val="000000" w:themeColor="text1"/>
                <w:kern w:val="0"/>
                <w:sz w:val="24"/>
                <w:szCs w:val="24"/>
                <w:highlight w:val="none"/>
                <w:lang w:val="en-US" w:eastAsia="zh-CN"/>
                <w14:textFill>
                  <w14:solidFill>
                    <w14:schemeClr w14:val="tx1"/>
                  </w14:solidFill>
                </w14:textFill>
              </w:rPr>
              <w:t>。</w:t>
            </w:r>
          </w:p>
          <w:p>
            <w:pPr>
              <w:pStyle w:val="2"/>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水环境影响分析</w:t>
            </w:r>
          </w:p>
          <w:p>
            <w:pPr>
              <w:pStyle w:val="47"/>
              <w:numPr>
                <w:ilvl w:val="0"/>
                <w:numId w:val="0"/>
              </w:numPr>
              <w:bidi w:val="0"/>
              <w:ind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生产用水主要为洗砂用水、清洗地面以及喷淋用水。洗砂用水量133.33m³/d（4万m³），其中用水量重复利用率按98%，经计算损耗量为2.67m³/d（800m³/a），循环水量为130.66m³/d（3.92万m³/a）；清洗地面用水量为12m³/d（3600m³/a），其中蒸发量为2.4m³/d（720m³/a），循环水量为9.6m³/d（2880m³/a）；水喷淋系统用水量为10m³/d（3000m³/a），其中蒸发量为2m³/d（600m³/a），循环水量为8m³/d（2400m³/a）</w:t>
            </w:r>
            <w:r>
              <w:rPr>
                <w:rFonts w:hint="eastAsia" w:ascii="Times New Roman" w:hAnsi="Times New Roman" w:cs="Times New Roman"/>
                <w:color w:val="000000" w:themeColor="text1"/>
                <w:lang w:val="en-US" w:eastAsia="zh-CN"/>
                <w14:textFill>
                  <w14:solidFill>
                    <w14:schemeClr w14:val="tx1"/>
                  </w14:solidFill>
                </w14:textFill>
              </w:rPr>
              <w:t>。生产用水均排入沉淀池（容积90m³）沉淀后入循环清水池（240m³）循环使用不外排。</w:t>
            </w:r>
            <w:r>
              <w:rPr>
                <w:rFonts w:hint="eastAsia" w:ascii="Times New Roman" w:hAnsi="Times New Roman" w:cs="Times New Roman"/>
                <w:color w:val="000000" w:themeColor="text1"/>
                <w:highlight w:val="none"/>
                <w:lang w:val="en-US" w:eastAsia="zh-CN"/>
                <w14:textFill>
                  <w14:solidFill>
                    <w14:schemeClr w14:val="tx1"/>
                  </w14:solidFill>
                </w14:textFill>
              </w:rPr>
              <w:t>项目生活用水量为0.64m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/d（224m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/a），生活废水按照80%计算，产生量为0.512m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/d（179.2m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/a），排入化粪池后定期由清污车清运。</w:t>
            </w:r>
          </w:p>
          <w:p>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综上所述，对周围环境</w:t>
            </w:r>
            <w:r>
              <w:rPr>
                <w:rFonts w:hint="default" w:ascii="Times New Roman" w:hAnsi="Times New Roman" w:cs="Times New Roman"/>
                <w:color w:val="000000" w:themeColor="text1"/>
                <w14:textFill>
                  <w14:solidFill>
                    <w14:schemeClr w14:val="tx1"/>
                  </w14:solidFill>
                </w14:textFill>
              </w:rPr>
              <w:t>影响较小</w:t>
            </w:r>
            <w:r>
              <w:rPr>
                <w:rFonts w:hint="default" w:ascii="Times New Roman" w:hAnsi="Times New Roman" w:cs="Times New Roman"/>
                <w:color w:val="000000" w:themeColor="text1"/>
                <w:lang w:eastAsia="zh-CN"/>
                <w14:textFill>
                  <w14:solidFill>
                    <w14:schemeClr w14:val="tx1"/>
                  </w14:solidFill>
                </w14:textFill>
              </w:rPr>
              <w:t>。</w:t>
            </w:r>
          </w:p>
          <w:p>
            <w:pPr>
              <w:pStyle w:val="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声环境影响分析</w:t>
            </w:r>
          </w:p>
          <w:p>
            <w:pPr>
              <w:pStyle w:val="26"/>
              <w:spacing w:line="360" w:lineRule="auto"/>
              <w:ind w:left="0" w:leftChars="0" w:firstLine="0" w:firstLineChars="0"/>
              <w:rPr>
                <w:rFonts w:hint="default" w:ascii="Times New Roman" w:hAnsi="Times New Roman" w:eastAsia="宋体" w:cs="Times New Roman"/>
                <w:b/>
                <w:bCs/>
                <w:color w:val="000000" w:themeColor="text1"/>
                <w:kern w:val="2"/>
                <w:sz w:val="24"/>
                <w:szCs w:val="3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32"/>
                <w:lang w:val="en-US" w:eastAsia="zh-CN" w:bidi="ar-SA"/>
                <w14:textFill>
                  <w14:solidFill>
                    <w14:schemeClr w14:val="tx1"/>
                  </w14:solidFill>
                </w14:textFill>
              </w:rPr>
              <w:t>3.1预测模式</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（1）单个室外点声源在预测点产生的声级计算基本公式</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户外声传播衰减包括几何发散（</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Adiv</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）、大气吸收（</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Aatm</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）、地面效应（</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Agr</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）、障碍物屏蔽（</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Abar</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）、其他多方面效应（</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Amisc</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 xml:space="preserve">）引起的衰减。 </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pt-BR"/>
                <w14:textFill>
                  <w14:solidFill>
                    <w14:schemeClr w14:val="tx1"/>
                  </w14:solidFill>
                </w14:textFill>
              </w:rPr>
              <w:object>
                <v:shape id="_x0000_i1025" o:spt="75" type="#_x0000_t75" style="height:18.8pt;width:234.35pt;" o:ole="t" filled="f" o:preferrelative="t" stroked="f" coordsize="21600,21600">
                  <v:path/>
                  <v:fill on="f" focussize="0,0"/>
                  <v:stroke on="f"/>
                  <v:imagedata r:id="rId15" o:title=""/>
                  <o:lock v:ext="edit" aspectratio="t"/>
                  <w10:wrap type="none"/>
                  <w10:anchorlock/>
                </v:shape>
                <o:OLEObject Type="Embed" ProgID="Equation.3" ShapeID="_x0000_i1025" DrawAspect="Content" ObjectID="_1468075725" r:id="rId14">
                  <o:LockedField>false</o:LockedField>
                </o:OLEObject>
              </w:objec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式中</w: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object>
                <v:shape id="_x0000_i1026" o:spt="75" type="#_x0000_t75" style="height:18.75pt;width:30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预测点处声压级</w: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，dB；</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object>
                <v:shape id="_x0000_i1027" o:spt="75" type="#_x0000_t75" style="height:19.8pt;width:28.6pt;" o:ole="t" filled="f" o:preferrelative="t" stroked="f" coordsize="21600,21600">
                  <v:path/>
                  <v:fill on="f" focussize="0,0"/>
                  <v:stroke on="f"/>
                  <v:imagedata r:id="rId19" o:title=""/>
                  <o:lock v:ext="edit" aspectratio="t"/>
                  <w10:wrap type="none"/>
                  <w10:anchorlock/>
                </v:shape>
                <o:OLEObject Type="Embed" ProgID="Equation.3" ShapeID="_x0000_i1027" DrawAspect="Content" ObjectID="_1468075727" r:id="rId18">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参考位置</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r0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处的声压级</w: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，dB；</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object>
                <v:shape id="_x0000_i1028" o:spt="75" type="#_x0000_t75" style="height:18.75pt;width:16.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——指向性校正，</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它描述点声源的等效连续声压级与产生声功率级</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Lw</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的全向点声源在规定方向的声级的偏差程度，</w: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dB；</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object>
                <v:shape id="_x0000_i1029" o:spt="75" type="#_x0000_t75" style="height:18.75pt;width:22.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——几何发散引起的衰减，</w: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dB；</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object>
                <v:shape id="_x0000_i1030" o:spt="75" type="#_x0000_t75" style="height:19.5pt;width:18.7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0" r:id="rId24">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——地面效应引起的衰减，</w: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dB；</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object>
                <v:shape id="_x0000_i1031" o:spt="75" type="#_x0000_t75" style="height:18.75pt;width:22.5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1" r:id="rId26">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——大气吸收引起的衰减，</w: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dB；</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object>
                <v:shape id="_x0000_i1032" o:spt="75" type="#_x0000_t75" style="height:18.75pt;width:22.5pt;" o:ole="t" filled="f" o:preferrelative="t" stroked="f" coordsize="21600,21600">
                  <v:path/>
                  <v:fill on="f" focussize="0,0"/>
                  <v:stroke on="f" joinstyle="miter"/>
                  <v:imagedata r:id="rId29" o:title=""/>
                  <o:lock v:ext="edit" aspectratio="t"/>
                  <w10:wrap type="none"/>
                  <w10:anchorlock/>
                </v:shape>
                <o:OLEObject Type="Embed" ProgID="Equation.3" ShapeID="_x0000_i1032" DrawAspect="Content" ObjectID="_1468075732" r:id="rId28">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障碍物屏蔽</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引起的衰减，</w: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dB；</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object>
                <v:shape id="_x0000_i1033" o:spt="75" type="#_x0000_t75" style="height:18.75pt;width:24.75pt;" o:ole="t" filled="f" o:preferrelative="t" stroked="f" coordsize="21600,21600">
                  <v:path/>
                  <v:fill on="f" focussize="0,0"/>
                  <v:stroke on="f" joinstyle="miter"/>
                  <v:imagedata r:id="rId31" o:title=""/>
                  <o:lock v:ext="edit" aspectratio="t"/>
                  <w10:wrap type="none"/>
                  <w10:anchorlock/>
                </v:shape>
                <o:OLEObject Type="Embed" ProgID="Equation.3" ShapeID="_x0000_i1033" DrawAspect="Content" ObjectID="_1468075733" r:id="rId30">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其他多方面效应引起的衰减，</w: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dB</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（2）室内点声源对厂界噪声预测点贡献值预测模式</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室内声源首先换算为等效室外声源，再按各类声源模式计算。</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①首先计算出某个室内声源靠近围护结构处的倍频带声压级：</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object>
                <v:shape id="_x0000_i1034" o:spt="75" type="#_x0000_t75" style="height:30pt;width:136.5pt;" o:ole="t" filled="f" o:preferrelative="t" stroked="f" coordsize="21600,21600">
                  <v:path/>
                  <v:fill on="f" focussize="0,0"/>
                  <v:stroke on="f" joinstyle="miter"/>
                  <v:imagedata r:id="rId33" o:title=""/>
                  <o:lock v:ext="edit" aspectratio="t"/>
                  <w10:wrap type="none"/>
                  <w10:anchorlock/>
                </v:shape>
                <o:OLEObject Type="Embed" ProgID="Equation.3" ShapeID="_x0000_i1034" DrawAspect="Content" ObjectID="_1468075734" r:id="rId32">
                  <o:LockedField>false</o:LockedField>
                </o:OLEObject>
              </w:objec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式中：</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35" o:spt="75" type="#_x0000_t75" style="height:18.75pt;width:18.75pt;" o:ole="t" filled="f" o:preferrelative="t" stroked="f" coordsize="21600,21600">
                  <v:path/>
                  <v:fill on="f" focussize="0,0"/>
                  <v:stroke on="f" joinstyle="miter"/>
                  <v:imagedata r:id="rId35" o:title=""/>
                  <o:lock v:ext="edit" aspectratio="t"/>
                  <w10:wrap type="none"/>
                  <w10:anchorlock/>
                </v:shape>
                <o:OLEObject Type="Embed" ProgID="Equation.3" ShapeID="_x0000_i1035" DrawAspect="Content" ObjectID="_1468075735" r:id="rId34">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 xml:space="preserve">靠近开口处（或窗户）室内某倍频带的声压级或 </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 xml:space="preserve">A </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声级</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dB；</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36" o:spt="75" type="#_x0000_t75" style="height:18.75pt;width:16.5pt;" o:ole="t" filled="f" o:preferrelative="t" stroked="f" coordsize="21600,21600">
                  <v:path/>
                  <v:fill on="f" focussize="0,0"/>
                  <v:stroke on="f" joinstyle="miter"/>
                  <v:imagedata r:id="rId37" o:title=""/>
                  <o:lock v:ext="edit" aspectratio="t"/>
                  <w10:wrap type="none"/>
                  <w10:anchorlock/>
                </v:shape>
                <o:OLEObject Type="Embed" ProgID="Equation.3" ShapeID="_x0000_i1036" DrawAspect="Content" ObjectID="_1468075736" r:id="rId36">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点声源声功率级（</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 xml:space="preserve">A </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计权或倍频带）</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dB；</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37" o:spt="75" type="#_x0000_t75" style="height:7.5pt;width:7.5pt;" o:ole="t" filled="f" o:preferrelative="t" stroked="f" coordsize="21600,21600">
                  <v:path/>
                  <v:fill on="f" focussize="0,0"/>
                  <v:stroke on="f" joinstyle="miter"/>
                  <v:imagedata r:id="rId39" o:title=""/>
                  <o:lock v:ext="edit" aspectratio="t"/>
                  <w10:wrap type="none"/>
                  <w10:anchorlock/>
                </v:shape>
                <o:OLEObject Type="Embed" ProgID="Equation.3" ShapeID="_x0000_i1037" DrawAspect="Content" ObjectID="_1468075737" r:id="rId38">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声源到靠近围护结构某点处的距离，m；</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38" o:spt="75" type="#_x0000_t75" style="height:16.5pt;width:12pt;" o:ole="t" filled="f" o:preferrelative="t" stroked="f" coordsize="21600,21600">
                  <v:path/>
                  <v:fill on="f" focussize="0,0"/>
                  <v:stroke on="f" joinstyle="miter"/>
                  <v:imagedata r:id="rId41" o:title=""/>
                  <o:lock v:ext="edit" aspectratio="t"/>
                  <w10:wrap type="none"/>
                  <w10:anchorlock/>
                </v:shape>
                <o:OLEObject Type="Embed" ProgID="Equation.3" ShapeID="_x0000_i1038" DrawAspect="Content" ObjectID="_1468075738" r:id="rId40">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指向性因数；通常对无指向性声源，当声源放在房间中心时，</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Q=1</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 xml:space="preserve">；当放在一面墙的中 </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心时，</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Q=2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；当放在两面墙夹角处时，</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Q=4</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；当放在三面墙夹角处时，</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Q=8；</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39" o:spt="75" type="#_x0000_t75" style="height:12pt;width:12pt;" o:ole="t" filled="f" o:preferrelative="t" stroked="f" coordsize="21600,21600">
                  <v:path/>
                  <v:fill on="f" focussize="0,0"/>
                  <v:stroke on="f" joinstyle="miter"/>
                  <v:imagedata r:id="rId43" o:title=""/>
                  <o:lock v:ext="edit" aspectratio="t"/>
                  <w10:wrap type="none"/>
                  <w10:anchorlock/>
                </v:shape>
                <o:OLEObject Type="Embed" ProgID="Equation.3" ShapeID="_x0000_i1039" DrawAspect="Content" ObjectID="_1468075739" r:id="rId42">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房间常数，</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40" o:spt="75" type="#_x0000_t75" style="height:16.5pt;width:77.25pt;" o:ole="t" filled="f" o:preferrelative="t" stroked="f" coordsize="21600,21600">
                  <v:path/>
                  <v:fill on="f" focussize="0,0"/>
                  <v:stroke on="f" joinstyle="miter"/>
                  <v:imagedata r:id="rId45" o:title=""/>
                  <o:lock v:ext="edit" aspectratio="t"/>
                  <w10:wrap type="none"/>
                  <w10:anchorlock/>
                </v:shape>
                <o:OLEObject Type="Embed" ProgID="Equation.3" ShapeID="_x0000_i1040" DrawAspect="Content" ObjectID="_1468075740" r:id="rId44">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41" o:spt="75" type="#_x0000_t75" style="height:13.5pt;width:11.25pt;" o:ole="t" filled="f" o:preferrelative="t" stroked="f" coordsize="21600,21600">
                  <v:path/>
                  <v:fill on="f" focussize="0,0"/>
                  <v:stroke on="f" joinstyle="miter"/>
                  <v:imagedata r:id="rId47" o:title=""/>
                  <o:lock v:ext="edit" aspectratio="t"/>
                  <w10:wrap type="none"/>
                  <w10:anchorlock/>
                </v:shape>
                <o:OLEObject Type="Embed" ProgID="Equation.3" ShapeID="_x0000_i1041" DrawAspect="Content" ObjectID="_1468075741" r:id="rId46">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为房间内表面面积，㎡，</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42" o:spt="75" type="#_x0000_t75" style="height:11.25pt;width:12pt;" o:ole="t" filled="f" o:preferrelative="t" stroked="f" coordsize="21600,21600">
                  <v:path/>
                  <v:fill on="f" focussize="0,0"/>
                  <v:stroke on="f" joinstyle="miter"/>
                  <v:imagedata r:id="rId49" o:title=""/>
                  <o:lock v:ext="edit" aspectratio="t"/>
                  <w10:wrap type="none"/>
                  <w10:anchorlock/>
                </v:shape>
                <o:OLEObject Type="Embed" ProgID="Equation.3" ShapeID="_x0000_i1042" DrawAspect="Content" ObjectID="_1468075742" r:id="rId48">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为平均吸声系数。</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②计算出所有室内声源在靠近围护结构处产生的</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43" o:spt="75" type="#_x0000_t75" style="height:12pt;width:6.75pt;" o:ole="t" filled="f" o:preferrelative="t" stroked="f" coordsize="21600,21600">
                  <v:path/>
                  <v:fill on="f" focussize="0,0"/>
                  <v:stroke on="f" joinstyle="miter"/>
                  <v:imagedata r:id="rId51" o:title=""/>
                  <o:lock v:ext="edit" aspectratio="t"/>
                  <w10:wrap type="none"/>
                  <w10:anchorlock/>
                </v:shape>
                <o:OLEObject Type="Embed" ProgID="Equation.3" ShapeID="_x0000_i1043" DrawAspect="Content" ObjectID="_1468075743" r:id="rId50">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倍频带叠加声压级：</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44" o:spt="75" type="#_x0000_t75" style="height:35.25pt;width:130.5pt;" o:ole="t" filled="f" o:preferrelative="t" stroked="f" coordsize="21600,21600">
                  <v:path/>
                  <v:fill on="f" focussize="0,0"/>
                  <v:stroke on="f" joinstyle="miter"/>
                  <v:imagedata r:id="rId53" o:title=""/>
                  <o:lock v:ext="edit" aspectratio="t"/>
                  <w10:wrap type="none"/>
                  <w10:anchorlock/>
                </v:shape>
                <o:OLEObject Type="Embed" ProgID="Equation.3" ShapeID="_x0000_i1044" DrawAspect="Content" ObjectID="_1468075744" r:id="rId52">
                  <o:LockedField>false</o:LockedField>
                </o:OLEObject>
              </w:objec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式中：</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45" o:spt="75" type="#_x0000_t75" style="height:18.75pt;width:36.75pt;" o:ole="t" filled="f" o:preferrelative="t" stroked="f" coordsize="21600,21600">
                  <v:path/>
                  <v:fill on="f" focussize="0,0"/>
                  <v:stroke on="f" joinstyle="miter"/>
                  <v:imagedata r:id="rId55" o:title=""/>
                  <o:lock v:ext="edit" aspectratio="t"/>
                  <w10:wrap type="none"/>
                  <w10:anchorlock/>
                </v:shape>
                <o:OLEObject Type="Embed" ProgID="Equation.3" ShapeID="_x0000_i1045" DrawAspect="Content" ObjectID="_1468075745" r:id="rId54">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——靠近围护结构处室内N个声源</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46" o:spt="75" type="#_x0000_t75" style="height:12pt;width:6.75pt;" o:ole="t" filled="f" o:preferrelative="t" stroked="f" coordsize="21600,21600">
                  <v:path/>
                  <v:fill on="f" focussize="0,0"/>
                  <v:stroke on="f" joinstyle="miter"/>
                  <v:imagedata r:id="rId57" o:title=""/>
                  <o:lock v:ext="edit" aspectratio="t"/>
                  <w10:wrap type="none"/>
                  <w10:anchorlock/>
                </v:shape>
                <o:OLEObject Type="Embed" ProgID="Equation.3" ShapeID="_x0000_i1046" DrawAspect="Content" ObjectID="_1468075746" r:id="rId56">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倍频带的叠加声压级，dB；</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47" o:spt="75" type="#_x0000_t75" style="height:18.75pt;width:24pt;" o:ole="t" filled="f" o:preferrelative="t" stroked="f" coordsize="21600,21600">
                  <v:path/>
                  <v:fill on="f" focussize="0,0"/>
                  <v:stroke on="f" joinstyle="miter"/>
                  <v:imagedata r:id="rId59" o:title=""/>
                  <o:lock v:ext="edit" aspectratio="t"/>
                  <w10:wrap type="none"/>
                  <w10:anchorlock/>
                </v:shape>
                <o:OLEObject Type="Embed" ProgID="Equation.3" ShapeID="_x0000_i1047" DrawAspect="Content" ObjectID="_1468075747" r:id="rId58">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——室内</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48" o:spt="75" type="#_x0000_t75" style="height:13.5pt;width:7.5pt;" o:ole="t" filled="f" o:preferrelative="t" stroked="f" coordsize="21600,21600">
                  <v:path/>
                  <v:fill on="f" focussize="0,0"/>
                  <v:stroke on="f" joinstyle="miter"/>
                  <v:imagedata r:id="rId61" o:title=""/>
                  <o:lock v:ext="edit" aspectratio="t"/>
                  <w10:wrap type="none"/>
                  <w10:anchorlock/>
                </v:shape>
                <o:OLEObject Type="Embed" ProgID="Equation.3" ShapeID="_x0000_i1048" DrawAspect="Content" ObjectID="_1468075748" r:id="rId60">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声源</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49" o:spt="75" type="#_x0000_t75" style="height:12pt;width:6.75pt;" o:ole="t" filled="f" o:preferrelative="t" stroked="f" coordsize="21600,21600">
                  <v:path/>
                  <v:fill on="f" focussize="0,0"/>
                  <v:stroke on="f" joinstyle="miter"/>
                  <v:imagedata r:id="rId57" o:title=""/>
                  <o:lock v:ext="edit" aspectratio="t"/>
                  <w10:wrap type="none"/>
                  <w10:anchorlock/>
                </v:shape>
                <o:OLEObject Type="Embed" ProgID="Equation.3" ShapeID="_x0000_i1049" DrawAspect="Content" ObjectID="_1468075749" r:id="rId62">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倍频带的声压级，dB；</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50" o:spt="75" type="#_x0000_t75" style="height:13.5pt;width:13.5pt;" o:ole="t" filled="f" o:preferrelative="t" stroked="f" coordsize="21600,21600">
                  <v:path/>
                  <v:fill on="f" focussize="0,0"/>
                  <v:stroke on="f" joinstyle="miter"/>
                  <v:imagedata r:id="rId64" o:title=""/>
                  <o:lock v:ext="edit" aspectratio="t"/>
                  <w10:wrap type="none"/>
                  <w10:anchorlock/>
                </v:shape>
                <o:OLEObject Type="Embed" ProgID="Equation.3" ShapeID="_x0000_i1050" DrawAspect="Content" ObjectID="_1468075750" r:id="rId63">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——室内声源总数。</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③计算出室外靠近围护结构处的声压级：</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51" o:spt="75" type="#_x0000_t75" style="height:18.75pt;width:138.75pt;" o:ole="t" filled="f" o:preferrelative="t" stroked="f" coordsize="21600,21600">
                  <v:path/>
                  <v:fill on="f" focussize="0,0"/>
                  <v:stroke on="f" joinstyle="miter"/>
                  <v:imagedata r:id="rId66" o:title=""/>
                  <o:lock v:ext="edit" aspectratio="t"/>
                  <w10:wrap type="none"/>
                  <w10:anchorlock/>
                </v:shape>
                <o:OLEObject Type="Embed" ProgID="Equation.3" ShapeID="_x0000_i1051" DrawAspect="Content" ObjectID="_1468075751" r:id="rId65">
                  <o:LockedField>false</o:LockedField>
                </o:OLEObject>
              </w:objec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式中：</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52" o:spt="75" type="#_x0000_t75" style="height:18.75pt;width:41.25pt;" o:ole="t" filled="f" o:preferrelative="t" stroked="f" coordsize="21600,21600">
                  <v:path/>
                  <v:fill on="f" focussize="0,0"/>
                  <v:stroke on="f" joinstyle="miter"/>
                  <v:imagedata r:id="rId68" o:title=""/>
                  <o:lock v:ext="edit" aspectratio="t"/>
                  <w10:wrap type="none"/>
                  <w10:anchorlock/>
                </v:shape>
                <o:OLEObject Type="Embed" ProgID="Equation.3" ShapeID="_x0000_i1052" DrawAspect="Content" ObjectID="_1468075752" r:id="rId67">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——靠近围护结构处室外N个声源</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53" o:spt="75" type="#_x0000_t75" style="height:12pt;width:6.75pt;" o:ole="t" filled="f" o:preferrelative="t" stroked="f" coordsize="21600,21600">
                  <v:path/>
                  <v:fill on="f" focussize="0,0"/>
                  <v:stroke on="f" joinstyle="miter"/>
                  <v:imagedata r:id="rId57" o:title=""/>
                  <o:lock v:ext="edit" aspectratio="t"/>
                  <w10:wrap type="none"/>
                  <w10:anchorlock/>
                </v:shape>
                <o:OLEObject Type="Embed" ProgID="Equation.3" ShapeID="_x0000_i1053" DrawAspect="Content" ObjectID="_1468075753" r:id="rId69">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倍频带的叠加声压级，dB；</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54" o:spt="75" type="#_x0000_t75" style="height:18.75pt;width:18.75pt;" o:ole="t" filled="f" o:preferrelative="t" stroked="f" coordsize="21600,21600">
                  <v:path/>
                  <v:fill on="f" focussize="0,0"/>
                  <v:stroke on="f" joinstyle="miter"/>
                  <v:imagedata r:id="rId71" o:title=""/>
                  <o:lock v:ext="edit" aspectratio="t"/>
                  <w10:wrap type="none"/>
                  <w10:anchorlock/>
                </v:shape>
                <o:OLEObject Type="Embed" ProgID="Equation.3" ShapeID="_x0000_i1054" DrawAspect="Content" ObjectID="_1468075754" r:id="rId70">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——围护结构</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55" o:spt="75" type="#_x0000_t75" style="height:12pt;width:6.75pt;" o:ole="t" filled="f" o:preferrelative="t" stroked="f" coordsize="21600,21600">
                  <v:path/>
                  <v:fill on="f" focussize="0,0"/>
                  <v:stroke on="f" joinstyle="miter"/>
                  <v:imagedata r:id="rId57" o:title=""/>
                  <o:lock v:ext="edit" aspectratio="t"/>
                  <w10:wrap type="none"/>
                  <w10:anchorlock/>
                </v:shape>
                <o:OLEObject Type="Embed" ProgID="Equation.3" ShapeID="_x0000_i1055" DrawAspect="Content" ObjectID="_1468075755" r:id="rId72">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倍频带的隔声量，dB；</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④将室外声源的声压级和透过面积换算成等效的室外声源，计算出中心位置位于透声面积（S）处的等效声源的倍频带声功率级。</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pict>
                <v:shape id="_x0000_s2050" o:spid="_x0000_s2050" o:spt="75" type="#_x0000_t75" style="position:absolute;left:0pt;margin-left:26.05pt;margin-top:0.9pt;height:18.75pt;width:106.5pt;z-index:251664384;mso-width-relative:page;mso-height-relative:page;" o:ole="t" filled="f" o:preferrelative="t" stroked="f" coordsize="21600,21600">
                  <v:path/>
                  <v:fill on="f" focussize="0,0"/>
                  <v:stroke on="f" joinstyle="miter"/>
                  <v:imagedata r:id="rId74" o:title=""/>
                  <o:lock v:ext="edit" aspectratio="t"/>
                </v:shape>
                <o:OLEObject Type="Embed" ProgID="Equation.3" ShapeID="_x0000_s2050" DrawAspect="Content" ObjectID="_1468075756" r:id="rId73">
                  <o:LockedField>false</o:LockedField>
                </o:OLEObject>
              </w:pic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⑤等效室外声源的位置为围护结构的位置，其倍频带声功率级为</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56" o:spt="75" type="#_x0000_t75" style="height:18.75pt;width:16.5pt;" o:ole="t" filled="f" o:preferrelative="t" stroked="f" coordsize="21600,21600">
                  <v:path/>
                  <v:fill on="f" focussize="0,0"/>
                  <v:stroke on="f" joinstyle="miter"/>
                  <v:imagedata r:id="rId76" o:title=""/>
                  <o:lock v:ext="edit" aspectratio="t"/>
                  <w10:wrap type="none"/>
                  <w10:anchorlock/>
                </v:shape>
                <o:OLEObject Type="Embed" ProgID="Equation.3" ShapeID="_x0000_i1056" DrawAspect="Content" ObjectID="_1468075757" r:id="rId75">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，根据厂房结构（门、窗）和预测点的位置关系，分别按照面声源、线声源和点声源的衰减模式，计算预测点处的声级。</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假设窗户的宽度为a，高度为b，窗户个数为n；预测点距墙中心的距离为</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57" o:spt="75" type="#_x0000_t75" style="height:7.5pt;width:7.5pt;" o:ole="t" filled="f" o:preferrelative="t" stroked="f" coordsize="21600,21600">
                  <v:path/>
                  <v:fill on="f" focussize="0,0"/>
                  <v:stroke on="f" joinstyle="miter"/>
                  <v:imagedata r:id="rId78" o:title=""/>
                  <o:lock v:ext="edit" aspectratio="t"/>
                  <w10:wrap type="none"/>
                  <w10:anchorlock/>
                </v:shape>
                <o:OLEObject Type="Embed" ProgID="Equation.3" ShapeID="_x0000_i1057" DrawAspect="Content" ObjectID="_1468075758" r:id="rId77">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。预测点的声级按照下述公式进行预测：</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当</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58" o:spt="75" type="#_x0000_t75" style="height:30pt;width:30pt;" o:ole="t" filled="f" o:preferrelative="t" stroked="f" coordsize="21600,21600">
                  <v:path/>
                  <v:fill on="f" focussize="0,0"/>
                  <v:stroke on="f" joinstyle="miter"/>
                  <v:imagedata r:id="rId80" o:title=""/>
                  <o:lock v:ext="edit" aspectratio="t"/>
                  <w10:wrap type="none"/>
                  <w10:anchorlock/>
                </v:shape>
                <o:OLEObject Type="Embed" ProgID="Equation.3" ShapeID="_x0000_i1058" DrawAspect="Content" ObjectID="_1468075759" r:id="rId79">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时，</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59" o:spt="75" type="#_x0000_t75" style="height:17.25pt;width:54.75pt;" o:ole="t" filled="f" o:preferrelative="t" stroked="f" coordsize="21600,21600">
                  <v:path/>
                  <v:fill on="f" focussize="0,0"/>
                  <v:stroke on="f" joinstyle="miter"/>
                  <v:imagedata r:id="rId82" o:title=""/>
                  <o:lock v:ext="edit" aspectratio="t"/>
                  <w10:wrap type="none"/>
                  <w10:anchorlock/>
                </v:shape>
                <o:OLEObject Type="Embed" ProgID="Equation.3" ShapeID="_x0000_i1059" DrawAspect="Content" ObjectID="_1468075760" r:id="rId81">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（即按面声源处理）；</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当</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60" o:spt="75" type="#_x0000_t75" style="height:30pt;width:58.5pt;" o:ole="t" filled="f" o:preferrelative="t" stroked="f" coordsize="21600,21600">
                  <v:path/>
                  <v:fill on="f" focussize="0,0"/>
                  <v:stroke on="f" joinstyle="miter"/>
                  <v:imagedata r:id="rId84" o:title=""/>
                  <o:lock v:ext="edit" aspectratio="t"/>
                  <w10:wrap type="none"/>
                  <w10:anchorlock/>
                </v:shape>
                <o:OLEObject Type="Embed" ProgID="Equation.3" ShapeID="_x0000_i1060" DrawAspect="Content" ObjectID="_1468075761" r:id="rId83">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时，</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61" o:spt="75" type="#_x0000_t75" style="height:30pt;width:97.5pt;" o:ole="t" filled="f" o:preferrelative="t" stroked="f" coordsize="21600,21600">
                  <v:path/>
                  <v:fill on="f" focussize="0,0"/>
                  <v:stroke on="f" joinstyle="miter"/>
                  <v:imagedata r:id="rId86" o:title=""/>
                  <o:lock v:ext="edit" aspectratio="t"/>
                  <w10:wrap type="none"/>
                  <w10:anchorlock/>
                </v:shape>
                <o:OLEObject Type="Embed" ProgID="Equation.3" ShapeID="_x0000_i1061" DrawAspect="Content" ObjectID="_1468075762" r:id="rId85">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（即按线声源处理）；</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当</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62" o:spt="75" type="#_x0000_t75" style="height:30pt;width:36pt;" o:ole="t" filled="f" o:preferrelative="t" stroked="f" coordsize="21600,21600">
                  <v:path/>
                  <v:fill on="f" focussize="0,0"/>
                  <v:stroke on="f" joinstyle="miter"/>
                  <v:imagedata r:id="rId88" o:title=""/>
                  <o:lock v:ext="edit" aspectratio="t"/>
                  <w10:wrap type="none"/>
                  <w10:anchorlock/>
                </v:shape>
                <o:OLEObject Type="Embed" ProgID="Equation.3" ShapeID="_x0000_i1062" DrawAspect="Content" ObjectID="_1468075763" r:id="rId87">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时，</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63" o:spt="75" type="#_x0000_t75" style="height:30pt;width:107.25pt;" o:ole="t" filled="f" o:preferrelative="t" stroked="f" coordsize="21600,21600">
                  <v:path/>
                  <v:fill on="f" focussize="0,0"/>
                  <v:stroke on="f" joinstyle="miter"/>
                  <v:imagedata r:id="rId90" o:title=""/>
                  <o:lock v:ext="edit" aspectratio="t"/>
                  <w10:wrap type="none"/>
                  <w10:anchorlock/>
                </v:shape>
                <o:OLEObject Type="Embed" ProgID="Equation.3" ShapeID="_x0000_i1063" DrawAspect="Content" ObjectID="_1468075764" r:id="rId89">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（即按点声源处理）；</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计算总声压级</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①计算本工程各室外噪声源和各含噪声源厂房对各预测点噪声贡献值</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设第</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64" o:spt="75" type="#_x0000_t75" style="height:12pt;width:6.75pt;" o:ole="t" filled="f" o:preferrelative="t" stroked="f" coordsize="21600,21600">
                  <v:path/>
                  <v:fill on="f" focussize="0,0"/>
                  <v:stroke on="f" joinstyle="miter"/>
                  <v:imagedata r:id="rId57" o:title=""/>
                  <o:lock v:ext="edit" aspectratio="t"/>
                  <w10:wrap type="none"/>
                  <w10:anchorlock/>
                </v:shape>
                <o:OLEObject Type="Embed" ProgID="Equation.3" ShapeID="_x0000_i1064" DrawAspect="Content" ObjectID="_1468075765" r:id="rId91">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个室外声源在预测点产生的A声级为</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65" o:spt="75" type="#_x0000_t75" style="height:18.75pt;width:18.75pt;" o:ole="t" filled="f" o:preferrelative="t" stroked="f" coordsize="21600,21600">
                  <v:path/>
                  <v:fill on="f" focussize="0,0"/>
                  <v:stroke on="f" joinstyle="miter"/>
                  <v:imagedata r:id="rId93" o:title=""/>
                  <o:lock v:ext="edit" aspectratio="t"/>
                  <w10:wrap type="none"/>
                  <w10:anchorlock/>
                </v:shape>
                <o:OLEObject Type="Embed" ProgID="Equation.3" ShapeID="_x0000_i1065" DrawAspect="Content" ObjectID="_1468075766" r:id="rId92">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，在T时间内该声源工作时间为</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66" o:spt="75" type="#_x0000_t75" style="height:18.75pt;width:7.5pt;" o:ole="t" filled="f" o:preferrelative="t" stroked="f" coordsize="21600,21600">
                  <v:path/>
                  <v:fill on="f" focussize="0,0"/>
                  <v:stroke on="f" joinstyle="miter"/>
                  <v:imagedata r:id="rId95" o:title=""/>
                  <o:lock v:ext="edit" aspectratio="t"/>
                  <w10:wrap type="none"/>
                  <w10:anchorlock/>
                </v:shape>
                <o:OLEObject Type="Embed" ProgID="Equation.3" ShapeID="_x0000_i1066" DrawAspect="Content" ObjectID="_1468075767" r:id="rId94">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；第</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67" o:spt="75" type="#_x0000_t75" style="height:13.5pt;width:7.5pt;" o:ole="t" filled="f" o:preferrelative="t" stroked="f" coordsize="21600,21600">
                  <v:path/>
                  <v:fill on="f" focussize="0,0"/>
                  <v:stroke on="f" joinstyle="miter"/>
                  <v:imagedata r:id="rId97" o:title=""/>
                  <o:lock v:ext="edit" aspectratio="t"/>
                  <w10:wrap type="none"/>
                  <w10:anchorlock/>
                </v:shape>
                <o:OLEObject Type="Embed" ProgID="Equation.3" ShapeID="_x0000_i1067" DrawAspect="Content" ObjectID="_1468075768" r:id="rId96">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个等效室外声源在预测点产生的A声级为</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68" o:spt="75" type="#_x0000_t75" style="height:18.75pt;width:18.75pt;" o:ole="t" filled="f" o:preferrelative="t" stroked="f" coordsize="21600,21600">
                  <v:path/>
                  <v:fill on="f" focussize="0,0"/>
                  <v:stroke on="f" joinstyle="miter"/>
                  <v:imagedata r:id="rId99" o:title=""/>
                  <o:lock v:ext="edit" aspectratio="t"/>
                  <w10:wrap type="none"/>
                  <w10:anchorlock/>
                </v:shape>
                <o:OLEObject Type="Embed" ProgID="Equation.3" ShapeID="_x0000_i1068" DrawAspect="Content" ObjectID="_1468075769" r:id="rId98">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，在T时间内该声源工作时间为</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69" o:spt="75" type="#_x0000_t75" style="height:18.75pt;width:11.25pt;" o:ole="t" filled="f" o:preferrelative="t" stroked="f" coordsize="21600,21600">
                  <v:path/>
                  <v:fill on="f" focussize="0,0"/>
                  <v:stroke on="f" joinstyle="miter"/>
                  <v:imagedata r:id="rId101" o:title=""/>
                  <o:lock v:ext="edit" aspectratio="t"/>
                  <w10:wrap type="none"/>
                  <w10:anchorlock/>
                </v:shape>
                <o:OLEObject Type="Embed" ProgID="Equation.3" ShapeID="_x0000_i1069" DrawAspect="Content" ObjectID="_1468075770" r:id="rId100">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，则拟建工程声源对预测点产生的贡献值（</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70" o:spt="75" type="#_x0000_t75" style="height:18.75pt;width:22.5pt;" o:ole="t" filled="f" o:preferrelative="t" stroked="f" coordsize="21600,21600">
                  <v:path/>
                  <v:fill on="f" focussize="0,0"/>
                  <v:stroke on="f" joinstyle="miter"/>
                  <v:imagedata r:id="rId103" o:title=""/>
                  <o:lock v:ext="edit" aspectratio="t"/>
                  <w10:wrap type="none"/>
                  <w10:anchorlock/>
                </v:shape>
                <o:OLEObject Type="Embed" ProgID="Equation.3" ShapeID="_x0000_i1070" DrawAspect="Content" ObjectID="_1468075771" r:id="rId102">
                  <o:LockedField>false</o:LockedField>
                </o:OLEObject>
              </w:objec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）为:</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303530</wp:posOffset>
                  </wp:positionH>
                  <wp:positionV relativeFrom="paragraph">
                    <wp:posOffset>22225</wp:posOffset>
                  </wp:positionV>
                  <wp:extent cx="2637790" cy="466090"/>
                  <wp:effectExtent l="0" t="0" r="10160" b="10795"/>
                  <wp:wrapNone/>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pic:cNvPicPr>
                            <a:picLocks noChangeAspect="1"/>
                          </pic:cNvPicPr>
                        </pic:nvPicPr>
                        <pic:blipFill>
                          <a:blip r:embed="rId104"/>
                          <a:stretch>
                            <a:fillRect/>
                          </a:stretch>
                        </pic:blipFill>
                        <pic:spPr>
                          <a:xfrm>
                            <a:off x="0" y="0"/>
                            <a:ext cx="2637790" cy="466090"/>
                          </a:xfrm>
                          <a:prstGeom prst="rect">
                            <a:avLst/>
                          </a:prstGeom>
                          <a:noFill/>
                          <a:ln>
                            <a:noFill/>
                          </a:ln>
                        </pic:spPr>
                      </pic:pic>
                    </a:graphicData>
                  </a:graphic>
                </wp:anchor>
              </w:drawing>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②预测点的噪声预测值</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71" o:spt="75" type="#_x0000_t75" style="height:22.5pt;width:142.5pt;" o:ole="t" filled="f" o:preferrelative="t" stroked="f" coordsize="21600,21600">
                  <v:path/>
                  <v:fill on="f" focussize="0,0"/>
                  <v:stroke on="f" joinstyle="miter"/>
                  <v:imagedata r:id="rId106" o:title=""/>
                  <o:lock v:ext="edit" aspectratio="t"/>
                  <w10:wrap type="none"/>
                  <w10:anchorlock/>
                </v:shape>
                <o:OLEObject Type="Embed" ProgID="Equation.3" ShapeID="_x0000_i1071" DrawAspect="Content" ObjectID="_1468075772" r:id="rId105">
                  <o:LockedField>false</o:LockedField>
                </o:OLEObject>
              </w:objec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式中：</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72" o:spt="75" type="#_x0000_t75" style="height:18.75pt;width:22.5pt;" o:ole="t" filled="f" o:preferrelative="t" stroked="f" coordsize="21600,21600">
                  <v:path/>
                  <v:fill on="f" focussize="0,0"/>
                  <v:stroke on="f" joinstyle="miter"/>
                  <v:imagedata r:id="rId108" o:title=""/>
                  <o:lock v:ext="edit" aspectratio="t"/>
                  <w10:wrap type="none"/>
                  <w10:anchorlock/>
                </v:shape>
                <o:OLEObject Type="Embed" ProgID="Equation.3" ShapeID="_x0000_i1072" DrawAspect="Content" ObjectID="_1468075773" r:id="rId107">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——建设项目声源在预测点的等效声级贡献值，dB（A）；</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object>
                <v:shape id="_x0000_i1073" o:spt="75" type="#_x0000_t75" style="height:18.75pt;width:22.5pt;" o:ole="t" filled="f" o:preferrelative="t" stroked="f" coordsize="21600,21600">
                  <v:path/>
                  <v:fill on="f" focussize="0,0"/>
                  <v:stroke on="f" joinstyle="miter"/>
                  <v:imagedata r:id="rId110" o:title=""/>
                  <o:lock v:ext="edit" aspectratio="t"/>
                  <w10:wrap type="none"/>
                  <w10:anchorlock/>
                </v:shape>
                <o:OLEObject Type="Embed" ProgID="Equation.3" ShapeID="_x0000_i1073" DrawAspect="Content" ObjectID="_1468075774" r:id="rId109">
                  <o:LockedField>false</o:LockedField>
                </o:OLEObject>
              </w:object>
            </w:r>
            <w:r>
              <w:rPr>
                <w:rFonts w:hint="default" w:ascii="Times New Roman" w:hAnsi="Times New Roman" w:eastAsia="宋体" w:cs="Times New Roman"/>
                <w:bCs/>
                <w:color w:val="000000" w:themeColor="text1"/>
                <w:sz w:val="24"/>
                <w:szCs w:val="24"/>
                <w:highlight w:val="none"/>
                <w:lang w:val="pt-BR" w:eastAsia="zh-CN"/>
                <w14:textFill>
                  <w14:solidFill>
                    <w14:schemeClr w14:val="tx1"/>
                  </w14:solidFill>
                </w14:textFill>
              </w:rPr>
              <w:t>——预测点的背景值，dB（A）。</w:t>
            </w:r>
          </w:p>
          <w:p>
            <w:pPr>
              <w:pStyle w:val="26"/>
              <w:spacing w:line="360" w:lineRule="auto"/>
              <w:ind w:left="0" w:leftChars="0" w:firstLine="0" w:firstLineChars="0"/>
              <w:rPr>
                <w:rFonts w:hint="default" w:ascii="Times New Roman" w:hAnsi="Times New Roman" w:eastAsia="宋体" w:cs="Times New Roman"/>
                <w:b/>
                <w:bCs/>
                <w:color w:val="000000" w:themeColor="text1"/>
                <w:kern w:val="2"/>
                <w:sz w:val="24"/>
                <w:szCs w:val="3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32"/>
                <w:lang w:val="en-US" w:eastAsia="zh-CN" w:bidi="ar-SA"/>
                <w14:textFill>
                  <w14:solidFill>
                    <w14:schemeClr w14:val="tx1"/>
                  </w14:solidFill>
                </w14:textFill>
              </w:rPr>
              <w:t>3.2</w:t>
            </w:r>
            <w:r>
              <w:rPr>
                <w:rFonts w:hint="default" w:ascii="Times New Roman" w:hAnsi="Times New Roman" w:eastAsia="宋体" w:cs="Times New Roman"/>
                <w:b/>
                <w:bCs/>
                <w:color w:val="000000" w:themeColor="text1"/>
                <w:kern w:val="2"/>
                <w:sz w:val="24"/>
                <w:szCs w:val="32"/>
                <w:lang w:val="en-US" w:eastAsia="zh-CN" w:bidi="ar-SA"/>
                <w14:textFill>
                  <w14:solidFill>
                    <w14:schemeClr w14:val="tx1"/>
                  </w14:solidFill>
                </w14:textFill>
              </w:rPr>
              <w:t>噪声源参数的确定</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根据各</w:t>
            </w:r>
            <w:r>
              <w:rPr>
                <w:rFonts w:hint="eastAsia" w:eastAsia="宋体" w:cs="Times New Roman"/>
                <w:bCs/>
                <w:color w:val="000000" w:themeColor="text1"/>
                <w:sz w:val="24"/>
                <w:szCs w:val="24"/>
                <w:highlight w:val="none"/>
                <w:lang w:val="en-US" w:eastAsia="zh-CN"/>
                <w14:textFill>
                  <w14:solidFill>
                    <w14:schemeClr w14:val="tx1"/>
                  </w14:solidFill>
                </w14:textFill>
              </w:rPr>
              <w:t>企业</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以及使用同类型设备企业</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的调研，该项目主要设备噪声源强见下表。由表可知，主要生产设备的噪声源为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85-100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dB(A)。</w:t>
            </w:r>
          </w:p>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建设项目所处区域的年平均风速1.82m/s、主导风向为西南风、年平均气温12.74℃、年平均相对湿度60%、大气压强1050KPa。</w:t>
            </w:r>
          </w:p>
          <w:p>
            <w:pPr>
              <w:adjustRightInd w:val="0"/>
              <w:snapToGrid w:val="0"/>
              <w:spacing w:line="360" w:lineRule="auto"/>
              <w:ind w:firstLine="480" w:firstLineChars="200"/>
              <w:jc w:val="both"/>
              <w:rPr>
                <w:rFonts w:hint="eastAsia"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本项目主要设备噪声源强见下表</w:t>
            </w:r>
            <w:r>
              <w:rPr>
                <w:rFonts w:hint="eastAsia" w:eastAsia="宋体" w:cs="Times New Roman"/>
                <w:bCs/>
                <w:color w:val="000000" w:themeColor="text1"/>
                <w:sz w:val="24"/>
                <w:szCs w:val="24"/>
                <w:highlight w:val="none"/>
                <w:lang w:val="en-US" w:eastAsia="zh-CN"/>
                <w14:textFill>
                  <w14:solidFill>
                    <w14:schemeClr w14:val="tx1"/>
                  </w14:solidFill>
                </w14:textFill>
              </w:rPr>
              <w:t>：</w:t>
            </w:r>
          </w:p>
          <w:p>
            <w:pPr>
              <w:pStyle w:val="48"/>
              <w:bidi w:val="0"/>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4-</w:t>
            </w:r>
            <w:r>
              <w:rPr>
                <w:rFonts w:hint="eastAsia" w:cs="Times New Roman"/>
                <w:b/>
                <w:bCs/>
                <w:color w:val="000000" w:themeColor="text1"/>
                <w:kern w:val="2"/>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主要设备噪声源</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数据（室内声源）</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483"/>
              <w:gridCol w:w="417"/>
              <w:gridCol w:w="583"/>
              <w:gridCol w:w="700"/>
              <w:gridCol w:w="767"/>
              <w:gridCol w:w="733"/>
              <w:gridCol w:w="734"/>
              <w:gridCol w:w="533"/>
              <w:gridCol w:w="917"/>
              <w:gridCol w:w="683"/>
              <w:gridCol w:w="650"/>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zh-CN" w:eastAsia="zh-CN"/>
                      <w14:textFill>
                        <w14:solidFill>
                          <w14:schemeClr w14:val="tx1"/>
                        </w14:solidFill>
                      </w14:textFill>
                    </w:rPr>
                    <w:t>序号</w:t>
                  </w:r>
                </w:p>
              </w:tc>
              <w:tc>
                <w:tcPr>
                  <w:tcW w:w="287" w:type="pc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zh-CN" w:eastAsia="zh-CN"/>
                      <w14:textFill>
                        <w14:solidFill>
                          <w14:schemeClr w14:val="tx1"/>
                        </w14:solidFill>
                      </w14:textFill>
                    </w:rPr>
                    <w:t>名称</w:t>
                  </w:r>
                </w:p>
              </w:tc>
              <w:tc>
                <w:tcPr>
                  <w:tcW w:w="248" w:type="pc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zh-CN" w:eastAsia="zh-CN"/>
                      <w14:textFill>
                        <w14:solidFill>
                          <w14:schemeClr w14:val="tx1"/>
                        </w14:solidFill>
                      </w14:textFill>
                    </w:rPr>
                    <w:t>数量</w:t>
                  </w:r>
                </w:p>
              </w:tc>
              <w:tc>
                <w:tcPr>
                  <w:tcW w:w="346" w:type="pc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噪声源强dB(A)</w:t>
                  </w:r>
                </w:p>
              </w:tc>
              <w:tc>
                <w:tcPr>
                  <w:tcW w:w="416" w:type="pc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治理措施</w:t>
                  </w:r>
                </w:p>
              </w:tc>
              <w:tc>
                <w:tcPr>
                  <w:tcW w:w="456" w:type="pct"/>
                  <w:noWrap/>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室内吸声量</w:t>
                  </w:r>
                  <w:r>
                    <w:rPr>
                      <w:rFonts w:hint="default" w:ascii="Times New Roman" w:hAnsi="Times New Roman" w:eastAsia="宋体" w:cs="Times New Roman"/>
                      <w:color w:val="000000" w:themeColor="text1"/>
                      <w:lang w:val="en-US" w:eastAsia="zh-CN"/>
                      <w14:textFill>
                        <w14:solidFill>
                          <w14:schemeClr w14:val="tx1"/>
                        </w14:solidFill>
                      </w14:textFill>
                    </w:rPr>
                    <w:t>dB(A)</w:t>
                  </w:r>
                </w:p>
              </w:tc>
              <w:tc>
                <w:tcPr>
                  <w:tcW w:w="436" w:type="pc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建筑隔声量</w:t>
                  </w:r>
                  <w:r>
                    <w:rPr>
                      <w:rFonts w:hint="default" w:ascii="Times New Roman" w:hAnsi="Times New Roman" w:eastAsia="宋体" w:cs="Times New Roman"/>
                      <w:color w:val="000000" w:themeColor="text1"/>
                      <w:lang w:val="en-US" w:eastAsia="zh-CN"/>
                      <w14:textFill>
                        <w14:solidFill>
                          <w14:schemeClr w14:val="tx1"/>
                        </w14:solidFill>
                      </w14:textFill>
                    </w:rPr>
                    <w:t>dB(A)</w:t>
                  </w:r>
                </w:p>
              </w:tc>
              <w:tc>
                <w:tcPr>
                  <w:tcW w:w="436" w:type="pc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治理后源强dB(A)</w:t>
                  </w:r>
                </w:p>
              </w:tc>
              <w:tc>
                <w:tcPr>
                  <w:tcW w:w="317" w:type="pct"/>
                  <w:noWrap/>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运行时段</w:t>
                  </w:r>
                </w:p>
              </w:tc>
              <w:tc>
                <w:tcPr>
                  <w:tcW w:w="545" w:type="pc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坐标位置（以厂址中心为坐标原点）</w:t>
                  </w:r>
                </w:p>
              </w:tc>
              <w:tc>
                <w:tcPr>
                  <w:tcW w:w="406" w:type="pc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到厂界障碍物数量</w:t>
                  </w:r>
                </w:p>
              </w:tc>
              <w:tc>
                <w:tcPr>
                  <w:tcW w:w="386" w:type="pc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树林、灌木分布情况</w:t>
                  </w:r>
                </w:p>
              </w:tc>
              <w:tc>
                <w:tcPr>
                  <w:tcW w:w="416" w:type="pc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地面覆盖情况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287" w:type="pct"/>
                  <w:noWrap/>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震动给料机</w:t>
                  </w:r>
                </w:p>
              </w:tc>
              <w:tc>
                <w:tcPr>
                  <w:tcW w:w="248" w:type="pc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346" w:type="pc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85</w:t>
                  </w:r>
                </w:p>
              </w:tc>
              <w:tc>
                <w:tcPr>
                  <w:tcW w:w="416" w:type="pct"/>
                  <w:vMerge w:val="restar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选用低噪声设备，厂房隔声</w:t>
                  </w:r>
                  <w:r>
                    <w:rPr>
                      <w:rFonts w:hint="eastAsia" w:ascii="Times New Roman" w:hAnsi="Times New Roman" w:eastAsia="宋体" w:cs="Times New Roman"/>
                      <w:color w:val="000000" w:themeColor="text1"/>
                      <w:lang w:val="en-US" w:eastAsia="zh-CN"/>
                      <w14:textFill>
                        <w14:solidFill>
                          <w14:schemeClr w14:val="tx1"/>
                        </w14:solidFill>
                      </w14:textFill>
                    </w:rPr>
                    <w:t>、基础减震</w:t>
                  </w:r>
                </w:p>
              </w:tc>
              <w:tc>
                <w:tcPr>
                  <w:tcW w:w="456" w:type="pct"/>
                  <w:vMerge w:val="restar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w:t>
                  </w:r>
                </w:p>
              </w:tc>
              <w:tc>
                <w:tcPr>
                  <w:tcW w:w="436" w:type="pct"/>
                  <w:vMerge w:val="restar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w:t>
                  </w:r>
                </w:p>
              </w:tc>
              <w:tc>
                <w:tcPr>
                  <w:tcW w:w="436" w:type="pc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60</w:t>
                  </w:r>
                </w:p>
              </w:tc>
              <w:tc>
                <w:tcPr>
                  <w:tcW w:w="317" w:type="pct"/>
                  <w:vMerge w:val="restart"/>
                  <w:noWrap/>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昼</w:t>
                  </w:r>
                </w:p>
              </w:tc>
              <w:tc>
                <w:tcPr>
                  <w:tcW w:w="545" w:type="pct"/>
                  <w:noWrap/>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{-17.74,-7.8,1}</w:t>
                  </w:r>
                </w:p>
              </w:tc>
              <w:tc>
                <w:tcPr>
                  <w:tcW w:w="406" w:type="pct"/>
                  <w:vMerge w:val="restart"/>
                  <w:noWrap/>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置于车间内，东南西北均为厂房墙体</w:t>
                  </w:r>
                </w:p>
              </w:tc>
              <w:tc>
                <w:tcPr>
                  <w:tcW w:w="386" w:type="pct"/>
                  <w:vMerge w:val="restart"/>
                  <w:noWrap/>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绿化带，种植低矮灌木</w:t>
                  </w:r>
                </w:p>
              </w:tc>
              <w:tc>
                <w:tcPr>
                  <w:tcW w:w="416" w:type="pct"/>
                  <w:vMerge w:val="restart"/>
                  <w:noWrap/>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厂区内</w:t>
                  </w:r>
                  <w:r>
                    <w:rPr>
                      <w:rFonts w:hint="default" w:ascii="Times New Roman" w:hAnsi="Times New Roman" w:eastAsia="宋体" w:cs="Times New Roman"/>
                      <w:color w:val="000000" w:themeColor="text1"/>
                      <w:highlight w:val="none"/>
                      <w:lang w:val="en-US" w:eastAsia="zh-CN"/>
                      <w14:textFill>
                        <w14:solidFill>
                          <w14:schemeClr w14:val="tx1"/>
                        </w14:solidFill>
                      </w14:textFill>
                    </w:rPr>
                    <w:t>其余空地均为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水泥硬化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p>
              </w:tc>
              <w:tc>
                <w:tcPr>
                  <w:tcW w:w="287" w:type="pct"/>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挂式电磁除铁器</w:t>
                  </w:r>
                </w:p>
              </w:tc>
              <w:tc>
                <w:tcPr>
                  <w:tcW w:w="248"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w:t>
                  </w:r>
                </w:p>
              </w:tc>
              <w:tc>
                <w:tcPr>
                  <w:tcW w:w="346"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75</w:t>
                  </w:r>
                </w:p>
              </w:tc>
              <w:tc>
                <w:tcPr>
                  <w:tcW w:w="41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5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3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50</w:t>
                  </w:r>
                </w:p>
              </w:tc>
              <w:tc>
                <w:tcPr>
                  <w:tcW w:w="317"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545" w:type="pct"/>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{-28.36,-7.34,1}</w:t>
                  </w:r>
                </w:p>
              </w:tc>
              <w:tc>
                <w:tcPr>
                  <w:tcW w:w="40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38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41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w:t>
                  </w:r>
                </w:p>
              </w:tc>
              <w:tc>
                <w:tcPr>
                  <w:tcW w:w="287" w:type="pct"/>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湿式顺流磁选机</w:t>
                  </w:r>
                </w:p>
              </w:tc>
              <w:tc>
                <w:tcPr>
                  <w:tcW w:w="248"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346"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80</w:t>
                  </w:r>
                </w:p>
              </w:tc>
              <w:tc>
                <w:tcPr>
                  <w:tcW w:w="41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5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3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55</w:t>
                  </w:r>
                </w:p>
              </w:tc>
              <w:tc>
                <w:tcPr>
                  <w:tcW w:w="317"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545" w:type="pct"/>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{-21.9,-7.8,1}</w:t>
                  </w:r>
                </w:p>
              </w:tc>
              <w:tc>
                <w:tcPr>
                  <w:tcW w:w="40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38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41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w:t>
                  </w:r>
                </w:p>
              </w:tc>
              <w:tc>
                <w:tcPr>
                  <w:tcW w:w="287" w:type="pct"/>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逆转磁选机</w:t>
                  </w:r>
                </w:p>
              </w:tc>
              <w:tc>
                <w:tcPr>
                  <w:tcW w:w="248"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346"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80</w:t>
                  </w:r>
                </w:p>
              </w:tc>
              <w:tc>
                <w:tcPr>
                  <w:tcW w:w="41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5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3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55</w:t>
                  </w:r>
                </w:p>
              </w:tc>
              <w:tc>
                <w:tcPr>
                  <w:tcW w:w="317"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545" w:type="pct"/>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{-30.67,-3.64,1}</w:t>
                  </w:r>
                </w:p>
              </w:tc>
              <w:tc>
                <w:tcPr>
                  <w:tcW w:w="40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38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41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w:t>
                  </w:r>
                </w:p>
              </w:tc>
              <w:tc>
                <w:tcPr>
                  <w:tcW w:w="287" w:type="pct"/>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摇床自卸除铁器</w:t>
                  </w:r>
                </w:p>
              </w:tc>
              <w:tc>
                <w:tcPr>
                  <w:tcW w:w="248"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w:t>
                  </w:r>
                </w:p>
              </w:tc>
              <w:tc>
                <w:tcPr>
                  <w:tcW w:w="346"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75</w:t>
                  </w:r>
                </w:p>
              </w:tc>
              <w:tc>
                <w:tcPr>
                  <w:tcW w:w="41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5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3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50</w:t>
                  </w:r>
                </w:p>
              </w:tc>
              <w:tc>
                <w:tcPr>
                  <w:tcW w:w="317"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545" w:type="pct"/>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{-54.68,0.05,1}</w:t>
                  </w:r>
                </w:p>
              </w:tc>
              <w:tc>
                <w:tcPr>
                  <w:tcW w:w="40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38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41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w:t>
                  </w:r>
                </w:p>
              </w:tc>
              <w:tc>
                <w:tcPr>
                  <w:tcW w:w="287" w:type="pct"/>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炉渣初分选滚笼</w:t>
                  </w:r>
                </w:p>
              </w:tc>
              <w:tc>
                <w:tcPr>
                  <w:tcW w:w="248"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346"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85</w:t>
                  </w:r>
                </w:p>
              </w:tc>
              <w:tc>
                <w:tcPr>
                  <w:tcW w:w="41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5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3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60</w:t>
                  </w:r>
                </w:p>
              </w:tc>
              <w:tc>
                <w:tcPr>
                  <w:tcW w:w="317"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545" w:type="pct"/>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{-39.9,-5.49,1}</w:t>
                  </w:r>
                </w:p>
              </w:tc>
              <w:tc>
                <w:tcPr>
                  <w:tcW w:w="40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38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41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w:t>
                  </w:r>
                </w:p>
              </w:tc>
              <w:tc>
                <w:tcPr>
                  <w:tcW w:w="287" w:type="pct"/>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水选单层分级滚笼</w:t>
                  </w:r>
                </w:p>
              </w:tc>
              <w:tc>
                <w:tcPr>
                  <w:tcW w:w="248"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346"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85</w:t>
                  </w:r>
                </w:p>
              </w:tc>
              <w:tc>
                <w:tcPr>
                  <w:tcW w:w="41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5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3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60</w:t>
                  </w:r>
                </w:p>
              </w:tc>
              <w:tc>
                <w:tcPr>
                  <w:tcW w:w="317"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545" w:type="pct"/>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{-38.98,-1.33,1}</w:t>
                  </w:r>
                </w:p>
              </w:tc>
              <w:tc>
                <w:tcPr>
                  <w:tcW w:w="40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38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41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w:t>
                  </w:r>
                </w:p>
              </w:tc>
              <w:tc>
                <w:tcPr>
                  <w:tcW w:w="287" w:type="pct"/>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生料滚笼</w:t>
                  </w:r>
                </w:p>
              </w:tc>
              <w:tc>
                <w:tcPr>
                  <w:tcW w:w="248"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346"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85</w:t>
                  </w:r>
                </w:p>
              </w:tc>
              <w:tc>
                <w:tcPr>
                  <w:tcW w:w="41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5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3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60</w:t>
                  </w:r>
                </w:p>
              </w:tc>
              <w:tc>
                <w:tcPr>
                  <w:tcW w:w="317"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545" w:type="pct"/>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{-45.91,-2.72,1}</w:t>
                  </w:r>
                </w:p>
              </w:tc>
              <w:tc>
                <w:tcPr>
                  <w:tcW w:w="40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38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41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9</w:t>
                  </w:r>
                </w:p>
              </w:tc>
              <w:tc>
                <w:tcPr>
                  <w:tcW w:w="287"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选碎铁滚笼</w:t>
                  </w:r>
                </w:p>
              </w:tc>
              <w:tc>
                <w:tcPr>
                  <w:tcW w:w="248"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346"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85</w:t>
                  </w:r>
                </w:p>
              </w:tc>
              <w:tc>
                <w:tcPr>
                  <w:tcW w:w="41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5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3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60</w:t>
                  </w:r>
                </w:p>
              </w:tc>
              <w:tc>
                <w:tcPr>
                  <w:tcW w:w="317"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545" w:type="pct"/>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lang w:val="en-US" w:eastAsia="zh-CN"/>
                      <w14:textFill>
                        <w14:solidFill>
                          <w14:schemeClr w14:val="tx1"/>
                        </w14:solidFill>
                      </w14:textFill>
                    </w:rPr>
                    <w:t>.98,-5.03,1}</w:t>
                  </w:r>
                </w:p>
              </w:tc>
              <w:tc>
                <w:tcPr>
                  <w:tcW w:w="40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38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41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w:t>
                  </w:r>
                </w:p>
              </w:tc>
              <w:tc>
                <w:tcPr>
                  <w:tcW w:w="287"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选破碎金属滚笼</w:t>
                  </w:r>
                </w:p>
              </w:tc>
              <w:tc>
                <w:tcPr>
                  <w:tcW w:w="248"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w:t>
                  </w:r>
                </w:p>
              </w:tc>
              <w:tc>
                <w:tcPr>
                  <w:tcW w:w="346"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85</w:t>
                  </w:r>
                </w:p>
              </w:tc>
              <w:tc>
                <w:tcPr>
                  <w:tcW w:w="41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5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3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60</w:t>
                  </w:r>
                </w:p>
              </w:tc>
              <w:tc>
                <w:tcPr>
                  <w:tcW w:w="317"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545" w:type="pct"/>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{-32.98,-5.03,1}</w:t>
                  </w:r>
                </w:p>
              </w:tc>
              <w:tc>
                <w:tcPr>
                  <w:tcW w:w="40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38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41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w:t>
                  </w:r>
                </w:p>
              </w:tc>
              <w:tc>
                <w:tcPr>
                  <w:tcW w:w="287"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脱水筛</w:t>
                  </w:r>
                </w:p>
              </w:tc>
              <w:tc>
                <w:tcPr>
                  <w:tcW w:w="248"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346"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70</w:t>
                  </w:r>
                </w:p>
              </w:tc>
              <w:tc>
                <w:tcPr>
                  <w:tcW w:w="41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5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3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45</w:t>
                  </w:r>
                </w:p>
              </w:tc>
              <w:tc>
                <w:tcPr>
                  <w:tcW w:w="317"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545" w:type="pct"/>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{-39.9,-5.49,1}</w:t>
                  </w:r>
                </w:p>
              </w:tc>
              <w:tc>
                <w:tcPr>
                  <w:tcW w:w="40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38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41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w:t>
                  </w:r>
                </w:p>
              </w:tc>
              <w:tc>
                <w:tcPr>
                  <w:tcW w:w="287" w:type="pct"/>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废铁破碎机</w:t>
                  </w:r>
                </w:p>
              </w:tc>
              <w:tc>
                <w:tcPr>
                  <w:tcW w:w="248"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346"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90</w:t>
                  </w:r>
                </w:p>
              </w:tc>
              <w:tc>
                <w:tcPr>
                  <w:tcW w:w="41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5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3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65</w:t>
                  </w:r>
                </w:p>
              </w:tc>
              <w:tc>
                <w:tcPr>
                  <w:tcW w:w="317"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545" w:type="pct"/>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{-51.91,0.97,1}</w:t>
                  </w:r>
                </w:p>
              </w:tc>
              <w:tc>
                <w:tcPr>
                  <w:tcW w:w="40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38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41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13</w:t>
                  </w:r>
                </w:p>
              </w:tc>
              <w:tc>
                <w:tcPr>
                  <w:tcW w:w="287" w:type="pct"/>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炉渣破碎机</w:t>
                  </w:r>
                </w:p>
              </w:tc>
              <w:tc>
                <w:tcPr>
                  <w:tcW w:w="248"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346"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95</w:t>
                  </w:r>
                </w:p>
              </w:tc>
              <w:tc>
                <w:tcPr>
                  <w:tcW w:w="41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5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3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70</w:t>
                  </w:r>
                </w:p>
              </w:tc>
              <w:tc>
                <w:tcPr>
                  <w:tcW w:w="317"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545" w:type="pct"/>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{-45.45,0.05,1}</w:t>
                  </w:r>
                </w:p>
              </w:tc>
              <w:tc>
                <w:tcPr>
                  <w:tcW w:w="40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38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41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14</w:t>
                  </w:r>
                </w:p>
              </w:tc>
              <w:tc>
                <w:tcPr>
                  <w:tcW w:w="287" w:type="pct"/>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渣头破碎机</w:t>
                  </w:r>
                </w:p>
              </w:tc>
              <w:tc>
                <w:tcPr>
                  <w:tcW w:w="248"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346"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90</w:t>
                  </w:r>
                </w:p>
              </w:tc>
              <w:tc>
                <w:tcPr>
                  <w:tcW w:w="41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5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3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65</w:t>
                  </w:r>
                </w:p>
              </w:tc>
              <w:tc>
                <w:tcPr>
                  <w:tcW w:w="317"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545" w:type="pct"/>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{-53.76,-3.18,1}</w:t>
                  </w:r>
                </w:p>
              </w:tc>
              <w:tc>
                <w:tcPr>
                  <w:tcW w:w="40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38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41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w:t>
                  </w:r>
                </w:p>
              </w:tc>
              <w:tc>
                <w:tcPr>
                  <w:tcW w:w="287" w:type="pct"/>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跳汰机</w:t>
                  </w:r>
                </w:p>
              </w:tc>
              <w:tc>
                <w:tcPr>
                  <w:tcW w:w="248"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p>
              </w:tc>
              <w:tc>
                <w:tcPr>
                  <w:tcW w:w="346"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70</w:t>
                  </w:r>
                </w:p>
              </w:tc>
              <w:tc>
                <w:tcPr>
                  <w:tcW w:w="41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5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3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45</w:t>
                  </w:r>
                </w:p>
              </w:tc>
              <w:tc>
                <w:tcPr>
                  <w:tcW w:w="317"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545" w:type="pct"/>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{-53.76,-3.18,1}</w:t>
                  </w:r>
                </w:p>
              </w:tc>
              <w:tc>
                <w:tcPr>
                  <w:tcW w:w="40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38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41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16</w:t>
                  </w:r>
                </w:p>
              </w:tc>
              <w:tc>
                <w:tcPr>
                  <w:tcW w:w="287" w:type="pct"/>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摇床</w:t>
                  </w:r>
                </w:p>
              </w:tc>
              <w:tc>
                <w:tcPr>
                  <w:tcW w:w="248"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w:t>
                  </w:r>
                </w:p>
              </w:tc>
              <w:tc>
                <w:tcPr>
                  <w:tcW w:w="346"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70</w:t>
                  </w:r>
                </w:p>
              </w:tc>
              <w:tc>
                <w:tcPr>
                  <w:tcW w:w="41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5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3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45</w:t>
                  </w:r>
                </w:p>
              </w:tc>
              <w:tc>
                <w:tcPr>
                  <w:tcW w:w="317"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545" w:type="pct"/>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{-34.36,-2.72,1}</w:t>
                  </w:r>
                </w:p>
              </w:tc>
              <w:tc>
                <w:tcPr>
                  <w:tcW w:w="40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38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41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17</w:t>
                  </w:r>
                </w:p>
              </w:tc>
              <w:tc>
                <w:tcPr>
                  <w:tcW w:w="287" w:type="pct"/>
                  <w:vAlign w:val="center"/>
                </w:tcPr>
                <w:p>
                  <w:pPr>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涡电流分选机</w:t>
                  </w:r>
                </w:p>
              </w:tc>
              <w:tc>
                <w:tcPr>
                  <w:tcW w:w="248"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w:t>
                  </w:r>
                </w:p>
              </w:tc>
              <w:tc>
                <w:tcPr>
                  <w:tcW w:w="346" w:type="pct"/>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75</w:t>
                  </w:r>
                </w:p>
              </w:tc>
              <w:tc>
                <w:tcPr>
                  <w:tcW w:w="41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5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436" w:type="pct"/>
                  <w:vMerge w:val="continue"/>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0" w:type="auto"/>
                  <w:vAlign w:val="center"/>
                </w:tcPr>
                <w:p>
                  <w:pPr>
                    <w:pStyle w:val="57"/>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50</w:t>
                  </w:r>
                </w:p>
              </w:tc>
              <w:tc>
                <w:tcPr>
                  <w:tcW w:w="317"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545" w:type="pct"/>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{-28.36,-5.49,1}</w:t>
                  </w:r>
                </w:p>
              </w:tc>
              <w:tc>
                <w:tcPr>
                  <w:tcW w:w="40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38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416" w:type="pct"/>
                  <w:vMerge w:val="continue"/>
                  <w:vAlign w:val="center"/>
                </w:tcPr>
                <w:p>
                  <w:pPr>
                    <w:pStyle w:val="57"/>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bl>
          <w:p>
            <w:pPr>
              <w:bidi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按照噪声预测模式，结合噪声源到各预测点距离和各现状监测点的监测值，通过计算，项目各噪声源对四周厂界的噪声贡献值及预测值见下表</w:t>
            </w:r>
            <w:r>
              <w:rPr>
                <w:color w:val="000000" w:themeColor="text1"/>
                <w14:textFill>
                  <w14:solidFill>
                    <w14:schemeClr w14:val="tx1"/>
                  </w14:solidFill>
                </w14:textFill>
              </w:rPr>
              <w:t>。结果见下表。</w:t>
            </w:r>
          </w:p>
          <w:p>
            <w:pPr>
              <w:numPr>
                <w:ilvl w:val="0"/>
                <w:numId w:val="0"/>
              </w:numPr>
              <w:spacing w:line="240" w:lineRule="auto"/>
              <w:ind w:leftChars="0"/>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表4-</w:t>
            </w:r>
            <w:r>
              <w:rPr>
                <w:rFonts w:hint="eastAsia" w:cs="Times New Roman"/>
                <w:b/>
                <w:bCs/>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项目建成后厂界噪声预测结果一览表  单位：dB(A)</w:t>
            </w:r>
          </w:p>
          <w:tbl>
            <w:tblPr>
              <w:tblStyle w:val="31"/>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45"/>
              <w:gridCol w:w="1896"/>
              <w:gridCol w:w="1896"/>
              <w:gridCol w:w="1898"/>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2"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名称</w:t>
                  </w:r>
                </w:p>
              </w:tc>
              <w:tc>
                <w:tcPr>
                  <w:tcW w:w="1114"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时段</w:t>
                  </w:r>
                </w:p>
              </w:tc>
              <w:tc>
                <w:tcPr>
                  <w:tcW w:w="1114"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贡献值</w:t>
                  </w:r>
                </w:p>
              </w:tc>
              <w:tc>
                <w:tcPr>
                  <w:tcW w:w="1115"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标准值</w:t>
                  </w:r>
                </w:p>
              </w:tc>
              <w:tc>
                <w:tcPr>
                  <w:tcW w:w="922"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2"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东厂界</w:t>
                  </w:r>
                </w:p>
              </w:tc>
              <w:tc>
                <w:tcPr>
                  <w:tcW w:w="1114"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昼间</w:t>
                  </w:r>
                </w:p>
              </w:tc>
              <w:tc>
                <w:tcPr>
                  <w:tcW w:w="1114"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38.16</w:t>
                  </w:r>
                </w:p>
              </w:tc>
              <w:tc>
                <w:tcPr>
                  <w:tcW w:w="1115"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昼间</w:t>
                  </w:r>
                  <w:r>
                    <w:rPr>
                      <w:rFonts w:hint="eastAsia" w:cs="Times New Roman"/>
                      <w:color w:val="000000" w:themeColor="text1"/>
                      <w:lang w:val="en-US" w:eastAsia="zh-CN"/>
                      <w14:textFill>
                        <w14:solidFill>
                          <w14:schemeClr w14:val="tx1"/>
                        </w14:solidFill>
                      </w14:textFill>
                    </w:rPr>
                    <w:t>60</w:t>
                  </w:r>
                </w:p>
              </w:tc>
              <w:tc>
                <w:tcPr>
                  <w:tcW w:w="922"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2"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南厂界</w:t>
                  </w:r>
                </w:p>
              </w:tc>
              <w:tc>
                <w:tcPr>
                  <w:tcW w:w="1114"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昼间</w:t>
                  </w:r>
                </w:p>
              </w:tc>
              <w:tc>
                <w:tcPr>
                  <w:tcW w:w="1114"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26.65</w:t>
                  </w:r>
                </w:p>
              </w:tc>
              <w:tc>
                <w:tcPr>
                  <w:tcW w:w="1115"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昼间</w:t>
                  </w:r>
                  <w:r>
                    <w:rPr>
                      <w:rFonts w:hint="eastAsia" w:cs="Times New Roman"/>
                      <w:color w:val="000000" w:themeColor="text1"/>
                      <w:lang w:val="en-US" w:eastAsia="zh-CN"/>
                      <w14:textFill>
                        <w14:solidFill>
                          <w14:schemeClr w14:val="tx1"/>
                        </w14:solidFill>
                      </w14:textFill>
                    </w:rPr>
                    <w:t>60</w:t>
                  </w:r>
                </w:p>
              </w:tc>
              <w:tc>
                <w:tcPr>
                  <w:tcW w:w="922"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2"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西厂界</w:t>
                  </w:r>
                </w:p>
              </w:tc>
              <w:tc>
                <w:tcPr>
                  <w:tcW w:w="1114"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昼间</w:t>
                  </w:r>
                </w:p>
              </w:tc>
              <w:tc>
                <w:tcPr>
                  <w:tcW w:w="1114"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37.06</w:t>
                  </w:r>
                </w:p>
              </w:tc>
              <w:tc>
                <w:tcPr>
                  <w:tcW w:w="1115"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昼间</w:t>
                  </w:r>
                  <w:r>
                    <w:rPr>
                      <w:rFonts w:hint="eastAsia" w:cs="Times New Roman"/>
                      <w:color w:val="000000" w:themeColor="text1"/>
                      <w:lang w:val="en-US" w:eastAsia="zh-CN"/>
                      <w14:textFill>
                        <w14:solidFill>
                          <w14:schemeClr w14:val="tx1"/>
                        </w14:solidFill>
                      </w14:textFill>
                    </w:rPr>
                    <w:t>60</w:t>
                  </w:r>
                </w:p>
              </w:tc>
              <w:tc>
                <w:tcPr>
                  <w:tcW w:w="922"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2"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北厂界</w:t>
                  </w:r>
                </w:p>
              </w:tc>
              <w:tc>
                <w:tcPr>
                  <w:tcW w:w="1114"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昼间</w:t>
                  </w:r>
                </w:p>
              </w:tc>
              <w:tc>
                <w:tcPr>
                  <w:tcW w:w="1114"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23.64</w:t>
                  </w:r>
                </w:p>
              </w:tc>
              <w:tc>
                <w:tcPr>
                  <w:tcW w:w="1115"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昼间</w:t>
                  </w:r>
                  <w:r>
                    <w:rPr>
                      <w:rFonts w:hint="eastAsia" w:cs="Times New Roman"/>
                      <w:color w:val="000000" w:themeColor="text1"/>
                      <w:lang w:val="en-US" w:eastAsia="zh-CN"/>
                      <w14:textFill>
                        <w14:solidFill>
                          <w14:schemeClr w14:val="tx1"/>
                        </w14:solidFill>
                      </w14:textFill>
                    </w:rPr>
                    <w:t>60</w:t>
                  </w:r>
                </w:p>
              </w:tc>
              <w:tc>
                <w:tcPr>
                  <w:tcW w:w="922" w:type="pct"/>
                  <w:noWrap w:val="0"/>
                  <w:vAlign w:val="center"/>
                </w:tcPr>
                <w:p>
                  <w:pPr>
                    <w:pStyle w:val="57"/>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达标</w:t>
                  </w:r>
                </w:p>
              </w:tc>
            </w:tr>
          </w:tbl>
          <w:p>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根据噪声预测结果，项目建成后噪声源对四周厂界的噪声贡献值为</w:t>
            </w:r>
            <w:r>
              <w:rPr>
                <w:rFonts w:hint="eastAsia" w:cs="Times New Roman"/>
                <w:bCs/>
                <w:color w:val="000000" w:themeColor="text1"/>
                <w:sz w:val="24"/>
                <w:szCs w:val="24"/>
                <w:highlight w:val="none"/>
                <w:lang w:val="en-US" w:eastAsia="zh-CN"/>
                <w14:textFill>
                  <w14:solidFill>
                    <w14:schemeClr w14:val="tx1"/>
                  </w14:solidFill>
                </w14:textFill>
              </w:rPr>
              <w:t>23.64-38.16</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dB(A)。综上所述，通过选用低噪声设备、采用减震基础、安装减震装置、车间合理布局等措施后，再经厂房隔声、距离衰减后，厂界噪声满足《工业企业厂界环境噪声排放标准》（GB12348-2008）中的</w:t>
            </w:r>
            <w:r>
              <w:rPr>
                <w:rFonts w:hint="eastAsia" w:cs="Times New Roman"/>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类标准。因此，本项目营运期生产过程中不会对周围声环境产生明显影响</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pPr>
              <w:pStyle w:val="26"/>
              <w:spacing w:line="360" w:lineRule="auto"/>
              <w:ind w:left="0" w:leftChars="0" w:firstLine="0" w:firstLineChars="0"/>
              <w:rPr>
                <w:rFonts w:hint="default" w:ascii="Times New Roman" w:hAnsi="Times New Roman" w:eastAsia="宋体" w:cs="Times New Roman"/>
                <w:b/>
                <w:bCs/>
                <w:color w:val="000000" w:themeColor="text1"/>
                <w:kern w:val="2"/>
                <w:sz w:val="24"/>
                <w:szCs w:val="32"/>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32"/>
                <w:lang w:val="en-US" w:eastAsia="zh-CN" w:bidi="ar-SA"/>
                <w14:textFill>
                  <w14:solidFill>
                    <w14:schemeClr w14:val="tx1"/>
                  </w14:solidFill>
                </w14:textFill>
              </w:rPr>
              <w:t>3.3监测要求</w:t>
            </w:r>
          </w:p>
          <w:p>
            <w:pPr>
              <w:pStyle w:val="48"/>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4-</w:t>
            </w:r>
            <w:r>
              <w:rPr>
                <w:rFonts w:hint="eastAsia" w:cs="Times New Roman"/>
                <w:b/>
                <w:bCs/>
                <w:color w:val="000000" w:themeColor="text1"/>
                <w:kern w:val="2"/>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监测要求一览表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2967"/>
              <w:gridCol w:w="2033"/>
              <w:gridCol w:w="2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2" w:type="dxa"/>
                  <w:tcBorders>
                    <w:tl2br w:val="nil"/>
                    <w:tr2bl w:val="nil"/>
                  </w:tcBorders>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监测项目</w:t>
                  </w:r>
                </w:p>
              </w:tc>
              <w:tc>
                <w:tcPr>
                  <w:tcW w:w="2802" w:type="dxa"/>
                  <w:tcBorders>
                    <w:tl2br w:val="nil"/>
                    <w:tr2bl w:val="nil"/>
                  </w:tcBorders>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监测点位</w:t>
                  </w:r>
                </w:p>
              </w:tc>
              <w:tc>
                <w:tcPr>
                  <w:tcW w:w="1920" w:type="dxa"/>
                  <w:tcBorders>
                    <w:tl2br w:val="nil"/>
                    <w:tr2bl w:val="nil"/>
                  </w:tcBorders>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监测因子</w:t>
                  </w:r>
                </w:p>
              </w:tc>
              <w:tc>
                <w:tcPr>
                  <w:tcW w:w="2003" w:type="dxa"/>
                  <w:tcBorders>
                    <w:tl2br w:val="nil"/>
                    <w:tr2bl w:val="nil"/>
                  </w:tcBorders>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2" w:type="dxa"/>
                  <w:tcBorders>
                    <w:tl2br w:val="nil"/>
                    <w:tr2bl w:val="nil"/>
                  </w:tcBorders>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噪声</w:t>
                  </w:r>
                </w:p>
              </w:tc>
              <w:tc>
                <w:tcPr>
                  <w:tcW w:w="2802" w:type="dxa"/>
                  <w:tcBorders>
                    <w:tl2br w:val="nil"/>
                    <w:tr2bl w:val="nil"/>
                  </w:tcBorders>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厂界外1米</w:t>
                  </w:r>
                </w:p>
              </w:tc>
              <w:tc>
                <w:tcPr>
                  <w:tcW w:w="1920" w:type="dxa"/>
                  <w:tcBorders>
                    <w:tl2br w:val="nil"/>
                    <w:tr2bl w:val="nil"/>
                  </w:tcBorders>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等效A声级</w:t>
                  </w:r>
                </w:p>
              </w:tc>
              <w:tc>
                <w:tcPr>
                  <w:tcW w:w="2003" w:type="dxa"/>
                  <w:tcBorders>
                    <w:tl2br w:val="nil"/>
                    <w:tr2bl w:val="nil"/>
                  </w:tcBorders>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每</w:t>
                  </w:r>
                  <w:r>
                    <w:rPr>
                      <w:rFonts w:hint="eastAsia" w:ascii="Times New Roman" w:hAnsi="Times New Roman" w:eastAsia="宋体" w:cs="Times New Roman"/>
                      <w:color w:val="000000" w:themeColor="text1"/>
                      <w:lang w:val="en-US" w:eastAsia="zh-CN"/>
                      <w14:textFill>
                        <w14:solidFill>
                          <w14:schemeClr w14:val="tx1"/>
                        </w14:solidFill>
                      </w14:textFill>
                    </w:rPr>
                    <w:t>季度</w:t>
                  </w:r>
                  <w:r>
                    <w:rPr>
                      <w:rFonts w:hint="default" w:ascii="Times New Roman" w:hAnsi="Times New Roman" w:eastAsia="宋体" w:cs="Times New Roman"/>
                      <w:color w:val="000000" w:themeColor="text1"/>
                      <w:lang w:val="en-US" w:eastAsia="zh-CN"/>
                      <w14:textFill>
                        <w14:solidFill>
                          <w14:schemeClr w14:val="tx1"/>
                        </w14:solidFill>
                      </w14:textFill>
                    </w:rPr>
                    <w:t>一次</w:t>
                  </w:r>
                </w:p>
              </w:tc>
            </w:tr>
          </w:tbl>
          <w:p>
            <w:pPr>
              <w:pStyle w:val="2"/>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固废环境影响分析</w:t>
            </w:r>
          </w:p>
          <w:p>
            <w:pPr>
              <w:adjustRightInd w:val="0"/>
              <w:snapToGrid w:val="0"/>
              <w:spacing w:line="360" w:lineRule="auto"/>
              <w:ind w:firstLine="480" w:firstLineChars="200"/>
              <w:jc w:val="left"/>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项目建成营运后，</w:t>
            </w:r>
            <w:r>
              <w:rPr>
                <w:rFonts w:hint="eastAsia" w:cs="Times New Roman"/>
                <w:bCs/>
                <w:color w:val="000000" w:themeColor="text1"/>
                <w:sz w:val="24"/>
                <w:szCs w:val="24"/>
                <w:highlight w:val="none"/>
                <w:lang w:val="en-US" w:eastAsia="zh-CN"/>
                <w14:textFill>
                  <w14:solidFill>
                    <w14:schemeClr w14:val="tx1"/>
                  </w14:solidFill>
                </w14:textFill>
              </w:rPr>
              <w:t>本项目产生的固体废物主要有一般工业固体废物（沉淀池泥沙以及未燃尽垃圾）、危险废物（废润滑油桶）以及生活垃圾</w:t>
            </w:r>
            <w:r>
              <w:rPr>
                <w:rFonts w:hint="default" w:ascii="Times New Roman" w:hAnsi="Times New Roman" w:cs="Times New Roman"/>
                <w:bCs/>
                <w:color w:val="000000" w:themeColor="text1"/>
                <w:sz w:val="24"/>
                <w:szCs w:val="24"/>
                <w:highlight w:val="none"/>
                <w14:textFill>
                  <w14:solidFill>
                    <w14:schemeClr w14:val="tx1"/>
                  </w14:solidFill>
                </w14:textFill>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leftChars="0" w:right="0"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一般固体废物</w:t>
            </w:r>
          </w:p>
          <w:p>
            <w:pPr>
              <w:spacing w:line="240" w:lineRule="auto"/>
              <w:jc w:val="center"/>
              <w:rPr>
                <w:rFonts w:hint="default"/>
                <w:b/>
                <w:color w:val="000000" w:themeColor="text1"/>
                <w:sz w:val="21"/>
                <w:szCs w:val="21"/>
                <w:highlight w:val="none"/>
                <w:lang w:val="en-US" w:eastAsia="zh-CN"/>
                <w14:textFill>
                  <w14:solidFill>
                    <w14:schemeClr w14:val="tx1"/>
                  </w14:solidFill>
                </w14:textFill>
              </w:rPr>
            </w:pPr>
            <w:r>
              <w:rPr>
                <w:rFonts w:hint="eastAsia"/>
                <w:b/>
                <w:color w:val="000000" w:themeColor="text1"/>
                <w:sz w:val="21"/>
                <w:szCs w:val="21"/>
                <w:highlight w:val="none"/>
                <w:lang w:val="en-US" w:eastAsia="zh-CN"/>
                <w14:textFill>
                  <w14:solidFill>
                    <w14:schemeClr w14:val="tx1"/>
                  </w14:solidFill>
                </w14:textFill>
              </w:rPr>
              <w:t>表4-6  一般工业固体废物产生情况一览表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66"/>
              <w:gridCol w:w="1384"/>
              <w:gridCol w:w="1438"/>
              <w:gridCol w:w="3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序号</w:t>
                  </w:r>
                </w:p>
              </w:tc>
              <w:tc>
                <w:tcPr>
                  <w:tcW w:w="1266"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固废代码</w:t>
                  </w:r>
                </w:p>
              </w:tc>
              <w:tc>
                <w:tcPr>
                  <w:tcW w:w="1384"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固废名称</w:t>
                  </w:r>
                </w:p>
              </w:tc>
              <w:tc>
                <w:tcPr>
                  <w:tcW w:w="1438"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产生量（t/a）</w:t>
                  </w:r>
                </w:p>
              </w:tc>
              <w:tc>
                <w:tcPr>
                  <w:tcW w:w="3608"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703"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1266"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900-999-99</w:t>
                  </w:r>
                </w:p>
              </w:tc>
              <w:tc>
                <w:tcPr>
                  <w:tcW w:w="1384"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沉淀池泥沙</w:t>
                  </w:r>
                </w:p>
              </w:tc>
              <w:tc>
                <w:tcPr>
                  <w:tcW w:w="1438"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23996</w:t>
                  </w:r>
                </w:p>
              </w:tc>
              <w:tc>
                <w:tcPr>
                  <w:tcW w:w="3608" w:type="dxa"/>
                  <w:vAlign w:val="center"/>
                </w:tcPr>
                <w:p>
                  <w:pPr>
                    <w:spacing w:line="240" w:lineRule="auto"/>
                    <w:jc w:val="cente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压滤成泥饼后</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暂存固废暂存区，统一外售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703"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p>
              </w:tc>
              <w:tc>
                <w:tcPr>
                  <w:tcW w:w="1266"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900-999-64</w:t>
                  </w:r>
                </w:p>
              </w:tc>
              <w:tc>
                <w:tcPr>
                  <w:tcW w:w="1384"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未燃尽垃圾</w:t>
                  </w:r>
                </w:p>
              </w:tc>
              <w:tc>
                <w:tcPr>
                  <w:tcW w:w="1438"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30263.9706</w:t>
                  </w:r>
                </w:p>
              </w:tc>
              <w:tc>
                <w:tcPr>
                  <w:tcW w:w="3608" w:type="dxa"/>
                  <w:vAlign w:val="center"/>
                </w:tcPr>
                <w:p>
                  <w:pPr>
                    <w:spacing w:line="240" w:lineRule="auto"/>
                    <w:jc w:val="cente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集中收集后，电厂回收利用</w:t>
                  </w:r>
                </w:p>
              </w:tc>
            </w:tr>
          </w:tbl>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leftChars="0" w:right="0"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危险废物</w:t>
            </w:r>
          </w:p>
          <w:p>
            <w:pPr>
              <w:pStyle w:val="15"/>
              <w:snapToGrid w:val="0"/>
              <w:spacing w:line="360" w:lineRule="auto"/>
              <w:ind w:firstLine="480" w:firstLineChars="200"/>
              <w:jc w:val="both"/>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w:t>
            </w:r>
            <w:r>
              <w:rPr>
                <w:rFonts w:hint="eastAsia" w:ascii="Times New Roman" w:hAnsi="Times New Roman" w:cs="Times New Roman"/>
                <w:color w:val="000000" w:themeColor="text1"/>
                <w:sz w:val="24"/>
                <w:szCs w:val="24"/>
                <w:lang w:val="en-US" w:eastAsia="zh-CN"/>
                <w14:textFill>
                  <w14:solidFill>
                    <w14:schemeClr w14:val="tx1"/>
                  </w14:solidFill>
                </w14:textFill>
              </w:rPr>
              <w:t>废润滑油桶产生量约为0.05t/a，属于HW08危险废物，</w:t>
            </w:r>
            <w:r>
              <w:rPr>
                <w:rFonts w:hint="default" w:ascii="Times New Roman" w:hAnsi="Times New Roman" w:cs="Times New Roman"/>
                <w:color w:val="000000" w:themeColor="text1"/>
                <w:sz w:val="24"/>
                <w:szCs w:val="24"/>
                <w:lang w:val="en-US" w:eastAsia="zh-CN"/>
                <w14:textFill>
                  <w14:solidFill>
                    <w14:schemeClr w14:val="tx1"/>
                  </w14:solidFill>
                </w14:textFill>
              </w:rPr>
              <w:t>代码为900-</w:t>
            </w:r>
            <w:r>
              <w:rPr>
                <w:rFonts w:hint="eastAsia" w:ascii="Times New Roman" w:hAnsi="Times New Roman" w:cs="Times New Roman"/>
                <w:color w:val="000000" w:themeColor="text1"/>
                <w:sz w:val="24"/>
                <w:szCs w:val="24"/>
                <w:lang w:val="en-US" w:eastAsia="zh-CN"/>
                <w14:textFill>
                  <w14:solidFill>
                    <w14:schemeClr w14:val="tx1"/>
                  </w14:solidFill>
                </w14:textFill>
              </w:rPr>
              <w:t>249</w:t>
            </w:r>
            <w:r>
              <w:rPr>
                <w:rFonts w:hint="default" w:ascii="Times New Roman" w:hAnsi="Times New Roman" w:cs="Times New Roman"/>
                <w:color w:val="000000" w:themeColor="text1"/>
                <w:sz w:val="24"/>
                <w:szCs w:val="24"/>
                <w:lang w:val="en-US" w:eastAsia="zh-CN"/>
                <w14:textFill>
                  <w14:solidFill>
                    <w14:schemeClr w14:val="tx1"/>
                  </w14:solidFill>
                </w14:textFill>
              </w:rPr>
              <w:t>-08</w:t>
            </w:r>
            <w:r>
              <w:rPr>
                <w:rFonts w:hint="eastAsia" w:ascii="Times New Roman" w:hAnsi="Times New Roman" w:cs="Times New Roman"/>
                <w:color w:val="000000" w:themeColor="text1"/>
                <w:sz w:val="24"/>
                <w:szCs w:val="24"/>
                <w:lang w:val="en-US" w:eastAsia="zh-CN"/>
                <w14:textFill>
                  <w14:solidFill>
                    <w14:schemeClr w14:val="tx1"/>
                  </w14:solidFill>
                </w14:textFill>
              </w:rPr>
              <w:t>；废润滑油产生量约为0.01t/a，属于HW08危险废物，</w:t>
            </w:r>
            <w:r>
              <w:rPr>
                <w:rFonts w:hint="default" w:ascii="Times New Roman" w:hAnsi="Times New Roman" w:cs="Times New Roman"/>
                <w:color w:val="000000" w:themeColor="text1"/>
                <w:sz w:val="24"/>
                <w:szCs w:val="24"/>
                <w:lang w:val="en-US" w:eastAsia="zh-CN"/>
                <w14:textFill>
                  <w14:solidFill>
                    <w14:schemeClr w14:val="tx1"/>
                  </w14:solidFill>
                </w14:textFill>
              </w:rPr>
              <w:t>代码为900-</w:t>
            </w:r>
            <w:r>
              <w:rPr>
                <w:rFonts w:hint="eastAsia" w:ascii="Times New Roman" w:hAnsi="Times New Roman" w:cs="Times New Roman"/>
                <w:color w:val="000000" w:themeColor="text1"/>
                <w:sz w:val="24"/>
                <w:szCs w:val="24"/>
                <w:lang w:val="en-US" w:eastAsia="zh-CN"/>
                <w14:textFill>
                  <w14:solidFill>
                    <w14:schemeClr w14:val="tx1"/>
                  </w14:solidFill>
                </w14:textFill>
              </w:rPr>
              <w:t>217</w:t>
            </w:r>
            <w:r>
              <w:rPr>
                <w:rFonts w:hint="default" w:ascii="Times New Roman" w:hAnsi="Times New Roman" w:cs="Times New Roman"/>
                <w:color w:val="000000" w:themeColor="text1"/>
                <w:sz w:val="24"/>
                <w:szCs w:val="24"/>
                <w:lang w:val="en-US" w:eastAsia="zh-CN"/>
                <w14:textFill>
                  <w14:solidFill>
                    <w14:schemeClr w14:val="tx1"/>
                  </w14:solidFill>
                </w14:textFill>
              </w:rPr>
              <w:t>-08</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在危废间（</w:t>
            </w: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lang w:val="en-US" w:eastAsia="zh-CN"/>
                <w14:textFill>
                  <w14:solidFill>
                    <w14:schemeClr w14:val="tx1"/>
                  </w14:solidFill>
                </w14:textFill>
              </w:rPr>
              <w:t>㎡）内暂存，定期交由有资质单位处置。</w:t>
            </w:r>
          </w:p>
          <w:p>
            <w:pPr>
              <w:spacing w:line="240" w:lineRule="auto"/>
              <w:jc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表</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4-</w:t>
            </w:r>
            <w:r>
              <w:rPr>
                <w:rFonts w:hint="eastAsia" w:cs="Times New Roman"/>
                <w:b/>
                <w:color w:val="000000" w:themeColor="text1"/>
                <w:sz w:val="21"/>
                <w:szCs w:val="21"/>
                <w:highlight w:val="none"/>
                <w:lang w:val="en-US" w:eastAsia="zh-CN"/>
                <w14:textFill>
                  <w14:solidFill>
                    <w14:schemeClr w14:val="tx1"/>
                  </w14:solidFill>
                </w14:textFill>
              </w:rPr>
              <w:t>7</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 xml:space="preserve"> 建设项目危险废物产生情况一览表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812"/>
              <w:gridCol w:w="1263"/>
              <w:gridCol w:w="896"/>
              <w:gridCol w:w="811"/>
              <w:gridCol w:w="447"/>
              <w:gridCol w:w="644"/>
              <w:gridCol w:w="661"/>
              <w:gridCol w:w="656"/>
              <w:gridCol w:w="743"/>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危险</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废物</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名称</w:t>
                  </w:r>
                </w:p>
              </w:tc>
              <w:tc>
                <w:tcPr>
                  <w:tcW w:w="483"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危险</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废物</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类别</w:t>
                  </w:r>
                </w:p>
              </w:tc>
              <w:tc>
                <w:tcPr>
                  <w:tcW w:w="751"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危险废物代码及行业来源</w:t>
                  </w:r>
                </w:p>
              </w:tc>
              <w:tc>
                <w:tcPr>
                  <w:tcW w:w="533"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产生量</w:t>
                  </w:r>
                </w:p>
              </w:tc>
              <w:tc>
                <w:tcPr>
                  <w:tcW w:w="482"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产生工序及装置</w:t>
                  </w:r>
                </w:p>
              </w:tc>
              <w:tc>
                <w:tcPr>
                  <w:tcW w:w="265"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形</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态</w:t>
                  </w:r>
                </w:p>
              </w:tc>
              <w:tc>
                <w:tcPr>
                  <w:tcW w:w="383"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主要</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成分</w:t>
                  </w:r>
                </w:p>
              </w:tc>
              <w:tc>
                <w:tcPr>
                  <w:tcW w:w="393"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有害</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成分</w:t>
                  </w:r>
                </w:p>
              </w:tc>
              <w:tc>
                <w:tcPr>
                  <w:tcW w:w="390"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产废</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周期</w:t>
                  </w:r>
                </w:p>
              </w:tc>
              <w:tc>
                <w:tcPr>
                  <w:tcW w:w="442"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危险特性*</w:t>
                  </w:r>
                </w:p>
              </w:tc>
              <w:tc>
                <w:tcPr>
                  <w:tcW w:w="485"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污染</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防治</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389"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废润滑油</w:t>
                  </w:r>
                  <w:r>
                    <w:rPr>
                      <w:rFonts w:hint="eastAsia" w:ascii="Times New Roman" w:hAnsi="Times New Roman" w:eastAsia="宋体" w:cs="Times New Roman"/>
                      <w:color w:val="000000" w:themeColor="text1"/>
                      <w:lang w:val="en-US" w:eastAsia="zh-CN"/>
                      <w14:textFill>
                        <w14:solidFill>
                          <w14:schemeClr w14:val="tx1"/>
                        </w14:solidFill>
                      </w14:textFill>
                    </w:rPr>
                    <w:t>桶</w:t>
                  </w:r>
                </w:p>
              </w:tc>
              <w:tc>
                <w:tcPr>
                  <w:tcW w:w="483"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HW08</w:t>
                  </w:r>
                </w:p>
              </w:tc>
              <w:tc>
                <w:tcPr>
                  <w:tcW w:w="751"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900-249-08</w:t>
                  </w:r>
                </w:p>
              </w:tc>
              <w:tc>
                <w:tcPr>
                  <w:tcW w:w="533"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0.05</w:t>
                  </w:r>
                  <w:r>
                    <w:rPr>
                      <w:rFonts w:hint="eastAsia" w:ascii="Times New Roman" w:hAnsi="Times New Roman" w:eastAsia="宋体" w:cs="Times New Roman"/>
                      <w:color w:val="000000" w:themeColor="text1"/>
                      <w:lang w:val="en-US" w:eastAsia="zh-CN"/>
                      <w14:textFill>
                        <w14:solidFill>
                          <w14:schemeClr w14:val="tx1"/>
                        </w14:solidFill>
                      </w14:textFill>
                    </w:rPr>
                    <w:t>t/a</w:t>
                  </w:r>
                </w:p>
              </w:tc>
              <w:tc>
                <w:tcPr>
                  <w:tcW w:w="482"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lang w:val="en-US" w:eastAsia="zh-CN"/>
                      <w14:textFill>
                        <w14:solidFill>
                          <w14:schemeClr w14:val="tx1"/>
                        </w14:solidFill>
                      </w14:textFill>
                    </w:rPr>
                    <w:t>设备润滑</w:t>
                  </w:r>
                </w:p>
              </w:tc>
              <w:tc>
                <w:tcPr>
                  <w:tcW w:w="265"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固态</w:t>
                  </w:r>
                </w:p>
              </w:tc>
              <w:tc>
                <w:tcPr>
                  <w:tcW w:w="383"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矿物油</w:t>
                  </w:r>
                </w:p>
              </w:tc>
              <w:tc>
                <w:tcPr>
                  <w:tcW w:w="393"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390"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不定期</w:t>
                  </w:r>
                </w:p>
              </w:tc>
              <w:tc>
                <w:tcPr>
                  <w:tcW w:w="442"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T/I</w:t>
                  </w:r>
                </w:p>
              </w:tc>
              <w:tc>
                <w:tcPr>
                  <w:tcW w:w="485"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桶（箱）装、暂存危废间由具有危废资质单位清运处理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389"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废润滑油</w:t>
                  </w:r>
                </w:p>
              </w:tc>
              <w:tc>
                <w:tcPr>
                  <w:tcW w:w="483"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HE08</w:t>
                  </w:r>
                </w:p>
              </w:tc>
              <w:tc>
                <w:tcPr>
                  <w:tcW w:w="751"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900-217-08</w:t>
                  </w:r>
                </w:p>
              </w:tc>
              <w:tc>
                <w:tcPr>
                  <w:tcW w:w="533"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0.01t/a</w:t>
                  </w:r>
                </w:p>
              </w:tc>
              <w:tc>
                <w:tcPr>
                  <w:tcW w:w="482"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设备润滑</w:t>
                  </w:r>
                </w:p>
              </w:tc>
              <w:tc>
                <w:tcPr>
                  <w:tcW w:w="265"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液态</w:t>
                  </w:r>
                </w:p>
              </w:tc>
              <w:tc>
                <w:tcPr>
                  <w:tcW w:w="383"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矿物油</w:t>
                  </w:r>
                </w:p>
              </w:tc>
              <w:tc>
                <w:tcPr>
                  <w:tcW w:w="393"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390"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不定期</w:t>
                  </w:r>
                </w:p>
              </w:tc>
              <w:tc>
                <w:tcPr>
                  <w:tcW w:w="442"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85" w:type="pct"/>
                  <w:noWrap w:val="0"/>
                  <w:tcMar>
                    <w:top w:w="0" w:type="dxa"/>
                    <w:left w:w="57" w:type="dxa"/>
                    <w:bottom w:w="0" w:type="dxa"/>
                    <w:right w:w="57"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桶（箱）装、暂存危废间由具有危废资质单位清运处理</w:t>
                  </w:r>
                </w:p>
              </w:tc>
            </w:tr>
          </w:tbl>
          <w:p>
            <w:pPr>
              <w:pStyle w:val="15"/>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危险废物贮存场所环境影响分析</w:t>
            </w:r>
          </w:p>
          <w:p>
            <w:pPr>
              <w:pStyle w:val="15"/>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本项目危险废物平均</w:t>
            </w:r>
            <w:r>
              <w:rPr>
                <w:rFonts w:hint="eastAsia" w:ascii="Times New Roman" w:hAnsi="Times New Roman" w:cs="Times New Roman"/>
                <w:color w:val="000000" w:themeColor="text1"/>
                <w:sz w:val="24"/>
                <w:szCs w:val="24"/>
                <w:lang w:val="en-US" w:eastAsia="zh-CN"/>
                <w14:textFill>
                  <w14:solidFill>
                    <w14:schemeClr w14:val="tx1"/>
                  </w14:solidFill>
                </w14:textFill>
              </w:rPr>
              <w:t>1年</w:t>
            </w:r>
            <w:r>
              <w:rPr>
                <w:rFonts w:hint="default" w:ascii="Times New Roman" w:hAnsi="Times New Roman" w:cs="Times New Roman"/>
                <w:color w:val="000000" w:themeColor="text1"/>
                <w:sz w:val="24"/>
                <w:szCs w:val="24"/>
                <w14:textFill>
                  <w14:solidFill>
                    <w14:schemeClr w14:val="tx1"/>
                  </w14:solidFill>
                </w14:textFill>
              </w:rPr>
              <w:t>处置1次，最大存储量约</w:t>
            </w:r>
            <w:r>
              <w:rPr>
                <w:rFonts w:hint="eastAsia" w:ascii="Times New Roman" w:hAnsi="Times New Roman" w:cs="Times New Roman"/>
                <w:color w:val="000000" w:themeColor="text1"/>
                <w:sz w:val="24"/>
                <w:szCs w:val="24"/>
                <w:lang w:val="en-US" w:eastAsia="zh-CN"/>
                <w14:textFill>
                  <w14:solidFill>
                    <w14:schemeClr w14:val="tx1"/>
                  </w14:solidFill>
                </w14:textFill>
              </w:rPr>
              <w:t>0.06t</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厂区新建5</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危废间1座，可满足暂存要求。同时，危废间地面及裙墙均采取防腐防渗措施，渗透系数小于10</w:t>
            </w:r>
            <w:r>
              <w:rPr>
                <w:rFonts w:hint="default" w:ascii="Times New Roman" w:hAnsi="Times New Roman" w:cs="Times New Roman"/>
                <w:color w:val="000000" w:themeColor="text1"/>
                <w:sz w:val="24"/>
                <w:szCs w:val="24"/>
                <w:vertAlign w:val="superscript"/>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cm/s，危废间内设置事故池及围堰，防止液体废物泄漏时对环境产生影响。</w:t>
            </w:r>
          </w:p>
          <w:p>
            <w:pPr>
              <w:pStyle w:val="15"/>
              <w:adjustRightInd w:val="0"/>
              <w:snapToGrid w:val="0"/>
              <w:spacing w:line="360" w:lineRule="auto"/>
              <w:ind w:firstLine="480" w:firstLineChars="200"/>
              <w:rPr>
                <w:rFonts w:hint="eastAsia"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危废间</w:t>
            </w:r>
            <w:r>
              <w:rPr>
                <w:rFonts w:hint="eastAsia" w:ascii="Times New Roman" w:hAnsi="Times New Roman" w:cs="Times New Roman"/>
                <w:color w:val="000000" w:themeColor="text1"/>
                <w:sz w:val="24"/>
                <w:szCs w:val="24"/>
                <w:lang w:val="en-US" w:eastAsia="zh-CN"/>
                <w14:textFill>
                  <w14:solidFill>
                    <w14:schemeClr w14:val="tx1"/>
                  </w14:solidFill>
                </w14:textFill>
              </w:rPr>
              <w:t>建设需</w:t>
            </w:r>
            <w:r>
              <w:rPr>
                <w:rFonts w:hint="default" w:ascii="Times New Roman" w:hAnsi="Times New Roman" w:cs="Times New Roman"/>
                <w:color w:val="000000" w:themeColor="text1"/>
                <w:sz w:val="24"/>
                <w:szCs w:val="24"/>
                <w14:textFill>
                  <w14:solidFill>
                    <w14:schemeClr w14:val="tx1"/>
                  </w14:solidFill>
                </w14:textFill>
              </w:rPr>
              <w:t>满足《危险废物贮存污染控制标准》（GB18597-2001，2013年修订）相关要求</w:t>
            </w:r>
            <w:r>
              <w:rPr>
                <w:rFonts w:hint="eastAsia" w:ascii="Times New Roman" w:hAnsi="Times New Roman" w:cs="Times New Roman"/>
                <w:color w:val="000000" w:themeColor="text1"/>
                <w:sz w:val="24"/>
                <w:szCs w:val="24"/>
                <w:lang w:val="en-US" w:eastAsia="zh-CN"/>
                <w14:textFill>
                  <w14:solidFill>
                    <w14:schemeClr w14:val="tx1"/>
                  </w14:solidFill>
                </w14:textFill>
              </w:rPr>
              <w:t>以及</w:t>
            </w:r>
            <w:r>
              <w:rPr>
                <w:rFonts w:hint="default" w:ascii="Times New Roman" w:hAnsi="Times New Roman" w:cs="Times New Roman"/>
                <w:color w:val="000000" w:themeColor="text1"/>
                <w:sz w:val="24"/>
                <w:szCs w:val="24"/>
                <w14:textFill>
                  <w14:solidFill>
                    <w14:schemeClr w14:val="tx1"/>
                  </w14:solidFill>
                </w14:textFill>
              </w:rPr>
              <w:t>《危险废物收集贮存运输技术规范》（HJ2025-2012）相关要求</w:t>
            </w:r>
            <w:r>
              <w:rPr>
                <w:rFonts w:hint="eastAsia" w:ascii="Times New Roman" w:hAnsi="Times New Roman" w:cs="Times New Roman"/>
                <w:color w:val="000000" w:themeColor="text1"/>
                <w:sz w:val="24"/>
                <w:szCs w:val="24"/>
                <w:lang w:eastAsia="zh-CN"/>
                <w14:textFill>
                  <w14:solidFill>
                    <w14:schemeClr w14:val="tx1"/>
                  </w14:solidFill>
                </w14:textFill>
              </w:rPr>
              <w:t>：</w:t>
            </w:r>
          </w:p>
          <w:p>
            <w:pPr>
              <w:pStyle w:val="15"/>
              <w:adjustRightInd w:val="0"/>
              <w:snapToGrid w:val="0"/>
              <w:spacing w:line="360" w:lineRule="auto"/>
              <w:ind w:firstLine="482" w:firstLineChars="20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危废间建设要求</w:t>
            </w:r>
          </w:p>
          <w:p>
            <w:pPr>
              <w:pStyle w:val="15"/>
              <w:numPr>
                <w:ilvl w:val="0"/>
                <w:numId w:val="2"/>
              </w:numPr>
              <w:adjustRightInd w:val="0"/>
              <w:snapToGrid w:val="0"/>
              <w:spacing w:line="360" w:lineRule="auto"/>
              <w:ind w:firstLine="480" w:firstLineChars="200"/>
              <w:rPr>
                <w:rFonts w:hint="eastAsia"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地面与裙脚要用坚固、防渗的材料建造，建筑材料必须与危险废物相容</w:t>
            </w:r>
            <w:r>
              <w:rPr>
                <w:rFonts w:hint="eastAsia" w:ascii="Times New Roman" w:hAnsi="Times New Roman" w:cs="Times New Roman"/>
                <w:color w:val="000000" w:themeColor="text1"/>
                <w:sz w:val="24"/>
                <w:szCs w:val="24"/>
                <w:lang w:eastAsia="zh-CN"/>
                <w14:textFill>
                  <w14:solidFill>
                    <w14:schemeClr w14:val="tx1"/>
                  </w14:solidFill>
                </w14:textFill>
              </w:rPr>
              <w:t>；</w:t>
            </w:r>
          </w:p>
          <w:p>
            <w:pPr>
              <w:pStyle w:val="15"/>
              <w:numPr>
                <w:ilvl w:val="0"/>
                <w:numId w:val="0"/>
              </w:num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 设施内要有安全照明设施和观察窗口。 </w:t>
            </w:r>
          </w:p>
          <w:p>
            <w:pPr>
              <w:pStyle w:val="15"/>
              <w:adjustRightInd w:val="0"/>
              <w:snapToGrid w:val="0"/>
              <w:spacing w:line="360" w:lineRule="auto"/>
              <w:ind w:firstLine="482" w:firstLineChars="200"/>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危险废物的堆放</w:t>
            </w:r>
            <w:r>
              <w:rPr>
                <w:rFonts w:hint="eastAsia" w:ascii="Times New Roman" w:hAnsi="Times New Roman" w:cs="Times New Roman"/>
                <w:b/>
                <w:bCs/>
                <w:color w:val="000000" w:themeColor="text1"/>
                <w:sz w:val="24"/>
                <w:szCs w:val="24"/>
                <w:lang w:val="en-US" w:eastAsia="zh-CN"/>
                <w14:textFill>
                  <w14:solidFill>
                    <w14:schemeClr w14:val="tx1"/>
                  </w14:solidFill>
                </w14:textFill>
              </w:rPr>
              <w:t>要求</w:t>
            </w:r>
          </w:p>
          <w:p>
            <w:pPr>
              <w:pStyle w:val="15"/>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基础必须防渗，防渗层为至少1米厚粘土层（渗透系数≤10</w:t>
            </w:r>
            <w:r>
              <w:rPr>
                <w:rFonts w:hint="default" w:ascii="Times New Roman" w:hAnsi="Times New Roman" w:cs="Times New Roman"/>
                <w:color w:val="000000" w:themeColor="text1"/>
                <w:sz w:val="24"/>
                <w:szCs w:val="24"/>
                <w:vertAlign w:val="superscript"/>
                <w14:textFill>
                  <w14:solidFill>
                    <w14:schemeClr w14:val="tx1"/>
                  </w14:solidFill>
                </w14:textFill>
              </w:rPr>
              <w:t>-7</w:t>
            </w:r>
            <w:r>
              <w:rPr>
                <w:rFonts w:hint="default" w:ascii="Times New Roman" w:hAnsi="Times New Roman" w:cs="Times New Roman"/>
                <w:color w:val="000000" w:themeColor="text1"/>
                <w:sz w:val="24"/>
                <w:szCs w:val="24"/>
                <w14:textFill>
                  <w14:solidFill>
                    <w14:schemeClr w14:val="tx1"/>
                  </w14:solidFill>
                </w14:textFill>
              </w:rPr>
              <w:t>厘米/秒），或2毫米厚高密度聚乙烯，或至少2毫米厚的其它人工材料，渗透系数≤10</w:t>
            </w:r>
            <w:r>
              <w:rPr>
                <w:rFonts w:hint="default" w:ascii="Times New Roman" w:hAnsi="Times New Roman" w:cs="Times New Roman"/>
                <w:color w:val="000000" w:themeColor="text1"/>
                <w:sz w:val="24"/>
                <w:szCs w:val="24"/>
                <w:vertAlign w:val="superscript"/>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厘米/秒</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w:t>
            </w:r>
          </w:p>
          <w:p>
            <w:pPr>
              <w:pStyle w:val="15"/>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堆放危险废物的高度应根据地面承载能力确定</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w:t>
            </w:r>
          </w:p>
          <w:p>
            <w:pPr>
              <w:pStyle w:val="15"/>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衬里放在一个基础或底座上</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w:t>
            </w:r>
          </w:p>
          <w:p>
            <w:pPr>
              <w:pStyle w:val="15"/>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衬里要能够覆盖危险废物或其溶出物可能涉及到的范围</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w:t>
            </w:r>
          </w:p>
          <w:p>
            <w:pPr>
              <w:pStyle w:val="15"/>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衬里材料与堆放危险废物相容</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w:t>
            </w:r>
          </w:p>
          <w:p>
            <w:pPr>
              <w:pStyle w:val="15"/>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14:textFill>
                  <w14:solidFill>
                    <w14:schemeClr w14:val="tx1"/>
                  </w14:solidFill>
                </w14:textFill>
              </w:rPr>
              <w:t>应设计建造径流疏导系统，保证能防止25年一遇的暴雨不会流到危险废物堆里</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w:t>
            </w:r>
          </w:p>
          <w:p>
            <w:pPr>
              <w:pStyle w:val="15"/>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7、</w:t>
            </w:r>
            <w:r>
              <w:rPr>
                <w:rFonts w:hint="default" w:ascii="Times New Roman" w:hAnsi="Times New Roman" w:cs="Times New Roman"/>
                <w:color w:val="000000" w:themeColor="text1"/>
                <w:sz w:val="24"/>
                <w:szCs w:val="24"/>
                <w14:textFill>
                  <w14:solidFill>
                    <w14:schemeClr w14:val="tx1"/>
                  </w14:solidFill>
                </w14:textFill>
              </w:rPr>
              <w:t>危险废物堆要防风、防雨、防晒</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w:t>
            </w:r>
          </w:p>
          <w:p>
            <w:pPr>
              <w:pStyle w:val="15"/>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8、</w:t>
            </w:r>
            <w:r>
              <w:rPr>
                <w:rFonts w:hint="default" w:ascii="Times New Roman" w:hAnsi="Times New Roman" w:cs="Times New Roman"/>
                <w:color w:val="000000" w:themeColor="text1"/>
                <w:sz w:val="24"/>
                <w:szCs w:val="24"/>
                <w14:textFill>
                  <w14:solidFill>
                    <w14:schemeClr w14:val="tx1"/>
                  </w14:solidFill>
                </w14:textFill>
              </w:rPr>
              <w:t>产生量大的危险废物可以散装方式堆放贮存在按上述要求设计的废物堆里</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w:t>
            </w:r>
          </w:p>
          <w:p>
            <w:pPr>
              <w:pStyle w:val="15"/>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t>不相容的危险废物不能堆放在一起</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w:t>
            </w:r>
          </w:p>
          <w:p>
            <w:pPr>
              <w:pStyle w:val="15"/>
              <w:adjustRightInd w:val="0"/>
              <w:snapToGrid w:val="0"/>
              <w:spacing w:line="360" w:lineRule="auto"/>
              <w:ind w:firstLine="480" w:firstLineChars="200"/>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总贮存量不超过300Kg(L)的危险废物要放入符合标准的容器内，加上标签，容器放入坚固的柜或箱中，柜或箱应设多个直径不少于30毫米的排气孔。不相容危险废物要分别存放或存放在不渗透间隔分开的区域内，每个部分都应有防漏裙脚或储漏盘，防漏裙脚或储漏盘的材料要与危险废物相容</w:t>
            </w:r>
            <w:r>
              <w:rPr>
                <w:rFonts w:hint="eastAsia" w:ascii="Times New Roman" w:hAnsi="Times New Roman" w:cs="Times New Roman"/>
                <w:color w:val="000000" w:themeColor="text1"/>
                <w:sz w:val="24"/>
                <w:szCs w:val="24"/>
                <w:lang w:eastAsia="zh-CN"/>
                <w14:textFill>
                  <w14:solidFill>
                    <w14:schemeClr w14:val="tx1"/>
                  </w14:solidFill>
                </w14:textFill>
              </w:rPr>
              <w:t>。</w:t>
            </w:r>
          </w:p>
          <w:p>
            <w:pPr>
              <w:pStyle w:val="15"/>
              <w:adjustRightInd w:val="0"/>
              <w:snapToGrid w:val="0"/>
              <w:spacing w:line="360" w:lineRule="auto"/>
              <w:ind w:firstLine="482" w:firstLineChars="200"/>
              <w:rPr>
                <w:rFonts w:hint="eastAsia" w:ascii="Times New Roman" w:hAnsi="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危险废物台账要求</w:t>
            </w:r>
          </w:p>
          <w:p>
            <w:pPr>
              <w:pStyle w:val="15"/>
              <w:numPr>
                <w:ilvl w:val="0"/>
                <w:numId w:val="3"/>
              </w:numPr>
              <w:adjustRightInd w:val="0"/>
              <w:snapToGrid w:val="0"/>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 xml:space="preserve">产生危险废物的单位应建立危险废物管理台账，落实危险废物管理台账记录的责任人，明确工作职责，并对危险废物管理台账的真实性、准确性和完整性负法律责任。 </w:t>
            </w:r>
          </w:p>
          <w:p>
            <w:pPr>
              <w:pStyle w:val="15"/>
              <w:numPr>
                <w:ilvl w:val="0"/>
                <w:numId w:val="3"/>
              </w:numPr>
              <w:adjustRightInd w:val="0"/>
              <w:snapToGrid w:val="0"/>
              <w:spacing w:line="360" w:lineRule="auto"/>
              <w:ind w:left="0" w:leftChars="0" w:firstLine="480" w:firstLineChars="200"/>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产生危险废物的单位应根据危险废物产生、贮存、利用、处置等环节的动态流向，如实建立各环节的危险废物管理台账。</w:t>
            </w:r>
          </w:p>
          <w:p>
            <w:pPr>
              <w:pStyle w:val="15"/>
              <w:numPr>
                <w:ilvl w:val="0"/>
                <w:numId w:val="0"/>
              </w:num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r>
              <w:rPr>
                <w:rFonts w:ascii="宋体" w:hAnsi="宋体" w:eastAsia="宋体" w:cs="宋体"/>
                <w:color w:val="000000" w:themeColor="text1"/>
                <w:sz w:val="24"/>
                <w:szCs w:val="24"/>
                <w14:textFill>
                  <w14:solidFill>
                    <w14:schemeClr w14:val="tx1"/>
                  </w14:solidFill>
                </w14:textFill>
              </w:rPr>
              <w:t>危险废物管理台账分为电子管理台账和纸质管理台账两种形式。产生危险废物的单位可通过国家危险废物信息管理系统、企业自建信息管理系统或第三方平台等方式记录电子管理台账</w:t>
            </w:r>
            <w:r>
              <w:rPr>
                <w:rFonts w:hint="default" w:ascii="Times New Roman" w:hAnsi="Times New Roman" w:cs="Times New Roman"/>
                <w:color w:val="000000" w:themeColor="text1"/>
                <w:sz w:val="24"/>
                <w:szCs w:val="24"/>
                <w14:textFill>
                  <w14:solidFill>
                    <w14:schemeClr w14:val="tx1"/>
                  </w14:solidFill>
                </w14:textFill>
              </w:rPr>
              <w:t>。</w:t>
            </w:r>
          </w:p>
          <w:p>
            <w:pPr>
              <w:pStyle w:val="15"/>
              <w:adjustRightInd w:val="0"/>
              <w:snapToGrid w:val="0"/>
              <w:spacing w:line="360" w:lineRule="auto"/>
              <w:ind w:firstLine="482" w:firstLineChars="20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运输过程环境影响分析</w:t>
            </w:r>
          </w:p>
          <w:p>
            <w:pPr>
              <w:pStyle w:val="15"/>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危险废物从设备产生后，直接装入专业容器内，密封后运至危险废物贮存库内暂存。要求危险废物由产生点至贮存库的运输过程，应严格按照《危险废物收集贮存运输技术规范》的要求进行。</w:t>
            </w:r>
            <w:r>
              <w:rPr>
                <w:rFonts w:hint="eastAsia" w:ascii="Times New Roman" w:hAnsi="Times New Roman" w:cs="Times New Roman"/>
                <w:color w:val="000000" w:themeColor="text1"/>
                <w:sz w:val="24"/>
                <w:szCs w:val="24"/>
                <w:lang w:val="en-US" w:eastAsia="zh-CN"/>
                <w14:textFill>
                  <w14:solidFill>
                    <w14:schemeClr w14:val="tx1"/>
                  </w14:solidFill>
                </w14:textFill>
              </w:rPr>
              <w:t>危废间</w:t>
            </w:r>
            <w:r>
              <w:rPr>
                <w:rFonts w:hint="default" w:ascii="Times New Roman" w:hAnsi="Times New Roman" w:cs="Times New Roman"/>
                <w:color w:val="000000" w:themeColor="text1"/>
                <w:sz w:val="24"/>
                <w:szCs w:val="24"/>
                <w14:textFill>
                  <w14:solidFill>
                    <w14:schemeClr w14:val="tx1"/>
                  </w14:solidFill>
                </w14:textFill>
              </w:rPr>
              <w:t>位于厂区内，危险废物产生点距离</w:t>
            </w:r>
            <w:r>
              <w:rPr>
                <w:rFonts w:hint="eastAsia" w:ascii="Times New Roman" w:hAnsi="Times New Roman" w:cs="Times New Roman"/>
                <w:color w:val="000000" w:themeColor="text1"/>
                <w:sz w:val="24"/>
                <w:szCs w:val="24"/>
                <w:lang w:val="en-US" w:eastAsia="zh-CN"/>
                <w14:textFill>
                  <w14:solidFill>
                    <w14:schemeClr w14:val="tx1"/>
                  </w14:solidFill>
                </w14:textFill>
              </w:rPr>
              <w:t>危废间</w:t>
            </w:r>
            <w:r>
              <w:rPr>
                <w:rFonts w:hint="default" w:ascii="Times New Roman" w:hAnsi="Times New Roman" w:cs="Times New Roman"/>
                <w:color w:val="000000" w:themeColor="text1"/>
                <w:sz w:val="24"/>
                <w:szCs w:val="24"/>
                <w14:textFill>
                  <w14:solidFill>
                    <w14:schemeClr w14:val="tx1"/>
                  </w14:solidFill>
                </w14:textFill>
              </w:rPr>
              <w:t>的最远距离不</w:t>
            </w:r>
            <w:r>
              <w:rPr>
                <w:rFonts w:hint="eastAsia" w:ascii="Times New Roman" w:hAnsi="Times New Roman" w:cs="Times New Roman"/>
                <w:color w:val="000000" w:themeColor="text1"/>
                <w:sz w:val="24"/>
                <w:szCs w:val="24"/>
                <w:lang w:val="en-US" w:eastAsia="zh-CN"/>
                <w14:textFill>
                  <w14:solidFill>
                    <w14:schemeClr w14:val="tx1"/>
                  </w14:solidFill>
                </w14:textFill>
              </w:rPr>
              <w:t>建议</w:t>
            </w:r>
            <w:r>
              <w:rPr>
                <w:rFonts w:hint="default" w:ascii="Times New Roman" w:hAnsi="Times New Roman" w:cs="Times New Roman"/>
                <w:color w:val="000000" w:themeColor="text1"/>
                <w:sz w:val="24"/>
                <w:szCs w:val="24"/>
                <w14:textFill>
                  <w14:solidFill>
                    <w14:schemeClr w14:val="tx1"/>
                  </w14:solidFill>
                </w14:textFill>
              </w:rPr>
              <w:t>超过100m左右。由于装有危险废物的容器保持密封，由专用车辆运输，危险废物产生点距离</w:t>
            </w:r>
            <w:r>
              <w:rPr>
                <w:rFonts w:hint="eastAsia" w:ascii="Times New Roman" w:hAnsi="Times New Roman" w:cs="Times New Roman"/>
                <w:color w:val="000000" w:themeColor="text1"/>
                <w:sz w:val="24"/>
                <w:szCs w:val="24"/>
                <w:lang w:val="en-US" w:eastAsia="zh-CN"/>
                <w14:textFill>
                  <w14:solidFill>
                    <w14:schemeClr w14:val="tx1"/>
                  </w14:solidFill>
                </w14:textFill>
              </w:rPr>
              <w:t>危废间</w:t>
            </w:r>
            <w:r>
              <w:rPr>
                <w:rFonts w:hint="default" w:ascii="Times New Roman" w:hAnsi="Times New Roman" w:cs="Times New Roman"/>
                <w:color w:val="000000" w:themeColor="text1"/>
                <w:sz w:val="24"/>
                <w:szCs w:val="24"/>
                <w14:textFill>
                  <w14:solidFill>
                    <w14:schemeClr w14:val="tx1"/>
                  </w14:solidFill>
                </w14:textFill>
              </w:rPr>
              <w:t>较近，危险废物从产生点至贮存库的运输过程不会对周边环境造成不利影响。</w:t>
            </w:r>
          </w:p>
          <w:p>
            <w:pPr>
              <w:pStyle w:val="15"/>
              <w:adjustRightInd w:val="0"/>
              <w:snapToGrid w:val="0"/>
              <w:spacing w:line="360" w:lineRule="auto"/>
              <w:ind w:firstLine="482" w:firstLineChars="20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委托处理的环境影响分析</w:t>
            </w:r>
          </w:p>
          <w:p>
            <w:pPr>
              <w:pStyle w:val="15"/>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危险废物种类包括废矿物油类及废油桶类危险废物，本项目产生的危险废物在危废间暂存后一同由有资质单位进行处理。</w:t>
            </w:r>
          </w:p>
          <w:p>
            <w:pPr>
              <w:pStyle w:val="15"/>
              <w:adjustRightInd w:val="0"/>
              <w:snapToGrid w:val="0"/>
              <w:spacing w:line="360" w:lineRule="auto"/>
              <w:ind w:firstLine="482" w:firstLineChars="200"/>
              <w:rPr>
                <w:rFonts w:hint="eastAsia" w:ascii="Times New Roman" w:hAnsi="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4.3选址可行性分析</w:t>
            </w:r>
          </w:p>
          <w:p>
            <w:pPr>
              <w:spacing w:line="240" w:lineRule="auto"/>
              <w:jc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p>
          <w:p>
            <w:pPr>
              <w:spacing w:line="240" w:lineRule="auto"/>
              <w:jc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表</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4-</w:t>
            </w:r>
            <w:r>
              <w:rPr>
                <w:rFonts w:hint="eastAsia" w:cs="Times New Roman"/>
                <w:b/>
                <w:color w:val="000000" w:themeColor="text1"/>
                <w:sz w:val="21"/>
                <w:szCs w:val="21"/>
                <w:highlight w:val="none"/>
                <w:lang w:val="en-US" w:eastAsia="zh-CN"/>
                <w14:textFill>
                  <w14:solidFill>
                    <w14:schemeClr w14:val="tx1"/>
                  </w14:solidFill>
                </w14:textFill>
              </w:rPr>
              <w:t xml:space="preserve">8 </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 xml:space="preserve"> 危险废物贮存情况表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051"/>
              <w:gridCol w:w="903"/>
              <w:gridCol w:w="937"/>
              <w:gridCol w:w="1290"/>
              <w:gridCol w:w="659"/>
              <w:gridCol w:w="738"/>
              <w:gridCol w:w="787"/>
              <w:gridCol w:w="913"/>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序号</w:t>
                  </w:r>
                </w:p>
              </w:tc>
              <w:tc>
                <w:tcPr>
                  <w:tcW w:w="625" w:type="pc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贮存场所（设施）</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名称</w:t>
                  </w:r>
                </w:p>
              </w:tc>
              <w:tc>
                <w:tcPr>
                  <w:tcW w:w="537" w:type="pc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危险废物名称</w:t>
                  </w:r>
                </w:p>
              </w:tc>
              <w:tc>
                <w:tcPr>
                  <w:tcW w:w="557" w:type="pc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危险废物类别</w:t>
                  </w:r>
                </w:p>
              </w:tc>
              <w:tc>
                <w:tcPr>
                  <w:tcW w:w="767" w:type="pc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危险废物代码</w:t>
                  </w:r>
                </w:p>
              </w:tc>
              <w:tc>
                <w:tcPr>
                  <w:tcW w:w="392" w:type="pc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位置</w:t>
                  </w:r>
                </w:p>
              </w:tc>
              <w:tc>
                <w:tcPr>
                  <w:tcW w:w="439" w:type="pc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占地面积</w:t>
                  </w:r>
                </w:p>
              </w:tc>
              <w:tc>
                <w:tcPr>
                  <w:tcW w:w="468" w:type="pc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贮存方式</w:t>
                  </w:r>
                </w:p>
              </w:tc>
              <w:tc>
                <w:tcPr>
                  <w:tcW w:w="543" w:type="pc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贮存</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能力</w:t>
                  </w:r>
                </w:p>
              </w:tc>
              <w:tc>
                <w:tcPr>
                  <w:tcW w:w="401" w:type="pc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贮存</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625" w:type="pct"/>
                  <w:vMerge w:val="restar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危废</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暂存间</w:t>
                  </w:r>
                </w:p>
              </w:tc>
              <w:tc>
                <w:tcPr>
                  <w:tcW w:w="537" w:type="pc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废润滑油桶</w:t>
                  </w:r>
                </w:p>
              </w:tc>
              <w:tc>
                <w:tcPr>
                  <w:tcW w:w="557" w:type="pc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HW</w:t>
                  </w:r>
                  <w:r>
                    <w:rPr>
                      <w:rFonts w:hint="eastAsia" w:ascii="Times New Roman" w:hAnsi="Times New Roman" w:eastAsia="宋体" w:cs="Times New Roman"/>
                      <w:color w:val="000000" w:themeColor="text1"/>
                      <w:lang w:val="en-US" w:eastAsia="zh-CN"/>
                      <w14:textFill>
                        <w14:solidFill>
                          <w14:schemeClr w14:val="tx1"/>
                        </w14:solidFill>
                      </w14:textFill>
                    </w:rPr>
                    <w:t>08</w:t>
                  </w:r>
                </w:p>
              </w:tc>
              <w:tc>
                <w:tcPr>
                  <w:tcW w:w="767" w:type="pc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900-249-08</w:t>
                  </w:r>
                </w:p>
              </w:tc>
              <w:tc>
                <w:tcPr>
                  <w:tcW w:w="392" w:type="pct"/>
                  <w:vMerge w:val="restar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炉渣车间</w:t>
                  </w:r>
                </w:p>
              </w:tc>
              <w:tc>
                <w:tcPr>
                  <w:tcW w:w="439" w:type="pct"/>
                  <w:vMerge w:val="restar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468" w:type="pc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543" w:type="pct"/>
                  <w:vMerge w:val="restar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2t</w:t>
                  </w:r>
                </w:p>
              </w:tc>
              <w:tc>
                <w:tcPr>
                  <w:tcW w:w="401" w:type="pct"/>
                  <w:vMerge w:val="restar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625" w:type="pct"/>
                  <w:vMerge w:val="continue"/>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537" w:type="pc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废润滑油</w:t>
                  </w:r>
                </w:p>
              </w:tc>
              <w:tc>
                <w:tcPr>
                  <w:tcW w:w="557" w:type="pc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HW</w:t>
                  </w:r>
                  <w:r>
                    <w:rPr>
                      <w:rFonts w:hint="eastAsia" w:ascii="Times New Roman" w:hAnsi="Times New Roman" w:eastAsia="宋体" w:cs="Times New Roman"/>
                      <w:color w:val="000000" w:themeColor="text1"/>
                      <w:lang w:val="en-US" w:eastAsia="zh-CN"/>
                      <w14:textFill>
                        <w14:solidFill>
                          <w14:schemeClr w14:val="tx1"/>
                        </w14:solidFill>
                      </w14:textFill>
                    </w:rPr>
                    <w:t>08</w:t>
                  </w:r>
                </w:p>
              </w:tc>
              <w:tc>
                <w:tcPr>
                  <w:tcW w:w="767" w:type="pct"/>
                  <w:noWrap w:val="0"/>
                  <w:vAlign w:val="center"/>
                </w:tcPr>
                <w:p>
                  <w:pPr>
                    <w:pStyle w:val="57"/>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900-</w:t>
                  </w:r>
                  <w:r>
                    <w:rPr>
                      <w:rFonts w:hint="eastAsia" w:cs="Times New Roman"/>
                      <w:color w:val="000000" w:themeColor="text1"/>
                      <w:lang w:val="en-US" w:eastAsia="zh-CN"/>
                      <w14:textFill>
                        <w14:solidFill>
                          <w14:schemeClr w14:val="tx1"/>
                        </w14:solidFill>
                      </w14:textFill>
                    </w:rPr>
                    <w:t>217</w:t>
                  </w:r>
                  <w:r>
                    <w:rPr>
                      <w:rFonts w:hint="eastAsia" w:ascii="Times New Roman" w:hAnsi="Times New Roman" w:eastAsia="宋体" w:cs="Times New Roman"/>
                      <w:color w:val="000000" w:themeColor="text1"/>
                      <w:lang w:val="en-US" w:eastAsia="zh-CN"/>
                      <w14:textFill>
                        <w14:solidFill>
                          <w14:schemeClr w14:val="tx1"/>
                        </w14:solidFill>
                      </w14:textFill>
                    </w:rPr>
                    <w:t>-08</w:t>
                  </w:r>
                </w:p>
              </w:tc>
              <w:tc>
                <w:tcPr>
                  <w:tcW w:w="392" w:type="pct"/>
                  <w:vMerge w:val="continue"/>
                  <w:noWrap w:val="0"/>
                  <w:vAlign w:val="center"/>
                </w:tcPr>
                <w:p>
                  <w:pPr>
                    <w:pStyle w:val="57"/>
                    <w:spacing w:line="240" w:lineRule="auto"/>
                    <w:ind w:firstLine="0" w:firstLineChars="0"/>
                    <w:jc w:val="center"/>
                    <w:rPr>
                      <w:rFonts w:hint="eastAsia" w:cs="Times New Roman"/>
                      <w:color w:val="000000" w:themeColor="text1"/>
                      <w:lang w:val="en-US" w:eastAsia="zh-CN"/>
                      <w14:textFill>
                        <w14:solidFill>
                          <w14:schemeClr w14:val="tx1"/>
                        </w14:solidFill>
                      </w14:textFill>
                    </w:rPr>
                  </w:pPr>
                </w:p>
              </w:tc>
              <w:tc>
                <w:tcPr>
                  <w:tcW w:w="439" w:type="pct"/>
                  <w:vMerge w:val="continue"/>
                  <w:noWrap w:val="0"/>
                  <w:vAlign w:val="center"/>
                </w:tcPr>
                <w:p>
                  <w:pPr>
                    <w:pStyle w:val="57"/>
                    <w:spacing w:line="240" w:lineRule="auto"/>
                    <w:ind w:firstLine="0" w:firstLineChars="0"/>
                    <w:jc w:val="center"/>
                    <w:rPr>
                      <w:rFonts w:hint="eastAsia" w:cs="Times New Roman"/>
                      <w:color w:val="000000" w:themeColor="text1"/>
                      <w:lang w:val="en-US" w:eastAsia="zh-CN"/>
                      <w14:textFill>
                        <w14:solidFill>
                          <w14:schemeClr w14:val="tx1"/>
                        </w14:solidFill>
                      </w14:textFill>
                    </w:rPr>
                  </w:pPr>
                </w:p>
              </w:tc>
              <w:tc>
                <w:tcPr>
                  <w:tcW w:w="468" w:type="pct"/>
                  <w:noWrap w:val="0"/>
                  <w:vAlign w:val="center"/>
                </w:tcPr>
                <w:p>
                  <w:pPr>
                    <w:pStyle w:val="57"/>
                    <w:spacing w:line="240" w:lineRule="auto"/>
                    <w:ind w:firstLine="0" w:firstLine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桶装</w:t>
                  </w:r>
                </w:p>
              </w:tc>
              <w:tc>
                <w:tcPr>
                  <w:tcW w:w="543" w:type="pct"/>
                  <w:vMerge w:val="continue"/>
                  <w:noWrap w:val="0"/>
                  <w:vAlign w:val="center"/>
                </w:tcPr>
                <w:p>
                  <w:pPr>
                    <w:pStyle w:val="57"/>
                    <w:spacing w:line="240" w:lineRule="auto"/>
                    <w:ind w:firstLine="0" w:firstLineChars="0"/>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401" w:type="pct"/>
                  <w:vMerge w:val="continue"/>
                  <w:noWrap w:val="0"/>
                  <w:vAlign w:val="center"/>
                </w:tcPr>
                <w:p>
                  <w:pPr>
                    <w:pStyle w:val="57"/>
                    <w:spacing w:line="240" w:lineRule="auto"/>
                    <w:ind w:firstLine="0" w:firstLineChars="0"/>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bl>
          <w:p>
            <w:pPr>
              <w:numPr>
                <w:ilvl w:val="0"/>
                <w:numId w:val="0"/>
              </w:numPr>
              <w:spacing w:line="240" w:lineRule="auto"/>
              <w:ind w:left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w:t>
            </w:r>
            <w:r>
              <w:rPr>
                <w:rFonts w:hint="eastAsia" w:cs="Times New Roman"/>
                <w:b/>
                <w:bCs/>
                <w:color w:val="000000" w:themeColor="text1"/>
                <w:sz w:val="21"/>
                <w:szCs w:val="21"/>
                <w:highlight w:val="none"/>
                <w:lang w:val="en-US" w:eastAsia="zh-CN"/>
                <w14:textFill>
                  <w14:solidFill>
                    <w14:schemeClr w14:val="tx1"/>
                  </w14:solidFill>
                </w14:textFill>
              </w:rPr>
              <w:t xml:space="preserve">4-9  </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危险废物贮存选址分析一览表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4467"/>
              <w:gridCol w:w="3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序号</w:t>
                  </w:r>
                </w:p>
              </w:tc>
              <w:tc>
                <w:tcPr>
                  <w:tcW w:w="4467"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危险废物贮存污染控制标准</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GB18597-2001）（2013 修订版）</w:t>
                  </w:r>
                </w:p>
              </w:tc>
              <w:tc>
                <w:tcPr>
                  <w:tcW w:w="3195"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项目危险废物暂存间情况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4467"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地质结构稳定，地震烈度不超过7度的区域内。</w:t>
                  </w:r>
                </w:p>
              </w:tc>
              <w:tc>
                <w:tcPr>
                  <w:tcW w:w="3195"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抚宁区</w:t>
                  </w:r>
                  <w:r>
                    <w:rPr>
                      <w:rFonts w:hint="default" w:ascii="Times New Roman" w:hAnsi="Times New Roman" w:eastAsia="宋体" w:cs="Times New Roman"/>
                      <w:color w:val="000000" w:themeColor="text1"/>
                      <w:lang w:val="en-US" w:eastAsia="zh-CN"/>
                      <w14:textFill>
                        <w14:solidFill>
                          <w14:schemeClr w14:val="tx1"/>
                        </w14:solidFill>
                      </w14:textFill>
                    </w:rPr>
                    <w:t>抗震设防类度为7度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p>
              </w:tc>
              <w:tc>
                <w:tcPr>
                  <w:tcW w:w="4467"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设施底部必须高于地下水最高水位。</w:t>
                  </w:r>
                </w:p>
              </w:tc>
              <w:tc>
                <w:tcPr>
                  <w:tcW w:w="3195"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设施底部高于地下水最高水位。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w:t>
                  </w:r>
                </w:p>
              </w:tc>
              <w:tc>
                <w:tcPr>
                  <w:tcW w:w="4467"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依据环境影响评价结论确定危险废物集中贮存设施的位置及其与周围人群的距离，并经具有审批权的环境保护行政主管部门批准，并可作为规划控制的依据。</w:t>
                  </w:r>
                </w:p>
              </w:tc>
              <w:tc>
                <w:tcPr>
                  <w:tcW w:w="3195"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项目选取位置选取远离敏感点，远离周围人群。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w:t>
                  </w:r>
                </w:p>
              </w:tc>
              <w:tc>
                <w:tcPr>
                  <w:tcW w:w="4467"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应避免建在溶洞区或易遭受严重自然灾害如洪水、滑坡，泥石流、潮汐等影响的地区。</w:t>
                  </w:r>
                </w:p>
              </w:tc>
              <w:tc>
                <w:tcPr>
                  <w:tcW w:w="3195"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w:t>
                  </w:r>
                  <w:r>
                    <w:rPr>
                      <w:rFonts w:hint="eastAsia" w:ascii="Times New Roman" w:hAnsi="Times New Roman" w:eastAsia="宋体" w:cs="Times New Roman"/>
                      <w:color w:val="000000" w:themeColor="text1"/>
                      <w:lang w:val="en-US" w:eastAsia="zh-CN"/>
                      <w14:textFill>
                        <w14:solidFill>
                          <w14:schemeClr w14:val="tx1"/>
                        </w14:solidFill>
                      </w14:textFill>
                    </w:rPr>
                    <w:t>所在</w:t>
                  </w:r>
                  <w:r>
                    <w:rPr>
                      <w:rFonts w:hint="default" w:ascii="Times New Roman" w:hAnsi="Times New Roman" w:eastAsia="宋体" w:cs="Times New Roman"/>
                      <w:color w:val="000000" w:themeColor="text1"/>
                      <w:lang w:val="en-US" w:eastAsia="zh-CN"/>
                      <w14:textFill>
                        <w14:solidFill>
                          <w14:schemeClr w14:val="tx1"/>
                        </w14:solidFill>
                      </w14:textFill>
                    </w:rPr>
                    <w:t>区域不属于易遭受严重自然灾害区域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w:t>
                  </w:r>
                </w:p>
              </w:tc>
              <w:tc>
                <w:tcPr>
                  <w:tcW w:w="4467"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应在易燃、易爆等危险品仓库、高压输电线路防护区域以外。</w:t>
                  </w:r>
                </w:p>
              </w:tc>
              <w:tc>
                <w:tcPr>
                  <w:tcW w:w="3195"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项目危废间同时避开了高压输电线路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w:t>
                  </w:r>
                </w:p>
              </w:tc>
              <w:tc>
                <w:tcPr>
                  <w:tcW w:w="4467"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应位于居民中心区常年最大风频的下风向。</w:t>
                  </w:r>
                </w:p>
              </w:tc>
              <w:tc>
                <w:tcPr>
                  <w:tcW w:w="3195"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项目所在区域常年最大风频为SW，危废间位于厂区南侧，最大风频的下风向不存居民中心区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w:t>
                  </w:r>
                </w:p>
              </w:tc>
              <w:tc>
                <w:tcPr>
                  <w:tcW w:w="4467"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基础必须防滲，防滲层为至少lm厚粘土层（渗透系数≤l0</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lang w:val="en-US" w:eastAsia="zh-CN"/>
                      <w14:textFill>
                        <w14:solidFill>
                          <w14:schemeClr w14:val="tx1"/>
                        </w14:solidFill>
                      </w14:textFill>
                    </w:rPr>
                    <w:t>cm/s),或2mm厚高密度聚乙烯，或至少2mm厚的其他人工材料（滲透系数≤10</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lang w:val="en-US" w:eastAsia="zh-CN"/>
                      <w14:textFill>
                        <w14:solidFill>
                          <w14:schemeClr w14:val="tx1"/>
                        </w14:solidFill>
                      </w14:textFill>
                    </w:rPr>
                    <w:t>cm/s)。</w:t>
                  </w:r>
                </w:p>
              </w:tc>
              <w:tc>
                <w:tcPr>
                  <w:tcW w:w="3195" w:type="dxa"/>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地面采取2mm厚高密度聚乙烯防渗，渗透系数≤1.0×10</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lang w:val="en-US" w:eastAsia="zh-CN"/>
                      <w14:textFill>
                        <w14:solidFill>
                          <w14:schemeClr w14:val="tx1"/>
                        </w14:solidFill>
                      </w14:textFill>
                    </w:rPr>
                    <w:t>cm/s（或采取其他具有同等防渗效力的防渗材料）</w:t>
                  </w:r>
                </w:p>
              </w:tc>
            </w:tr>
          </w:tbl>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leftChars="0" w:right="0" w:firstLine="482" w:firstLineChars="200"/>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eastAsia" w:cs="Times New Roman"/>
                <w:b/>
                <w:bCs/>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结论</w:t>
            </w:r>
          </w:p>
          <w:p>
            <w:pPr>
              <w:pStyle w:val="15"/>
              <w:adjustRightInd w:val="0"/>
              <w:snapToGrid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本项目产生的一般工业固体废物主要有沉淀池泥沙以及未燃尽垃圾。沉淀池泥沙压滤成泥饼后暂存固废暂存区，集中收集，统一外售，未燃尽垃圾统一收集后电厂回收；危险废物主要为废润滑油桶、废润滑油，暂存危废间后定期交由有资质单位处理，所有固体废物均合理处置。</w:t>
            </w:r>
          </w:p>
          <w:p>
            <w:pPr>
              <w:pStyle w:val="2"/>
              <w:bidi w:val="0"/>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lang w:val="en-US" w:eastAsia="zh-CN"/>
                <w14:textFill>
                  <w14:solidFill>
                    <w14:schemeClr w14:val="tx1"/>
                  </w14:solidFill>
                </w14:textFill>
              </w:rPr>
              <w:t>地下水、土壤环境分析</w:t>
            </w:r>
          </w:p>
          <w:p>
            <w:pPr>
              <w:pStyle w:val="29"/>
              <w:spacing w:before="0" w:after="0" w:line="360" w:lineRule="auto"/>
              <w:ind w:left="0" w:leftChars="0" w:firstLine="0" w:firstLineChars="0"/>
              <w:rPr>
                <w:rFonts w:hint="eastAsia" w:ascii="Times New Roman" w:hAnsi="Times New Roman"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5.1地下水环境</w:t>
            </w:r>
          </w:p>
          <w:p>
            <w:pPr>
              <w:pStyle w:val="15"/>
              <w:numPr>
                <w:ilvl w:val="0"/>
                <w:numId w:val="0"/>
              </w:numPr>
              <w:adjustRightInd w:val="0"/>
              <w:snapToGrid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项目运营过程中可能对地下水和土壤产生影响的主要是沉淀池、危废暂存间等，根据对地下水和土壤污染的影响程度不同，将全厂进行分区防渗，分为重点防渗区、一般防渗区、简单防渗区。其中重点防渗区为危废暂存间；一般防渗区为生产车间、沉淀池、循环池；简单防渗区：除重点防渗区和一般防渗区、绿化区域以外的区域。针对不同的防渗区域，采取不同的污染防渗措施，具体如下：</w:t>
            </w:r>
          </w:p>
          <w:p>
            <w:pPr>
              <w:pStyle w:val="15"/>
              <w:numPr>
                <w:ilvl w:val="0"/>
                <w:numId w:val="0"/>
              </w:numPr>
              <w:adjustRightInd w:val="0"/>
              <w:snapToGrid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（1）重点防渗区（危废暂存间）：</w:t>
            </w:r>
          </w:p>
          <w:p>
            <w:pPr>
              <w:pStyle w:val="15"/>
              <w:numPr>
                <w:ilvl w:val="0"/>
                <w:numId w:val="0"/>
              </w:numPr>
              <w:adjustRightInd w:val="0"/>
              <w:snapToGrid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危废暂存间：危险固废在场内的临时储存场所按《危险废物贮存污染控制标</w:t>
            </w:r>
          </w:p>
          <w:p>
            <w:pPr>
              <w:pStyle w:val="15"/>
              <w:numPr>
                <w:ilvl w:val="0"/>
                <w:numId w:val="0"/>
              </w:numPr>
              <w:adjustRightInd w:val="0"/>
              <w:snapToGrid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准》（GB18597-2001）取防雨、防渗及防风等措施，设置危险废物识别标志。危废堆场均为密闭设施，地面铺设防渗材料，渗透系数≤10</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-10</w:t>
            </w:r>
            <w:r>
              <w:rPr>
                <w:rFonts w:hint="eastAsia" w:ascii="Times New Roman" w:hAnsi="Times New Roman" w:cs="Times New Roman"/>
                <w:color w:val="000000" w:themeColor="text1"/>
                <w:sz w:val="24"/>
                <w:szCs w:val="24"/>
                <w:lang w:val="en-US" w:eastAsia="zh-CN"/>
                <w14:textFill>
                  <w14:solidFill>
                    <w14:schemeClr w14:val="tx1"/>
                  </w14:solidFill>
                </w14:textFill>
              </w:rPr>
              <w:t>cm/s。危险废物不能超范围堆放，存放区域设置明显警示标识，设专人对危废暂存间进行日常管理。</w:t>
            </w:r>
          </w:p>
          <w:p>
            <w:pPr>
              <w:pStyle w:val="15"/>
              <w:numPr>
                <w:ilvl w:val="0"/>
                <w:numId w:val="0"/>
              </w:numPr>
              <w:adjustRightInd w:val="0"/>
              <w:snapToGrid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（2）一般防渗区（生产车间、沉淀池、循环池）：</w:t>
            </w:r>
          </w:p>
          <w:p>
            <w:pPr>
              <w:pStyle w:val="15"/>
              <w:numPr>
                <w:ilvl w:val="0"/>
                <w:numId w:val="0"/>
              </w:numPr>
              <w:adjustRightInd w:val="0"/>
              <w:snapToGrid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生产车间、沉淀池、循环池：该防渗区应采用天然或人工材料构筑防渗层，保证防渗材料渗透系数≤10</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-7</w:t>
            </w:r>
            <w:r>
              <w:rPr>
                <w:rFonts w:hint="eastAsia" w:ascii="Times New Roman" w:hAnsi="Times New Roman" w:cs="Times New Roman"/>
                <w:color w:val="000000" w:themeColor="text1"/>
                <w:sz w:val="24"/>
                <w:szCs w:val="24"/>
                <w:lang w:val="en-US" w:eastAsia="zh-CN"/>
                <w14:textFill>
                  <w14:solidFill>
                    <w14:schemeClr w14:val="tx1"/>
                  </w14:solidFill>
                </w14:textFill>
              </w:rPr>
              <w:t>cm/s。为加强防渗措施的安全性、可靠性，确保防渗措施的防渗效果，工程施工过程中建设单位应加强施工期的管理，严格按防渗设计要求进行施工，加强防渗措施的日常维护，使防渗措施达到应有的防渗效果。同时应加强生产设施和环保设施的管理，避免废水跑、冒、滴、漏。</w:t>
            </w:r>
          </w:p>
          <w:p>
            <w:pPr>
              <w:pStyle w:val="15"/>
              <w:numPr>
                <w:ilvl w:val="0"/>
                <w:numId w:val="0"/>
              </w:numPr>
              <w:adjustRightInd w:val="0"/>
              <w:snapToGrid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（3）简单防渗区：</w:t>
            </w:r>
          </w:p>
          <w:p>
            <w:pPr>
              <w:pStyle w:val="15"/>
              <w:numPr>
                <w:ilvl w:val="0"/>
                <w:numId w:val="0"/>
              </w:numPr>
              <w:adjustRightInd w:val="0"/>
              <w:snapToGrid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除重点防渗区和一般防渗区、绿化区域以外的区域，该区域只需做一般地面硬化即可。</w:t>
            </w:r>
          </w:p>
          <w:p>
            <w:pPr>
              <w:pStyle w:val="15"/>
              <w:numPr>
                <w:ilvl w:val="0"/>
                <w:numId w:val="0"/>
              </w:numPr>
              <w:adjustRightInd w:val="0"/>
              <w:snapToGrid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各污染防治区在满足上述防渗要求的前提下，厂区地面除绿化区外均要进行硬化处理；工程产生的固废必须堆放在固废贮存场内，贮存场必须有防雨、防渗、防流失的“三防”措施。项目占地范围内均采取硬化路面，发现破损及时修复。厂区周边加强绿化，种植具有较强吸附能力的植物；厂区应设置地面硬化；项目危废暂存场所等做重点防渗、防腐处理措施，并定期检查防渗、防腐措施，以防止泄漏对地下水、土壤环境造成污染。</w:t>
            </w:r>
          </w:p>
          <w:p>
            <w:pPr>
              <w:pStyle w:val="29"/>
              <w:spacing w:before="0" w:after="0" w:line="360" w:lineRule="auto"/>
              <w:ind w:left="0" w:leftChars="0" w:firstLine="0" w:firstLineChars="0"/>
              <w:rPr>
                <w:rFonts w:hint="eastAsia" w:ascii="Times New Roman" w:hAnsi="Times New Roman"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5.2土壤环境</w:t>
            </w:r>
          </w:p>
          <w:p>
            <w:pPr>
              <w:pStyle w:val="15"/>
              <w:numPr>
                <w:ilvl w:val="0"/>
                <w:numId w:val="0"/>
              </w:numPr>
              <w:adjustRightInd w:val="0"/>
              <w:snapToGrid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根据《建设项目环境影响报告表编制技术指南（污染影响类）（试行）》，本项目对土壤的环境影响分析如下：</w:t>
            </w:r>
          </w:p>
          <w:p>
            <w:pPr>
              <w:pStyle w:val="15"/>
              <w:numPr>
                <w:ilvl w:val="0"/>
                <w:numId w:val="0"/>
              </w:numPr>
              <w:adjustRightInd w:val="0"/>
              <w:snapToGrid w:val="0"/>
              <w:spacing w:line="360" w:lineRule="auto"/>
              <w:ind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垂直入渗：本项目危废暂存间设置为重点防渗区，地面铺设防渗材料，渗透系数≤10</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-10</w:t>
            </w:r>
            <w:r>
              <w:rPr>
                <w:rFonts w:hint="eastAsia" w:ascii="Times New Roman" w:hAnsi="Times New Roman" w:cs="Times New Roman"/>
                <w:color w:val="000000" w:themeColor="text1"/>
                <w:sz w:val="24"/>
                <w:szCs w:val="24"/>
                <w:lang w:val="en-US" w:eastAsia="zh-CN"/>
                <w14:textFill>
                  <w14:solidFill>
                    <w14:schemeClr w14:val="tx1"/>
                  </w14:solidFill>
                </w14:textFill>
              </w:rPr>
              <w:t>cm/s。危废一旦发生泄漏，及时清理进行维修，防止通过垂直入渗造成土壤环境受到污染。</w:t>
            </w:r>
          </w:p>
          <w:p>
            <w:pPr>
              <w:pStyle w:val="15"/>
              <w:numPr>
                <w:ilvl w:val="0"/>
                <w:numId w:val="0"/>
              </w:numPr>
              <w:adjustRightInd w:val="0"/>
              <w:snapToGrid w:val="0"/>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综上，本项目对土壤环境污染很小。</w:t>
            </w:r>
          </w:p>
          <w:p>
            <w:pPr>
              <w:pStyle w:val="2"/>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、环境风险分析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环境风险是指突发性事故对环境(或健康)的危害程度。建设项目环境风险评价，主要是对建设项目建设和运行期间发生的可预测突发性事件或事故</w:t>
            </w:r>
            <w:r>
              <w:rPr>
                <w:rFonts w:hint="eastAsia"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一般不包括人为破坏及自然灾害</w:t>
            </w:r>
            <w:r>
              <w:rPr>
                <w:rFonts w:hint="eastAsia"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引起有毒有害、易燃易爆等物质泄漏，或突发事件产生的新的有毒有害物质，所造成的对人身安全与环境的影响和损害，进行评估，提出防范、应急与减缓措施，以使建设项目事故率、损失和环境影响达到可接受水平。</w:t>
            </w:r>
          </w:p>
          <w:p>
            <w:pPr>
              <w:pStyle w:val="29"/>
              <w:spacing w:before="0" w:after="0" w:line="360" w:lineRule="auto"/>
              <w:ind w:left="0" w:leftChars="0" w:firstLine="0" w:firstLineChars="0"/>
              <w:rPr>
                <w:rFonts w:hint="default" w:ascii="Times New Roman" w:hAnsi="Times New Roman" w:cs="Times New Roman"/>
                <w:b/>
                <w:bCs/>
                <w:color w:val="000000" w:themeColor="text1"/>
                <w:sz w:val="24"/>
                <w:highlight w:val="none"/>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6</w:t>
            </w:r>
            <w:r>
              <w:rPr>
                <w:rFonts w:hint="default" w:ascii="Times New Roman" w:hAnsi="Times New Roman" w:cs="Times New Roman"/>
                <w:b/>
                <w:bCs/>
                <w:color w:val="000000" w:themeColor="text1"/>
                <w:sz w:val="24"/>
                <w:highlight w:val="none"/>
                <w14:textFill>
                  <w14:solidFill>
                    <w14:schemeClr w14:val="tx1"/>
                  </w14:solidFill>
                </w14:textFill>
              </w:rPr>
              <w:t>.1风险调查</w:t>
            </w:r>
          </w:p>
          <w:p>
            <w:pPr>
              <w:bidi w:val="0"/>
              <w:ind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w:t>
            </w:r>
            <w:r>
              <w:rPr>
                <w:rFonts w:hint="eastAsia" w:cs="Times New Roman"/>
                <w:b w:val="0"/>
                <w:bCs w:val="0"/>
                <w:color w:val="000000" w:themeColor="text1"/>
                <w:sz w:val="24"/>
                <w:szCs w:val="24"/>
                <w:highlight w:val="none"/>
                <w:lang w:val="en-US" w:eastAsia="zh-CN"/>
                <w14:textFill>
                  <w14:solidFill>
                    <w14:schemeClr w14:val="tx1"/>
                  </w14:solidFill>
                </w14:textFill>
              </w:rPr>
              <w:t>废润滑油桶以及废润滑油</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属于危险废物，根据《建设项目环境风险评价技术导则》（HJ/T169-2018）</w:t>
            </w:r>
            <w:r>
              <w:rPr>
                <w:rFonts w:hint="eastAsia" w:cs="Times New Roman"/>
                <w:b w:val="0"/>
                <w:bCs w:val="0"/>
                <w:color w:val="000000" w:themeColor="text1"/>
                <w:sz w:val="24"/>
                <w:szCs w:val="24"/>
                <w:highlight w:val="none"/>
                <w:lang w:val="en-US" w:eastAsia="zh-CN"/>
                <w14:textFill>
                  <w14:solidFill>
                    <w14:schemeClr w14:val="tx1"/>
                  </w14:solidFill>
                </w14:textFill>
              </w:rPr>
              <w:t>以及《企业突发环境事件风险分级方法》（HJ 941-2018）</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并结合项目实际情况，本项目的风险源为</w:t>
            </w:r>
            <w:r>
              <w:rPr>
                <w:rFonts w:hint="eastAsia" w:cs="Times New Roman"/>
                <w:b w:val="0"/>
                <w:bCs w:val="0"/>
                <w:color w:val="000000" w:themeColor="text1"/>
                <w:sz w:val="24"/>
                <w:szCs w:val="24"/>
                <w:highlight w:val="none"/>
                <w:lang w:val="en-US" w:eastAsia="zh-CN"/>
                <w14:textFill>
                  <w14:solidFill>
                    <w14:schemeClr w14:val="tx1"/>
                  </w14:solidFill>
                </w14:textFill>
              </w:rPr>
              <w:t>废润滑油桶</w:t>
            </w:r>
            <w:r>
              <w:rPr>
                <w:rFonts w:hint="default" w:ascii="Times New Roman" w:hAnsi="Times New Roman" w:cs="Times New Roman"/>
                <w:color w:val="000000" w:themeColor="text1"/>
                <w:lang w:val="en-US" w:eastAsia="zh-CN"/>
                <w14:textFill>
                  <w14:solidFill>
                    <w14:schemeClr w14:val="tx1"/>
                  </w14:solidFill>
                </w14:textFill>
              </w:rPr>
              <w:t>。</w:t>
            </w:r>
          </w:p>
          <w:p>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.1、风险源分布情况及可能影响途径</w:t>
            </w:r>
          </w:p>
          <w:p>
            <w:pPr>
              <w:bidi w:val="0"/>
              <w:ind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本项目的主要危险物质为危废间内的危废。具体分布及影响途径如下表：</w:t>
            </w:r>
          </w:p>
          <w:p>
            <w:pPr>
              <w:numPr>
                <w:ilvl w:val="0"/>
                <w:numId w:val="0"/>
              </w:numPr>
              <w:spacing w:line="240" w:lineRule="auto"/>
              <w:ind w:left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4-</w:t>
            </w:r>
            <w:r>
              <w:rPr>
                <w:rFonts w:hint="eastAsia" w:cs="Times New Roman"/>
                <w:b/>
                <w:bCs/>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本项目风险物质具体分布及影响途径</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9"/>
              <w:gridCol w:w="2196"/>
              <w:gridCol w:w="2460"/>
              <w:gridCol w:w="1351"/>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9" w:type="dxa"/>
                  <w:tcBorders>
                    <w:tl2br w:val="nil"/>
                    <w:tr2bl w:val="nil"/>
                  </w:tcBorders>
                  <w:noWrap w:val="0"/>
                  <w:vAlign w:val="center"/>
                </w:tcPr>
                <w:p>
                  <w:pPr>
                    <w:pStyle w:val="57"/>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序号</w:t>
                  </w:r>
                </w:p>
              </w:tc>
              <w:tc>
                <w:tcPr>
                  <w:tcW w:w="2196" w:type="dxa"/>
                  <w:tcBorders>
                    <w:tl2br w:val="nil"/>
                    <w:tr2bl w:val="nil"/>
                  </w:tcBorders>
                  <w:noWrap w:val="0"/>
                  <w:vAlign w:val="center"/>
                </w:tcPr>
                <w:p>
                  <w:pPr>
                    <w:pStyle w:val="57"/>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原料</w:t>
                  </w:r>
                </w:p>
              </w:tc>
              <w:tc>
                <w:tcPr>
                  <w:tcW w:w="2460" w:type="dxa"/>
                  <w:tcBorders>
                    <w:tl2br w:val="nil"/>
                    <w:tr2bl w:val="nil"/>
                  </w:tcBorders>
                  <w:noWrap w:val="0"/>
                  <w:vAlign w:val="center"/>
                </w:tcPr>
                <w:p>
                  <w:pPr>
                    <w:pStyle w:val="57"/>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最大贮存量</w:t>
                  </w:r>
                </w:p>
              </w:tc>
              <w:tc>
                <w:tcPr>
                  <w:tcW w:w="1351" w:type="dxa"/>
                  <w:tcBorders>
                    <w:tl2br w:val="nil"/>
                    <w:tr2bl w:val="nil"/>
                  </w:tcBorders>
                  <w:noWrap w:val="0"/>
                  <w:vAlign w:val="center"/>
                </w:tcPr>
                <w:p>
                  <w:pPr>
                    <w:pStyle w:val="57"/>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贮存场所</w:t>
                  </w:r>
                </w:p>
              </w:tc>
              <w:tc>
                <w:tcPr>
                  <w:tcW w:w="1847" w:type="dxa"/>
                  <w:tcBorders>
                    <w:tl2br w:val="nil"/>
                    <w:tr2bl w:val="nil"/>
                  </w:tcBorders>
                  <w:noWrap w:val="0"/>
                  <w:vAlign w:val="center"/>
                </w:tcPr>
                <w:p>
                  <w:pPr>
                    <w:pStyle w:val="57"/>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9" w:type="dxa"/>
                  <w:tcBorders>
                    <w:tl2br w:val="nil"/>
                    <w:tr2bl w:val="nil"/>
                  </w:tcBorders>
                  <w:noWrap w:val="0"/>
                  <w:vAlign w:val="center"/>
                </w:tcPr>
                <w:p>
                  <w:pPr>
                    <w:pStyle w:val="57"/>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2196" w:type="dxa"/>
                  <w:tcBorders>
                    <w:tl2br w:val="nil"/>
                    <w:tr2bl w:val="nil"/>
                  </w:tcBorders>
                  <w:noWrap w:val="0"/>
                  <w:vAlign w:val="center"/>
                </w:tcPr>
                <w:p>
                  <w:pPr>
                    <w:pStyle w:val="78"/>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废润滑油桶</w:t>
                  </w:r>
                </w:p>
              </w:tc>
              <w:tc>
                <w:tcPr>
                  <w:tcW w:w="2460" w:type="dxa"/>
                  <w:tcBorders>
                    <w:tl2br w:val="nil"/>
                    <w:tr2bl w:val="nil"/>
                  </w:tcBorders>
                  <w:noWrap w:val="0"/>
                  <w:vAlign w:val="center"/>
                </w:tcPr>
                <w:p>
                  <w:pPr>
                    <w:pStyle w:val="54"/>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0.05</w:t>
                  </w:r>
                  <w:r>
                    <w:rPr>
                      <w:rFonts w:hint="default" w:ascii="Times New Roman" w:hAnsi="Times New Roman" w:cs="Times New Roman"/>
                      <w:color w:val="000000" w:themeColor="text1"/>
                      <w:lang w:val="en-US" w:eastAsia="zh-CN"/>
                      <w14:textFill>
                        <w14:solidFill>
                          <w14:schemeClr w14:val="tx1"/>
                        </w14:solidFill>
                      </w14:textFill>
                    </w:rPr>
                    <w:t>t/a</w:t>
                  </w:r>
                </w:p>
              </w:tc>
              <w:tc>
                <w:tcPr>
                  <w:tcW w:w="1351" w:type="dxa"/>
                  <w:vMerge w:val="restart"/>
                  <w:tcBorders>
                    <w:tl2br w:val="nil"/>
                    <w:tr2bl w:val="nil"/>
                  </w:tcBorders>
                  <w:noWrap w:val="0"/>
                  <w:vAlign w:val="center"/>
                </w:tcPr>
                <w:p>
                  <w:pPr>
                    <w:pStyle w:val="57"/>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危废间</w:t>
                  </w:r>
                </w:p>
              </w:tc>
              <w:tc>
                <w:tcPr>
                  <w:tcW w:w="1847" w:type="dxa"/>
                  <w:vMerge w:val="restart"/>
                  <w:tcBorders>
                    <w:tl2br w:val="nil"/>
                    <w:tr2bl w:val="nil"/>
                  </w:tcBorders>
                  <w:noWrap w:val="0"/>
                  <w:vAlign w:val="center"/>
                </w:tcPr>
                <w:p>
                  <w:pPr>
                    <w:pStyle w:val="57"/>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9" w:type="dxa"/>
                  <w:tcBorders>
                    <w:tl2br w:val="nil"/>
                    <w:tr2bl w:val="nil"/>
                  </w:tcBorders>
                  <w:noWrap w:val="0"/>
                  <w:vAlign w:val="center"/>
                </w:tcPr>
                <w:p>
                  <w:pPr>
                    <w:pStyle w:val="57"/>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c>
                <w:tcPr>
                  <w:tcW w:w="2196" w:type="dxa"/>
                  <w:tcBorders>
                    <w:tl2br w:val="nil"/>
                    <w:tr2bl w:val="nil"/>
                  </w:tcBorders>
                  <w:noWrap w:val="0"/>
                  <w:vAlign w:val="center"/>
                </w:tcPr>
                <w:p>
                  <w:pPr>
                    <w:pStyle w:val="78"/>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废润滑油</w:t>
                  </w:r>
                </w:p>
              </w:tc>
              <w:tc>
                <w:tcPr>
                  <w:tcW w:w="2460" w:type="dxa"/>
                  <w:tcBorders>
                    <w:tl2br w:val="nil"/>
                    <w:tr2bl w:val="nil"/>
                  </w:tcBorders>
                  <w:noWrap w:val="0"/>
                  <w:vAlign w:val="center"/>
                </w:tcPr>
                <w:p>
                  <w:pPr>
                    <w:pStyle w:val="54"/>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0.01t/a</w:t>
                  </w:r>
                </w:p>
              </w:tc>
              <w:tc>
                <w:tcPr>
                  <w:tcW w:w="1351" w:type="dxa"/>
                  <w:vMerge w:val="continue"/>
                  <w:tcBorders>
                    <w:tl2br w:val="nil"/>
                    <w:tr2bl w:val="nil"/>
                  </w:tcBorders>
                  <w:noWrap w:val="0"/>
                  <w:vAlign w:val="center"/>
                </w:tcPr>
                <w:p>
                  <w:pPr>
                    <w:pStyle w:val="57"/>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p>
              </w:tc>
              <w:tc>
                <w:tcPr>
                  <w:tcW w:w="1847" w:type="dxa"/>
                  <w:vMerge w:val="continue"/>
                  <w:tcBorders>
                    <w:tl2br w:val="nil"/>
                    <w:tr2bl w:val="nil"/>
                  </w:tcBorders>
                  <w:noWrap w:val="0"/>
                  <w:vAlign w:val="center"/>
                </w:tcPr>
                <w:p>
                  <w:pPr>
                    <w:pStyle w:val="57"/>
                    <w:bidi w:val="0"/>
                    <w:spacing w:line="240" w:lineRule="auto"/>
                    <w:rPr>
                      <w:rFonts w:hint="eastAsia" w:cs="Times New Roman"/>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9" w:type="dxa"/>
                  <w:tcBorders>
                    <w:tl2br w:val="nil"/>
                    <w:tr2bl w:val="nil"/>
                  </w:tcBorders>
                  <w:noWrap w:val="0"/>
                  <w:vAlign w:val="center"/>
                </w:tcPr>
                <w:p>
                  <w:pPr>
                    <w:pStyle w:val="57"/>
                    <w:bidi w:val="0"/>
                    <w:spacing w:line="240" w:lineRule="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2196" w:type="dxa"/>
                  <w:tcBorders>
                    <w:tl2br w:val="nil"/>
                    <w:tr2bl w:val="nil"/>
                  </w:tcBorders>
                  <w:noWrap w:val="0"/>
                  <w:vAlign w:val="center"/>
                </w:tcPr>
                <w:p>
                  <w:pPr>
                    <w:pStyle w:val="78"/>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润滑油</w:t>
                  </w:r>
                </w:p>
              </w:tc>
              <w:tc>
                <w:tcPr>
                  <w:tcW w:w="2460" w:type="dxa"/>
                  <w:tcBorders>
                    <w:tl2br w:val="nil"/>
                    <w:tr2bl w:val="nil"/>
                  </w:tcBorders>
                  <w:noWrap w:val="0"/>
                  <w:vAlign w:val="center"/>
                </w:tcPr>
                <w:p>
                  <w:pPr>
                    <w:pStyle w:val="54"/>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1t/a</w:t>
                  </w:r>
                </w:p>
              </w:tc>
              <w:tc>
                <w:tcPr>
                  <w:tcW w:w="1351" w:type="dxa"/>
                  <w:tcBorders>
                    <w:tl2br w:val="nil"/>
                    <w:tr2bl w:val="nil"/>
                  </w:tcBorders>
                  <w:noWrap w:val="0"/>
                  <w:vAlign w:val="center"/>
                </w:tcPr>
                <w:p>
                  <w:pPr>
                    <w:pStyle w:val="57"/>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油类暂存区</w:t>
                  </w:r>
                </w:p>
              </w:tc>
              <w:tc>
                <w:tcPr>
                  <w:tcW w:w="1847" w:type="dxa"/>
                  <w:tcBorders>
                    <w:tl2br w:val="nil"/>
                    <w:tr2bl w:val="nil"/>
                  </w:tcBorders>
                  <w:noWrap w:val="0"/>
                  <w:vAlign w:val="center"/>
                </w:tcPr>
                <w:p>
                  <w:pPr>
                    <w:pStyle w:val="57"/>
                    <w:bidi w:val="0"/>
                    <w:spacing w:line="240" w:lineRule="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渗漏</w:t>
                  </w:r>
                </w:p>
              </w:tc>
            </w:tr>
          </w:tbl>
          <w:p>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.3、防范措施</w:t>
            </w:r>
          </w:p>
          <w:p>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现场应当有警戒标识；</w:t>
            </w:r>
          </w:p>
          <w:p>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设置专人保管，保管员要详细核对产品名称、规格、牌号、质量、数量、查清危险性质。遇有包装不良、质量异变、标号不符合等情况，应及时进行安全处理；</w:t>
            </w:r>
          </w:p>
          <w:p>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避免无任何防护措施直接接触、工作区域保持良好通风状态；</w:t>
            </w:r>
          </w:p>
          <w:p>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容器包装要密闭，完整无损、放置处防火防高温；</w:t>
            </w:r>
          </w:p>
          <w:p>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厂区内禁止吸烟，严禁明火作业；</w:t>
            </w:r>
          </w:p>
          <w:p>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进行定期和不定期的安全检查，查出隐患，要及时整改和上报。如发现不安全的紧急情况，应先停止工作，再报有关部门研究处理；</w:t>
            </w:r>
          </w:p>
          <w:p>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各种安全防护装置设备要定期检查，不得随意拆除和非法占用；</w:t>
            </w:r>
          </w:p>
          <w:p>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危废间做好防渗防漏措施，各个危险物质分类存放，且设置钢板托盘，防止泄露。</w:t>
            </w:r>
          </w:p>
          <w:p>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.4、风险潜势初判</w:t>
            </w:r>
          </w:p>
          <w:p>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危废间内物质最大贮存量为</w:t>
            </w:r>
            <w:r>
              <w:rPr>
                <w:rFonts w:hint="eastAsia" w:ascii="Times New Roman" w:hAnsi="Times New Roman" w:cs="Times New Roman"/>
                <w:color w:val="000000" w:themeColor="text1"/>
                <w:lang w:val="en-US" w:eastAsia="zh-CN"/>
                <w14:textFill>
                  <w14:solidFill>
                    <w14:schemeClr w14:val="tx1"/>
                  </w14:solidFill>
                </w14:textFill>
              </w:rPr>
              <w:t>0.06</w:t>
            </w:r>
            <w:r>
              <w:rPr>
                <w:rFonts w:hint="default" w:ascii="Times New Roman" w:hAnsi="Times New Roman" w:cs="Times New Roman"/>
                <w:color w:val="000000" w:themeColor="text1"/>
                <w:lang w:val="en-US" w:eastAsia="zh-CN"/>
                <w14:textFill>
                  <w14:solidFill>
                    <w14:schemeClr w14:val="tx1"/>
                  </w14:solidFill>
                </w14:textFill>
              </w:rPr>
              <w:t>t，</w:t>
            </w:r>
            <w:r>
              <w:rPr>
                <w:rFonts w:hint="eastAsia" w:ascii="Times New Roman" w:hAnsi="Times New Roman" w:cs="Times New Roman"/>
                <w:color w:val="000000" w:themeColor="text1"/>
                <w:lang w:val="en-US" w:eastAsia="zh-CN"/>
                <w14:textFill>
                  <w14:solidFill>
                    <w14:schemeClr w14:val="tx1"/>
                  </w14:solidFill>
                </w14:textFill>
              </w:rPr>
              <w:t>油类暂存区存储量1t/a。</w:t>
            </w:r>
            <w:r>
              <w:rPr>
                <w:rFonts w:hint="default" w:ascii="Times New Roman" w:hAnsi="Times New Roman" w:cs="Times New Roman"/>
                <w:color w:val="000000" w:themeColor="text1"/>
                <w:lang w:val="en-US" w:eastAsia="zh-CN"/>
                <w14:textFill>
                  <w14:solidFill>
                    <w14:schemeClr w14:val="tx1"/>
                  </w14:solidFill>
                </w14:textFill>
              </w:rPr>
              <w:t>根据《</w:t>
            </w:r>
            <w:r>
              <w:rPr>
                <w:rFonts w:hint="eastAsia" w:ascii="Times New Roman" w:hAnsi="Times New Roman" w:cs="Times New Roman"/>
                <w:color w:val="000000" w:themeColor="text1"/>
                <w:lang w:val="en-US" w:eastAsia="zh-CN"/>
                <w14:textFill>
                  <w14:solidFill>
                    <w14:schemeClr w14:val="tx1"/>
                  </w14:solidFill>
                </w14:textFill>
              </w:rPr>
              <w:t>企业突发环境事件风险分级方法</w:t>
            </w:r>
            <w:r>
              <w:rPr>
                <w:rFonts w:hint="default" w:ascii="Times New Roman" w:hAnsi="Times New Roman" w:cs="Times New Roman"/>
                <w:color w:val="000000" w:themeColor="text1"/>
                <w:lang w:val="en-US" w:eastAsia="zh-CN"/>
                <w14:textFill>
                  <w14:solidFill>
                    <w14:schemeClr w14:val="tx1"/>
                  </w14:solidFill>
                </w14:textFill>
              </w:rPr>
              <w:t>》（HJ9</w:t>
            </w:r>
            <w:r>
              <w:rPr>
                <w:rFonts w:hint="eastAsia" w:ascii="Times New Roman" w:hAnsi="Times New Roman" w:cs="Times New Roman"/>
                <w:color w:val="000000" w:themeColor="text1"/>
                <w:lang w:val="en-US" w:eastAsia="zh-CN"/>
                <w14:textFill>
                  <w14:solidFill>
                    <w14:schemeClr w14:val="tx1"/>
                  </w14:solidFill>
                </w14:textFill>
              </w:rPr>
              <w:t>41</w:t>
            </w:r>
            <w:r>
              <w:rPr>
                <w:rFonts w:hint="default" w:ascii="Times New Roman" w:hAnsi="Times New Roman" w:cs="Times New Roman"/>
                <w:color w:val="000000" w:themeColor="text1"/>
                <w:lang w:val="en-US" w:eastAsia="zh-CN"/>
                <w14:textFill>
                  <w14:solidFill>
                    <w14:schemeClr w14:val="tx1"/>
                  </w14:solidFill>
                </w14:textFill>
              </w:rPr>
              <w:t>-2018）附录</w:t>
            </w:r>
            <w:r>
              <w:rPr>
                <w:rFonts w:hint="eastAsia" w:ascii="Times New Roman" w:hAnsi="Times New Roman" w:cs="Times New Roman"/>
                <w:color w:val="000000" w:themeColor="text1"/>
                <w:lang w:val="en-US" w:eastAsia="zh-CN"/>
                <w14:textFill>
                  <w14:solidFill>
                    <w14:schemeClr w14:val="tx1"/>
                  </w14:solidFill>
                </w14:textFill>
              </w:rPr>
              <w:t>A，</w:t>
            </w:r>
            <w:r>
              <w:rPr>
                <w:rFonts w:hint="default" w:ascii="Times New Roman" w:hAnsi="Times New Roman" w:cs="Times New Roman"/>
                <w:color w:val="000000" w:themeColor="text1"/>
                <w:lang w:val="en-US" w:eastAsia="zh-CN"/>
                <w14:textFill>
                  <w14:solidFill>
                    <w14:schemeClr w14:val="tx1"/>
                  </w14:solidFill>
                </w14:textFill>
              </w:rPr>
              <w:t>危废间</w:t>
            </w:r>
            <w:r>
              <w:rPr>
                <w:rFonts w:hint="eastAsia" w:ascii="Times New Roman" w:hAnsi="Times New Roman" w:cs="Times New Roman"/>
                <w:color w:val="000000" w:themeColor="text1"/>
                <w:lang w:val="en-US" w:eastAsia="zh-CN"/>
                <w14:textFill>
                  <w14:solidFill>
                    <w14:schemeClr w14:val="tx1"/>
                  </w14:solidFill>
                </w14:textFill>
              </w:rPr>
              <w:t>内物质</w:t>
            </w:r>
            <w:r>
              <w:rPr>
                <w:rFonts w:hint="default" w:ascii="Times New Roman" w:hAnsi="Times New Roman" w:cs="Times New Roman"/>
                <w:color w:val="000000" w:themeColor="text1"/>
                <w:lang w:val="en-US" w:eastAsia="zh-CN"/>
                <w14:textFill>
                  <w14:solidFill>
                    <w14:schemeClr w14:val="tx1"/>
                  </w14:solidFill>
                </w14:textFill>
              </w:rPr>
              <w:t>临界量50t</w:t>
            </w:r>
            <w:r>
              <w:rPr>
                <w:rFonts w:hint="eastAsia" w:ascii="Times New Roman" w:hAnsi="Times New Roman" w:cs="Times New Roman"/>
                <w:color w:val="000000" w:themeColor="text1"/>
                <w:lang w:val="en-US" w:eastAsia="zh-CN"/>
                <w14:textFill>
                  <w14:solidFill>
                    <w14:schemeClr w14:val="tx1"/>
                  </w14:solidFill>
                </w14:textFill>
              </w:rPr>
              <w:t>，油类暂存区临界量2500t，</w:t>
            </w:r>
            <w:r>
              <w:rPr>
                <w:rFonts w:hint="default" w:ascii="Times New Roman" w:hAnsi="Times New Roman" w:cs="Times New Roman"/>
                <w:color w:val="000000" w:themeColor="text1"/>
                <w:lang w:val="en-US" w:eastAsia="zh-CN"/>
                <w14:textFill>
                  <w14:solidFill>
                    <w14:schemeClr w14:val="tx1"/>
                  </w14:solidFill>
                </w14:textFill>
              </w:rPr>
              <w:t>再根据附录C中的计算方法，计算其危险物质数量与其临界量比值Q，</w:t>
            </w:r>
          </w:p>
          <w:p>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position w:val="-52"/>
                <w:lang w:val="en-US" w:eastAsia="zh-CN"/>
                <w14:textFill>
                  <w14:solidFill>
                    <w14:schemeClr w14:val="tx1"/>
                  </w14:solidFill>
                </w14:textFill>
              </w:rPr>
              <w:object>
                <v:shape id="_x0000_i1074" o:spt="75" type="#_x0000_t75" style="height:57.55pt;width:185.35pt;" o:ole="t" filled="f" o:preferrelative="t" stroked="f" coordsize="21600,21600">
                  <v:path/>
                  <v:fill on="f" focussize="0,0"/>
                  <v:stroke on="f"/>
                  <v:imagedata r:id="rId112" o:title=""/>
                  <o:lock v:ext="edit" aspectratio="t"/>
                  <w10:wrap type="none"/>
                  <w10:anchorlock/>
                </v:shape>
                <o:OLEObject Type="Embed" ProgID="Equation.3" ShapeID="_x0000_i1074" DrawAspect="Content" ObjectID="_1468075775" r:id="rId111">
                  <o:LockedField>false</o:LockedField>
                </o:OLEObject>
              </w:object>
            </w:r>
          </w:p>
          <w:p>
            <w:pPr>
              <w:pStyle w:val="4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因此</w:t>
            </w:r>
            <w:r>
              <w:rPr>
                <w:rFonts w:hint="default" w:ascii="Times New Roman" w:hAnsi="Times New Roman" w:cs="Times New Roman"/>
                <w:color w:val="000000" w:themeColor="text1"/>
                <w:lang w:val="en-US" w:eastAsia="zh-CN"/>
                <w14:textFill>
                  <w14:solidFill>
                    <w14:schemeClr w14:val="tx1"/>
                  </w14:solidFill>
                </w14:textFill>
              </w:rPr>
              <w:t>本项目风险潜势为I级，本项目环境风险进行简单分析。</w:t>
            </w:r>
          </w:p>
          <w:p>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.5、环境风险简单分析</w:t>
            </w:r>
          </w:p>
          <w:p>
            <w:pPr>
              <w:numPr>
                <w:ilvl w:val="0"/>
                <w:numId w:val="0"/>
              </w:numPr>
              <w:spacing w:line="240" w:lineRule="auto"/>
              <w:ind w:left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4-1</w:t>
            </w:r>
            <w:r>
              <w:rPr>
                <w:rFonts w:hint="eastAsia" w:cs="Times New Roman"/>
                <w:b/>
                <w:bCs/>
                <w:color w:val="000000" w:themeColor="text1"/>
                <w:kern w:val="2"/>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建设项目环境风险简单分析内容表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6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4" w:type="pct"/>
                  <w:tcBorders>
                    <w:tl2br w:val="nil"/>
                    <w:tr2bl w:val="nil"/>
                  </w:tcBorders>
                  <w:noWrap/>
                  <w:vAlign w:val="center"/>
                </w:tcPr>
                <w:p>
                  <w:pPr>
                    <w:pStyle w:val="57"/>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建设项目名称</w:t>
                  </w:r>
                </w:p>
              </w:tc>
              <w:tc>
                <w:tcPr>
                  <w:tcW w:w="4045" w:type="pct"/>
                  <w:tcBorders>
                    <w:tl2br w:val="nil"/>
                    <w:tr2bl w:val="nil"/>
                  </w:tcBorders>
                  <w:noWrap/>
                  <w:vAlign w:val="center"/>
                </w:tcPr>
                <w:p>
                  <w:pPr>
                    <w:pStyle w:val="57"/>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生活垃圾焚烧发电炉渣综合利用项目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954" w:type="pct"/>
                  <w:tcBorders>
                    <w:tl2br w:val="nil"/>
                    <w:tr2bl w:val="nil"/>
                  </w:tcBorders>
                  <w:noWrap/>
                  <w:vAlign w:val="center"/>
                </w:tcPr>
                <w:p>
                  <w:pPr>
                    <w:pStyle w:val="57"/>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建设地点</w:t>
                  </w:r>
                </w:p>
              </w:tc>
              <w:tc>
                <w:tcPr>
                  <w:tcW w:w="4045" w:type="pct"/>
                  <w:tcBorders>
                    <w:tl2br w:val="nil"/>
                    <w:tr2bl w:val="nil"/>
                  </w:tcBorders>
                  <w:noWrap/>
                  <w:vAlign w:val="center"/>
                </w:tcPr>
                <w:p>
                  <w:pPr>
                    <w:pStyle w:val="57"/>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河北省秦皇岛市抚宁区留守营镇潘官营村南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4" w:type="pct"/>
                  <w:tcBorders>
                    <w:tl2br w:val="nil"/>
                    <w:tr2bl w:val="nil"/>
                  </w:tcBorders>
                  <w:noWrap/>
                  <w:vAlign w:val="center"/>
                </w:tcPr>
                <w:p>
                  <w:pPr>
                    <w:pStyle w:val="57"/>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地理坐标</w:t>
                  </w:r>
                </w:p>
              </w:tc>
              <w:tc>
                <w:tcPr>
                  <w:tcW w:w="4045" w:type="pct"/>
                  <w:tcBorders>
                    <w:tl2br w:val="nil"/>
                    <w:tr2bl w:val="nil"/>
                  </w:tcBorders>
                  <w:noWrap/>
                  <w:vAlign w:val="center"/>
                </w:tcPr>
                <w:p>
                  <w:pPr>
                    <w:pStyle w:val="57"/>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（东经119°17'51.273"，北纬39°53'9.524"）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4" w:type="pct"/>
                  <w:tcBorders>
                    <w:tl2br w:val="nil"/>
                    <w:tr2bl w:val="nil"/>
                  </w:tcBorders>
                  <w:noWrap/>
                  <w:vAlign w:val="center"/>
                </w:tcPr>
                <w:p>
                  <w:pPr>
                    <w:pStyle w:val="57"/>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主要危险物质及分布</w:t>
                  </w:r>
                </w:p>
              </w:tc>
              <w:tc>
                <w:tcPr>
                  <w:tcW w:w="4045" w:type="pct"/>
                  <w:tcBorders>
                    <w:tl2br w:val="nil"/>
                    <w:tr2bl w:val="nil"/>
                  </w:tcBorders>
                  <w:noWrap/>
                  <w:vAlign w:val="center"/>
                </w:tcPr>
                <w:p>
                  <w:pPr>
                    <w:pStyle w:val="57"/>
                    <w:bidi w:val="0"/>
                    <w:spacing w:line="240" w:lineRule="auto"/>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危险物质：</w:t>
                  </w:r>
                  <w:r>
                    <w:rPr>
                      <w:rFonts w:hint="eastAsia" w:cs="Times New Roman"/>
                      <w:color w:val="000000" w:themeColor="text1"/>
                      <w:lang w:val="en-US" w:eastAsia="zh-CN"/>
                      <w14:textFill>
                        <w14:solidFill>
                          <w14:schemeClr w14:val="tx1"/>
                        </w14:solidFill>
                      </w14:textFill>
                    </w:rPr>
                    <w:t>废润滑油桶、废润滑油、润滑油</w:t>
                  </w:r>
                </w:p>
                <w:p>
                  <w:pPr>
                    <w:pStyle w:val="57"/>
                    <w:bidi w:val="0"/>
                    <w:spacing w:line="240" w:lineRule="auto"/>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分布：</w:t>
                  </w:r>
                  <w:r>
                    <w:rPr>
                      <w:rFonts w:hint="eastAsia" w:cs="Times New Roman"/>
                      <w:color w:val="000000" w:themeColor="text1"/>
                      <w:lang w:val="en-US" w:eastAsia="zh-CN"/>
                      <w14:textFill>
                        <w14:solidFill>
                          <w14:schemeClr w14:val="tx1"/>
                        </w14:solidFill>
                      </w14:textFill>
                    </w:rPr>
                    <w:t>危废间、油类暂存区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4" w:type="pct"/>
                  <w:tcBorders>
                    <w:tl2br w:val="nil"/>
                    <w:tr2bl w:val="nil"/>
                  </w:tcBorders>
                  <w:noWrap/>
                  <w:vAlign w:val="center"/>
                </w:tcPr>
                <w:p>
                  <w:pPr>
                    <w:pStyle w:val="57"/>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环境影响途径及危害后果</w:t>
                  </w:r>
                </w:p>
              </w:tc>
              <w:tc>
                <w:tcPr>
                  <w:tcW w:w="4045" w:type="pct"/>
                  <w:tcBorders>
                    <w:tl2br w:val="nil"/>
                    <w:tr2bl w:val="nil"/>
                  </w:tcBorders>
                  <w:noWrap/>
                  <w:vAlign w:val="center"/>
                </w:tcPr>
                <w:p>
                  <w:pPr>
                    <w:pStyle w:val="57"/>
                    <w:bidi w:val="0"/>
                    <w:spacing w:line="240" w:lineRule="auto"/>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若危废间</w:t>
                  </w:r>
                  <w:r>
                    <w:rPr>
                      <w:rFonts w:hint="eastAsia" w:cs="Times New Roman"/>
                      <w:color w:val="000000" w:themeColor="text1"/>
                      <w:lang w:val="en-US" w:eastAsia="zh-CN"/>
                      <w14:textFill>
                        <w14:solidFill>
                          <w14:schemeClr w14:val="tx1"/>
                        </w14:solidFill>
                      </w14:textFill>
                    </w:rPr>
                    <w:t>或油类暂存区</w:t>
                  </w:r>
                  <w:r>
                    <w:rPr>
                      <w:rFonts w:hint="default" w:ascii="Times New Roman" w:hAnsi="Times New Roman" w:cs="Times New Roman"/>
                      <w:color w:val="000000" w:themeColor="text1"/>
                      <w:lang w:val="en-US" w:eastAsia="zh-CN"/>
                      <w14:textFill>
                        <w14:solidFill>
                          <w14:schemeClr w14:val="tx1"/>
                        </w14:solidFill>
                      </w14:textFill>
                    </w:rPr>
                    <w:t>发生火灾，引燃风险物质，随消防废水影响地下水环境。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4" w:type="pct"/>
                  <w:tcBorders>
                    <w:tl2br w:val="nil"/>
                    <w:tr2bl w:val="nil"/>
                  </w:tcBorders>
                  <w:noWrap/>
                  <w:vAlign w:val="center"/>
                </w:tcPr>
                <w:p>
                  <w:pPr>
                    <w:pStyle w:val="57"/>
                    <w:bidi w:val="0"/>
                    <w:spacing w:line="240" w:lineRule="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风险防范措施要求</w:t>
                  </w:r>
                </w:p>
              </w:tc>
              <w:tc>
                <w:tcPr>
                  <w:tcW w:w="4045" w:type="pct"/>
                  <w:tcBorders>
                    <w:tl2br w:val="nil"/>
                    <w:tr2bl w:val="nil"/>
                  </w:tcBorders>
                  <w:noWrap/>
                  <w:vAlign w:val="center"/>
                </w:tcPr>
                <w:p>
                  <w:pPr>
                    <w:pStyle w:val="57"/>
                    <w:bidi w:val="0"/>
                    <w:spacing w:line="240" w:lineRule="auto"/>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1、危废间非工作人员不得靠近；</w:t>
                  </w:r>
                </w:p>
                <w:p>
                  <w:pPr>
                    <w:pStyle w:val="57"/>
                    <w:bidi w:val="0"/>
                    <w:spacing w:line="240" w:lineRule="auto"/>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2、环境风险物质必须分类妥善存放，严格管理，保持通风良好，并设置明显标志。</w:t>
                  </w:r>
                  <w:r>
                    <w:rPr>
                      <w:rFonts w:hint="eastAsia" w:cs="Times New Roman"/>
                      <w:color w:val="000000" w:themeColor="text1"/>
                      <w:lang w:val="en-US" w:eastAsia="zh-CN"/>
                      <w14:textFill>
                        <w14:solidFill>
                          <w14:schemeClr w14:val="tx1"/>
                        </w14:solidFill>
                      </w14:textFill>
                    </w:rPr>
                    <w:t>危废间风险单元</w:t>
                  </w:r>
                  <w:r>
                    <w:rPr>
                      <w:rFonts w:hint="default" w:ascii="Times New Roman" w:hAnsi="Times New Roman" w:cs="Times New Roman"/>
                      <w:color w:val="000000" w:themeColor="text1"/>
                      <w:lang w:val="en-US" w:eastAsia="zh-CN"/>
                      <w14:textFill>
                        <w14:solidFill>
                          <w14:schemeClr w14:val="tx1"/>
                        </w14:solidFill>
                      </w14:textFill>
                    </w:rPr>
                    <w:t>使用</w:t>
                  </w:r>
                  <w:r>
                    <w:rPr>
                      <w:rFonts w:hint="eastAsia" w:cs="Times New Roman"/>
                      <w:color w:val="000000" w:themeColor="text1"/>
                      <w:lang w:val="en-US" w:eastAsia="zh-CN"/>
                      <w14:textFill>
                        <w14:solidFill>
                          <w14:schemeClr w14:val="tx1"/>
                        </w14:solidFill>
                      </w14:textFill>
                    </w:rPr>
                    <w:t>防爆应急灯，</w:t>
                  </w:r>
                  <w:r>
                    <w:rPr>
                      <w:rFonts w:hint="default" w:ascii="Times New Roman" w:hAnsi="Times New Roman" w:cs="Times New Roman"/>
                      <w:color w:val="000000" w:themeColor="text1"/>
                      <w:lang w:val="en-US" w:eastAsia="zh-CN"/>
                      <w14:textFill>
                        <w14:solidFill>
                          <w14:schemeClr w14:val="tx1"/>
                        </w14:solidFill>
                      </w14:textFill>
                    </w:rPr>
                    <w:t>区域禁止明火。　　</w:t>
                  </w:r>
                </w:p>
                <w:p>
                  <w:pPr>
                    <w:pStyle w:val="57"/>
                    <w:bidi w:val="0"/>
                    <w:spacing w:line="240" w:lineRule="auto"/>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3、设置专人保管，保管员要详细核对产品名称、规格、牌号、质量、数量、查清危险性质。遇有包装不良、质量异变、标号不符合等情况，应及时进行安全处理。</w:t>
                  </w:r>
                </w:p>
                <w:p>
                  <w:pPr>
                    <w:pStyle w:val="57"/>
                    <w:bidi w:val="0"/>
                    <w:spacing w:line="240" w:lineRule="auto"/>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4、容器包装要密闭，完整无损。</w:t>
                  </w:r>
                </w:p>
                <w:p>
                  <w:pPr>
                    <w:pStyle w:val="57"/>
                    <w:bidi w:val="0"/>
                    <w:spacing w:line="240" w:lineRule="auto"/>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5、厂区内禁止吸烟，储存区及危废间周围严禁明火作业。</w:t>
                  </w:r>
                </w:p>
                <w:p>
                  <w:pPr>
                    <w:pStyle w:val="57"/>
                    <w:bidi w:val="0"/>
                    <w:spacing w:line="240" w:lineRule="auto"/>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6、进行定期和不定期的安全检查，查出隐患，要及时整改和上报。如发现不安全的紧急情况，应先停止工作，再报有关部门研究处理。</w:t>
                  </w:r>
                </w:p>
                <w:p>
                  <w:pPr>
                    <w:pStyle w:val="57"/>
                    <w:bidi w:val="0"/>
                    <w:spacing w:line="240" w:lineRule="auto"/>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7、各种安全防护装置设备要定期检查，不得随意拆除和非法占用。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4" w:type="pct"/>
                  <w:tcBorders>
                    <w:tl2br w:val="nil"/>
                    <w:tr2bl w:val="nil"/>
                  </w:tcBorders>
                  <w:noWrap/>
                  <w:vAlign w:val="center"/>
                </w:tcPr>
                <w:p>
                  <w:pPr>
                    <w:pStyle w:val="57"/>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填表说明（列出项目相关信息及评价说明）</w:t>
                  </w:r>
                </w:p>
              </w:tc>
              <w:tc>
                <w:tcPr>
                  <w:tcW w:w="4045" w:type="pct"/>
                  <w:tcBorders>
                    <w:tl2br w:val="nil"/>
                    <w:tr2bl w:val="nil"/>
                  </w:tcBorders>
                  <w:noWrap/>
                  <w:vAlign w:val="center"/>
                </w:tcPr>
                <w:p>
                  <w:pPr>
                    <w:pStyle w:val="57"/>
                    <w:bidi w:val="0"/>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w:t>
                  </w:r>
                </w:p>
              </w:tc>
            </w:tr>
          </w:tbl>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leftChars="0" w:right="0" w:firstLine="0" w:firstLineChars="0"/>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7、</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排污许可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据《关于做好环境影响评价制度与排污许可制衔接相关工作》(环办环评[2017]84号)、《关于进一步完善排污许可制实施工作的通知》(冀环评函[2018]689号)的通知，本项目与排污许可制衔接工作如下：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①在排污许可管理中，应严格按照本评价的要求申请排污许可证；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②在核发排污许可证时应严格核定排放口数量、位置以及每个排放口的污染物种类、允许排放浓度和允许排放量、排放方式、排放去向、自行监测计划等与污染物排放相关的主要内容；</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③项目在发生实际排污行为之前，排污单位应当按照国家环境保护相关法律法规以及排污许可证申请与核发技术规范要求申请排污许可证，不得无证排污或不按证排污。</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本项目废气主要为</w:t>
            </w:r>
            <w:r>
              <w:rPr>
                <w:rFonts w:hint="eastAsia" w:cs="Times New Roman"/>
                <w:color w:val="000000" w:themeColor="text1"/>
                <w:sz w:val="24"/>
                <w:szCs w:val="24"/>
                <w:lang w:val="en-US" w:eastAsia="zh-CN"/>
                <w14:textFill>
                  <w14:solidFill>
                    <w14:schemeClr w14:val="tx1"/>
                  </w14:solidFill>
                </w14:textFill>
              </w:rPr>
              <w:t>原料堆放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产生的</w:t>
            </w:r>
            <w:r>
              <w:rPr>
                <w:rFonts w:hint="eastAsia" w:cs="Times New Roman"/>
                <w:color w:val="000000" w:themeColor="text1"/>
                <w:sz w:val="24"/>
                <w:szCs w:val="24"/>
                <w:lang w:val="en-US" w:eastAsia="zh-CN"/>
                <w14:textFill>
                  <w14:solidFill>
                    <w14:schemeClr w14:val="tx1"/>
                  </w14:solidFill>
                </w14:textFill>
              </w:rPr>
              <w:t>颗粒物，生产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废水</w:t>
            </w:r>
            <w:r>
              <w:rPr>
                <w:rFonts w:hint="eastAsia" w:cs="Times New Roman"/>
                <w:color w:val="000000" w:themeColor="text1"/>
                <w:sz w:val="24"/>
                <w:szCs w:val="24"/>
                <w:lang w:val="en-US" w:eastAsia="zh-CN"/>
                <w14:textFill>
                  <w14:solidFill>
                    <w14:schemeClr w14:val="tx1"/>
                  </w14:solidFill>
                </w14:textFill>
              </w:rPr>
              <w:t>循环使用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不外排</w:t>
            </w:r>
            <w:r>
              <w:rPr>
                <w:rFonts w:hint="eastAsia" w:cs="Times New Roman"/>
                <w:color w:val="000000" w:themeColor="text1"/>
                <w:sz w:val="24"/>
                <w:szCs w:val="24"/>
                <w:lang w:val="en-US" w:eastAsia="zh-CN"/>
                <w14:textFill>
                  <w14:solidFill>
                    <w14:schemeClr w14:val="tx1"/>
                  </w14:solidFill>
                </w14:textFill>
              </w:rPr>
              <w:t>，生活废水进化粪池后定期由清污车清运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，固体废物均得到合理的处置。行业类别为C4220非金属废料和碎屑加工处理。</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按照《固定污染源排污许可分类管理名录（2019年版）》中相关规定，属于</w:t>
            </w:r>
            <w:r>
              <w:rPr>
                <w:rFonts w:hint="eastAsia" w:cs="Times New Roman"/>
                <w:color w:val="000000" w:themeColor="text1"/>
                <w:sz w:val="24"/>
                <w:szCs w:val="24"/>
                <w:lang w:val="en-US" w:eastAsia="zh-CN"/>
                <w14:textFill>
                  <w14:solidFill>
                    <w14:schemeClr w14:val="tx1"/>
                  </w14:solidFill>
                </w14:textFill>
              </w:rPr>
              <w:t>简化管理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本项目建成后及时办理排污许可证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spacing w:line="360" w:lineRule="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8、排污口规范化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按照《排污口规范化整治技术要求(试行) 》(环监[1996]470号)相关要求设置规范化排污口。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(1)废气排放口设置便于采样、监测的采样口，废气监测平台、监测断面和监测孔的设置应符合GB/T16157、HJ/T397等的要求；监测平台应便于开展监测活动，应能保证监测人员的安全。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(2)按照国家标准《环境保护图形标志》(GB15562.1-1995)(GB15562.2-1995)的规定，设置与之相适应的环境保护图形标志牌，标明废气排放单位，排放口编号，污染物种类等。</w:t>
            </w:r>
          </w:p>
          <w:p>
            <w:pPr>
              <w:numPr>
                <w:ilvl w:val="0"/>
                <w:numId w:val="0"/>
              </w:numPr>
              <w:spacing w:line="240" w:lineRule="auto"/>
              <w:ind w:left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4-12 </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排污口图形标志</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94"/>
              <w:gridCol w:w="1613"/>
              <w:gridCol w:w="1825"/>
              <w:gridCol w:w="1800"/>
              <w:gridCol w:w="2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序号</w:t>
                  </w:r>
                </w:p>
              </w:tc>
              <w:tc>
                <w:tcPr>
                  <w:tcW w:w="960"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提示图像符号</w:t>
                  </w:r>
                </w:p>
              </w:tc>
              <w:tc>
                <w:tcPr>
                  <w:tcW w:w="1086"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警告图像符号</w:t>
                  </w:r>
                </w:p>
              </w:tc>
              <w:tc>
                <w:tcPr>
                  <w:tcW w:w="1071"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名称</w:t>
                  </w:r>
                </w:p>
              </w:tc>
              <w:tc>
                <w:tcPr>
                  <w:tcW w:w="1588"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p>
              </w:tc>
              <w:tc>
                <w:tcPr>
                  <w:tcW w:w="960"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fldChar w:fldCharType="begin"/>
                  </w:r>
                  <w:r>
                    <w:rPr>
                      <w:rFonts w:hint="eastAsia" w:ascii="Times New Roman" w:hAnsi="Times New Roman" w:cs="Times New Roman"/>
                      <w:color w:val="000000" w:themeColor="text1"/>
                      <w:lang w:val="en-US" w:eastAsia="zh-CN"/>
                      <w14:textFill>
                        <w14:solidFill>
                          <w14:schemeClr w14:val="tx1"/>
                        </w14:solidFill>
                      </w14:textFill>
                    </w:rPr>
                    <w:instrText xml:space="preserve"> INCLUDEPICTURE "http://www.anquan.com.cn/tubiao/image/huanj/HP007.jpg" \* MERGEFORMATINET </w:instrText>
                  </w:r>
                  <w:r>
                    <w:rPr>
                      <w:rFonts w:hint="eastAsia" w:ascii="Times New Roman" w:hAnsi="Times New Roman" w:cs="Times New Roman"/>
                      <w:color w:val="000000" w:themeColor="text1"/>
                      <w:lang w:val="en-US" w:eastAsia="zh-CN"/>
                      <w14:textFill>
                        <w14:solidFill>
                          <w14:schemeClr w14:val="tx1"/>
                        </w14:solidFill>
                      </w14:textFill>
                    </w:rPr>
                    <w:fldChar w:fldCharType="separate"/>
                  </w:r>
                  <w:r>
                    <w:rPr>
                      <w:rFonts w:hint="eastAsia" w:ascii="Times New Roman" w:hAnsi="Times New Roman" w:cs="Times New Roman"/>
                      <w:color w:val="000000" w:themeColor="text1"/>
                      <w:lang w:val="en-US" w:eastAsia="zh-CN"/>
                      <w14:textFill>
                        <w14:solidFill>
                          <w14:schemeClr w14:val="tx1"/>
                        </w14:solidFill>
                      </w14:textFill>
                    </w:rPr>
                    <w:drawing>
                      <wp:inline distT="0" distB="0" distL="114300" distR="114300">
                        <wp:extent cx="658495" cy="658495"/>
                        <wp:effectExtent l="0" t="0" r="8255" b="8255"/>
                        <wp:docPr id="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3"/>
                                <pic:cNvPicPr>
                                  <a:picLocks noChangeAspect="1"/>
                                </pic:cNvPicPr>
                              </pic:nvPicPr>
                              <pic:blipFill>
                                <a:blip r:embed="rId113"/>
                                <a:stretch>
                                  <a:fillRect/>
                                </a:stretch>
                              </pic:blipFill>
                              <pic:spPr>
                                <a:xfrm>
                                  <a:off x="0" y="0"/>
                                  <a:ext cx="658495" cy="658495"/>
                                </a:xfrm>
                                <a:prstGeom prst="rect">
                                  <a:avLst/>
                                </a:prstGeom>
                                <a:noFill/>
                                <a:ln>
                                  <a:noFill/>
                                </a:ln>
                              </pic:spPr>
                            </pic:pic>
                          </a:graphicData>
                        </a:graphic>
                      </wp:inline>
                    </w:drawing>
                  </w:r>
                  <w:r>
                    <w:rPr>
                      <w:rFonts w:hint="eastAsia" w:ascii="Times New Roman" w:hAnsi="Times New Roman" w:cs="Times New Roman"/>
                      <w:color w:val="000000" w:themeColor="text1"/>
                      <w:lang w:val="en-US" w:eastAsia="zh-CN"/>
                      <w14:textFill>
                        <w14:solidFill>
                          <w14:schemeClr w14:val="tx1"/>
                        </w14:solidFill>
                      </w14:textFill>
                    </w:rPr>
                    <w:fldChar w:fldCharType="end"/>
                  </w:r>
                </w:p>
              </w:tc>
              <w:tc>
                <w:tcPr>
                  <w:tcW w:w="1086"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fldChar w:fldCharType="begin"/>
                  </w:r>
                  <w:r>
                    <w:rPr>
                      <w:rFonts w:hint="eastAsia" w:ascii="Times New Roman" w:hAnsi="Times New Roman" w:cs="Times New Roman"/>
                      <w:color w:val="000000" w:themeColor="text1"/>
                      <w:lang w:val="en-US" w:eastAsia="zh-CN"/>
                      <w14:textFill>
                        <w14:solidFill>
                          <w14:schemeClr w14:val="tx1"/>
                        </w14:solidFill>
                      </w14:textFill>
                    </w:rPr>
                    <w:instrText xml:space="preserve"> INCLUDEPICTURE "http://www.anquan.com.cn/tubiao/image/huanj/HP008.jpg" \* MERGEFORMATINET </w:instrText>
                  </w:r>
                  <w:r>
                    <w:rPr>
                      <w:rFonts w:hint="eastAsia" w:ascii="Times New Roman" w:hAnsi="Times New Roman" w:cs="Times New Roman"/>
                      <w:color w:val="000000" w:themeColor="text1"/>
                      <w:lang w:val="en-US" w:eastAsia="zh-CN"/>
                      <w14:textFill>
                        <w14:solidFill>
                          <w14:schemeClr w14:val="tx1"/>
                        </w14:solidFill>
                      </w14:textFill>
                    </w:rPr>
                    <w:fldChar w:fldCharType="separate"/>
                  </w:r>
                  <w:r>
                    <w:rPr>
                      <w:rFonts w:hint="eastAsia" w:ascii="Times New Roman" w:hAnsi="Times New Roman" w:cs="Times New Roman"/>
                      <w:color w:val="000000" w:themeColor="text1"/>
                      <w:lang w:val="en-US" w:eastAsia="zh-CN"/>
                      <w14:textFill>
                        <w14:solidFill>
                          <w14:schemeClr w14:val="tx1"/>
                        </w14:solidFill>
                      </w14:textFill>
                    </w:rPr>
                    <w:drawing>
                      <wp:inline distT="0" distB="0" distL="114300" distR="114300">
                        <wp:extent cx="640080" cy="566420"/>
                        <wp:effectExtent l="0" t="0" r="7620" b="5080"/>
                        <wp:docPr id="1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4"/>
                                <pic:cNvPicPr>
                                  <a:picLocks noChangeAspect="1"/>
                                </pic:cNvPicPr>
                              </pic:nvPicPr>
                              <pic:blipFill>
                                <a:blip r:embed="rId114"/>
                                <a:stretch>
                                  <a:fillRect/>
                                </a:stretch>
                              </pic:blipFill>
                              <pic:spPr>
                                <a:xfrm>
                                  <a:off x="0" y="0"/>
                                  <a:ext cx="640080" cy="566420"/>
                                </a:xfrm>
                                <a:prstGeom prst="rect">
                                  <a:avLst/>
                                </a:prstGeom>
                                <a:noFill/>
                                <a:ln>
                                  <a:noFill/>
                                </a:ln>
                              </pic:spPr>
                            </pic:pic>
                          </a:graphicData>
                        </a:graphic>
                      </wp:inline>
                    </w:drawing>
                  </w:r>
                  <w:r>
                    <w:rPr>
                      <w:rFonts w:hint="eastAsia" w:ascii="Times New Roman" w:hAnsi="Times New Roman" w:cs="Times New Roman"/>
                      <w:color w:val="000000" w:themeColor="text1"/>
                      <w:lang w:val="en-US" w:eastAsia="zh-CN"/>
                      <w14:textFill>
                        <w14:solidFill>
                          <w14:schemeClr w14:val="tx1"/>
                        </w14:solidFill>
                      </w14:textFill>
                    </w:rPr>
                    <w:fldChar w:fldCharType="end"/>
                  </w:r>
                </w:p>
              </w:tc>
              <w:tc>
                <w:tcPr>
                  <w:tcW w:w="1071"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一般固体废物贮存</w:t>
                  </w:r>
                </w:p>
              </w:tc>
              <w:tc>
                <w:tcPr>
                  <w:tcW w:w="1588"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表示固废储存处置场所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p>
              </w:tc>
              <w:tc>
                <w:tcPr>
                  <w:tcW w:w="960"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1086"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drawing>
                      <wp:inline distT="0" distB="0" distL="114300" distR="114300">
                        <wp:extent cx="700405" cy="617855"/>
                        <wp:effectExtent l="0" t="0" r="4445" b="10795"/>
                        <wp:docPr id="11" name="图片 55" descr="2017-05-06_15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5" descr="2017-05-06_150542"/>
                                <pic:cNvPicPr>
                                  <a:picLocks noChangeAspect="1"/>
                                </pic:cNvPicPr>
                              </pic:nvPicPr>
                              <pic:blipFill>
                                <a:blip r:embed="rId115"/>
                                <a:stretch>
                                  <a:fillRect/>
                                </a:stretch>
                              </pic:blipFill>
                              <pic:spPr>
                                <a:xfrm>
                                  <a:off x="0" y="0"/>
                                  <a:ext cx="700405" cy="617855"/>
                                </a:xfrm>
                                <a:prstGeom prst="rect">
                                  <a:avLst/>
                                </a:prstGeom>
                                <a:noFill/>
                                <a:ln>
                                  <a:noFill/>
                                </a:ln>
                              </pic:spPr>
                            </pic:pic>
                          </a:graphicData>
                        </a:graphic>
                      </wp:inline>
                    </w:drawing>
                  </w:r>
                </w:p>
              </w:tc>
              <w:tc>
                <w:tcPr>
                  <w:tcW w:w="1071"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危险废物贮存</w:t>
                  </w:r>
                </w:p>
              </w:tc>
              <w:tc>
                <w:tcPr>
                  <w:tcW w:w="1588"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表示危险废物储存处置场所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4"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w:t>
                  </w:r>
                </w:p>
              </w:tc>
              <w:tc>
                <w:tcPr>
                  <w:tcW w:w="960"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fldChar w:fldCharType="begin"/>
                  </w:r>
                  <w:r>
                    <w:rPr>
                      <w:rFonts w:hint="eastAsia" w:ascii="Times New Roman" w:hAnsi="Times New Roman" w:cs="Times New Roman"/>
                      <w:color w:val="000000" w:themeColor="text1"/>
                      <w:lang w:val="en-US" w:eastAsia="zh-CN"/>
                      <w14:textFill>
                        <w14:solidFill>
                          <w14:schemeClr w14:val="tx1"/>
                        </w14:solidFill>
                      </w14:textFill>
                    </w:rPr>
                    <w:instrText xml:space="preserve"> INCLUDEPICTURE "http://www.biaozhi.net/enews/UploadFiles/smallImg/785.gif" \* MERGEFORMATINET </w:instrText>
                  </w:r>
                  <w:r>
                    <w:rPr>
                      <w:rFonts w:hint="eastAsia" w:ascii="Times New Roman" w:hAnsi="Times New Roman" w:cs="Times New Roman"/>
                      <w:color w:val="000000" w:themeColor="text1"/>
                      <w:lang w:val="en-US" w:eastAsia="zh-CN"/>
                      <w14:textFill>
                        <w14:solidFill>
                          <w14:schemeClr w14:val="tx1"/>
                        </w14:solidFill>
                      </w14:textFill>
                    </w:rPr>
                    <w:fldChar w:fldCharType="separate"/>
                  </w:r>
                  <w:r>
                    <w:rPr>
                      <w:rFonts w:hint="eastAsia" w:ascii="Times New Roman" w:hAnsi="Times New Roman" w:cs="Times New Roman"/>
                      <w:color w:val="000000" w:themeColor="text1"/>
                      <w:lang w:val="en-US" w:eastAsia="zh-CN"/>
                      <w14:textFill>
                        <w14:solidFill>
                          <w14:schemeClr w14:val="tx1"/>
                        </w14:solidFill>
                      </w14:textFill>
                    </w:rPr>
                    <w:drawing>
                      <wp:inline distT="0" distB="0" distL="114300" distR="114300">
                        <wp:extent cx="650875" cy="650875"/>
                        <wp:effectExtent l="0" t="0" r="15875" b="15875"/>
                        <wp:docPr id="13" name="图片 5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6" descr="点击看大图及详细资料"/>
                                <pic:cNvPicPr>
                                  <a:picLocks noChangeAspect="1"/>
                                </pic:cNvPicPr>
                              </pic:nvPicPr>
                              <pic:blipFill>
                                <a:blip r:embed="rId116"/>
                                <a:stretch>
                                  <a:fillRect/>
                                </a:stretch>
                              </pic:blipFill>
                              <pic:spPr>
                                <a:xfrm>
                                  <a:off x="0" y="0"/>
                                  <a:ext cx="650875" cy="650875"/>
                                </a:xfrm>
                                <a:prstGeom prst="rect">
                                  <a:avLst/>
                                </a:prstGeom>
                                <a:noFill/>
                                <a:ln>
                                  <a:noFill/>
                                </a:ln>
                              </pic:spPr>
                            </pic:pic>
                          </a:graphicData>
                        </a:graphic>
                      </wp:inline>
                    </w:drawing>
                  </w:r>
                  <w:r>
                    <w:rPr>
                      <w:rFonts w:hint="eastAsia" w:ascii="Times New Roman" w:hAnsi="Times New Roman" w:cs="Times New Roman"/>
                      <w:color w:val="000000" w:themeColor="text1"/>
                      <w:lang w:val="en-US" w:eastAsia="zh-CN"/>
                      <w14:textFill>
                        <w14:solidFill>
                          <w14:schemeClr w14:val="tx1"/>
                        </w14:solidFill>
                      </w14:textFill>
                    </w:rPr>
                    <w:fldChar w:fldCharType="end"/>
                  </w:r>
                </w:p>
              </w:tc>
              <w:tc>
                <w:tcPr>
                  <w:tcW w:w="1086"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fldChar w:fldCharType="begin"/>
                  </w:r>
                  <w:r>
                    <w:rPr>
                      <w:rFonts w:hint="eastAsia" w:ascii="Times New Roman" w:hAnsi="Times New Roman" w:cs="Times New Roman"/>
                      <w:color w:val="000000" w:themeColor="text1"/>
                      <w:lang w:val="en-US" w:eastAsia="zh-CN"/>
                      <w14:textFill>
                        <w14:solidFill>
                          <w14:schemeClr w14:val="tx1"/>
                        </w14:solidFill>
                      </w14:textFill>
                    </w:rPr>
                    <w:instrText xml:space="preserve"> INCLUDEPICTURE "http://www.biaozhi.net/enews/UploadFiles/smallImg/786.gif" \* MERGEFORMATINET </w:instrText>
                  </w:r>
                  <w:r>
                    <w:rPr>
                      <w:rFonts w:hint="eastAsia" w:ascii="Times New Roman" w:hAnsi="Times New Roman" w:cs="Times New Roman"/>
                      <w:color w:val="000000" w:themeColor="text1"/>
                      <w:lang w:val="en-US" w:eastAsia="zh-CN"/>
                      <w14:textFill>
                        <w14:solidFill>
                          <w14:schemeClr w14:val="tx1"/>
                        </w14:solidFill>
                      </w14:textFill>
                    </w:rPr>
                    <w:fldChar w:fldCharType="separate"/>
                  </w:r>
                  <w:r>
                    <w:rPr>
                      <w:rFonts w:hint="eastAsia" w:ascii="Times New Roman" w:hAnsi="Times New Roman" w:cs="Times New Roman"/>
                      <w:color w:val="000000" w:themeColor="text1"/>
                      <w:lang w:val="en-US" w:eastAsia="zh-CN"/>
                      <w14:textFill>
                        <w14:solidFill>
                          <w14:schemeClr w14:val="tx1"/>
                        </w14:solidFill>
                      </w14:textFill>
                    </w:rPr>
                    <w:drawing>
                      <wp:inline distT="0" distB="0" distL="114300" distR="114300">
                        <wp:extent cx="699770" cy="615950"/>
                        <wp:effectExtent l="0" t="0" r="5080" b="12700"/>
                        <wp:docPr id="15" name="图片 57"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7" descr="点击看大图及详细资料"/>
                                <pic:cNvPicPr>
                                  <a:picLocks noChangeAspect="1"/>
                                </pic:cNvPicPr>
                              </pic:nvPicPr>
                              <pic:blipFill>
                                <a:blip r:embed="rId117"/>
                                <a:stretch>
                                  <a:fillRect/>
                                </a:stretch>
                              </pic:blipFill>
                              <pic:spPr>
                                <a:xfrm>
                                  <a:off x="0" y="0"/>
                                  <a:ext cx="699770" cy="615950"/>
                                </a:xfrm>
                                <a:prstGeom prst="rect">
                                  <a:avLst/>
                                </a:prstGeom>
                                <a:noFill/>
                                <a:ln>
                                  <a:noFill/>
                                </a:ln>
                              </pic:spPr>
                            </pic:pic>
                          </a:graphicData>
                        </a:graphic>
                      </wp:inline>
                    </w:drawing>
                  </w:r>
                  <w:r>
                    <w:rPr>
                      <w:rFonts w:hint="eastAsia" w:ascii="Times New Roman" w:hAnsi="Times New Roman" w:cs="Times New Roman"/>
                      <w:color w:val="000000" w:themeColor="text1"/>
                      <w:lang w:val="en-US" w:eastAsia="zh-CN"/>
                      <w14:textFill>
                        <w14:solidFill>
                          <w14:schemeClr w14:val="tx1"/>
                        </w14:solidFill>
                      </w14:textFill>
                    </w:rPr>
                    <w:fldChar w:fldCharType="end"/>
                  </w:r>
                </w:p>
              </w:tc>
              <w:tc>
                <w:tcPr>
                  <w:tcW w:w="1071"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噪声源</w:t>
                  </w:r>
                </w:p>
              </w:tc>
              <w:tc>
                <w:tcPr>
                  <w:tcW w:w="1588" w:type="pct"/>
                  <w:tcBorders>
                    <w:tl2br w:val="nil"/>
                    <w:tr2bl w:val="nil"/>
                  </w:tcBorders>
                  <w:noWrap w:val="0"/>
                  <w:vAlign w:val="center"/>
                </w:tcPr>
                <w:p>
                  <w:pPr>
                    <w:pStyle w:val="57"/>
                    <w:bidi w:val="0"/>
                    <w:spacing w:line="240" w:lineRule="auto"/>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表示噪声向外环境排放</w:t>
                  </w:r>
                </w:p>
              </w:tc>
            </w:tr>
          </w:tbl>
          <w:p>
            <w:pPr>
              <w:pStyle w:val="29"/>
              <w:spacing w:before="0" w:after="0" w:line="360" w:lineRule="auto"/>
              <w:ind w:left="0" w:leftChars="0" w:firstLine="0" w:firstLineChars="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9</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、清洁生产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本次评价的清洁生产分析主要从原辅材料、生产工艺与装备、资源能源消耗、污染物产生指标等方面进行分析。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A、原辅材料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根据清洁生产要求，原材料应选择“对环境有益的材料，淘汰有毒原材料，并要节约原材料”。本项目以生活垃圾焚烧发电厂</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的</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炉渣</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(非危废)</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为原料，生产出废旧金属以及建筑用砂石。砂石主要应用于制砖等建材行业，减少了制砖用原料的目的，从长远角度看对环境影响小，符合清洁生产要求。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B、生产工艺与装备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对照《产业结构调整名录（2019年本）》，本项目采用行业通用生产工艺，不属于限制类和淘汰类，符合国家产业政策，因此，符合清洁生产要求。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C、资源能源消耗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本项目生产过程中主要以电、水为主，属清洁能源，因此，符合清洁生产要求。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D、本项目废水不外排，废气、噪声经治理达标后排放，固体废物回收利用和处置率达到100%。</w:t>
            </w:r>
          </w:p>
          <w:p>
            <w:pPr>
              <w:pStyle w:val="39"/>
              <w:ind w:firstLine="480" w:firstLineChars="200"/>
              <w:rPr>
                <w:rFonts w:hint="default" w:ascii="Times New Roman" w:hAnsi="Times New Roman" w:eastAsia="宋体" w:cs="Times New Roman"/>
                <w:bCs/>
                <w:color w:val="000000" w:themeColor="text1"/>
                <w:spacing w:val="4"/>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综上分析，本项目符合国家产业政策，采用清洁的原料和能源、先进的生产工艺和技术装备，对生产中产生的各种污染物均采取了技术成熟的治理方案，各种污染物均能达标排放，因此，评价认为本项目符合清洁生产的要求。</w:t>
            </w:r>
          </w:p>
          <w:p>
            <w:pPr>
              <w:spacing w:line="360" w:lineRule="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10</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、碳排放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碳排放是关于温室气体排放的一个总称或简称。温室气体中最主要的气体是二氧化碳，因此用碳一词作为代表。多数科学家和政府承认温室气体已经并将继续为地球和人类带来灾难，所以“控制碳排放”和“碳中和”这样的术语就成为容易被大多数人所理解，接受，并采取行动的文化基础。我们的日常生活一直都在排放二氧化碳，而如何通过有节制的生活，以及如何通过节能减污的技术来减少工厂和企业的碳排放量，成为本世纪最重要的世界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《秦皇岛市深入打好污染防治攻坚战实施方案》要求“在环评文件中增加碳排放评价内容”。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碳排放指建设项目在生产运行阶段煤炭、石油、天然气等化石燃料（包括自产和外购）燃烧活动和工业生产过程等活动产生的二氧化碳排放，以及因使用外购的电力和热力等所导致的二氧化碳排放。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本项目在生产运行阶段无化石燃料燃烧及生产过程产生二氧化碳，无外购热力，仅考虑外购电力所导致的二氧化碳排放。参照《重庆市规划环境影响评价技术指南 —碳排放评价（试行）》（渝环〔2021〕15号）文件中净调入电力消耗碳排放量计算公式，公式如下：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m:oMathPara>
              <m:oMath>
                <m:sSub>
                  <m:sSubPr>
                    <m:ctrlPr>
                      <w:rPr>
                        <w:rFonts w:hint="default" w:ascii="Cambria Math" w:hAnsi="Cambria Math"/>
                        <w:i/>
                        <w:color w:val="000000" w:themeColor="text1"/>
                        <w:highlight w:val="none"/>
                        <w14:textFill>
                          <w14:solidFill>
                            <w14:schemeClr w14:val="tx1"/>
                          </w14:solidFill>
                        </w14:textFill>
                      </w:rPr>
                    </m:ctrlPr>
                  </m:sSubPr>
                  <m:e>
                    <m:r>
                      <m:rPr/>
                      <w:rPr>
                        <w:rFonts w:hint="default" w:ascii="Cambria Math" w:hAnsi="Cambria Math"/>
                        <w:color w:val="000000" w:themeColor="text1"/>
                        <w:highlight w:val="none"/>
                        <w:lang w:val="en-US" w:eastAsia="zh-CN"/>
                        <w14:textFill>
                          <w14:solidFill>
                            <w14:schemeClr w14:val="tx1"/>
                          </w14:solidFill>
                        </w14:textFill>
                      </w:rPr>
                      <m:t>AE</m:t>
                    </m:r>
                    <m:ctrlPr>
                      <w:rPr>
                        <w:rFonts w:hint="default" w:ascii="Cambria Math" w:hAnsi="Cambria Math"/>
                        <w:i/>
                        <w:color w:val="000000" w:themeColor="text1"/>
                        <w:highlight w:val="none"/>
                        <w14:textFill>
                          <w14:solidFill>
                            <w14:schemeClr w14:val="tx1"/>
                          </w14:solidFill>
                        </w14:textFill>
                      </w:rPr>
                    </m:ctrlPr>
                  </m:e>
                  <m:sub>
                    <m:r>
                      <m:rPr/>
                      <w:rPr>
                        <w:rFonts w:hint="eastAsia" w:ascii="Cambria Math" w:hAnsi="Cambria Math"/>
                        <w:color w:val="000000" w:themeColor="text1"/>
                        <w:highlight w:val="none"/>
                        <w:lang w:val="en-US" w:eastAsia="zh-CN"/>
                        <w14:textFill>
                          <w14:solidFill>
                            <w14:schemeClr w14:val="tx1"/>
                          </w14:solidFill>
                        </w14:textFill>
                      </w:rPr>
                      <m:t>净</m:t>
                    </m:r>
                    <m:r>
                      <m:rPr/>
                      <w:rPr>
                        <w:rFonts w:hint="default" w:ascii="Cambria Math" w:hAnsi="Cambria Math"/>
                        <w:color w:val="000000" w:themeColor="text1"/>
                        <w:highlight w:val="none"/>
                        <w:lang w:val="en-US" w:eastAsia="zh-CN"/>
                        <w14:textFill>
                          <w14:solidFill>
                            <w14:schemeClr w14:val="tx1"/>
                          </w14:solidFill>
                        </w14:textFill>
                      </w:rPr>
                      <m:t>调入电力</m:t>
                    </m:r>
                    <m:ctrlPr>
                      <w:rPr>
                        <w:rFonts w:hint="default" w:ascii="Cambria Math" w:hAnsi="Cambria Math"/>
                        <w:i/>
                        <w:color w:val="000000" w:themeColor="text1"/>
                        <w:highlight w:val="none"/>
                        <w14:textFill>
                          <w14:solidFill>
                            <w14:schemeClr w14:val="tx1"/>
                          </w14:solidFill>
                        </w14:textFill>
                      </w:rPr>
                    </m:ctrlPr>
                  </m:sub>
                </m:sSub>
                <m:r>
                  <m:rPr/>
                  <w:rPr>
                    <w:rFonts w:hint="eastAsia" w:ascii="Cambria Math" w:hAnsi="Cambria Math"/>
                    <w:color w:val="000000" w:themeColor="text1"/>
                    <w:highlight w:val="none"/>
                    <w:lang w:val="en-US" w:eastAsia="zh-CN"/>
                    <w14:textFill>
                      <w14:solidFill>
                        <w14:schemeClr w14:val="tx1"/>
                      </w14:solidFill>
                    </w14:textFill>
                  </w:rPr>
                  <m:t>=</m:t>
                </m:r>
                <m:sSub>
                  <m:sSubPr>
                    <m:ctrlPr>
                      <w:rPr>
                        <w:rFonts w:hint="default" w:ascii="Cambria Math" w:hAnsi="Cambria Math"/>
                        <w:i/>
                        <w:color w:val="000000" w:themeColor="text1"/>
                        <w:highlight w:val="none"/>
                        <w14:textFill>
                          <w14:solidFill>
                            <w14:schemeClr w14:val="tx1"/>
                          </w14:solidFill>
                        </w14:textFill>
                      </w:rPr>
                    </m:ctrlPr>
                  </m:sSubPr>
                  <m:e>
                    <m:r>
                      <m:rPr/>
                      <w:rPr>
                        <w:rFonts w:hint="default" w:ascii="Cambria Math" w:hAnsi="Cambria Math"/>
                        <w:color w:val="000000" w:themeColor="text1"/>
                        <w:highlight w:val="none"/>
                        <w:lang w:val="en-US" w:eastAsia="zh-CN"/>
                        <w14:textFill>
                          <w14:solidFill>
                            <w14:schemeClr w14:val="tx1"/>
                          </w14:solidFill>
                        </w14:textFill>
                      </w:rPr>
                      <m:t>AD</m:t>
                    </m:r>
                    <m:ctrlPr>
                      <w:rPr>
                        <w:rFonts w:hint="default" w:ascii="Cambria Math" w:hAnsi="Cambria Math"/>
                        <w:i/>
                        <w:color w:val="000000" w:themeColor="text1"/>
                        <w:highlight w:val="none"/>
                        <w14:textFill>
                          <w14:solidFill>
                            <w14:schemeClr w14:val="tx1"/>
                          </w14:solidFill>
                        </w14:textFill>
                      </w:rPr>
                    </m:ctrlPr>
                  </m:e>
                  <m:sub>
                    <m:r>
                      <m:rPr/>
                      <w:rPr>
                        <w:rFonts w:hint="eastAsia" w:ascii="Cambria Math" w:hAnsi="Cambria Math"/>
                        <w:color w:val="000000" w:themeColor="text1"/>
                        <w:highlight w:val="none"/>
                        <w:lang w:val="en-US" w:eastAsia="zh-CN"/>
                        <w14:textFill>
                          <w14:solidFill>
                            <w14:schemeClr w14:val="tx1"/>
                          </w14:solidFill>
                        </w14:textFill>
                      </w:rPr>
                      <m:t>净</m:t>
                    </m:r>
                    <m:r>
                      <m:rPr/>
                      <w:rPr>
                        <w:rFonts w:hint="default" w:ascii="Cambria Math" w:hAnsi="Cambria Math"/>
                        <w:color w:val="000000" w:themeColor="text1"/>
                        <w:highlight w:val="none"/>
                        <w:lang w:val="en-US" w:eastAsia="zh-CN"/>
                        <w14:textFill>
                          <w14:solidFill>
                            <w14:schemeClr w14:val="tx1"/>
                          </w14:solidFill>
                        </w14:textFill>
                      </w:rPr>
                      <m:t>调入电</m:t>
                    </m:r>
                    <m:r>
                      <m:rPr/>
                      <w:rPr>
                        <w:rFonts w:hint="eastAsia" w:ascii="Cambria Math" w:hAnsi="Cambria Math"/>
                        <w:color w:val="000000" w:themeColor="text1"/>
                        <w:highlight w:val="none"/>
                        <w:lang w:val="en-US" w:eastAsia="zh-CN"/>
                        <w14:textFill>
                          <w14:solidFill>
                            <w14:schemeClr w14:val="tx1"/>
                          </w14:solidFill>
                        </w14:textFill>
                      </w:rPr>
                      <m:t>量</m:t>
                    </m:r>
                    <m:ctrlPr>
                      <w:rPr>
                        <w:rFonts w:hint="default" w:ascii="Cambria Math" w:hAnsi="Cambria Math"/>
                        <w:i/>
                        <w:color w:val="000000" w:themeColor="text1"/>
                        <w:highlight w:val="none"/>
                        <w14:textFill>
                          <w14:solidFill>
                            <w14:schemeClr w14:val="tx1"/>
                          </w14:solidFill>
                        </w14:textFill>
                      </w:rPr>
                    </m:ctrlPr>
                  </m:sub>
                </m:sSub>
                <m:r>
                  <m:rPr/>
                  <w:rPr>
                    <w:rFonts w:hint="default" w:ascii="Cambria Math" w:hAnsi="Cambria Math"/>
                    <w:color w:val="000000" w:themeColor="text1"/>
                    <w:highlight w:val="none"/>
                    <w14:textFill>
                      <w14:solidFill>
                        <w14:schemeClr w14:val="tx1"/>
                      </w14:solidFill>
                    </w14:textFill>
                  </w:rPr>
                  <m:t>×</m:t>
                </m:r>
                <m:sSub>
                  <m:sSubPr>
                    <m:ctrlPr>
                      <w:rPr>
                        <w:rFonts w:hint="default" w:ascii="Cambria Math" w:hAnsi="Cambria Math"/>
                        <w:i/>
                        <w:color w:val="000000" w:themeColor="text1"/>
                        <w:highlight w:val="none"/>
                        <w14:textFill>
                          <w14:solidFill>
                            <w14:schemeClr w14:val="tx1"/>
                          </w14:solidFill>
                        </w14:textFill>
                      </w:rPr>
                    </m:ctrlPr>
                  </m:sSubPr>
                  <m:e>
                    <m:r>
                      <m:rPr/>
                      <w:rPr>
                        <w:rFonts w:hint="default" w:ascii="Cambria Math" w:hAnsi="Cambria Math"/>
                        <w:color w:val="000000" w:themeColor="text1"/>
                        <w:highlight w:val="none"/>
                        <w:lang w:val="en-US" w:eastAsia="zh-CN"/>
                        <w14:textFill>
                          <w14:solidFill>
                            <w14:schemeClr w14:val="tx1"/>
                          </w14:solidFill>
                        </w14:textFill>
                      </w:rPr>
                      <m:t>EF</m:t>
                    </m:r>
                    <m:ctrlPr>
                      <w:rPr>
                        <w:rFonts w:hint="default" w:ascii="Cambria Math" w:hAnsi="Cambria Math"/>
                        <w:i/>
                        <w:color w:val="000000" w:themeColor="text1"/>
                        <w:highlight w:val="none"/>
                        <w14:textFill>
                          <w14:solidFill>
                            <w14:schemeClr w14:val="tx1"/>
                          </w14:solidFill>
                        </w14:textFill>
                      </w:rPr>
                    </m:ctrlPr>
                  </m:e>
                  <m:sub>
                    <m:r>
                      <m:rPr/>
                      <w:rPr>
                        <w:rFonts w:hint="default" w:ascii="Cambria Math" w:hAnsi="Cambria Math"/>
                        <w:color w:val="000000" w:themeColor="text1"/>
                        <w:highlight w:val="none"/>
                        <w:lang w:val="en-US" w:eastAsia="zh-CN"/>
                        <w14:textFill>
                          <w14:solidFill>
                            <w14:schemeClr w14:val="tx1"/>
                          </w14:solidFill>
                        </w14:textFill>
                      </w:rPr>
                      <m:t>电力</m:t>
                    </m:r>
                    <m:ctrlPr>
                      <w:rPr>
                        <w:rFonts w:hint="default" w:ascii="Cambria Math" w:hAnsi="Cambria Math"/>
                        <w:i/>
                        <w:color w:val="000000" w:themeColor="text1"/>
                        <w:highlight w:val="none"/>
                        <w14:textFill>
                          <w14:solidFill>
                            <w14:schemeClr w14:val="tx1"/>
                          </w14:solidFill>
                        </w14:textFill>
                      </w:rPr>
                    </m:ctrlPr>
                  </m:sub>
                </m:sSub>
              </m:oMath>
            </m:oMathPara>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式中：</w:t>
            </w:r>
            <m:oMath>
              <m:sSub>
                <m:sSubPr>
                  <m:ctrlPr>
                    <w:rPr>
                      <w:rFonts w:hint="default" w:ascii="Cambria Math" w:hAnsi="Cambria Math"/>
                      <w:i/>
                      <w:color w:val="000000" w:themeColor="text1"/>
                      <w:highlight w:val="none"/>
                      <w14:textFill>
                        <w14:solidFill>
                          <w14:schemeClr w14:val="tx1"/>
                        </w14:solidFill>
                      </w14:textFill>
                    </w:rPr>
                  </m:ctrlPr>
                </m:sSubPr>
                <m:e>
                  <m:r>
                    <m:rPr/>
                    <w:rPr>
                      <w:rFonts w:hint="default" w:ascii="Cambria Math" w:hAnsi="Cambria Math"/>
                      <w:color w:val="000000" w:themeColor="text1"/>
                      <w:highlight w:val="none"/>
                      <w:lang w:val="en-US" w:eastAsia="zh-CN"/>
                      <w14:textFill>
                        <w14:solidFill>
                          <w14:schemeClr w14:val="tx1"/>
                        </w14:solidFill>
                      </w14:textFill>
                    </w:rPr>
                    <m:t>AE</m:t>
                  </m:r>
                  <m:ctrlPr>
                    <w:rPr>
                      <w:rFonts w:hint="default" w:ascii="Cambria Math" w:hAnsi="Cambria Math"/>
                      <w:i/>
                      <w:color w:val="000000" w:themeColor="text1"/>
                      <w:highlight w:val="none"/>
                      <w14:textFill>
                        <w14:solidFill>
                          <w14:schemeClr w14:val="tx1"/>
                        </w14:solidFill>
                      </w14:textFill>
                    </w:rPr>
                  </m:ctrlPr>
                </m:e>
                <m:sub>
                  <m:r>
                    <m:rPr/>
                    <w:rPr>
                      <w:rFonts w:hint="eastAsia" w:ascii="Cambria Math" w:hAnsi="Cambria Math"/>
                      <w:color w:val="000000" w:themeColor="text1"/>
                      <w:highlight w:val="none"/>
                      <w:lang w:val="en-US" w:eastAsia="zh-CN"/>
                      <w14:textFill>
                        <w14:solidFill>
                          <w14:schemeClr w14:val="tx1"/>
                        </w14:solidFill>
                      </w14:textFill>
                    </w:rPr>
                    <m:t>净</m:t>
                  </m:r>
                  <m:r>
                    <m:rPr/>
                    <w:rPr>
                      <w:rFonts w:hint="default" w:ascii="Cambria Math" w:hAnsi="Cambria Math"/>
                      <w:color w:val="000000" w:themeColor="text1"/>
                      <w:highlight w:val="none"/>
                      <w:lang w:val="en-US" w:eastAsia="zh-CN"/>
                      <w14:textFill>
                        <w14:solidFill>
                          <w14:schemeClr w14:val="tx1"/>
                        </w14:solidFill>
                      </w14:textFill>
                    </w:rPr>
                    <m:t>调入电力</m:t>
                  </m:r>
                  <m:ctrlPr>
                    <w:rPr>
                      <w:rFonts w:hint="default" w:ascii="Cambria Math" w:hAnsi="Cambria Math"/>
                      <w:i/>
                      <w:color w:val="000000" w:themeColor="text1"/>
                      <w:highlight w:val="none"/>
                      <w14:textFill>
                        <w14:solidFill>
                          <w14:schemeClr w14:val="tx1"/>
                        </w14:solidFill>
                      </w14:textFill>
                    </w:rPr>
                  </m:ctrlPr>
                </m:sub>
              </m:sSub>
            </m:oMath>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——净调入电力消耗量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m:oMath>
              <m:sSub>
                <m:sSubPr>
                  <m:ctrlPr>
                    <w:rPr>
                      <w:rFonts w:hint="default" w:ascii="Cambria Math" w:hAnsi="Cambria Math"/>
                      <w:i/>
                      <w:color w:val="000000" w:themeColor="text1"/>
                      <w:highlight w:val="none"/>
                      <w14:textFill>
                        <w14:solidFill>
                          <w14:schemeClr w14:val="tx1"/>
                        </w14:solidFill>
                      </w14:textFill>
                    </w:rPr>
                  </m:ctrlPr>
                </m:sSubPr>
                <m:e>
                  <m:r>
                    <m:rPr/>
                    <w:rPr>
                      <w:rFonts w:hint="default" w:ascii="Cambria Math" w:hAnsi="Cambria Math"/>
                      <w:color w:val="000000" w:themeColor="text1"/>
                      <w:highlight w:val="none"/>
                      <w:lang w:val="en-US" w:eastAsia="zh-CN"/>
                      <w14:textFill>
                        <w14:solidFill>
                          <w14:schemeClr w14:val="tx1"/>
                        </w14:solidFill>
                      </w14:textFill>
                    </w:rPr>
                    <m:t>EF</m:t>
                  </m:r>
                  <m:ctrlPr>
                    <w:rPr>
                      <w:rFonts w:hint="default" w:ascii="Cambria Math" w:hAnsi="Cambria Math"/>
                      <w:i/>
                      <w:color w:val="000000" w:themeColor="text1"/>
                      <w:highlight w:val="none"/>
                      <w14:textFill>
                        <w14:solidFill>
                          <w14:schemeClr w14:val="tx1"/>
                        </w14:solidFill>
                      </w14:textFill>
                    </w:rPr>
                  </m:ctrlPr>
                </m:e>
                <m:sub>
                  <m:r>
                    <m:rPr/>
                    <w:rPr>
                      <w:rFonts w:hint="default" w:ascii="Cambria Math" w:hAnsi="Cambria Math"/>
                      <w:color w:val="000000" w:themeColor="text1"/>
                      <w:highlight w:val="none"/>
                      <w:lang w:val="en-US" w:eastAsia="zh-CN"/>
                      <w14:textFill>
                        <w14:solidFill>
                          <w14:schemeClr w14:val="tx1"/>
                        </w14:solidFill>
                      </w14:textFill>
                    </w:rPr>
                    <m:t>电力</m:t>
                  </m:r>
                  <m:ctrlPr>
                    <w:rPr>
                      <w:rFonts w:hint="default" w:ascii="Cambria Math" w:hAnsi="Cambria Math"/>
                      <w:i/>
                      <w:color w:val="000000" w:themeColor="text1"/>
                      <w:highlight w:val="none"/>
                      <w14:textFill>
                        <w14:solidFill>
                          <w14:schemeClr w14:val="tx1"/>
                        </w14:solidFill>
                      </w14:textFill>
                    </w:rPr>
                  </m:ctrlPr>
                </m:sub>
              </m:sSub>
            </m:oMath>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——电力排放因子（tCO</w:t>
            </w:r>
            <w:r>
              <w:rPr>
                <w:rFonts w:hint="default" w:ascii="Times New Roman" w:hAnsi="Times New Roman" w:eastAsia="宋体" w:cs="Times New Roman"/>
                <w:b w:val="0"/>
                <w:bCs w:val="0"/>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e/MWh），为0.581tCO</w:t>
            </w:r>
            <w:r>
              <w:rPr>
                <w:rFonts w:hint="default" w:ascii="Times New Roman" w:hAnsi="Times New Roman" w:eastAsia="宋体" w:cs="Times New Roman"/>
                <w:b w:val="0"/>
                <w:bCs w:val="0"/>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/MWh。</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default" w:ascii="Times New Roman" w:hAnsi="Times New Roman" w:eastAsia="宋体" w:cs="Times New Roman"/>
                <w:color w:val="000000" w:themeColor="text1"/>
                <w:spacing w:val="-2"/>
                <w:kern w:val="0"/>
                <w:sz w:val="24"/>
                <w:szCs w:val="24"/>
                <w:highlight w:val="none"/>
                <w:lang w:val="en-US" w:eastAsia="zh-CN"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1845945" cy="336550"/>
                  <wp:effectExtent l="0" t="0" r="1905" b="6350"/>
                  <wp:docPr id="1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2"/>
                          <pic:cNvPicPr>
                            <a:picLocks noChangeAspect="1"/>
                          </pic:cNvPicPr>
                        </pic:nvPicPr>
                        <pic:blipFill>
                          <a:blip r:embed="rId118"/>
                          <a:srcRect l="24672" r="24659" b="18870"/>
                          <a:stretch>
                            <a:fillRect/>
                          </a:stretch>
                        </pic:blipFill>
                        <pic:spPr>
                          <a:xfrm>
                            <a:off x="0" y="0"/>
                            <a:ext cx="1845945" cy="33655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72" w:firstLineChars="200"/>
              <w:jc w:val="left"/>
              <w:textAlignment w:val="auto"/>
              <w:rPr>
                <w:rFonts w:hint="default" w:ascii="Times New Roman" w:hAnsi="Times New Roman" w:eastAsia="宋体" w:cs="Times New Roman"/>
                <w:color w:val="000000" w:themeColor="text1"/>
                <w:spacing w:val="-2"/>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0"/>
                <w:sz w:val="24"/>
                <w:szCs w:val="24"/>
                <w:highlight w:val="none"/>
                <w:lang w:val="en-US" w:eastAsia="zh-CN" w:bidi="ar"/>
                <w14:textFill>
                  <w14:solidFill>
                    <w14:schemeClr w14:val="tx1"/>
                  </w14:solidFill>
                </w14:textFill>
              </w:rPr>
              <w:t xml:space="preserve"> 式中：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72" w:firstLineChars="200"/>
              <w:jc w:val="left"/>
              <w:textAlignment w:val="auto"/>
              <w:rPr>
                <w:rFonts w:hint="default" w:ascii="Times New Roman" w:hAnsi="Times New Roman" w:eastAsia="宋体" w:cs="Times New Roman"/>
                <w:color w:val="000000" w:themeColor="text1"/>
                <w:spacing w:val="-2"/>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0"/>
                <w:sz w:val="24"/>
                <w:szCs w:val="24"/>
                <w:highlight w:val="none"/>
                <w:lang w:val="en-US" w:eastAsia="zh-CN" w:bidi="ar"/>
                <w14:textFill>
                  <w14:solidFill>
                    <w14:schemeClr w14:val="tx1"/>
                  </w14:solidFill>
                </w14:textFill>
              </w:rPr>
              <w:t>i———燃料种类；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72" w:firstLineChars="200"/>
              <w:jc w:val="left"/>
              <w:textAlignment w:val="auto"/>
              <w:rPr>
                <w:rFonts w:hint="eastAsia" w:cs="Times New Roman"/>
                <w:color w:val="000000" w:themeColor="text1"/>
                <w:spacing w:val="-2"/>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0"/>
                <w:sz w:val="24"/>
                <w:szCs w:val="24"/>
                <w:highlight w:val="none"/>
                <w:lang w:val="en-US" w:eastAsia="zh-CN" w:bidi="ar"/>
                <w14:textFill>
                  <w14:solidFill>
                    <w14:schemeClr w14:val="tx1"/>
                  </w14:solidFill>
                </w14:textFill>
              </w:rPr>
              <w:t>ADi 燃料—i 燃料燃烧消耗量（t或 kNm</w:t>
            </w:r>
            <w:r>
              <w:rPr>
                <w:rFonts w:hint="default" w:ascii="Times New Roman" w:hAnsi="Times New Roman" w:eastAsia="宋体" w:cs="Times New Roman"/>
                <w:color w:val="000000" w:themeColor="text1"/>
                <w:spacing w:val="-2"/>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2"/>
                <w:kern w:val="0"/>
                <w:sz w:val="24"/>
                <w:szCs w:val="24"/>
                <w:highlight w:val="none"/>
                <w:lang w:val="en-US" w:eastAsia="zh-CN" w:bidi="ar"/>
                <w14:textFill>
                  <w14:solidFill>
                    <w14:schemeClr w14:val="tx1"/>
                  </w14:solidFill>
                </w14:textFill>
              </w:rPr>
              <w:t>）</w:t>
            </w:r>
            <w:r>
              <w:rPr>
                <w:rFonts w:hint="eastAsia" w:cs="Times New Roman"/>
                <w:color w:val="000000" w:themeColor="text1"/>
                <w:spacing w:val="-2"/>
                <w:kern w:val="0"/>
                <w:sz w:val="24"/>
                <w:szCs w:val="24"/>
                <w:highlight w:val="none"/>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72"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2"/>
                <w:kern w:val="0"/>
                <w:sz w:val="24"/>
                <w:szCs w:val="24"/>
                <w:highlight w:val="none"/>
                <w:lang w:val="en-US" w:eastAsia="zh-CN" w:bidi="ar"/>
                <w14:textFill>
                  <w14:solidFill>
                    <w14:schemeClr w14:val="tx1"/>
                  </w14:solidFill>
                </w14:textFill>
              </w:rPr>
              <w:t>EFi 燃料—i 燃料燃烧二氧化碳排放因子（tCO</w:t>
            </w:r>
            <w:r>
              <w:rPr>
                <w:rFonts w:hint="default" w:ascii="Times New Roman" w:hAnsi="Times New Roman" w:eastAsia="宋体" w:cs="Times New Roman"/>
                <w:color w:val="000000" w:themeColor="text1"/>
                <w:spacing w:val="-2"/>
                <w:kern w:val="0"/>
                <w:sz w:val="24"/>
                <w:szCs w:val="24"/>
                <w:highlight w:val="non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2"/>
                <w:kern w:val="0"/>
                <w:sz w:val="24"/>
                <w:szCs w:val="24"/>
                <w:highlight w:val="none"/>
                <w:lang w:val="en-US" w:eastAsia="zh-CN" w:bidi="ar"/>
                <w14:textFill>
                  <w14:solidFill>
                    <w14:schemeClr w14:val="tx1"/>
                  </w14:solidFill>
                </w14:textFill>
              </w:rPr>
              <w:t>e/kg 或tCO</w:t>
            </w:r>
            <w:r>
              <w:rPr>
                <w:rFonts w:hint="default" w:ascii="Times New Roman" w:hAnsi="Times New Roman" w:eastAsia="宋体" w:cs="Times New Roman"/>
                <w:color w:val="000000" w:themeColor="text1"/>
                <w:spacing w:val="-2"/>
                <w:kern w:val="0"/>
                <w:sz w:val="24"/>
                <w:szCs w:val="24"/>
                <w:highlight w:val="non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2"/>
                <w:kern w:val="0"/>
                <w:sz w:val="24"/>
                <w:szCs w:val="24"/>
                <w:highlight w:val="none"/>
                <w:lang w:val="en-US" w:eastAsia="zh-CN" w:bidi="ar"/>
                <w14:textFill>
                  <w14:solidFill>
                    <w14:schemeClr w14:val="tx1"/>
                  </w14:solidFill>
                </w14:textFill>
              </w:rPr>
              <w:t>e/kNm</w:t>
            </w:r>
            <w:r>
              <w:rPr>
                <w:rFonts w:hint="default" w:ascii="Times New Roman" w:hAnsi="Times New Roman" w:eastAsia="宋体" w:cs="Times New Roman"/>
                <w:color w:val="000000" w:themeColor="text1"/>
                <w:spacing w:val="-2"/>
                <w:kern w:val="0"/>
                <w:sz w:val="24"/>
                <w:szCs w:val="24"/>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2"/>
                <w:kern w:val="0"/>
                <w:sz w:val="24"/>
                <w:szCs w:val="24"/>
                <w:highlight w:val="none"/>
                <w:lang w:val="en-US" w:eastAsia="zh-CN" w:bidi="ar"/>
                <w14:textFill>
                  <w14:solidFill>
                    <w14:schemeClr w14:val="tx1"/>
                  </w14:solidFill>
                </w14:textFill>
              </w:rPr>
              <w:t>）</w:t>
            </w:r>
            <w:r>
              <w:rPr>
                <w:rFonts w:hint="eastAsia" w:cs="Times New Roman"/>
                <w:color w:val="000000" w:themeColor="text1"/>
                <w:spacing w:val="-2"/>
                <w:kern w:val="0"/>
                <w:sz w:val="24"/>
                <w:szCs w:val="24"/>
                <w:highlight w:val="none"/>
                <w:lang w:val="en-US" w:eastAsia="zh-CN" w:bidi="ar"/>
                <w14:textFill>
                  <w14:solidFill>
                    <w14:schemeClr w14:val="tx1"/>
                  </w14:solidFill>
                </w14:textFill>
              </w:rPr>
              <w:t>，为3.096t</w:t>
            </w:r>
            <w:r>
              <w:rPr>
                <w:rFonts w:hint="default" w:ascii="Times New Roman" w:hAnsi="Times New Roman" w:eastAsia="宋体" w:cs="Times New Roman"/>
                <w:color w:val="000000" w:themeColor="text1"/>
                <w:spacing w:val="-2"/>
                <w:kern w:val="0"/>
                <w:sz w:val="24"/>
                <w:szCs w:val="24"/>
                <w:highlight w:val="none"/>
                <w:lang w:val="en-US" w:eastAsia="zh-CN" w:bidi="ar"/>
                <w14:textFill>
                  <w14:solidFill>
                    <w14:schemeClr w14:val="tx1"/>
                  </w14:solidFill>
                </w14:textFill>
              </w:rPr>
              <w:t>CO</w:t>
            </w:r>
            <w:r>
              <w:rPr>
                <w:rFonts w:hint="default" w:ascii="Times New Roman" w:hAnsi="Times New Roman" w:eastAsia="宋体" w:cs="Times New Roman"/>
                <w:color w:val="000000" w:themeColor="text1"/>
                <w:spacing w:val="-2"/>
                <w:kern w:val="0"/>
                <w:sz w:val="24"/>
                <w:szCs w:val="24"/>
                <w:highlight w:val="non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2"/>
                <w:kern w:val="0"/>
                <w:sz w:val="24"/>
                <w:szCs w:val="24"/>
                <w:highlight w:val="none"/>
                <w:lang w:val="en-US" w:eastAsia="zh-CN" w:bidi="ar"/>
                <w14:textFill>
                  <w14:solidFill>
                    <w14:schemeClr w14:val="tx1"/>
                  </w14:solidFill>
                </w14:textFill>
              </w:rPr>
              <w:t>/</w:t>
            </w:r>
            <w:r>
              <w:rPr>
                <w:rFonts w:hint="eastAsia" w:cs="Times New Roman"/>
                <w:color w:val="000000" w:themeColor="text1"/>
                <w:spacing w:val="-2"/>
                <w:kern w:val="0"/>
                <w:sz w:val="24"/>
                <w:szCs w:val="24"/>
                <w:highlight w:val="none"/>
                <w:lang w:val="en-US" w:eastAsia="zh-CN" w:bidi="ar"/>
                <w14:textFill>
                  <w14:solidFill>
                    <w14:schemeClr w14:val="tx1"/>
                  </w14:solidFill>
                </w14:textFill>
              </w:rPr>
              <w:t>t</w:t>
            </w:r>
            <w:r>
              <w:rPr>
                <w:rFonts w:hint="default" w:ascii="Times New Roman" w:hAnsi="Times New Roman" w:eastAsia="宋体" w:cs="Times New Roman"/>
                <w:color w:val="000000" w:themeColor="text1"/>
                <w:spacing w:val="-2"/>
                <w:kern w:val="0"/>
                <w:sz w:val="24"/>
                <w:szCs w:val="24"/>
                <w:highlight w:val="none"/>
                <w:lang w:val="en-US" w:eastAsia="zh-CN" w:bidi="ar"/>
                <w14:textFill>
                  <w14:solidFill>
                    <w14:schemeClr w14:val="tx1"/>
                  </w14:solidFill>
                </w14:textFill>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本项目30</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万kWh/a（</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3000</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MWh），净调入电力消耗碳排放量</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1743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tCO</w:t>
            </w:r>
            <w:r>
              <w:rPr>
                <w:rFonts w:hint="default" w:ascii="Times New Roman" w:hAnsi="Times New Roman" w:eastAsia="宋体" w:cs="Times New Roman"/>
                <w:b w:val="0"/>
                <w:bCs w:val="0"/>
                <w:color w:val="000000" w:themeColor="text1"/>
                <w:sz w:val="24"/>
                <w:szCs w:val="24"/>
                <w:highlight w:val="none"/>
                <w:vertAlign w:val="subscript"/>
                <w:lang w:val="en-US" w:eastAsia="zh-CN"/>
                <w14:textFill>
                  <w14:solidFill>
                    <w14:schemeClr w14:val="tx1"/>
                  </w14:solidFill>
                </w14:textFill>
              </w:rPr>
              <w:t>2</w:t>
            </w:r>
            <w:r>
              <w:rPr>
                <w:rFonts w:hint="eastAsia"/>
                <w:color w:val="000000" w:themeColor="text1"/>
                <w:sz w:val="24"/>
                <w:szCs w:val="24"/>
                <w:highlight w:val="none"/>
                <w:vertAlign w:val="baseline"/>
                <w:lang w:eastAsia="zh-CN"/>
                <w14:textFill>
                  <w14:solidFill>
                    <w14:schemeClr w14:val="tx1"/>
                  </w14:solidFill>
                </w14:textFill>
              </w:rPr>
              <w:t>；</w:t>
            </w:r>
            <w:r>
              <w:rPr>
                <w:rFonts w:hint="eastAsia"/>
                <w:color w:val="000000" w:themeColor="text1"/>
                <w:sz w:val="24"/>
                <w:szCs w:val="24"/>
                <w:highlight w:val="none"/>
                <w:vertAlign w:val="baseline"/>
                <w:lang w:val="en-US" w:eastAsia="zh-CN"/>
                <w14:textFill>
                  <w14:solidFill>
                    <w14:schemeClr w14:val="tx1"/>
                  </w14:solidFill>
                </w14:textFill>
              </w:rPr>
              <w:t>柴油消耗约17.5t，柴油消耗碳排放量为54.18</w:t>
            </w:r>
            <w:r>
              <w:rPr>
                <w:rFonts w:hint="eastAsia"/>
                <w:color w:val="000000" w:themeColor="text1"/>
                <w:sz w:val="24"/>
                <w:szCs w:val="24"/>
                <w:highlight w:val="none"/>
                <w14:textFill>
                  <w14:solidFill>
                    <w14:schemeClr w14:val="tx1"/>
                  </w14:solidFill>
                </w14:textFill>
              </w:rPr>
              <w:t>tCO</w:t>
            </w:r>
            <w:r>
              <w:rPr>
                <w:rFonts w:hint="eastAsia"/>
                <w:color w:val="000000" w:themeColor="text1"/>
                <w:sz w:val="24"/>
                <w:szCs w:val="24"/>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针对项目碳排放，采取如下碳减排措施：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(1)采用节能电气化设施：项目生产用风机、照明灯全部采用节能设施，降低能源消耗，根据设计资料及工程分析，项目综合能耗均满足清洁生产要求和单位产品能源消耗限额要求；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(2)本项目所用能源主要为电能，不允许企业自行建设燃煤机组，通过合理的平面布置，各工序之间的有效衔接；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(3)建立健全的能源管理机构和管理制度，定期开展清洁生产审核以及节能减排等活动；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(4)企业应按照要求定期对项目污染物进行监测，污染物浓度必须满足本环评要求，且随时按照最新要求更换治理设备或满足最新排放标准；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(5)企业需与当地危险废物处置单位签订危废处置协议，保证100%的危险废物处置率。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Cs/>
                <w:color w:val="000000" w:themeColor="text1"/>
                <w:spacing w:val="4"/>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采用减碳措施，最大限度的减少生产过程中碳排放。项目建成实施后，应按照国家相关要求，定期开展节能审核和清洁生产审核，挖潜节能降耗减碳等先进生产技术，进一步减少碳的排放。同时，根据国家及地方关于碳排放相关文件、要求，履行相关手续。</w:t>
            </w:r>
          </w:p>
        </w:tc>
      </w:tr>
    </w:tbl>
    <w:p>
      <w:pPr>
        <w:bidi w:val="0"/>
        <w:rPr>
          <w:rFonts w:hint="default" w:ascii="Times New Roman" w:hAnsi="Times New Roman" w:cs="Times New Roman"/>
          <w:color w:val="000000" w:themeColor="text1"/>
          <w:highlight w:val="none"/>
          <w14:textFill>
            <w14:solidFill>
              <w14:schemeClr w14:val="tx1"/>
            </w14:solidFill>
          </w14:textFill>
        </w:rPr>
        <w:sectPr>
          <w:pgSz w:w="11905" w:h="16838"/>
          <w:pgMar w:top="1440" w:right="1587" w:bottom="1440" w:left="1587"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pPr>
        <w:pStyle w:val="2"/>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黑体" w:hAnsi="黑体" w:eastAsia="黑体" w:cs="黑体"/>
          <w:b w:val="0"/>
          <w:bCs w:val="0"/>
          <w:color w:val="000000" w:themeColor="text1"/>
          <w:sz w:val="30"/>
          <w:szCs w:val="30"/>
          <w:highlight w:val="none"/>
          <w14:textFill>
            <w14:solidFill>
              <w14:schemeClr w14:val="tx1"/>
            </w14:solidFill>
          </w14:textFill>
        </w:rPr>
        <w:t>五、</w:t>
      </w:r>
      <w:bookmarkStart w:id="1" w:name="_Hlk54167917"/>
      <w:r>
        <w:rPr>
          <w:rFonts w:hint="default" w:ascii="黑体" w:hAnsi="黑体" w:eastAsia="黑体" w:cs="黑体"/>
          <w:b w:val="0"/>
          <w:bCs w:val="0"/>
          <w:color w:val="000000" w:themeColor="text1"/>
          <w:sz w:val="30"/>
          <w:szCs w:val="30"/>
          <w:highlight w:val="none"/>
          <w14:textFill>
            <w14:solidFill>
              <w14:schemeClr w14:val="tx1"/>
            </w14:solidFill>
          </w14:textFill>
        </w:rPr>
        <w:t>环境保护措施监督检查清单</w:t>
      </w:r>
      <w:bookmarkEnd w:id="1"/>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1693"/>
        <w:gridCol w:w="1057"/>
        <w:gridCol w:w="1266"/>
        <w:gridCol w:w="37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tcBorders>
              <w:tl2br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482" w:firstLineChars="200"/>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内容</w:t>
            </w:r>
          </w:p>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要素</w:t>
            </w:r>
          </w:p>
        </w:tc>
        <w:tc>
          <w:tcPr>
            <w:tcW w:w="169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排放口(编号、</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名称)/污染源</w:t>
            </w:r>
          </w:p>
        </w:tc>
        <w:tc>
          <w:tcPr>
            <w:tcW w:w="10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污染物项目</w:t>
            </w:r>
          </w:p>
        </w:tc>
        <w:tc>
          <w:tcPr>
            <w:tcW w:w="1266"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环境保护措施</w:t>
            </w:r>
          </w:p>
        </w:tc>
        <w:tc>
          <w:tcPr>
            <w:tcW w:w="3718"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18"/>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18"/>
                <w:highlight w:val="none"/>
                <w:lang w:val="en-US" w:eastAsia="zh-CN"/>
                <w14:textFill>
                  <w14:solidFill>
                    <w14:schemeClr w14:val="tx1"/>
                  </w14:solidFill>
                </w14:textFill>
              </w:rPr>
              <w:t>大气环境</w:t>
            </w:r>
          </w:p>
        </w:tc>
        <w:tc>
          <w:tcPr>
            <w:tcW w:w="16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原料暂存</w:t>
            </w:r>
          </w:p>
        </w:tc>
        <w:tc>
          <w:tcPr>
            <w:tcW w:w="10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颗粒物</w:t>
            </w:r>
          </w:p>
        </w:tc>
        <w:tc>
          <w:tcPr>
            <w:tcW w:w="12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上方设置喷淋装置处理后排放</w:t>
            </w:r>
          </w:p>
        </w:tc>
        <w:tc>
          <w:tcPr>
            <w:tcW w:w="371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《大气污染物综合排放标准》（GB16297-1996）中表2无组织排放监控浓度限值</w:t>
            </w:r>
            <w:r>
              <w:rPr>
                <w:rFonts w:hint="eastAsia"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mg/m³以及《秦皇岛市人民政府办公室关于执行钢铁等行业大气污染物排放特别要求的通知》（2021-10）中无组织排放浓度特别管控要求，即0.3mg/m³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18"/>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18"/>
                <w:highlight w:val="none"/>
                <w:lang w:val="en-US" w:eastAsia="zh-CN"/>
                <w14:textFill>
                  <w14:solidFill>
                    <w14:schemeClr w14:val="tx1"/>
                  </w14:solidFill>
                </w14:textFill>
              </w:rPr>
              <w:t>水环境</w:t>
            </w:r>
          </w:p>
        </w:tc>
        <w:tc>
          <w:tcPr>
            <w:tcW w:w="1693"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炉渣工序用水、清洗地面用水、喷淋用水</w:t>
            </w:r>
          </w:p>
        </w:tc>
        <w:tc>
          <w:tcPr>
            <w:tcW w:w="1057"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COD、氨氮、SS</w:t>
            </w:r>
          </w:p>
        </w:tc>
        <w:tc>
          <w:tcPr>
            <w:tcW w:w="12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沉淀池处理后回用不外排</w:t>
            </w:r>
          </w:p>
        </w:tc>
        <w:tc>
          <w:tcPr>
            <w:tcW w:w="371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18"/>
                <w:highlight w:val="none"/>
                <w:lang w:val="en-US" w:eastAsia="zh-CN"/>
                <w14:textFill>
                  <w14:solidFill>
                    <w14:schemeClr w14:val="tx1"/>
                  </w14:solidFill>
                </w14:textFill>
              </w:rPr>
            </w:pPr>
          </w:p>
        </w:tc>
        <w:tc>
          <w:tcPr>
            <w:tcW w:w="1693"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生活用水</w:t>
            </w:r>
          </w:p>
        </w:tc>
        <w:tc>
          <w:tcPr>
            <w:tcW w:w="1057"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COD、氨氮、SS</w:t>
            </w:r>
          </w:p>
        </w:tc>
        <w:tc>
          <w:tcPr>
            <w:tcW w:w="12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进化粪池处理后定期</w:t>
            </w:r>
            <w:r>
              <w:rPr>
                <w:rFonts w:hint="eastAsia" w:cs="Times New Roman" w:eastAsiaTheme="minorEastAsia"/>
                <w:color w:val="000000" w:themeColor="text1"/>
                <w:sz w:val="21"/>
                <w:szCs w:val="21"/>
                <w:highlight w:val="none"/>
                <w:lang w:val="en-US" w:eastAsia="zh-CN"/>
                <w14:textFill>
                  <w14:solidFill>
                    <w14:schemeClr w14:val="tx1"/>
                  </w14:solidFill>
                </w14:textFill>
              </w:rPr>
              <w:t>由清污车清运</w:t>
            </w:r>
          </w:p>
        </w:tc>
        <w:tc>
          <w:tcPr>
            <w:tcW w:w="371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z w:val="21"/>
                <w:szCs w:val="18"/>
                <w:highlight w:val="none"/>
                <w14:textFill>
                  <w14:solidFill>
                    <w14:schemeClr w14:val="tx1"/>
                  </w14:solidFill>
                </w14:textFill>
              </w:rPr>
              <w:t>声环境</w:t>
            </w:r>
          </w:p>
        </w:tc>
        <w:tc>
          <w:tcPr>
            <w:tcW w:w="1693"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车间</w:t>
            </w:r>
          </w:p>
        </w:tc>
        <w:tc>
          <w:tcPr>
            <w:tcW w:w="1057"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等效A声级</w:t>
            </w:r>
          </w:p>
        </w:tc>
        <w:tc>
          <w:tcPr>
            <w:tcW w:w="1266"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建筑隔声、距离衰减、安装减振基础</w:t>
            </w:r>
          </w:p>
        </w:tc>
        <w:tc>
          <w:tcPr>
            <w:tcW w:w="3718"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《工业企业厂界环境噪声排放标准》(GB12348—2008)中的</w:t>
            </w: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类标准</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，昼间≤</w:t>
            </w:r>
            <w:r>
              <w:rPr>
                <w:rFonts w:hint="eastAsia"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dB(A)</w:t>
            </w:r>
            <w:r>
              <w:rPr>
                <w:rFonts w:hint="eastAsia" w:cs="Times New Roman"/>
                <w:color w:val="000000" w:themeColor="text1"/>
                <w:sz w:val="21"/>
                <w:szCs w:val="21"/>
                <w:highlight w:val="none"/>
                <w:lang w:val="en-US" w:eastAsia="zh-CN"/>
                <w14:textFill>
                  <w14:solidFill>
                    <w14:schemeClr w14:val="tx1"/>
                  </w14:solidFill>
                </w14:textFill>
              </w:rPr>
              <w:t>，夜间不生产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z w:val="21"/>
                <w:szCs w:val="18"/>
                <w:highlight w:val="none"/>
                <w14:textFill>
                  <w14:solidFill>
                    <w14:schemeClr w14:val="tx1"/>
                  </w14:solidFill>
                </w14:textFill>
              </w:rPr>
              <w:t>电磁辐射</w:t>
            </w:r>
          </w:p>
        </w:tc>
        <w:tc>
          <w:tcPr>
            <w:tcW w:w="7734" w:type="dxa"/>
            <w:gridSpan w:val="4"/>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z w:val="21"/>
                <w:szCs w:val="18"/>
                <w:highlight w:val="none"/>
                <w14:textFill>
                  <w14:solidFill>
                    <w14:schemeClr w14:val="tx1"/>
                  </w14:solidFill>
                </w14:textFill>
              </w:rPr>
              <w:t>固体废物</w:t>
            </w:r>
          </w:p>
        </w:tc>
        <w:tc>
          <w:tcPr>
            <w:tcW w:w="7734" w:type="dxa"/>
            <w:gridSpan w:val="4"/>
            <w:noWrap w:val="0"/>
            <w:vAlign w:val="center"/>
          </w:tcPr>
          <w:p>
            <w:pPr>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一般工业固体废物满足防渗漏、防扬散、防雨淋要求；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危险废物</w:t>
            </w:r>
            <w:r>
              <w:rPr>
                <w:rFonts w:hint="eastAsia" w:cs="Times New Roman"/>
                <w:color w:val="000000" w:themeColor="text1"/>
                <w:sz w:val="21"/>
                <w:szCs w:val="21"/>
                <w:highlight w:val="none"/>
                <w:lang w:val="en-US" w:eastAsia="zh-CN"/>
                <w14:textFill>
                  <w14:solidFill>
                    <w14:schemeClr w14:val="tx1"/>
                  </w14:solidFill>
                </w14:textFill>
              </w:rPr>
              <w:t>废润滑油桶、废润滑油</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处置执行《危险废物贮存污染控制标准》（GB18597-2001）及修改单规定</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z w:val="21"/>
                <w:szCs w:val="18"/>
                <w:highlight w:val="none"/>
                <w14:textFill>
                  <w14:solidFill>
                    <w14:schemeClr w14:val="tx1"/>
                  </w14:solidFill>
                </w14:textFill>
              </w:rPr>
              <w:t>土壤及地下水污染防治措施</w:t>
            </w:r>
          </w:p>
        </w:tc>
        <w:tc>
          <w:tcPr>
            <w:tcW w:w="7734" w:type="dxa"/>
            <w:gridSpan w:val="4"/>
            <w:noWrap w:val="0"/>
            <w:vAlign w:val="center"/>
          </w:tcPr>
          <w:p>
            <w:pPr>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危废间位于车间内，均做防腐防渗措施，车间及厂区内道路均做硬化措施</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不会对土壤及地下水造成污染。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z w:val="21"/>
                <w:szCs w:val="18"/>
                <w:highlight w:val="none"/>
                <w14:textFill>
                  <w14:solidFill>
                    <w14:schemeClr w14:val="tx1"/>
                  </w14:solidFill>
                </w14:textFill>
              </w:rPr>
              <w:t>生态保护措施</w:t>
            </w:r>
          </w:p>
        </w:tc>
        <w:tc>
          <w:tcPr>
            <w:tcW w:w="7734" w:type="dxa"/>
            <w:gridSpan w:val="4"/>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noWrap w:val="0"/>
            <w:vAlign w:val="center"/>
          </w:tcPr>
          <w:p>
            <w:pPr>
              <w:pStyle w:val="3"/>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环境风险</w:t>
            </w:r>
          </w:p>
          <w:p>
            <w:pPr>
              <w:pStyle w:val="3"/>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000000" w:themeColor="text1"/>
                <w:spacing w:val="-8"/>
                <w:sz w:val="21"/>
                <w:szCs w:val="18"/>
                <w:highlight w:val="none"/>
                <w14:textFill>
                  <w14:solidFill>
                    <w14:schemeClr w14:val="tx1"/>
                  </w14:solidFill>
                </w14:textFill>
              </w:rPr>
            </w:pPr>
            <w:r>
              <w:rPr>
                <w:rFonts w:hint="default" w:ascii="Times New Roman" w:hAnsi="Times New Roman" w:eastAsia="宋体" w:cs="Times New Roman"/>
                <w:color w:val="000000" w:themeColor="text1"/>
                <w:sz w:val="21"/>
                <w:szCs w:val="18"/>
                <w:highlight w:val="none"/>
                <w14:textFill>
                  <w14:solidFill>
                    <w14:schemeClr w14:val="tx1"/>
                  </w14:solidFill>
                </w14:textFill>
              </w:rPr>
              <w:t>防范措施</w:t>
            </w:r>
          </w:p>
        </w:tc>
        <w:tc>
          <w:tcPr>
            <w:tcW w:w="7734" w:type="dxa"/>
            <w:gridSpan w:val="4"/>
            <w:noWrap w:val="0"/>
            <w:vAlign w:val="center"/>
          </w:tcPr>
          <w:p>
            <w:pPr>
              <w:keepNext w:val="0"/>
              <w:keepLines w:val="0"/>
              <w:pageBreakBefore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现场应当有警戒标识；</w:t>
            </w:r>
          </w:p>
          <w:p>
            <w:pPr>
              <w:keepNext w:val="0"/>
              <w:keepLines w:val="0"/>
              <w:pageBreakBefore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设置专人保管，保管员要详细核对产品名称、规格、牌号、质量、数量、查清危险性质。遇有包装不良、质量异变、标号不符合等情况，应及时进行安全处理；</w:t>
            </w:r>
          </w:p>
          <w:p>
            <w:pPr>
              <w:keepNext w:val="0"/>
              <w:keepLines w:val="0"/>
              <w:pageBreakBefore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避免无任何防护措施直接接触、工作区域保持良好通风状态；</w:t>
            </w:r>
          </w:p>
          <w:p>
            <w:pPr>
              <w:keepNext w:val="0"/>
              <w:keepLines w:val="0"/>
              <w:pageBreakBefore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容器包装要密闭，完整无损、放置处防火防高温；</w:t>
            </w:r>
          </w:p>
          <w:p>
            <w:pPr>
              <w:keepNext w:val="0"/>
              <w:keepLines w:val="0"/>
              <w:pageBreakBefore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厂区内禁止吸烟，严禁明火作业；</w:t>
            </w:r>
          </w:p>
          <w:p>
            <w:pPr>
              <w:keepNext w:val="0"/>
              <w:keepLines w:val="0"/>
              <w:pageBreakBefore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进行定期和不定期的安全检查，查出隐患，要及时整改和上报。如发现不安全的紧急情况，应先停止工作，再报有关部门研究处理；</w:t>
            </w:r>
          </w:p>
          <w:p>
            <w:pPr>
              <w:keepNext w:val="0"/>
              <w:keepLines w:val="0"/>
              <w:pageBreakBefore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各种安全防护装置设备要定期检查，不得随意拆除和非法占用；</w:t>
            </w:r>
          </w:p>
          <w:p>
            <w:pPr>
              <w:keepNext w:val="0"/>
              <w:keepLines w:val="0"/>
              <w:pageBreakBefore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危废间</w:t>
            </w:r>
            <w:r>
              <w:rPr>
                <w:rFonts w:hint="eastAsia" w:cs="Times New Roman"/>
                <w:color w:val="000000" w:themeColor="text1"/>
                <w:sz w:val="21"/>
                <w:szCs w:val="21"/>
                <w:highlight w:val="none"/>
                <w:lang w:val="en-US" w:eastAsia="zh-CN"/>
                <w14:textFill>
                  <w14:solidFill>
                    <w14:schemeClr w14:val="tx1"/>
                  </w14:solidFill>
                </w14:textFill>
              </w:rPr>
              <w:t>以及油类暂存区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做好防渗防漏措施，各个危险物质分类存放，且设置钢板托盘，防止泄露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12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pacing w:val="-8"/>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pacing w:val="-8"/>
                <w:sz w:val="21"/>
                <w:szCs w:val="18"/>
                <w:highlight w:val="none"/>
                <w14:textFill>
                  <w14:solidFill>
                    <w14:schemeClr w14:val="tx1"/>
                  </w14:solidFill>
                </w14:textFill>
              </w:rPr>
              <w:t>其他环境</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pacing w:val="-8"/>
                <w:sz w:val="21"/>
                <w:szCs w:val="18"/>
                <w:highlight w:val="none"/>
                <w14:textFill>
                  <w14:solidFill>
                    <w14:schemeClr w14:val="tx1"/>
                  </w14:solidFill>
                </w14:textFill>
              </w:rPr>
            </w:pPr>
            <w:r>
              <w:rPr>
                <w:rFonts w:hint="default" w:ascii="Times New Roman" w:hAnsi="Times New Roman" w:eastAsia="宋体" w:cs="Times New Roman"/>
                <w:b/>
                <w:bCs/>
                <w:color w:val="000000" w:themeColor="text1"/>
                <w:spacing w:val="-8"/>
                <w:sz w:val="21"/>
                <w:szCs w:val="18"/>
                <w:highlight w:val="none"/>
                <w14:textFill>
                  <w14:solidFill>
                    <w14:schemeClr w14:val="tx1"/>
                  </w14:solidFill>
                </w14:textFill>
              </w:rPr>
              <w:t>管理要求</w:t>
            </w:r>
          </w:p>
        </w:tc>
        <w:tc>
          <w:tcPr>
            <w:tcW w:w="7734" w:type="dxa"/>
            <w:gridSpan w:val="4"/>
            <w:noWrap w:val="0"/>
            <w:vAlign w:val="center"/>
          </w:tcPr>
          <w:p>
            <w:pPr>
              <w:keepNext w:val="0"/>
              <w:keepLines w:val="0"/>
              <w:pageBreakBefore w:val="0"/>
              <w:kinsoku/>
              <w:wordWrap/>
              <w:overflowPunct/>
              <w:topLinePunct w:val="0"/>
              <w:autoSpaceDE/>
              <w:autoSpaceDN/>
              <w:bidi w:val="0"/>
              <w:spacing w:line="240" w:lineRule="auto"/>
              <w:jc w:val="both"/>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环保管理制度：企业应制定环境保护规章制度，由专人负责，环保管理制度。</w:t>
            </w:r>
          </w:p>
          <w:p>
            <w:pPr>
              <w:keepNext w:val="0"/>
              <w:keepLines w:val="0"/>
              <w:pageBreakBefore w:val="0"/>
              <w:kinsoku/>
              <w:wordWrap/>
              <w:overflowPunct/>
              <w:topLinePunct w:val="0"/>
              <w:autoSpaceDE/>
              <w:autoSpaceDN/>
              <w:bidi w:val="0"/>
              <w:spacing w:line="240" w:lineRule="auto"/>
              <w:jc w:val="both"/>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竣工验收制度：根据《建设项目竣工环境保护验收暂行办法》，建设项目配套建设的环境保护设施竣工后，公开竣工日期；对配套建设的环境保护设施进行调试前，公开调试的起止日期；验收报告编制完成后5个工作日内，公开验收报告，公示的期限不得少于20个工作日；建设单位公开上述信息的同时，应当向所在地县级以上环境保护主管部门报送相关信息，并接受监督检查。</w:t>
            </w:r>
          </w:p>
          <w:p>
            <w:pPr>
              <w:keepNext w:val="0"/>
              <w:keepLines w:val="0"/>
              <w:pageBreakBefore w:val="0"/>
              <w:kinsoku/>
              <w:wordWrap/>
              <w:overflowPunct/>
              <w:topLinePunct w:val="0"/>
              <w:autoSpaceDE/>
              <w:autoSpaceDN/>
              <w:bidi w:val="0"/>
              <w:spacing w:line="240" w:lineRule="auto"/>
              <w:jc w:val="both"/>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排污许可制度：企业应于环评审批后，验收前</w:t>
            </w:r>
            <w:r>
              <w:rPr>
                <w:rFonts w:hint="eastAsia" w:cs="Times New Roman"/>
                <w:color w:val="000000" w:themeColor="text1"/>
                <w:sz w:val="21"/>
                <w:szCs w:val="21"/>
                <w:highlight w:val="none"/>
                <w:lang w:val="en-US" w:eastAsia="zh-CN"/>
                <w14:textFill>
                  <w14:solidFill>
                    <w14:schemeClr w14:val="tx1"/>
                  </w14:solidFill>
                </w14:textFill>
              </w:rPr>
              <w:t>办理</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排污</w:t>
            </w:r>
            <w:r>
              <w:rPr>
                <w:rFonts w:hint="eastAsia" w:cs="Times New Roman"/>
                <w:color w:val="000000" w:themeColor="text1"/>
                <w:sz w:val="21"/>
                <w:szCs w:val="21"/>
                <w:highlight w:val="none"/>
                <w:lang w:val="en-US" w:eastAsia="zh-CN"/>
                <w14:textFill>
                  <w14:solidFill>
                    <w14:schemeClr w14:val="tx1"/>
                  </w14:solidFill>
                </w14:textFill>
              </w:rPr>
              <w:t>许可。</w:t>
            </w:r>
          </w:p>
          <w:p>
            <w:pPr>
              <w:keepNext w:val="0"/>
              <w:keepLines w:val="0"/>
              <w:pageBreakBefore w:val="0"/>
              <w:kinsoku/>
              <w:wordWrap/>
              <w:overflowPunct/>
              <w:topLinePunct w:val="0"/>
              <w:autoSpaceDE/>
              <w:autoSpaceDN/>
              <w:bidi w:val="0"/>
              <w:spacing w:line="240" w:lineRule="auto"/>
              <w:jc w:val="both"/>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按相关要求对非道路移动机械进行管理，并做好台账工作</w:t>
            </w:r>
            <w:r>
              <w:rPr>
                <w:rFonts w:hint="eastAsia" w:cs="Times New Roman"/>
                <w:color w:val="000000" w:themeColor="text1"/>
                <w:sz w:val="21"/>
                <w:szCs w:val="21"/>
                <w:highlight w:val="none"/>
                <w:lang w:val="en-US" w:eastAsia="zh-CN"/>
                <w14:textFill>
                  <w14:solidFill>
                    <w14:schemeClr w14:val="tx1"/>
                  </w14:solidFill>
                </w14:textFill>
              </w:rPr>
              <w:t>。</w:t>
            </w:r>
          </w:p>
        </w:tc>
      </w:tr>
    </w:tbl>
    <w:p>
      <w:pPr>
        <w:pStyle w:val="2"/>
        <w:bidi w:val="0"/>
        <w:jc w:val="cente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cs="Times New Roman"/>
          <w:snapToGrid w:val="0"/>
          <w:color w:val="000000" w:themeColor="text1"/>
          <w:highlight w:val="none"/>
          <w14:textFill>
            <w14:solidFill>
              <w14:schemeClr w14:val="tx1"/>
            </w14:solidFill>
          </w14:textFill>
        </w:rPr>
        <w:br w:type="page"/>
      </w:r>
      <w:r>
        <w:rPr>
          <w:rFonts w:hint="default" w:ascii="黑体" w:hAnsi="黑体" w:eastAsia="黑体" w:cs="黑体"/>
          <w:b w:val="0"/>
          <w:bCs w:val="0"/>
          <w:color w:val="000000" w:themeColor="text1"/>
          <w:sz w:val="30"/>
          <w:szCs w:val="30"/>
          <w:highlight w:val="none"/>
          <w14:textFill>
            <w14:solidFill>
              <w14:schemeClr w14:val="tx1"/>
            </w14:solidFill>
          </w14:textFill>
        </w:rPr>
        <w:t>六、结论</w:t>
      </w:r>
    </w:p>
    <w:tbl>
      <w:tblPr>
        <w:tblStyle w:val="31"/>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pStyle w:val="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 项目概况</w:t>
            </w:r>
          </w:p>
          <w:p>
            <w:pPr>
              <w:pStyle w:val="3"/>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1.1 项目概述</w:t>
            </w:r>
          </w:p>
          <w:p>
            <w:pPr>
              <w:pStyle w:val="47"/>
              <w:bidi w:val="0"/>
              <w:rPr>
                <w:rFonts w:hint="eastAsia" w:cs="Times New Roman"/>
                <w:b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项目属于</w:t>
            </w:r>
            <w:r>
              <w:rPr>
                <w:rFonts w:hint="eastAsia" w:ascii="Times New Roman" w:hAnsi="Times New Roman" w:cs="Times New Roman"/>
                <w:color w:val="000000" w:themeColor="text1"/>
                <w:highlight w:val="none"/>
                <w:lang w:val="en-US" w:eastAsia="zh-CN"/>
                <w14:textFill>
                  <w14:solidFill>
                    <w14:schemeClr w14:val="tx1"/>
                  </w14:solidFill>
                </w14:textFill>
              </w:rPr>
              <w:t>新建</w:t>
            </w:r>
            <w:r>
              <w:rPr>
                <w:rFonts w:hint="default" w:ascii="Times New Roman" w:hAnsi="Times New Roman" w:cs="Times New Roman"/>
                <w:color w:val="000000" w:themeColor="text1"/>
                <w:highlight w:val="none"/>
                <w:lang w:val="en-US" w:eastAsia="zh-CN"/>
                <w14:textFill>
                  <w14:solidFill>
                    <w14:schemeClr w14:val="tx1"/>
                  </w14:solidFill>
                </w14:textFill>
              </w:rPr>
              <w:t>项目，项目位于</w:t>
            </w:r>
            <w:r>
              <w:rPr>
                <w:rFonts w:hint="default" w:ascii="Times New Roman" w:hAnsi="Times New Roman" w:cs="Times New Roman"/>
                <w:b w:val="0"/>
                <w:color w:val="000000" w:themeColor="text1"/>
                <w:kern w:val="2"/>
                <w:sz w:val="24"/>
                <w:szCs w:val="24"/>
                <w:highlight w:val="none"/>
                <w:lang w:val="en-US" w:eastAsia="zh-CN" w:bidi="ar-SA"/>
                <w14:textFill>
                  <w14:solidFill>
                    <w14:schemeClr w14:val="tx1"/>
                  </w14:solidFill>
                </w14:textFill>
              </w:rPr>
              <w:t>秦皇岛市抚宁区</w:t>
            </w:r>
            <w:r>
              <w:rPr>
                <w:rFonts w:hint="eastAsia" w:cs="Times New Roman"/>
                <w:b w:val="0"/>
                <w:color w:val="000000" w:themeColor="text1"/>
                <w:kern w:val="2"/>
                <w:sz w:val="24"/>
                <w:szCs w:val="24"/>
                <w:highlight w:val="none"/>
                <w:lang w:val="en-US" w:eastAsia="zh-CN" w:bidi="ar-SA"/>
                <w14:textFill>
                  <w14:solidFill>
                    <w14:schemeClr w14:val="tx1"/>
                  </w14:solidFill>
                </w14:textFill>
              </w:rPr>
              <w:t>留守营镇潘官营村南。</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项目总投资</w:t>
            </w:r>
            <w:r>
              <w:rPr>
                <w:rFonts w:hint="eastAsia" w:ascii="Times New Roman" w:hAnsi="Times New Roman" w:cs="Times New Roman"/>
                <w:color w:val="000000" w:themeColor="text1"/>
                <w:highlight w:val="none"/>
                <w:lang w:val="en-US" w:eastAsia="zh-CN"/>
                <w14:textFill>
                  <w14:solidFill>
                    <w14:schemeClr w14:val="tx1"/>
                  </w14:solidFill>
                </w14:textFill>
              </w:rPr>
              <w:t>1200</w:t>
            </w:r>
            <w:r>
              <w:rPr>
                <w:rFonts w:hint="default" w:ascii="Times New Roman" w:hAnsi="Times New Roman" w:cs="Times New Roman"/>
                <w:color w:val="000000" w:themeColor="text1"/>
                <w:highlight w:val="none"/>
                <w:lang w:val="en-US" w:eastAsia="zh-CN"/>
                <w14:textFill>
                  <w14:solidFill>
                    <w14:schemeClr w14:val="tx1"/>
                  </w14:solidFill>
                </w14:textFill>
              </w:rPr>
              <w:t>万元，其中环保投资</w:t>
            </w: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val="en-US" w:eastAsia="zh-CN"/>
                <w14:textFill>
                  <w14:solidFill>
                    <w14:schemeClr w14:val="tx1"/>
                  </w14:solidFill>
                </w14:textFill>
              </w:rPr>
              <w:t>0万元，占总投资的</w:t>
            </w:r>
            <w:r>
              <w:rPr>
                <w:rFonts w:hint="eastAsia" w:ascii="Times New Roman" w:hAnsi="Times New Roman" w:cs="Times New Roman"/>
                <w:color w:val="000000" w:themeColor="text1"/>
                <w:highlight w:val="none"/>
                <w:lang w:val="en-US" w:eastAsia="zh-CN"/>
                <w14:textFill>
                  <w14:solidFill>
                    <w14:schemeClr w14:val="tx1"/>
                  </w14:solidFill>
                </w14:textFill>
              </w:rPr>
              <w:t>0.83</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zh-CN" w:eastAsia="zh-CN"/>
                <w14:textFill>
                  <w14:solidFill>
                    <w14:schemeClr w14:val="tx1"/>
                  </w14:solidFill>
                </w14:textFill>
              </w:rPr>
              <w:t>环保投资主要用于</w:t>
            </w:r>
            <w:r>
              <w:rPr>
                <w:rFonts w:hint="default" w:ascii="Times New Roman" w:hAnsi="Times New Roman" w:cs="Times New Roman"/>
                <w:color w:val="000000" w:themeColor="text1"/>
                <w:highlight w:val="none"/>
                <w:lang w:val="en-US" w:eastAsia="zh-CN"/>
                <w14:textFill>
                  <w14:solidFill>
                    <w14:schemeClr w14:val="tx1"/>
                  </w14:solidFill>
                </w14:textFill>
              </w:rPr>
              <w:t>废气、</w:t>
            </w:r>
            <w:r>
              <w:rPr>
                <w:rFonts w:hint="eastAsia" w:ascii="Times New Roman" w:hAnsi="Times New Roman" w:cs="Times New Roman"/>
                <w:color w:val="000000" w:themeColor="text1"/>
                <w:highlight w:val="none"/>
                <w:lang w:val="en-US" w:eastAsia="zh-CN"/>
                <w14:textFill>
                  <w14:solidFill>
                    <w14:schemeClr w14:val="tx1"/>
                  </w14:solidFill>
                </w14:textFill>
              </w:rPr>
              <w:t>废水、</w:t>
            </w:r>
            <w:r>
              <w:rPr>
                <w:rFonts w:hint="default" w:ascii="Times New Roman" w:hAnsi="Times New Roman" w:cs="Times New Roman"/>
                <w:color w:val="000000" w:themeColor="text1"/>
                <w:highlight w:val="none"/>
                <w:lang w:val="zh-CN" w:eastAsia="zh-CN"/>
                <w14:textFill>
                  <w14:solidFill>
                    <w14:schemeClr w14:val="tx1"/>
                  </w14:solidFill>
                </w14:textFill>
              </w:rPr>
              <w:t>危险废物治理。</w:t>
            </w:r>
          </w:p>
          <w:p>
            <w:pPr>
              <w:pStyle w:val="3"/>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1.2 项目选址</w:t>
            </w:r>
          </w:p>
          <w:p>
            <w:pPr>
              <w:bidi w:val="0"/>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b w:val="0"/>
                <w:color w:val="000000" w:themeColor="text1"/>
                <w:kern w:val="2"/>
                <w:sz w:val="24"/>
                <w:szCs w:val="24"/>
                <w:highlight w:val="none"/>
                <w:lang w:val="en-US" w:eastAsia="zh-CN" w:bidi="ar-SA"/>
                <w14:textFill>
                  <w14:solidFill>
                    <w14:schemeClr w14:val="tx1"/>
                  </w14:solidFill>
                </w14:textFill>
              </w:rPr>
              <w:t>项目</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位于</w:t>
            </w:r>
            <w:r>
              <w:rPr>
                <w:rFonts w:hint="default" w:ascii="Times New Roman" w:hAnsi="Times New Roman" w:cs="Times New Roman"/>
                <w:b w:val="0"/>
                <w:color w:val="000000" w:themeColor="text1"/>
                <w:kern w:val="2"/>
                <w:sz w:val="24"/>
                <w:szCs w:val="24"/>
                <w:highlight w:val="none"/>
                <w:lang w:val="en-US" w:eastAsia="zh-CN" w:bidi="ar-SA"/>
                <w14:textFill>
                  <w14:solidFill>
                    <w14:schemeClr w14:val="tx1"/>
                  </w14:solidFill>
                </w14:textFill>
              </w:rPr>
              <w:t>秦皇岛市抚宁区</w:t>
            </w:r>
            <w:r>
              <w:rPr>
                <w:rFonts w:hint="eastAsia" w:cs="Times New Roman"/>
                <w:b w:val="0"/>
                <w:color w:val="000000" w:themeColor="text1"/>
                <w:kern w:val="2"/>
                <w:sz w:val="24"/>
                <w:szCs w:val="24"/>
                <w:highlight w:val="none"/>
                <w:lang w:val="en-US" w:eastAsia="zh-CN" w:bidi="ar-SA"/>
                <w14:textFill>
                  <w14:solidFill>
                    <w14:schemeClr w14:val="tx1"/>
                  </w14:solidFill>
                </w14:textFill>
              </w:rPr>
              <w:t>留守营镇潘官营村南</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。厂址地理位置中心坐标为：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东经119°17'51.273"，北纬39°53'9.524"</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项目东侧为</w:t>
            </w:r>
            <w:r>
              <w:rPr>
                <w:rFonts w:hint="eastAsia" w:cs="Times New Roman"/>
                <w:color w:val="000000" w:themeColor="text1"/>
                <w:sz w:val="24"/>
                <w:szCs w:val="24"/>
                <w:highlight w:val="none"/>
                <w:lang w:val="en-US" w:eastAsia="zh-CN"/>
                <w14:textFill>
                  <w14:solidFill>
                    <w14:schemeClr w14:val="tx1"/>
                  </w14:solidFill>
                </w14:textFill>
              </w:rPr>
              <w:t>空地</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，西侧为空地，南侧为</w:t>
            </w:r>
            <w:r>
              <w:rPr>
                <w:rFonts w:hint="eastAsia" w:cs="Times New Roman"/>
                <w:color w:val="000000" w:themeColor="text1"/>
                <w:sz w:val="24"/>
                <w:szCs w:val="24"/>
                <w:highlight w:val="none"/>
                <w:lang w:val="en-US" w:eastAsia="zh-CN"/>
                <w14:textFill>
                  <w14:solidFill>
                    <w14:schemeClr w14:val="tx1"/>
                  </w14:solidFill>
                </w14:textFill>
              </w:rPr>
              <w:t>闲置厂房</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，北侧为</w:t>
            </w:r>
            <w:r>
              <w:rPr>
                <w:rFonts w:hint="eastAsia" w:cs="Times New Roman"/>
                <w:color w:val="000000" w:themeColor="text1"/>
                <w:sz w:val="24"/>
                <w:szCs w:val="24"/>
                <w:highlight w:val="none"/>
                <w:lang w:val="en-US" w:eastAsia="zh-CN"/>
                <w14:textFill>
                  <w14:solidFill>
                    <w14:schemeClr w14:val="tx1"/>
                  </w14:solidFill>
                </w14:textFill>
              </w:rPr>
              <w:t>农田</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项目距离最近敏感点为东北侧140m潘官营村</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本项目用地类型为</w:t>
            </w:r>
            <w:r>
              <w:rPr>
                <w:rFonts w:hint="eastAsia" w:ascii="Times New Roman" w:hAnsi="Times New Roman" w:cs="Times New Roman"/>
                <w:color w:val="000000" w:themeColor="text1"/>
                <w:highlight w:val="none"/>
                <w:lang w:val="en-US" w:eastAsia="zh-CN"/>
                <w14:textFill>
                  <w14:solidFill>
                    <w14:schemeClr w14:val="tx1"/>
                  </w14:solidFill>
                </w14:textFill>
              </w:rPr>
              <w:t>建设</w:t>
            </w:r>
            <w:r>
              <w:rPr>
                <w:rFonts w:hint="default" w:ascii="Times New Roman" w:hAnsi="Times New Roman" w:cs="Times New Roman"/>
                <w:color w:val="000000" w:themeColor="text1"/>
                <w:highlight w:val="none"/>
                <w:lang w:val="en-US" w:eastAsia="zh-CN"/>
                <w14:textFill>
                  <w14:solidFill>
                    <w14:schemeClr w14:val="tx1"/>
                  </w14:solidFill>
                </w14:textFill>
              </w:rPr>
              <w:t>用地</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符合</w:t>
            </w:r>
            <w:r>
              <w:rPr>
                <w:rFonts w:hint="eastAsia" w:ascii="Times New Roman" w:hAnsi="Times New Roman" w:cs="Times New Roman"/>
                <w:color w:val="000000" w:themeColor="text1"/>
                <w:highlight w:val="none"/>
                <w:lang w:val="en-US" w:eastAsia="zh-CN"/>
                <w14:textFill>
                  <w14:solidFill>
                    <w14:schemeClr w14:val="tx1"/>
                  </w14:solidFill>
                </w14:textFill>
              </w:rPr>
              <w:t>抚宁区土地利用规划，厂址为允许建设区</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3"/>
              <w:bidi w:val="0"/>
              <w:rPr>
                <w:rFonts w:hint="default" w:ascii="Times New Roman" w:hAnsi="Times New Roman" w:cs="Times New Roman"/>
                <w:color w:val="000000" w:themeColor="text1"/>
                <w:highlight w:val="yellow"/>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1.3 建设内容与产业政策</w:t>
            </w:r>
          </w:p>
          <w:p>
            <w:pPr>
              <w:pStyle w:val="47"/>
              <w:bidi w:val="0"/>
              <w:rPr>
                <w:rFonts w:hint="default" w:ascii="Times New Roman" w:hAnsi="Times New Roman" w:cs="Times New Roman"/>
                <w:color w:val="000000" w:themeColor="text1"/>
                <w:highlight w:val="yellow"/>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租用抚宁区留守营镇潘官营村委会所建厂房，新上一条炉渣综合利用生产线，本项目占地16.54亩（约11026.86平方米），购置投料系统、皮带输送机、除铁器、滚筒筛、破碎机、跳汰机、摇床等设备，建设完成后年处理炉渣20万吨。</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建设项目属于2019年10月30日国家发展改革委员会第29号令公布的《产业结构调整名录（2019年本）》中</w:t>
            </w:r>
            <w:r>
              <w:rPr>
                <w:rFonts w:hint="eastAsia" w:ascii="Times New Roman" w:hAnsi="Times New Roman" w:cs="Times New Roman"/>
                <w:color w:val="000000" w:themeColor="text1"/>
                <w:highlight w:val="none"/>
                <w:lang w:val="en-US" w:eastAsia="zh-CN"/>
                <w14:textFill>
                  <w14:solidFill>
                    <w14:schemeClr w14:val="tx1"/>
                  </w14:solidFill>
                </w14:textFill>
              </w:rPr>
              <w:t>鼓励</w:t>
            </w:r>
            <w:r>
              <w:rPr>
                <w:rFonts w:hint="default" w:ascii="Times New Roman" w:hAnsi="Times New Roman" w:cs="Times New Roman"/>
                <w:color w:val="000000" w:themeColor="text1"/>
                <w:highlight w:val="none"/>
                <w:lang w:val="en-US" w:eastAsia="zh-CN"/>
                <w14:textFill>
                  <w14:solidFill>
                    <w14:schemeClr w14:val="tx1"/>
                  </w14:solidFill>
                </w14:textFill>
              </w:rPr>
              <w:t>类，符合国家产业政策；不属于《关于河北省区域禁（限）批建项目的实施意见（试行）》（冀政[2009]89号）中区域禁止和限制建设项目，不在该文件规定的环境敏感区内，也不属于《河北省新增限制和淘汰类产业目录（2015年版）》中限制和淘汰类项目，符合河北省政策要求；不属于《秦皇岛市限制和禁止投资的产业目录（2020年版）》中的限制和禁止类。项目建设符合秦皇岛市政策要求；符合“三线一单”的要求。</w:t>
            </w:r>
          </w:p>
          <w:p>
            <w:pPr>
              <w:pStyle w:val="9"/>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1.4 项目衔接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本项目供电</w:t>
            </w:r>
            <w:r>
              <w:rPr>
                <w:rFonts w:hint="eastAsia" w:cs="Times New Roman"/>
                <w:color w:val="000000" w:themeColor="text1"/>
                <w:highlight w:val="none"/>
                <w:lang w:val="en-US" w:eastAsia="zh-CN"/>
                <w14:textFill>
                  <w14:solidFill>
                    <w14:schemeClr w14:val="tx1"/>
                  </w14:solidFill>
                </w14:textFill>
              </w:rPr>
              <w:t>厂区自备变压器提供</w:t>
            </w:r>
            <w:r>
              <w:rPr>
                <w:rFonts w:hint="default" w:ascii="Times New Roman" w:hAnsi="Times New Roman" w:cs="Times New Roman"/>
                <w:color w:val="000000" w:themeColor="text1"/>
                <w:highlight w:val="none"/>
                <w:lang w:val="en-US" w:eastAsia="zh-CN"/>
                <w14:textFill>
                  <w14:solidFill>
                    <w14:schemeClr w14:val="tx1"/>
                  </w14:solidFill>
                </w14:textFill>
              </w:rPr>
              <w:t>，用水</w:t>
            </w:r>
            <w:r>
              <w:rPr>
                <w:rFonts w:hint="eastAsia" w:cs="Times New Roman"/>
                <w:color w:val="000000" w:themeColor="text1"/>
                <w:highlight w:val="none"/>
                <w:lang w:val="en-US" w:eastAsia="zh-CN"/>
                <w14:textFill>
                  <w14:solidFill>
                    <w14:schemeClr w14:val="tx1"/>
                  </w14:solidFill>
                </w14:textFill>
              </w:rPr>
              <w:t>外购，场地依托现有不新增占地</w:t>
            </w:r>
            <w:r>
              <w:rPr>
                <w:rFonts w:hint="default" w:ascii="Times New Roman" w:hAnsi="Times New Roman" w:cs="Times New Roman"/>
                <w:color w:val="000000" w:themeColor="text1"/>
                <w:highlight w:val="none"/>
                <w:lang w:val="en-US" w:eastAsia="zh-CN"/>
                <w14:textFill>
                  <w14:solidFill>
                    <w14:schemeClr w14:val="tx1"/>
                  </w14:solidFill>
                </w14:textFill>
              </w:rPr>
              <w:t>。</w:t>
            </w:r>
          </w:p>
          <w:p>
            <w:pPr>
              <w:pStyle w:val="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 环境质量现状</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项目区域声环境</w:t>
            </w:r>
            <w:r>
              <w:rPr>
                <w:rFonts w:hint="eastAsia" w:ascii="Times New Roman" w:hAnsi="Times New Roman" w:cs="Times New Roman"/>
                <w:color w:val="000000" w:themeColor="text1"/>
                <w:highlight w:val="none"/>
                <w:lang w:val="en-US" w:eastAsia="zh-CN"/>
                <w14:textFill>
                  <w14:solidFill>
                    <w14:schemeClr w14:val="tx1"/>
                  </w14:solidFill>
                </w14:textFill>
              </w:rPr>
              <w:t>执行</w:t>
            </w:r>
            <w:r>
              <w:rPr>
                <w:rFonts w:hint="default" w:ascii="Times New Roman" w:hAnsi="Times New Roman" w:cs="Times New Roman"/>
                <w:color w:val="000000" w:themeColor="text1"/>
                <w:highlight w:val="none"/>
                <w:lang w:val="en-US" w:eastAsia="zh-CN"/>
                <w14:textFill>
                  <w14:solidFill>
                    <w14:schemeClr w14:val="tx1"/>
                  </w14:solidFill>
                </w14:textFill>
              </w:rPr>
              <w:t>《声环境质量标准》(GB3096-2008)</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类区标准；大气环境满足《环境空气质量标准》(GB3095-2012)二级标准，为二类</w:t>
            </w:r>
            <w:r>
              <w:rPr>
                <w:rFonts w:hint="eastAsia" w:ascii="Times New Roman" w:hAnsi="Times New Roman" w:cs="Times New Roman"/>
                <w:color w:val="000000" w:themeColor="text1"/>
                <w:highlight w:val="none"/>
                <w:lang w:val="en-US" w:eastAsia="zh-CN"/>
                <w14:textFill>
                  <w14:solidFill>
                    <w14:schemeClr w14:val="tx1"/>
                  </w14:solidFill>
                </w14:textFill>
              </w:rPr>
              <w:t>不</w:t>
            </w:r>
            <w:r>
              <w:rPr>
                <w:rFonts w:hint="default" w:ascii="Times New Roman" w:hAnsi="Times New Roman" w:cs="Times New Roman"/>
                <w:color w:val="000000" w:themeColor="text1"/>
                <w:highlight w:val="none"/>
                <w:lang w:val="en-US" w:eastAsia="zh-CN"/>
                <w14:textFill>
                  <w14:solidFill>
                    <w14:schemeClr w14:val="tx1"/>
                  </w14:solidFill>
                </w14:textFill>
              </w:rPr>
              <w:t>达标区</w:t>
            </w:r>
            <w:r>
              <w:rPr>
                <w:rFonts w:hint="default" w:ascii="Times New Roman" w:hAnsi="Times New Roman" w:cs="Times New Roman"/>
                <w:color w:val="000000" w:themeColor="text1"/>
                <w:highlight w:val="none"/>
                <w:lang w:eastAsia="zh-CN"/>
                <w14:textFill>
                  <w14:solidFill>
                    <w14:schemeClr w14:val="tx1"/>
                  </w14:solidFill>
                </w14:textFill>
              </w:rPr>
              <w:t>。</w:t>
            </w:r>
          </w:p>
          <w:p>
            <w:pPr>
              <w:pStyle w:val="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 拟采取的环保措施可行性</w:t>
            </w:r>
          </w:p>
          <w:p>
            <w:pPr>
              <w:pStyle w:val="3"/>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3.1 </w:t>
            </w:r>
            <w:r>
              <w:rPr>
                <w:rFonts w:hint="default" w:ascii="Times New Roman" w:hAnsi="Times New Roman" w:cs="Times New Roman"/>
                <w:color w:val="000000" w:themeColor="text1"/>
                <w:highlight w:val="none"/>
                <w14:textFill>
                  <w14:solidFill>
                    <w14:schemeClr w14:val="tx1"/>
                  </w14:solidFill>
                </w14:textFill>
              </w:rPr>
              <w:t>选址可行性结论</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本项目位于</w:t>
            </w:r>
            <w:r>
              <w:rPr>
                <w:rFonts w:hint="default" w:ascii="Times New Roman" w:hAnsi="Times New Roman" w:cs="Times New Roman"/>
                <w:b w:val="0"/>
                <w:color w:val="000000" w:themeColor="text1"/>
                <w:kern w:val="2"/>
                <w:sz w:val="24"/>
                <w:szCs w:val="24"/>
                <w:highlight w:val="none"/>
                <w:lang w:val="en-US" w:eastAsia="zh-CN" w:bidi="ar-SA"/>
                <w14:textFill>
                  <w14:solidFill>
                    <w14:schemeClr w14:val="tx1"/>
                  </w14:solidFill>
                </w14:textFill>
              </w:rPr>
              <w:t>秦皇岛市抚宁区留守营镇潘官营村南</w:t>
            </w:r>
            <w:r>
              <w:rPr>
                <w:rFonts w:hint="default" w:ascii="Times New Roman" w:hAnsi="Times New Roman" w:cs="Times New Roman"/>
                <w:color w:val="000000" w:themeColor="text1"/>
                <w:highlight w:val="none"/>
                <w:lang w:val="en-US" w:eastAsia="zh-CN"/>
                <w14:textFill>
                  <w14:solidFill>
                    <w14:schemeClr w14:val="tx1"/>
                  </w14:solidFill>
                </w14:textFill>
              </w:rPr>
              <w:t>，使用现有的场地，用地类型为</w:t>
            </w:r>
            <w:r>
              <w:rPr>
                <w:rFonts w:hint="eastAsia" w:ascii="Times New Roman" w:hAnsi="Times New Roman" w:cs="Times New Roman"/>
                <w:color w:val="000000" w:themeColor="text1"/>
                <w:highlight w:val="none"/>
                <w:lang w:val="en-US" w:eastAsia="zh-CN"/>
                <w14:textFill>
                  <w14:solidFill>
                    <w14:schemeClr w14:val="tx1"/>
                  </w14:solidFill>
                </w14:textFill>
              </w:rPr>
              <w:t>建设用地</w:t>
            </w:r>
            <w:r>
              <w:rPr>
                <w:rFonts w:hint="default" w:ascii="Times New Roman" w:hAnsi="Times New Roman" w:cs="Times New Roman"/>
                <w:color w:val="000000" w:themeColor="text1"/>
                <w:highlight w:val="none"/>
                <w:lang w:val="en-US" w:eastAsia="zh-CN"/>
                <w14:textFill>
                  <w14:solidFill>
                    <w14:schemeClr w14:val="tx1"/>
                  </w14:solidFill>
                </w14:textFill>
              </w:rPr>
              <w:t>，符合</w:t>
            </w:r>
            <w:r>
              <w:rPr>
                <w:rFonts w:hint="eastAsia" w:ascii="Times New Roman" w:hAnsi="Times New Roman" w:cs="Times New Roman"/>
                <w:color w:val="000000" w:themeColor="text1"/>
                <w:highlight w:val="none"/>
                <w:lang w:val="en-US" w:eastAsia="zh-CN"/>
                <w14:textFill>
                  <w14:solidFill>
                    <w14:schemeClr w14:val="tx1"/>
                  </w14:solidFill>
                </w14:textFill>
              </w:rPr>
              <w:t>抚宁区</w:t>
            </w:r>
            <w:r>
              <w:rPr>
                <w:rFonts w:hint="default" w:ascii="Times New Roman" w:hAnsi="Times New Roman" w:cs="Times New Roman"/>
                <w:color w:val="000000" w:themeColor="text1"/>
                <w:highlight w:val="none"/>
                <w:lang w:val="en-US" w:eastAsia="zh-CN"/>
                <w14:textFill>
                  <w14:solidFill>
                    <w14:schemeClr w14:val="tx1"/>
                  </w14:solidFill>
                </w14:textFill>
              </w:rPr>
              <w:t>土地利用总体规划要求同时符合秦皇岛市城乡规划要求。</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厂址周围无饮用水源保护区、自然保护区和风景名胜区等敏感区域。项目不在国土资源部、国家发展和改革委员会发布的《限制用地项目目录（2012年本）》和《禁止用地项目目录（2012年本）》的范围内，项目场地不在河北省冀政[2009]89号《关于河北省区域禁（限）批建设项目的实施意见（试行）》范围内，也不属于《河北省环境敏感区支持、限制及禁止建设项目名录（2005年本）》中的限制、禁止内容。</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项目用地类型为</w:t>
            </w:r>
            <w:r>
              <w:rPr>
                <w:rFonts w:hint="eastAsia" w:ascii="Times New Roman" w:hAnsi="Times New Roman" w:cs="Times New Roman"/>
                <w:color w:val="000000" w:themeColor="text1"/>
                <w:highlight w:val="none"/>
                <w:lang w:val="en-US" w:eastAsia="zh-CN"/>
                <w14:textFill>
                  <w14:solidFill>
                    <w14:schemeClr w14:val="tx1"/>
                  </w14:solidFill>
                </w14:textFill>
              </w:rPr>
              <w:t>建设</w:t>
            </w:r>
            <w:r>
              <w:rPr>
                <w:rFonts w:hint="default" w:ascii="Times New Roman" w:hAnsi="Times New Roman" w:cs="Times New Roman"/>
                <w:color w:val="000000" w:themeColor="text1"/>
                <w:highlight w:val="none"/>
                <w:lang w:val="en-US" w:eastAsia="zh-CN"/>
                <w14:textFill>
                  <w14:solidFill>
                    <w14:schemeClr w14:val="tx1"/>
                  </w14:solidFill>
                </w14:textFill>
              </w:rPr>
              <w:t>用地，</w:t>
            </w:r>
            <w:r>
              <w:rPr>
                <w:rFonts w:hint="eastAsia" w:ascii="Times New Roman" w:hAnsi="Times New Roman" w:cs="Times New Roman"/>
                <w:color w:val="000000" w:themeColor="text1"/>
                <w:highlight w:val="none"/>
                <w:lang w:val="en-US" w:eastAsia="zh-CN"/>
                <w14:textFill>
                  <w14:solidFill>
                    <w14:schemeClr w14:val="tx1"/>
                  </w14:solidFill>
                </w14:textFill>
              </w:rPr>
              <w:t>符合抚宁区土地利用规划，厂址为允许建设区</w:t>
            </w:r>
            <w:r>
              <w:rPr>
                <w:rFonts w:hint="default" w:ascii="Times New Roman" w:hAnsi="Times New Roman" w:cs="Times New Roman"/>
                <w:color w:val="000000" w:themeColor="text1"/>
                <w:highlight w:val="none"/>
                <w14:textFill>
                  <w14:solidFill>
                    <w14:schemeClr w14:val="tx1"/>
                  </w14:solidFill>
                </w14:textFill>
              </w:rPr>
              <w:t>。</w:t>
            </w:r>
          </w:p>
          <w:p>
            <w:pPr>
              <w:pStyle w:val="3"/>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运营期污染防治措施结论</w:t>
            </w:r>
          </w:p>
          <w:p>
            <w:pPr>
              <w:pStyle w:val="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1大气环境影响评价结论</w:t>
            </w:r>
          </w:p>
          <w:p>
            <w:pPr>
              <w:ind w:firstLine="480" w:firstLineChars="200"/>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炉渣堆放无组织颗粒物执行《大气污染物综合排放标准》（GB16297-1996）中表2无组织排放监控浓度限值</w:t>
            </w:r>
            <w:r>
              <w:rPr>
                <w:rFonts w:hint="eastAsia" w:cs="Times New Roman"/>
                <w:color w:val="000000" w:themeColor="text1"/>
                <w:highlight w:val="none"/>
                <w:lang w:val="en-US" w:eastAsia="zh-CN"/>
                <w14:textFill>
                  <w14:solidFill>
                    <w14:schemeClr w14:val="tx1"/>
                  </w14:solidFill>
                </w14:textFill>
              </w:rPr>
              <w:t>：1.0</w:t>
            </w:r>
            <w:r>
              <w:rPr>
                <w:rFonts w:hint="default" w:ascii="Times New Roman" w:hAnsi="Times New Roman" w:cs="Times New Roman"/>
                <w:color w:val="000000" w:themeColor="text1"/>
                <w:highlight w:val="none"/>
                <w:lang w:val="en-US" w:eastAsia="zh-CN"/>
                <w14:textFill>
                  <w14:solidFill>
                    <w14:schemeClr w14:val="tx1"/>
                  </w14:solidFill>
                </w14:textFill>
              </w:rPr>
              <w:t>mg/m³以及《秦皇岛市人民政府办公室关于执行钢铁等行业大气污染物排放特别要求的通知》（2021-10）中无组织排放浓度特别管控要求，即0.3mg/m³。</w:t>
            </w:r>
          </w:p>
          <w:p>
            <w:pPr>
              <w:pStyle w:val="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.2 水环境影响评价结论</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本项目生产</w:t>
            </w:r>
            <w:r>
              <w:rPr>
                <w:rFonts w:hint="eastAsia" w:ascii="Times New Roman" w:hAnsi="Times New Roman" w:cs="Times New Roman"/>
                <w:color w:val="000000" w:themeColor="text1"/>
                <w:highlight w:val="none"/>
                <w:lang w:val="en-US" w:eastAsia="zh-CN"/>
                <w14:textFill>
                  <w14:solidFill>
                    <w14:schemeClr w14:val="tx1"/>
                  </w14:solidFill>
                </w14:textFill>
              </w:rPr>
              <w:t>废水，循环使用</w:t>
            </w:r>
            <w:r>
              <w:rPr>
                <w:rFonts w:hint="default" w:ascii="Times New Roman" w:hAnsi="Times New Roman" w:cs="Times New Roman"/>
                <w:color w:val="000000" w:themeColor="text1"/>
                <w:highlight w:val="none"/>
                <w:lang w:val="en-US" w:eastAsia="zh-CN"/>
                <w14:textFill>
                  <w14:solidFill>
                    <w14:schemeClr w14:val="tx1"/>
                  </w14:solidFill>
                </w14:textFill>
              </w:rPr>
              <w:t>不外排</w:t>
            </w:r>
            <w:r>
              <w:rPr>
                <w:rFonts w:hint="eastAsia" w:ascii="Times New Roman" w:hAnsi="Times New Roman" w:cs="Times New Roman"/>
                <w:color w:val="000000" w:themeColor="text1"/>
                <w:highlight w:val="none"/>
                <w:lang w:val="en-US" w:eastAsia="zh-CN"/>
                <w14:textFill>
                  <w14:solidFill>
                    <w14:schemeClr w14:val="tx1"/>
                  </w14:solidFill>
                </w14:textFill>
              </w:rPr>
              <w:t>；生活废水排入化粪池后由清污车清运</w:t>
            </w:r>
            <w:r>
              <w:rPr>
                <w:rFonts w:hint="default" w:ascii="Times New Roman" w:hAnsi="Times New Roman" w:cs="Times New Roman"/>
                <w:color w:val="000000" w:themeColor="text1"/>
                <w:lang w:val="en-US" w:eastAsia="zh-CN"/>
                <w14:textFill>
                  <w14:solidFill>
                    <w14:schemeClr w14:val="tx1"/>
                  </w14:solidFill>
                </w14:textFill>
              </w:rPr>
              <w:t>。</w:t>
            </w:r>
          </w:p>
          <w:p>
            <w:pPr>
              <w:pStyle w:val="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.3 声环境影响评价结论</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本项目噪声来源主要为设备噪声，噪声值为</w:t>
            </w:r>
            <w:r>
              <w:rPr>
                <w:rFonts w:hint="eastAsia" w:cs="Times New Roman"/>
                <w:color w:val="000000" w:themeColor="text1"/>
                <w:lang w:val="en-US" w:eastAsia="zh-CN"/>
                <w14:textFill>
                  <w14:solidFill>
                    <w14:schemeClr w14:val="tx1"/>
                  </w14:solidFill>
                </w14:textFill>
              </w:rPr>
              <w:t>75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85</w:t>
            </w:r>
            <w:r>
              <w:rPr>
                <w:rFonts w:hint="default" w:ascii="Times New Roman" w:hAnsi="Times New Roman" w:cs="Times New Roman"/>
                <w:color w:val="000000" w:themeColor="text1"/>
                <w:highlight w:val="none"/>
                <w:lang w:val="en-US" w:eastAsia="zh-CN"/>
                <w14:textFill>
                  <w14:solidFill>
                    <w14:schemeClr w14:val="tx1"/>
                  </w14:solidFill>
                </w14:textFill>
              </w:rPr>
              <w:t>dB(A)，项目经建筑隔声，距离衰减，设置减振基础，可满足《工业企业厂界环境噪声排放标准》(GB12348</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2008)中的</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类标准，昼间≤</w:t>
            </w:r>
            <w:r>
              <w:rPr>
                <w:rFonts w:hint="eastAsia" w:cs="Times New Roman"/>
                <w:color w:val="000000" w:themeColor="text1"/>
                <w:highlight w:val="none"/>
                <w:lang w:val="en-US" w:eastAsia="zh-CN"/>
                <w14:textFill>
                  <w14:solidFill>
                    <w14:schemeClr w14:val="tx1"/>
                  </w14:solidFill>
                </w14:textFill>
              </w:rPr>
              <w:t>60</w:t>
            </w:r>
            <w:r>
              <w:rPr>
                <w:rFonts w:hint="default" w:ascii="Times New Roman" w:hAnsi="Times New Roman" w:cs="Times New Roman"/>
                <w:color w:val="000000" w:themeColor="text1"/>
                <w:highlight w:val="none"/>
                <w:lang w:val="en-US" w:eastAsia="zh-CN"/>
                <w14:textFill>
                  <w14:solidFill>
                    <w14:schemeClr w14:val="tx1"/>
                  </w14:solidFill>
                </w14:textFill>
              </w:rPr>
              <w:t>dB(A)</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夜间不生产。</w:t>
            </w:r>
            <w:r>
              <w:rPr>
                <w:rFonts w:hint="default" w:ascii="Times New Roman" w:hAnsi="Times New Roman" w:cs="Times New Roman"/>
                <w:color w:val="000000" w:themeColor="text1"/>
                <w:highlight w:val="none"/>
                <w:lang w:val="en-US" w:eastAsia="zh-CN"/>
                <w14:textFill>
                  <w14:solidFill>
                    <w14:schemeClr w14:val="tx1"/>
                  </w14:solidFill>
                </w14:textFill>
              </w:rPr>
              <w:t>措施可行。</w:t>
            </w:r>
          </w:p>
          <w:p>
            <w:pPr>
              <w:pStyle w:val="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.4 固废环境影响评价结论</w:t>
            </w:r>
          </w:p>
          <w:p>
            <w:pPr>
              <w:pStyle w:val="47"/>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一般工业固体废物主要为沉淀池泥沙压滤成泥饼后暂存固废暂存区后统一外售，未燃尽垃圾集中收集后，电厂回收利用；</w:t>
            </w:r>
            <w:r>
              <w:rPr>
                <w:rFonts w:hint="default" w:ascii="Times New Roman" w:hAnsi="Times New Roman" w:cs="Times New Roman"/>
                <w:color w:val="000000" w:themeColor="text1"/>
                <w:lang w:val="en-US" w:eastAsia="zh-CN"/>
                <w14:textFill>
                  <w14:solidFill>
                    <w14:schemeClr w14:val="tx1"/>
                  </w14:solidFill>
                </w14:textFill>
              </w:rPr>
              <w:t>危险废物主要为</w:t>
            </w:r>
            <w:r>
              <w:rPr>
                <w:rFonts w:hint="eastAsia" w:ascii="Times New Roman" w:hAnsi="Times New Roman" w:cs="Times New Roman"/>
                <w:color w:val="000000" w:themeColor="text1"/>
                <w:lang w:val="en-US" w:eastAsia="zh-CN"/>
                <w14:textFill>
                  <w14:solidFill>
                    <w14:schemeClr w14:val="tx1"/>
                  </w14:solidFill>
                </w14:textFill>
              </w:rPr>
              <w:t>废润滑油桶、废润滑油</w:t>
            </w:r>
            <w:r>
              <w:rPr>
                <w:rFonts w:hint="default" w:ascii="Times New Roman" w:hAnsi="Times New Roman" w:cs="Times New Roman"/>
                <w:color w:val="000000" w:themeColor="text1"/>
                <w:lang w:val="en-US" w:eastAsia="zh-CN"/>
                <w14:textFill>
                  <w14:solidFill>
                    <w14:schemeClr w14:val="tx1"/>
                  </w14:solidFill>
                </w14:textFill>
              </w:rPr>
              <w:t>，将其暂存至危废间内，交由有资质单位定期运输并处置</w:t>
            </w:r>
            <w:r>
              <w:rPr>
                <w:rFonts w:hint="default" w:ascii="Times New Roman" w:hAnsi="Times New Roman" w:cs="Times New Roman"/>
                <w:color w:val="000000" w:themeColor="text1"/>
                <w:highlight w:val="none"/>
                <w:lang w:val="en-US" w:eastAsia="zh-CN"/>
                <w14:textFill>
                  <w14:solidFill>
                    <w14:schemeClr w14:val="tx1"/>
                  </w14:solidFill>
                </w14:textFill>
              </w:rPr>
              <w:t>。所有固体废物均得到合理处置，措施可行。</w:t>
            </w:r>
          </w:p>
          <w:p>
            <w:pPr>
              <w:pStyle w:val="8"/>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.5 土壤环境影响结论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危险废物暂存于危废间内，危废间符合基础的防腐防渗要求，危废间位于车间内，且车间地面均硬化处理，不会对地下水及土壤造成影响</w:t>
            </w:r>
            <w:r>
              <w:rPr>
                <w:rFonts w:hint="default" w:ascii="Times New Roman" w:hAnsi="Times New Roman" w:cs="Times New Roman"/>
                <w:color w:val="000000" w:themeColor="text1"/>
                <w:highlight w:val="none"/>
                <w:lang w:val="en-US" w:eastAsia="zh-CN"/>
                <w14:textFill>
                  <w14:solidFill>
                    <w14:schemeClr w14:val="tx1"/>
                  </w14:solidFill>
                </w14:textFill>
              </w:rPr>
              <w:t>，措施可行。</w:t>
            </w:r>
          </w:p>
          <w:p>
            <w:pPr>
              <w:pStyle w:val="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综合结论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综上所述，该项目符合国家产业政策，厂址选择可行，工程采取了较为完善的污染防治措施，可确保达标排放，项目的建设不会对周围环境产生明显的污染影响。在全面加强监督管理，严格执行“三同时”前提下，从环保角度分析项目的建设可行。</w:t>
            </w:r>
          </w:p>
          <w:p>
            <w:pPr>
              <w:pStyle w:val="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（1）加强环境管理。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（2）加强各生产环节管理，实施清洁生产管理，从源头抓起，确保环保设施正常运行，最大限度地减少污染物的排放量。</w:t>
            </w:r>
          </w:p>
          <w:p>
            <w:pPr>
              <w:pStyle w:val="30"/>
              <w:rPr>
                <w:rFonts w:hint="default" w:ascii="Times New Roman" w:hAnsi="Times New Roman" w:cs="Times New Roman"/>
                <w:color w:val="000000" w:themeColor="text1"/>
                <w:highlight w:val="none"/>
                <w:lang w:val="en-US" w:eastAsia="zh-CN"/>
                <w14:textFill>
                  <w14:solidFill>
                    <w14:schemeClr w14:val="tx1"/>
                  </w14:solidFill>
                </w14:textFill>
              </w:rPr>
            </w:pPr>
          </w:p>
          <w:p>
            <w:pPr>
              <w:pStyle w:val="29"/>
              <w:rPr>
                <w:rFonts w:hint="default" w:ascii="Times New Roman" w:hAnsi="Times New Roman" w:eastAsia="宋体" w:cs="Times New Roman"/>
                <w:color w:val="000000" w:themeColor="text1"/>
                <w:highlight w:val="none"/>
                <w14:textFill>
                  <w14:solidFill>
                    <w14:schemeClr w14:val="tx1"/>
                  </w14:solidFill>
                </w14:textFill>
              </w:rPr>
            </w:pPr>
          </w:p>
          <w:p>
            <w:pPr>
              <w:pStyle w:val="29"/>
              <w:ind w:left="0" w:leftChars="0" w:firstLine="0" w:firstLineChars="0"/>
              <w:rPr>
                <w:rFonts w:hint="default" w:ascii="Times New Roman" w:hAnsi="Times New Roman" w:eastAsia="宋体" w:cs="Times New Roman"/>
                <w:color w:val="000000" w:themeColor="text1"/>
                <w:highlight w:val="none"/>
                <w14:textFill>
                  <w14:solidFill>
                    <w14:schemeClr w14:val="tx1"/>
                  </w14:solidFill>
                </w14:textFill>
              </w:rPr>
            </w:pPr>
          </w:p>
        </w:tc>
      </w:tr>
    </w:tbl>
    <w:p>
      <w:pPr>
        <w:rPr>
          <w:rFonts w:hint="default" w:ascii="Times New Roman" w:hAnsi="Times New Roman" w:cs="Times New Roman"/>
          <w:color w:val="000000" w:themeColor="text1"/>
          <w:highlight w:val="none"/>
          <w14:textFill>
            <w14:solidFill>
              <w14:schemeClr w14:val="tx1"/>
            </w14:solidFill>
          </w14:textFill>
        </w:rPr>
        <w:sectPr>
          <w:pgSz w:w="11905" w:h="16838"/>
          <w:pgMar w:top="1440" w:right="1587" w:bottom="1440" w:left="1587"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pPr>
        <w:pStyle w:val="2"/>
        <w:bidi w:val="0"/>
        <w:jc w:val="both"/>
        <w:rPr>
          <w:rFonts w:hint="default" w:ascii="黑体" w:hAnsi="黑体" w:eastAsia="黑体" w:cs="黑体"/>
          <w:b w:val="0"/>
          <w:bCs w:val="0"/>
          <w:color w:val="000000" w:themeColor="text1"/>
          <w:sz w:val="30"/>
          <w:szCs w:val="30"/>
          <w:highlight w:val="none"/>
          <w14:textFill>
            <w14:solidFill>
              <w14:schemeClr w14:val="tx1"/>
            </w14:solidFill>
          </w14:textFill>
        </w:rPr>
      </w:pPr>
      <w:r>
        <w:rPr>
          <w:rFonts w:hint="default" w:ascii="黑体" w:hAnsi="黑体" w:eastAsia="黑体" w:cs="黑体"/>
          <w:b w:val="0"/>
          <w:bCs w:val="0"/>
          <w:color w:val="000000" w:themeColor="text1"/>
          <w:sz w:val="30"/>
          <w:szCs w:val="30"/>
          <w:highlight w:val="none"/>
          <w14:textFill>
            <w14:solidFill>
              <w14:schemeClr w14:val="tx1"/>
            </w14:solidFill>
          </w14:textFill>
        </w:rPr>
        <w:t>附表</w:t>
      </w: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default" w:ascii="Times New Roman" w:hAnsi="Times New Roman" w:eastAsia="黑体" w:cs="Times New Roman"/>
          <w:snapToGrid w:val="0"/>
          <w:color w:val="000000" w:themeColor="text1"/>
          <w:sz w:val="36"/>
          <w:szCs w:val="36"/>
          <w:highlight w:val="none"/>
          <w14:textFill>
            <w14:solidFill>
              <w14:schemeClr w14:val="tx1"/>
            </w14:solidFill>
          </w14:textFill>
        </w:rPr>
      </w:pPr>
      <w:r>
        <w:rPr>
          <w:rFonts w:hint="default" w:ascii="Times New Roman" w:hAnsi="Times New Roman" w:eastAsia="黑体" w:cs="Times New Roman"/>
          <w:snapToGrid w:val="0"/>
          <w:color w:val="000000" w:themeColor="text1"/>
          <w:sz w:val="36"/>
          <w:szCs w:val="36"/>
          <w:highlight w:val="none"/>
          <w14:textFill>
            <w14:solidFill>
              <w14:schemeClr w14:val="tx1"/>
            </w14:solidFill>
          </w14:textFill>
        </w:rPr>
        <w:t>建设项目污染物排放量汇总表</w:t>
      </w:r>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1552"/>
        <w:gridCol w:w="1617"/>
        <w:gridCol w:w="1298"/>
        <w:gridCol w:w="1728"/>
        <w:gridCol w:w="1585"/>
        <w:gridCol w:w="1789"/>
        <w:gridCol w:w="1759"/>
        <w:gridCol w:w="10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tcBorders>
              <w:tl2br w:val="single" w:color="auto" w:sz="4" w:space="0"/>
            </w:tcBorders>
            <w:noWrap w:val="0"/>
            <w:tcMar>
              <w:left w:w="28" w:type="dxa"/>
              <w:right w:w="28"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项目</w:t>
            </w:r>
          </w:p>
          <w:p>
            <w:pPr>
              <w:pStyle w:val="57"/>
              <w:spacing w:line="240" w:lineRule="auto"/>
              <w:ind w:firstLine="210" w:firstLineChars="10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分类</w:t>
            </w:r>
          </w:p>
        </w:tc>
        <w:tc>
          <w:tcPr>
            <w:tcW w:w="1552" w:type="dxa"/>
            <w:noWrap w:val="0"/>
            <w:tcMar>
              <w:left w:w="28" w:type="dxa"/>
              <w:right w:w="28"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污染物名称</w:t>
            </w:r>
          </w:p>
        </w:tc>
        <w:tc>
          <w:tcPr>
            <w:tcW w:w="1617" w:type="dxa"/>
            <w:noWrap w:val="0"/>
            <w:tcMar>
              <w:left w:w="28" w:type="dxa"/>
              <w:right w:w="28"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现有工程</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排放量（固体废物产生量）</w:t>
            </w: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①</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p>
        </w:tc>
        <w:tc>
          <w:tcPr>
            <w:tcW w:w="1298" w:type="dxa"/>
            <w:noWrap w:val="0"/>
            <w:tcMar>
              <w:left w:w="28" w:type="dxa"/>
              <w:right w:w="28"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现有工程</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许可排放量</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②</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p>
        </w:tc>
        <w:tc>
          <w:tcPr>
            <w:tcW w:w="1728" w:type="dxa"/>
            <w:noWrap w:val="0"/>
            <w:tcMar>
              <w:left w:w="28" w:type="dxa"/>
              <w:right w:w="28"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在建工程</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排放量（固体废物产生量）</w:t>
            </w: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 3 \* GB3 \* MERGEFORMAT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③</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p>
        </w:tc>
        <w:tc>
          <w:tcPr>
            <w:tcW w:w="1585" w:type="dxa"/>
            <w:noWrap w:val="0"/>
            <w:tcMar>
              <w:left w:w="28" w:type="dxa"/>
              <w:right w:w="28"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排放量（固体废物产生量）</w:t>
            </w: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 4 \* GB3 \* MERGEFORMAT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④</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p>
        </w:tc>
        <w:tc>
          <w:tcPr>
            <w:tcW w:w="1789" w:type="dxa"/>
            <w:noWrap w:val="0"/>
            <w:tcMar>
              <w:left w:w="28" w:type="dxa"/>
              <w:right w:w="28"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以新带老削减量</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（新建项目不填）</w:t>
            </w: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 5 \* GB3 \* MERGEFORMAT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⑤</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p>
        </w:tc>
        <w:tc>
          <w:tcPr>
            <w:tcW w:w="1759" w:type="dxa"/>
            <w:noWrap w:val="0"/>
            <w:tcMar>
              <w:left w:w="28" w:type="dxa"/>
              <w:right w:w="28"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本项目建成后</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全厂排放量（固体废物产生量）</w:t>
            </w: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 6 \* GB3 \* MERGEFORMAT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⑥</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p>
        </w:tc>
        <w:tc>
          <w:tcPr>
            <w:tcW w:w="1073" w:type="dxa"/>
            <w:noWrap w:val="0"/>
            <w:tcMar>
              <w:left w:w="28" w:type="dxa"/>
              <w:right w:w="28" w:type="dxa"/>
            </w:tcMar>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变化量</w:t>
            </w:r>
          </w:p>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lang w:val="en-US" w:eastAsia="zh-CN"/>
                <w14:textFill>
                  <w14:solidFill>
                    <w14:schemeClr w14:val="tx1"/>
                  </w14:solidFill>
                </w14:textFill>
              </w:rPr>
              <w:instrText xml:space="preserve"> = 7 \* GB3 \* MERGEFORMAT </w:instrText>
            </w:r>
            <w:r>
              <w:rPr>
                <w:rFonts w:hint="default" w:ascii="Times New Roman" w:hAnsi="Times New Roman" w:eastAsia="宋体" w:cs="Times New Roman"/>
                <w:color w:val="000000" w:themeColor="text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lang w:val="en-US" w:eastAsia="zh-CN"/>
                <w14:textFill>
                  <w14:solidFill>
                    <w14:schemeClr w14:val="tx1"/>
                  </w14:solidFill>
                </w14:textFill>
              </w:rPr>
              <w:t>⑦</w:t>
            </w:r>
            <w:r>
              <w:rPr>
                <w:rFonts w:hint="default" w:ascii="Times New Roman" w:hAnsi="Times New Roman" w:eastAsia="宋体" w:cs="Times New Roman"/>
                <w:color w:val="000000" w:themeColor="text1"/>
                <w:lang w:val="en-US" w:eastAsia="zh-CN"/>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613" w:type="dxa"/>
            <w:vMerge w:val="restar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废气</w:t>
            </w:r>
          </w:p>
        </w:tc>
        <w:tc>
          <w:tcPr>
            <w:tcW w:w="1552"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二氧化硫</w:t>
            </w:r>
          </w:p>
        </w:tc>
        <w:tc>
          <w:tcPr>
            <w:tcW w:w="1617"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298"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728"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585"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789"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759"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073"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continue"/>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552"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氮氧化物</w:t>
            </w:r>
          </w:p>
        </w:tc>
        <w:tc>
          <w:tcPr>
            <w:tcW w:w="1617"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298"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728"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585"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789"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759"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073"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restar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废水</w:t>
            </w:r>
          </w:p>
        </w:tc>
        <w:tc>
          <w:tcPr>
            <w:tcW w:w="1552"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COD</w:t>
            </w:r>
          </w:p>
        </w:tc>
        <w:tc>
          <w:tcPr>
            <w:tcW w:w="1617"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298"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728"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585"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789"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759"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073"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continue"/>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552"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氨氮</w:t>
            </w:r>
          </w:p>
        </w:tc>
        <w:tc>
          <w:tcPr>
            <w:tcW w:w="1617"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298"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728"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585"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789"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759"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073"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restar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一般工业固体废物</w:t>
            </w:r>
          </w:p>
        </w:tc>
        <w:tc>
          <w:tcPr>
            <w:tcW w:w="1552"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沉淀池泥沙</w:t>
            </w:r>
          </w:p>
        </w:tc>
        <w:tc>
          <w:tcPr>
            <w:tcW w:w="1617"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298"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728"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585"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23996t/a</w:t>
            </w:r>
          </w:p>
        </w:tc>
        <w:tc>
          <w:tcPr>
            <w:tcW w:w="1789"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759"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23996t/a</w:t>
            </w:r>
          </w:p>
        </w:tc>
        <w:tc>
          <w:tcPr>
            <w:tcW w:w="1073"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23996t/a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continue"/>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552"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未燃尽垃圾</w:t>
            </w:r>
          </w:p>
        </w:tc>
        <w:tc>
          <w:tcPr>
            <w:tcW w:w="1617"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298"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728"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585"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30263.9706t/a</w:t>
            </w:r>
          </w:p>
        </w:tc>
        <w:tc>
          <w:tcPr>
            <w:tcW w:w="1789"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759"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30263.9706t/a</w:t>
            </w:r>
          </w:p>
        </w:tc>
        <w:tc>
          <w:tcPr>
            <w:tcW w:w="1073"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eastAsiaTheme="minorEastAsia"/>
                <w:color w:val="000000" w:themeColor="text1"/>
                <w:sz w:val="21"/>
                <w:szCs w:val="21"/>
                <w:highlight w:val="none"/>
                <w:lang w:val="en-US" w:eastAsia="zh-CN"/>
                <w14:textFill>
                  <w14:solidFill>
                    <w14:schemeClr w14:val="tx1"/>
                  </w14:solidFill>
                </w14:textFill>
              </w:rPr>
              <w:t>30263.9706t/a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restart"/>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危险废物</w:t>
            </w:r>
          </w:p>
        </w:tc>
        <w:tc>
          <w:tcPr>
            <w:tcW w:w="1552"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废润滑油桶</w:t>
            </w:r>
          </w:p>
        </w:tc>
        <w:tc>
          <w:tcPr>
            <w:tcW w:w="1617"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298"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728"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585"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0.05t/a</w:t>
            </w:r>
          </w:p>
        </w:tc>
        <w:tc>
          <w:tcPr>
            <w:tcW w:w="1789"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759"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0.05t/a</w:t>
            </w:r>
          </w:p>
        </w:tc>
        <w:tc>
          <w:tcPr>
            <w:tcW w:w="1073"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3" w:type="dxa"/>
            <w:vMerge w:val="continue"/>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552" w:type="dxa"/>
            <w:noWrap w:val="0"/>
            <w:vAlign w:val="center"/>
          </w:tcPr>
          <w:p>
            <w:pPr>
              <w:pStyle w:val="57"/>
              <w:spacing w:line="240" w:lineRule="auto"/>
              <w:ind w:firstLine="0" w:firstLine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废润滑油</w:t>
            </w:r>
          </w:p>
        </w:tc>
        <w:tc>
          <w:tcPr>
            <w:tcW w:w="1617"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298"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728"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585" w:type="dxa"/>
            <w:noWrap w:val="0"/>
            <w:vAlign w:val="center"/>
          </w:tcPr>
          <w:p>
            <w:pPr>
              <w:pStyle w:val="57"/>
              <w:spacing w:line="240" w:lineRule="auto"/>
              <w:ind w:firstLine="0" w:firstLine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0.01t/a</w:t>
            </w:r>
          </w:p>
        </w:tc>
        <w:tc>
          <w:tcPr>
            <w:tcW w:w="1789" w:type="dxa"/>
            <w:noWrap w:val="0"/>
            <w:vAlign w:val="center"/>
          </w:tcPr>
          <w:p>
            <w:pPr>
              <w:pStyle w:val="57"/>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759" w:type="dxa"/>
            <w:noWrap w:val="0"/>
            <w:vAlign w:val="center"/>
          </w:tcPr>
          <w:p>
            <w:pPr>
              <w:pStyle w:val="57"/>
              <w:spacing w:line="240" w:lineRule="auto"/>
              <w:ind w:firstLine="0" w:firstLineChars="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0.01t/a</w:t>
            </w:r>
          </w:p>
        </w:tc>
        <w:tc>
          <w:tcPr>
            <w:tcW w:w="1073" w:type="dxa"/>
            <w:noWrap w:val="0"/>
            <w:vAlign w:val="center"/>
          </w:tcPr>
          <w:p>
            <w:pPr>
              <w:pStyle w:val="57"/>
              <w:spacing w:line="240" w:lineRule="auto"/>
              <w:ind w:firstLine="0" w:firstLineChars="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0.01t/a</w:t>
            </w:r>
          </w:p>
        </w:tc>
      </w:tr>
    </w:tbl>
    <w:p>
      <w:pPr>
        <w:pStyle w:val="78"/>
        <w:spacing w:before="192" w:beforeLines="80" w:after="24"/>
        <w:jc w:val="left"/>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14:textFill>
            <w14:solidFill>
              <w14:schemeClr w14:val="tx1"/>
            </w14:solidFill>
          </w14:textFill>
        </w:rPr>
        <w:t>注：</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①</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③</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④</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⑤</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⑦</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①</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p>
    <w:p>
      <w:pPr>
        <w:rPr>
          <w:rFonts w:hint="default" w:ascii="Times New Roman" w:hAnsi="Times New Roman" w:cs="Times New Roman"/>
          <w:color w:val="000000" w:themeColor="text1"/>
          <w:highlight w:val="none"/>
          <w14:textFill>
            <w14:solidFill>
              <w14:schemeClr w14:val="tx1"/>
            </w14:solidFill>
          </w14:textFill>
        </w:rPr>
        <w:sectPr>
          <w:footerReference r:id="rId6" w:type="default"/>
          <w:pgSz w:w="16838" w:h="11905" w:orient="landscape"/>
          <w:pgMar w:top="1587" w:right="1440" w:bottom="1587" w:left="1440"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noWrap w:val="0"/>
            <w:vAlign w:val="top"/>
          </w:tcPr>
          <w:p>
            <w:pPr>
              <w:pStyle w:val="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附图及附件</w:t>
            </w:r>
          </w:p>
          <w:p>
            <w:pPr>
              <w:bidi w:val="0"/>
              <w:rPr>
                <w:rFonts w:hint="default" w:ascii="Times New Roman" w:hAnsi="Times New Roman" w:cs="Times New Roman"/>
                <w:color w:val="000000" w:themeColor="text1"/>
                <w:highlight w:val="none"/>
                <w:lang w:val="en-US" w:eastAsia="zh-CN"/>
                <w14:textFill>
                  <w14:solidFill>
                    <w14:schemeClr w14:val="tx1"/>
                  </w14:solidFill>
                </w14:textFill>
              </w:rPr>
            </w:pPr>
          </w:p>
          <w:p>
            <w:pPr>
              <w:bidi w:val="0"/>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附件1  </w:t>
            </w:r>
            <w:r>
              <w:rPr>
                <w:rFonts w:hint="eastAsia" w:cs="Times New Roman"/>
                <w:color w:val="000000" w:themeColor="text1"/>
                <w:highlight w:val="none"/>
                <w:lang w:val="en-US" w:eastAsia="zh-CN"/>
                <w14:textFill>
                  <w14:solidFill>
                    <w14:schemeClr w14:val="tx1"/>
                  </w14:solidFill>
                </w14:textFill>
              </w:rPr>
              <w:t>租赁协议及土地证明</w:t>
            </w:r>
          </w:p>
          <w:p>
            <w:pPr>
              <w:pStyle w:val="4"/>
              <w:ind w:left="0" w:leftChars="0" w:firstLine="480"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附件2  营业执</w:t>
            </w:r>
            <w:r>
              <w:rPr>
                <w:rFonts w:hint="default" w:ascii="Times New Roman" w:hAnsi="Times New Roman" w:cs="Times New Roman"/>
                <w:color w:val="000000" w:themeColor="text1"/>
                <w:highlight w:val="none"/>
                <w:lang w:val="en-US" w:eastAsia="zh-CN"/>
                <w14:textFill>
                  <w14:solidFill>
                    <w14:schemeClr w14:val="tx1"/>
                  </w14:solidFill>
                </w14:textFill>
              </w:rPr>
              <w:t>照</w:t>
            </w:r>
          </w:p>
          <w:p>
            <w:pPr>
              <w:pStyle w:val="4"/>
              <w:ind w:left="0" w:leftChars="0" w:firstLine="480"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附件</w:t>
            </w: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投资备案</w:t>
            </w:r>
          </w:p>
          <w:p>
            <w:pPr>
              <w:pStyle w:val="4"/>
              <w:ind w:left="0" w:leftChars="0" w:firstLine="480"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附件4 炉渣检测报告</w:t>
            </w:r>
          </w:p>
          <w:p>
            <w:pPr>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pPr>
              <w:bidi w:val="0"/>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附图1  项目地理位置图</w:t>
            </w:r>
          </w:p>
          <w:p>
            <w:pPr>
              <w:bidi w:val="0"/>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附图2  厂区平面布置图</w:t>
            </w:r>
          </w:p>
          <w:p>
            <w:pPr>
              <w:bidi w:val="0"/>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附图</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项目周边关系图</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2"/>
              <w:rPr>
                <w:rFonts w:hint="default" w:ascii="Times New Roman" w:hAnsi="Times New Roman" w:cs="Times New Roman"/>
                <w:color w:val="000000" w:themeColor="text1"/>
                <w:highlight w:val="none"/>
                <w:lang w:val="en-US" w:eastAsia="zh-CN"/>
                <w14:textFill>
                  <w14:solidFill>
                    <w14:schemeClr w14:val="tx1"/>
                  </w14:solidFill>
                </w14:textFill>
              </w:rPr>
            </w:pPr>
          </w:p>
        </w:tc>
      </w:tr>
    </w:tbl>
    <w:p>
      <w:pPr>
        <w:pStyle w:val="48"/>
        <w:bidi w:val="0"/>
        <w:rPr>
          <w:rFonts w:hint="default" w:ascii="Times New Roman" w:hAnsi="Times New Roman" w:cs="Times New Roman"/>
          <w:color w:val="000000" w:themeColor="text1"/>
          <w:highlight w:val="none"/>
          <w:lang w:val="en-US" w:eastAsia="zh-CN"/>
          <w14:textFill>
            <w14:solidFill>
              <w14:schemeClr w14:val="tx1"/>
            </w14:solidFill>
          </w14:textFill>
        </w:rPr>
      </w:pPr>
    </w:p>
    <w:sectPr>
      <w:footerReference r:id="rId7" w:type="default"/>
      <w:pgSz w:w="11905" w:h="16838"/>
      <w:pgMar w:top="1440" w:right="1587" w:bottom="1440" w:left="1587" w:header="851" w:footer="850"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
    <w:panose1 w:val="02010609060101010101"/>
    <w:charset w:val="86"/>
    <w:family w:val="modern"/>
    <w:pitch w:val="default"/>
    <w:sig w:usb0="00000000" w:usb1="00000000" w:usb2="00000016" w:usb3="00000000" w:csb0="00040001" w:csb1="00000000"/>
  </w:font>
  <w:font w:name="Arial Black">
    <w:panose1 w:val="020B0A04020102020204"/>
    <w:charset w:val="00"/>
    <w:family w:val="swiss"/>
    <w:pitch w:val="default"/>
    <w:sig w:usb0="A00002AF" w:usb1="400078FB" w:usb2="00000000" w:usb3="00000000" w:csb0="6000009F" w:csb1="DFD70000"/>
  </w:font>
  <w:font w:name="Wingdings 2">
    <w:panose1 w:val="05020102010507070707"/>
    <w:charset w:val="00"/>
    <w:family w:val="auto"/>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7F1547"/>
    <w:multiLevelType w:val="singleLevel"/>
    <w:tmpl w:val="BE7F1547"/>
    <w:lvl w:ilvl="0" w:tentative="0">
      <w:start w:val="1"/>
      <w:numFmt w:val="decimal"/>
      <w:suff w:val="nothing"/>
      <w:lvlText w:val="%1、"/>
      <w:lvlJc w:val="left"/>
    </w:lvl>
  </w:abstractNum>
  <w:abstractNum w:abstractNumId="1">
    <w:nsid w:val="0D6D367F"/>
    <w:multiLevelType w:val="singleLevel"/>
    <w:tmpl w:val="0D6D367F"/>
    <w:lvl w:ilvl="0" w:tentative="0">
      <w:start w:val="1"/>
      <w:numFmt w:val="decimal"/>
      <w:suff w:val="nothing"/>
      <w:lvlText w:val="%1、"/>
      <w:lvlJc w:val="left"/>
    </w:lvl>
  </w:abstractNum>
  <w:abstractNum w:abstractNumId="2">
    <w:nsid w:val="6C35363A"/>
    <w:multiLevelType w:val="singleLevel"/>
    <w:tmpl w:val="6C35363A"/>
    <w:lvl w:ilvl="0" w:tentative="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mZDgxZDVmMzU3YjdkODRkNmJkMmM4MDJjYWZjZjQifQ=="/>
  </w:docVars>
  <w:rsids>
    <w:rsidRoot w:val="00A14947"/>
    <w:rsid w:val="000060B3"/>
    <w:rsid w:val="0004364B"/>
    <w:rsid w:val="00061B1F"/>
    <w:rsid w:val="000733C4"/>
    <w:rsid w:val="00074783"/>
    <w:rsid w:val="0008070B"/>
    <w:rsid w:val="000810AC"/>
    <w:rsid w:val="00081A02"/>
    <w:rsid w:val="00082231"/>
    <w:rsid w:val="00084804"/>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534CD"/>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4336"/>
    <w:rsid w:val="00706C5D"/>
    <w:rsid w:val="007256C0"/>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0240"/>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34E98"/>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33E5A"/>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23242"/>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346D9"/>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3C2EE0"/>
    <w:rsid w:val="015A485D"/>
    <w:rsid w:val="015D1E09"/>
    <w:rsid w:val="01671BDD"/>
    <w:rsid w:val="017C09B1"/>
    <w:rsid w:val="01966220"/>
    <w:rsid w:val="01AA727F"/>
    <w:rsid w:val="01DA3596"/>
    <w:rsid w:val="01F3017A"/>
    <w:rsid w:val="02047A52"/>
    <w:rsid w:val="022C3051"/>
    <w:rsid w:val="023D5AE1"/>
    <w:rsid w:val="02697903"/>
    <w:rsid w:val="02820350"/>
    <w:rsid w:val="02CD1F73"/>
    <w:rsid w:val="02F96569"/>
    <w:rsid w:val="030C7DAC"/>
    <w:rsid w:val="03253AFD"/>
    <w:rsid w:val="03307A30"/>
    <w:rsid w:val="03577A2F"/>
    <w:rsid w:val="036D53D0"/>
    <w:rsid w:val="036F6B27"/>
    <w:rsid w:val="039667A9"/>
    <w:rsid w:val="03EA7B21"/>
    <w:rsid w:val="03F01A1B"/>
    <w:rsid w:val="03F569C0"/>
    <w:rsid w:val="040E189C"/>
    <w:rsid w:val="04113507"/>
    <w:rsid w:val="041B5288"/>
    <w:rsid w:val="041B7614"/>
    <w:rsid w:val="042B3F40"/>
    <w:rsid w:val="0469127A"/>
    <w:rsid w:val="04726FC9"/>
    <w:rsid w:val="04781A0B"/>
    <w:rsid w:val="051450E4"/>
    <w:rsid w:val="056106F1"/>
    <w:rsid w:val="056A623F"/>
    <w:rsid w:val="059522D5"/>
    <w:rsid w:val="05962A91"/>
    <w:rsid w:val="059900DE"/>
    <w:rsid w:val="05C375FE"/>
    <w:rsid w:val="05F83EAE"/>
    <w:rsid w:val="0600615C"/>
    <w:rsid w:val="060C045C"/>
    <w:rsid w:val="061834A6"/>
    <w:rsid w:val="063619E2"/>
    <w:rsid w:val="063E7D85"/>
    <w:rsid w:val="06436049"/>
    <w:rsid w:val="06DD14B3"/>
    <w:rsid w:val="06FF4665"/>
    <w:rsid w:val="0721282E"/>
    <w:rsid w:val="07293586"/>
    <w:rsid w:val="07295285"/>
    <w:rsid w:val="0744651C"/>
    <w:rsid w:val="07454E7C"/>
    <w:rsid w:val="07487DBA"/>
    <w:rsid w:val="07636392"/>
    <w:rsid w:val="07770C56"/>
    <w:rsid w:val="079A613C"/>
    <w:rsid w:val="079A7F04"/>
    <w:rsid w:val="07B05960"/>
    <w:rsid w:val="07B13FA0"/>
    <w:rsid w:val="07F57C61"/>
    <w:rsid w:val="07FE66CB"/>
    <w:rsid w:val="07FF31D7"/>
    <w:rsid w:val="082D4BF9"/>
    <w:rsid w:val="0842480A"/>
    <w:rsid w:val="084560A8"/>
    <w:rsid w:val="08464EE5"/>
    <w:rsid w:val="08512C9F"/>
    <w:rsid w:val="087F635C"/>
    <w:rsid w:val="08C97472"/>
    <w:rsid w:val="08D613F6"/>
    <w:rsid w:val="08F82F0D"/>
    <w:rsid w:val="08FE77F2"/>
    <w:rsid w:val="08FF201E"/>
    <w:rsid w:val="09144729"/>
    <w:rsid w:val="092217DD"/>
    <w:rsid w:val="092D370C"/>
    <w:rsid w:val="093A7294"/>
    <w:rsid w:val="094E2F83"/>
    <w:rsid w:val="09577D3C"/>
    <w:rsid w:val="09581E0B"/>
    <w:rsid w:val="09866978"/>
    <w:rsid w:val="09BD7274"/>
    <w:rsid w:val="09C315DC"/>
    <w:rsid w:val="09F20147"/>
    <w:rsid w:val="09F71624"/>
    <w:rsid w:val="09FE6CA1"/>
    <w:rsid w:val="0A0855DF"/>
    <w:rsid w:val="0A263993"/>
    <w:rsid w:val="0A2D3AC2"/>
    <w:rsid w:val="0A57754B"/>
    <w:rsid w:val="0A834C59"/>
    <w:rsid w:val="0A8C7CD5"/>
    <w:rsid w:val="0A9450C5"/>
    <w:rsid w:val="0A9652E1"/>
    <w:rsid w:val="0AA755DF"/>
    <w:rsid w:val="0B120D44"/>
    <w:rsid w:val="0B2E376B"/>
    <w:rsid w:val="0B304DED"/>
    <w:rsid w:val="0B584344"/>
    <w:rsid w:val="0B982A44"/>
    <w:rsid w:val="0BD27BF6"/>
    <w:rsid w:val="0C2A0948"/>
    <w:rsid w:val="0C3B3C7D"/>
    <w:rsid w:val="0C5B2FCE"/>
    <w:rsid w:val="0C6C43F7"/>
    <w:rsid w:val="0C833643"/>
    <w:rsid w:val="0CAB2EAE"/>
    <w:rsid w:val="0CB8153E"/>
    <w:rsid w:val="0CBA1929"/>
    <w:rsid w:val="0CCF3824"/>
    <w:rsid w:val="0CD65E68"/>
    <w:rsid w:val="0D1606D7"/>
    <w:rsid w:val="0D164953"/>
    <w:rsid w:val="0D215B8E"/>
    <w:rsid w:val="0D556D8D"/>
    <w:rsid w:val="0D621C7D"/>
    <w:rsid w:val="0D6C3380"/>
    <w:rsid w:val="0D991A7F"/>
    <w:rsid w:val="0DA67E5A"/>
    <w:rsid w:val="0DF12AD3"/>
    <w:rsid w:val="0E161B9F"/>
    <w:rsid w:val="0E214EC1"/>
    <w:rsid w:val="0E4534B6"/>
    <w:rsid w:val="0E627F7C"/>
    <w:rsid w:val="0E73034D"/>
    <w:rsid w:val="0E7E2314"/>
    <w:rsid w:val="0EA25651"/>
    <w:rsid w:val="0EA34998"/>
    <w:rsid w:val="0F0B425C"/>
    <w:rsid w:val="0F0D6BD6"/>
    <w:rsid w:val="0F13775A"/>
    <w:rsid w:val="0F252E43"/>
    <w:rsid w:val="0F5F45FE"/>
    <w:rsid w:val="0F6432FC"/>
    <w:rsid w:val="0F7D25CB"/>
    <w:rsid w:val="0F8B4CE8"/>
    <w:rsid w:val="0F9A112B"/>
    <w:rsid w:val="0FC6203C"/>
    <w:rsid w:val="0FCF7645"/>
    <w:rsid w:val="0FF504BC"/>
    <w:rsid w:val="10021FC9"/>
    <w:rsid w:val="102325D8"/>
    <w:rsid w:val="103056BF"/>
    <w:rsid w:val="105A6AE1"/>
    <w:rsid w:val="10637A13"/>
    <w:rsid w:val="106D2F64"/>
    <w:rsid w:val="107647A0"/>
    <w:rsid w:val="1090579E"/>
    <w:rsid w:val="10A50CAE"/>
    <w:rsid w:val="10B63710"/>
    <w:rsid w:val="10DB051D"/>
    <w:rsid w:val="10DC18BD"/>
    <w:rsid w:val="10DD5B5F"/>
    <w:rsid w:val="10F10820"/>
    <w:rsid w:val="11140D0D"/>
    <w:rsid w:val="111C2F7A"/>
    <w:rsid w:val="11390774"/>
    <w:rsid w:val="113D2012"/>
    <w:rsid w:val="11665CA1"/>
    <w:rsid w:val="11845235"/>
    <w:rsid w:val="118C4243"/>
    <w:rsid w:val="12443874"/>
    <w:rsid w:val="126E19A9"/>
    <w:rsid w:val="12D964D9"/>
    <w:rsid w:val="12EC1CA5"/>
    <w:rsid w:val="130B12A4"/>
    <w:rsid w:val="13151109"/>
    <w:rsid w:val="13392190"/>
    <w:rsid w:val="13446F06"/>
    <w:rsid w:val="13951726"/>
    <w:rsid w:val="13A22598"/>
    <w:rsid w:val="141F6347"/>
    <w:rsid w:val="14216C3A"/>
    <w:rsid w:val="142868B8"/>
    <w:rsid w:val="142D3110"/>
    <w:rsid w:val="14396509"/>
    <w:rsid w:val="14557541"/>
    <w:rsid w:val="147C10A3"/>
    <w:rsid w:val="148431E7"/>
    <w:rsid w:val="14861F22"/>
    <w:rsid w:val="14927E49"/>
    <w:rsid w:val="14CB44CC"/>
    <w:rsid w:val="14DD2C3C"/>
    <w:rsid w:val="14FA3B77"/>
    <w:rsid w:val="1514752E"/>
    <w:rsid w:val="1525627F"/>
    <w:rsid w:val="1537146E"/>
    <w:rsid w:val="15372F18"/>
    <w:rsid w:val="156127C7"/>
    <w:rsid w:val="157D3B2A"/>
    <w:rsid w:val="158C2113"/>
    <w:rsid w:val="15A3568B"/>
    <w:rsid w:val="15A543F6"/>
    <w:rsid w:val="15A703A2"/>
    <w:rsid w:val="15B13177"/>
    <w:rsid w:val="15C303A3"/>
    <w:rsid w:val="15E21563"/>
    <w:rsid w:val="15E96C0C"/>
    <w:rsid w:val="15F553A0"/>
    <w:rsid w:val="16087E1D"/>
    <w:rsid w:val="163A442E"/>
    <w:rsid w:val="1654783B"/>
    <w:rsid w:val="165B5A0B"/>
    <w:rsid w:val="1675655A"/>
    <w:rsid w:val="16F87F55"/>
    <w:rsid w:val="17254D7D"/>
    <w:rsid w:val="1740460A"/>
    <w:rsid w:val="17481711"/>
    <w:rsid w:val="17596F43"/>
    <w:rsid w:val="17701D14"/>
    <w:rsid w:val="17735226"/>
    <w:rsid w:val="1796529C"/>
    <w:rsid w:val="17A27073"/>
    <w:rsid w:val="17D31922"/>
    <w:rsid w:val="18057602"/>
    <w:rsid w:val="189F624C"/>
    <w:rsid w:val="18B74823"/>
    <w:rsid w:val="18BC2B7E"/>
    <w:rsid w:val="18BF1EA7"/>
    <w:rsid w:val="18ED431E"/>
    <w:rsid w:val="18F54C3F"/>
    <w:rsid w:val="192F4830"/>
    <w:rsid w:val="19506389"/>
    <w:rsid w:val="195645B9"/>
    <w:rsid w:val="19772055"/>
    <w:rsid w:val="199B1FCC"/>
    <w:rsid w:val="19C1019B"/>
    <w:rsid w:val="19C76EF5"/>
    <w:rsid w:val="19D0048B"/>
    <w:rsid w:val="1A1C66C0"/>
    <w:rsid w:val="1A34698A"/>
    <w:rsid w:val="1A42393B"/>
    <w:rsid w:val="1A4F2DB6"/>
    <w:rsid w:val="1A705206"/>
    <w:rsid w:val="1A766595"/>
    <w:rsid w:val="1A7D4805"/>
    <w:rsid w:val="1A7E33A5"/>
    <w:rsid w:val="1A807414"/>
    <w:rsid w:val="1A8C5D7F"/>
    <w:rsid w:val="1A8D59CC"/>
    <w:rsid w:val="1A9B7FF4"/>
    <w:rsid w:val="1AA41354"/>
    <w:rsid w:val="1AAD45DE"/>
    <w:rsid w:val="1AAF1E51"/>
    <w:rsid w:val="1AB428A4"/>
    <w:rsid w:val="1AD42ECA"/>
    <w:rsid w:val="1AFA24DA"/>
    <w:rsid w:val="1B046F80"/>
    <w:rsid w:val="1B261D69"/>
    <w:rsid w:val="1B3267B5"/>
    <w:rsid w:val="1B3E4FE8"/>
    <w:rsid w:val="1B40161D"/>
    <w:rsid w:val="1B441859"/>
    <w:rsid w:val="1B6606B1"/>
    <w:rsid w:val="1B8F3DB2"/>
    <w:rsid w:val="1BA84E74"/>
    <w:rsid w:val="1BCA303C"/>
    <w:rsid w:val="1C057024"/>
    <w:rsid w:val="1C241CDB"/>
    <w:rsid w:val="1C3B30F7"/>
    <w:rsid w:val="1C5E7925"/>
    <w:rsid w:val="1C622D8A"/>
    <w:rsid w:val="1C80233F"/>
    <w:rsid w:val="1C942349"/>
    <w:rsid w:val="1CA218C3"/>
    <w:rsid w:val="1CA91A36"/>
    <w:rsid w:val="1CB00C23"/>
    <w:rsid w:val="1CFD070F"/>
    <w:rsid w:val="1D0A6375"/>
    <w:rsid w:val="1D5B04BF"/>
    <w:rsid w:val="1D5F6196"/>
    <w:rsid w:val="1D6132A5"/>
    <w:rsid w:val="1D8E56D5"/>
    <w:rsid w:val="1DAA6ECD"/>
    <w:rsid w:val="1DD40345"/>
    <w:rsid w:val="1DE71025"/>
    <w:rsid w:val="1E316B10"/>
    <w:rsid w:val="1E6257AE"/>
    <w:rsid w:val="1E7A43DA"/>
    <w:rsid w:val="1E836D7E"/>
    <w:rsid w:val="1EFD4A06"/>
    <w:rsid w:val="1F275059"/>
    <w:rsid w:val="1F394213"/>
    <w:rsid w:val="1F607812"/>
    <w:rsid w:val="1F694CAC"/>
    <w:rsid w:val="1F7D0EBD"/>
    <w:rsid w:val="1F7E03C6"/>
    <w:rsid w:val="1F7F25CA"/>
    <w:rsid w:val="1FCF29CF"/>
    <w:rsid w:val="1FD05269"/>
    <w:rsid w:val="1FD5059D"/>
    <w:rsid w:val="1FD8637D"/>
    <w:rsid w:val="1FE7539E"/>
    <w:rsid w:val="20147E0C"/>
    <w:rsid w:val="20671BE0"/>
    <w:rsid w:val="20963CB8"/>
    <w:rsid w:val="20A81A1B"/>
    <w:rsid w:val="20B07FB6"/>
    <w:rsid w:val="20B646FB"/>
    <w:rsid w:val="20DB1848"/>
    <w:rsid w:val="20F94B3B"/>
    <w:rsid w:val="213A39F8"/>
    <w:rsid w:val="213B74B1"/>
    <w:rsid w:val="213C51D4"/>
    <w:rsid w:val="215A2310"/>
    <w:rsid w:val="21674E89"/>
    <w:rsid w:val="216B420D"/>
    <w:rsid w:val="21DE318A"/>
    <w:rsid w:val="21E5472C"/>
    <w:rsid w:val="21EF5B80"/>
    <w:rsid w:val="2219492B"/>
    <w:rsid w:val="221D30A5"/>
    <w:rsid w:val="224A27E1"/>
    <w:rsid w:val="22576990"/>
    <w:rsid w:val="226A69DF"/>
    <w:rsid w:val="22765384"/>
    <w:rsid w:val="227D5FFA"/>
    <w:rsid w:val="22E737AC"/>
    <w:rsid w:val="22E74B9C"/>
    <w:rsid w:val="22E95241"/>
    <w:rsid w:val="22F47480"/>
    <w:rsid w:val="23182A50"/>
    <w:rsid w:val="23215CC3"/>
    <w:rsid w:val="236A7C99"/>
    <w:rsid w:val="238816BA"/>
    <w:rsid w:val="23963804"/>
    <w:rsid w:val="23A203FB"/>
    <w:rsid w:val="23C56EF3"/>
    <w:rsid w:val="23DE1C48"/>
    <w:rsid w:val="24002CCB"/>
    <w:rsid w:val="240210CD"/>
    <w:rsid w:val="243E0B90"/>
    <w:rsid w:val="244A6AC8"/>
    <w:rsid w:val="249266C1"/>
    <w:rsid w:val="24A257C2"/>
    <w:rsid w:val="24BB5C18"/>
    <w:rsid w:val="24BF09F7"/>
    <w:rsid w:val="24CE594B"/>
    <w:rsid w:val="24E231A5"/>
    <w:rsid w:val="250D077C"/>
    <w:rsid w:val="251610A0"/>
    <w:rsid w:val="25292B82"/>
    <w:rsid w:val="252D53FE"/>
    <w:rsid w:val="2540611D"/>
    <w:rsid w:val="2563786A"/>
    <w:rsid w:val="256C2FEB"/>
    <w:rsid w:val="25D95E65"/>
    <w:rsid w:val="25EC2D81"/>
    <w:rsid w:val="25F807A6"/>
    <w:rsid w:val="260169C7"/>
    <w:rsid w:val="264136D1"/>
    <w:rsid w:val="266F0A68"/>
    <w:rsid w:val="26793695"/>
    <w:rsid w:val="26DA3FAC"/>
    <w:rsid w:val="277057A2"/>
    <w:rsid w:val="277D5407"/>
    <w:rsid w:val="277F16E3"/>
    <w:rsid w:val="27A62207"/>
    <w:rsid w:val="27AE55C0"/>
    <w:rsid w:val="2826784C"/>
    <w:rsid w:val="282910EA"/>
    <w:rsid w:val="282C19F5"/>
    <w:rsid w:val="288B5901"/>
    <w:rsid w:val="28927979"/>
    <w:rsid w:val="28AD1D1C"/>
    <w:rsid w:val="28CC03F4"/>
    <w:rsid w:val="28D62B07"/>
    <w:rsid w:val="29206EB8"/>
    <w:rsid w:val="29495AC0"/>
    <w:rsid w:val="29595666"/>
    <w:rsid w:val="29874881"/>
    <w:rsid w:val="29954C89"/>
    <w:rsid w:val="29D82DC8"/>
    <w:rsid w:val="29D84B76"/>
    <w:rsid w:val="29E325E0"/>
    <w:rsid w:val="2A452503"/>
    <w:rsid w:val="2A5F4D16"/>
    <w:rsid w:val="2A66694D"/>
    <w:rsid w:val="2AAB228B"/>
    <w:rsid w:val="2AB50F6F"/>
    <w:rsid w:val="2AC85DB9"/>
    <w:rsid w:val="2B544CFA"/>
    <w:rsid w:val="2B5B4B1C"/>
    <w:rsid w:val="2BA240E7"/>
    <w:rsid w:val="2BA936A8"/>
    <w:rsid w:val="2BD8301C"/>
    <w:rsid w:val="2BEC2B5B"/>
    <w:rsid w:val="2C136339"/>
    <w:rsid w:val="2C2C3080"/>
    <w:rsid w:val="2C315A5A"/>
    <w:rsid w:val="2C32277E"/>
    <w:rsid w:val="2C4B1C25"/>
    <w:rsid w:val="2C9E0453"/>
    <w:rsid w:val="2C9F3729"/>
    <w:rsid w:val="2CBE62A5"/>
    <w:rsid w:val="2CDD4252"/>
    <w:rsid w:val="2D055557"/>
    <w:rsid w:val="2D1D6730"/>
    <w:rsid w:val="2D200B99"/>
    <w:rsid w:val="2D49431F"/>
    <w:rsid w:val="2D53501C"/>
    <w:rsid w:val="2D850B71"/>
    <w:rsid w:val="2D9E56F5"/>
    <w:rsid w:val="2E19379E"/>
    <w:rsid w:val="2E19750B"/>
    <w:rsid w:val="2E231C4F"/>
    <w:rsid w:val="2E5F5866"/>
    <w:rsid w:val="2E667F96"/>
    <w:rsid w:val="2E7C6DB5"/>
    <w:rsid w:val="2E8226AB"/>
    <w:rsid w:val="2E8265D6"/>
    <w:rsid w:val="2EA13E0B"/>
    <w:rsid w:val="2EA66346"/>
    <w:rsid w:val="2EB85D4C"/>
    <w:rsid w:val="2F051F6C"/>
    <w:rsid w:val="2F2E6FE6"/>
    <w:rsid w:val="2F5910E2"/>
    <w:rsid w:val="2F742566"/>
    <w:rsid w:val="2F754C15"/>
    <w:rsid w:val="2F917CA1"/>
    <w:rsid w:val="2FA03738"/>
    <w:rsid w:val="2FA23A9F"/>
    <w:rsid w:val="2FD065E6"/>
    <w:rsid w:val="2FD96870"/>
    <w:rsid w:val="2FE778C1"/>
    <w:rsid w:val="30161909"/>
    <w:rsid w:val="301B507F"/>
    <w:rsid w:val="30580BC9"/>
    <w:rsid w:val="30915D32"/>
    <w:rsid w:val="309978F6"/>
    <w:rsid w:val="30C41A60"/>
    <w:rsid w:val="30D10890"/>
    <w:rsid w:val="30E23757"/>
    <w:rsid w:val="311E2ED7"/>
    <w:rsid w:val="31456F95"/>
    <w:rsid w:val="315619EE"/>
    <w:rsid w:val="315728F1"/>
    <w:rsid w:val="315C449C"/>
    <w:rsid w:val="3173284C"/>
    <w:rsid w:val="317E6DB6"/>
    <w:rsid w:val="3183186B"/>
    <w:rsid w:val="31B82709"/>
    <w:rsid w:val="31C143D8"/>
    <w:rsid w:val="31C37EBA"/>
    <w:rsid w:val="31CE47F4"/>
    <w:rsid w:val="31D05482"/>
    <w:rsid w:val="3207424B"/>
    <w:rsid w:val="320C6C70"/>
    <w:rsid w:val="3216623C"/>
    <w:rsid w:val="32201157"/>
    <w:rsid w:val="32400B34"/>
    <w:rsid w:val="324D54CA"/>
    <w:rsid w:val="32790CE2"/>
    <w:rsid w:val="328F2C68"/>
    <w:rsid w:val="329B1059"/>
    <w:rsid w:val="329E6876"/>
    <w:rsid w:val="32BD0BEB"/>
    <w:rsid w:val="32EB1216"/>
    <w:rsid w:val="32EB2C4E"/>
    <w:rsid w:val="33100082"/>
    <w:rsid w:val="333015F2"/>
    <w:rsid w:val="333559FB"/>
    <w:rsid w:val="334119DE"/>
    <w:rsid w:val="334212B2"/>
    <w:rsid w:val="334B6320"/>
    <w:rsid w:val="33AB1A78"/>
    <w:rsid w:val="33AD497E"/>
    <w:rsid w:val="33BA37DB"/>
    <w:rsid w:val="33D343FB"/>
    <w:rsid w:val="33D934D4"/>
    <w:rsid w:val="33E3258B"/>
    <w:rsid w:val="33FE2F6A"/>
    <w:rsid w:val="340E07E5"/>
    <w:rsid w:val="341F0841"/>
    <w:rsid w:val="34235BF7"/>
    <w:rsid w:val="343B77AA"/>
    <w:rsid w:val="347D6A46"/>
    <w:rsid w:val="34813FF8"/>
    <w:rsid w:val="3483024B"/>
    <w:rsid w:val="34985205"/>
    <w:rsid w:val="349921D7"/>
    <w:rsid w:val="34B87A7E"/>
    <w:rsid w:val="34BC5B05"/>
    <w:rsid w:val="34CB3FA2"/>
    <w:rsid w:val="34CF6B76"/>
    <w:rsid w:val="34D60461"/>
    <w:rsid w:val="34E41423"/>
    <w:rsid w:val="35026E4C"/>
    <w:rsid w:val="351B1D0B"/>
    <w:rsid w:val="35466E38"/>
    <w:rsid w:val="3566572C"/>
    <w:rsid w:val="358C5FA8"/>
    <w:rsid w:val="35A83757"/>
    <w:rsid w:val="35C13290"/>
    <w:rsid w:val="35C15DF1"/>
    <w:rsid w:val="35D46B3A"/>
    <w:rsid w:val="35F03248"/>
    <w:rsid w:val="35F8709C"/>
    <w:rsid w:val="36074A7F"/>
    <w:rsid w:val="36250A64"/>
    <w:rsid w:val="36284148"/>
    <w:rsid w:val="367E011C"/>
    <w:rsid w:val="36923549"/>
    <w:rsid w:val="3699568D"/>
    <w:rsid w:val="36A80EBB"/>
    <w:rsid w:val="36B75FBF"/>
    <w:rsid w:val="36BD0C45"/>
    <w:rsid w:val="37285FA6"/>
    <w:rsid w:val="373D3686"/>
    <w:rsid w:val="374B4BD9"/>
    <w:rsid w:val="375B525D"/>
    <w:rsid w:val="37CD35E2"/>
    <w:rsid w:val="37E00298"/>
    <w:rsid w:val="37EC00D8"/>
    <w:rsid w:val="37F449ED"/>
    <w:rsid w:val="38474006"/>
    <w:rsid w:val="384B0C09"/>
    <w:rsid w:val="386D241A"/>
    <w:rsid w:val="38971A2F"/>
    <w:rsid w:val="389D0587"/>
    <w:rsid w:val="389E51DD"/>
    <w:rsid w:val="38B302F9"/>
    <w:rsid w:val="38DA238F"/>
    <w:rsid w:val="38F12CD3"/>
    <w:rsid w:val="38F94775"/>
    <w:rsid w:val="390A4620"/>
    <w:rsid w:val="392971ED"/>
    <w:rsid w:val="39325651"/>
    <w:rsid w:val="39387D98"/>
    <w:rsid w:val="393D1464"/>
    <w:rsid w:val="397320CE"/>
    <w:rsid w:val="3A025120"/>
    <w:rsid w:val="3A410326"/>
    <w:rsid w:val="3A430524"/>
    <w:rsid w:val="3A623524"/>
    <w:rsid w:val="3A872856"/>
    <w:rsid w:val="3A9F72CE"/>
    <w:rsid w:val="3AB23753"/>
    <w:rsid w:val="3AE07D2F"/>
    <w:rsid w:val="3B060262"/>
    <w:rsid w:val="3B0A04B5"/>
    <w:rsid w:val="3B133C60"/>
    <w:rsid w:val="3B3763D1"/>
    <w:rsid w:val="3B3F4A55"/>
    <w:rsid w:val="3B7364AD"/>
    <w:rsid w:val="3B913975"/>
    <w:rsid w:val="3B9D0BB8"/>
    <w:rsid w:val="3BAB3E99"/>
    <w:rsid w:val="3BB765CE"/>
    <w:rsid w:val="3BBC3FE2"/>
    <w:rsid w:val="3BC3268F"/>
    <w:rsid w:val="3BF375EE"/>
    <w:rsid w:val="3C2F6E1E"/>
    <w:rsid w:val="3C460065"/>
    <w:rsid w:val="3C4F64BA"/>
    <w:rsid w:val="3C512748"/>
    <w:rsid w:val="3C583E04"/>
    <w:rsid w:val="3C8025E4"/>
    <w:rsid w:val="3CAD1E92"/>
    <w:rsid w:val="3CDA245A"/>
    <w:rsid w:val="3CE4770F"/>
    <w:rsid w:val="3CE8111C"/>
    <w:rsid w:val="3D0F66A9"/>
    <w:rsid w:val="3D11534D"/>
    <w:rsid w:val="3D1E06B7"/>
    <w:rsid w:val="3D27522F"/>
    <w:rsid w:val="3D7514ED"/>
    <w:rsid w:val="3DBB446A"/>
    <w:rsid w:val="3DF74E75"/>
    <w:rsid w:val="3E261FF6"/>
    <w:rsid w:val="3E554590"/>
    <w:rsid w:val="3E9F547E"/>
    <w:rsid w:val="3EAA36B5"/>
    <w:rsid w:val="3EAB206A"/>
    <w:rsid w:val="3EC17BBB"/>
    <w:rsid w:val="3EC419A3"/>
    <w:rsid w:val="3EC51324"/>
    <w:rsid w:val="3EDA0523"/>
    <w:rsid w:val="3EE85004"/>
    <w:rsid w:val="3EEA4CD8"/>
    <w:rsid w:val="3F275F2C"/>
    <w:rsid w:val="3F2F4DE1"/>
    <w:rsid w:val="3F5F776B"/>
    <w:rsid w:val="3F714632"/>
    <w:rsid w:val="3F780CFF"/>
    <w:rsid w:val="3F8A64BB"/>
    <w:rsid w:val="3F9609BC"/>
    <w:rsid w:val="402C30CE"/>
    <w:rsid w:val="40451A1A"/>
    <w:rsid w:val="406120A5"/>
    <w:rsid w:val="407A6407"/>
    <w:rsid w:val="40874ED6"/>
    <w:rsid w:val="408E37C2"/>
    <w:rsid w:val="4090365D"/>
    <w:rsid w:val="40A95F50"/>
    <w:rsid w:val="40E51376"/>
    <w:rsid w:val="411A73CB"/>
    <w:rsid w:val="41596145"/>
    <w:rsid w:val="4200449D"/>
    <w:rsid w:val="42073DF3"/>
    <w:rsid w:val="42312C1E"/>
    <w:rsid w:val="423A3BCC"/>
    <w:rsid w:val="424E57D2"/>
    <w:rsid w:val="427F1BDB"/>
    <w:rsid w:val="42B26C49"/>
    <w:rsid w:val="42D17B5E"/>
    <w:rsid w:val="42DA1507"/>
    <w:rsid w:val="42EB101F"/>
    <w:rsid w:val="431467C7"/>
    <w:rsid w:val="431A7B56"/>
    <w:rsid w:val="433A6FE6"/>
    <w:rsid w:val="43480868"/>
    <w:rsid w:val="4350713C"/>
    <w:rsid w:val="436653E0"/>
    <w:rsid w:val="43AE7C16"/>
    <w:rsid w:val="43C4431A"/>
    <w:rsid w:val="43D16466"/>
    <w:rsid w:val="43D61CCF"/>
    <w:rsid w:val="440700DA"/>
    <w:rsid w:val="444924A1"/>
    <w:rsid w:val="44784B34"/>
    <w:rsid w:val="447C211A"/>
    <w:rsid w:val="449C48E3"/>
    <w:rsid w:val="44A41DCD"/>
    <w:rsid w:val="44AA2C8E"/>
    <w:rsid w:val="44B951CC"/>
    <w:rsid w:val="44BA0A82"/>
    <w:rsid w:val="44CD14E0"/>
    <w:rsid w:val="44E126D9"/>
    <w:rsid w:val="44F06DC0"/>
    <w:rsid w:val="44F20B0B"/>
    <w:rsid w:val="45085EB8"/>
    <w:rsid w:val="45244CBC"/>
    <w:rsid w:val="45280575"/>
    <w:rsid w:val="452C5D03"/>
    <w:rsid w:val="452E5F4C"/>
    <w:rsid w:val="45612018"/>
    <w:rsid w:val="4585575A"/>
    <w:rsid w:val="458946E9"/>
    <w:rsid w:val="45A47C0E"/>
    <w:rsid w:val="45C757DF"/>
    <w:rsid w:val="45E15F33"/>
    <w:rsid w:val="45EC3A2B"/>
    <w:rsid w:val="45F13B3D"/>
    <w:rsid w:val="461933F6"/>
    <w:rsid w:val="461D3BE5"/>
    <w:rsid w:val="46577FD6"/>
    <w:rsid w:val="465A4F2F"/>
    <w:rsid w:val="466F5DB0"/>
    <w:rsid w:val="46C774E3"/>
    <w:rsid w:val="46D955A7"/>
    <w:rsid w:val="46ED61DB"/>
    <w:rsid w:val="46F81887"/>
    <w:rsid w:val="470703F1"/>
    <w:rsid w:val="47133957"/>
    <w:rsid w:val="471A66D8"/>
    <w:rsid w:val="471E5E67"/>
    <w:rsid w:val="47481CF8"/>
    <w:rsid w:val="477C493B"/>
    <w:rsid w:val="477F442B"/>
    <w:rsid w:val="479C7DAA"/>
    <w:rsid w:val="47A07E0C"/>
    <w:rsid w:val="4812652E"/>
    <w:rsid w:val="4870272E"/>
    <w:rsid w:val="48755BF9"/>
    <w:rsid w:val="487A531F"/>
    <w:rsid w:val="487B4BF3"/>
    <w:rsid w:val="48852288"/>
    <w:rsid w:val="48912668"/>
    <w:rsid w:val="48A3140C"/>
    <w:rsid w:val="48DC090D"/>
    <w:rsid w:val="48E44E8E"/>
    <w:rsid w:val="48E676FD"/>
    <w:rsid w:val="48EC68C7"/>
    <w:rsid w:val="490C1A30"/>
    <w:rsid w:val="49134BDB"/>
    <w:rsid w:val="4924528A"/>
    <w:rsid w:val="4966775F"/>
    <w:rsid w:val="49BF4FB3"/>
    <w:rsid w:val="49C34AA3"/>
    <w:rsid w:val="49DC7715"/>
    <w:rsid w:val="49E05655"/>
    <w:rsid w:val="4A023139"/>
    <w:rsid w:val="4A3961AC"/>
    <w:rsid w:val="4A754ADE"/>
    <w:rsid w:val="4A7B576F"/>
    <w:rsid w:val="4A8038E4"/>
    <w:rsid w:val="4AE747C1"/>
    <w:rsid w:val="4AF561A9"/>
    <w:rsid w:val="4B246B6D"/>
    <w:rsid w:val="4B2509CF"/>
    <w:rsid w:val="4B29302C"/>
    <w:rsid w:val="4B364751"/>
    <w:rsid w:val="4B3F45FD"/>
    <w:rsid w:val="4B5005B9"/>
    <w:rsid w:val="4BFA0524"/>
    <w:rsid w:val="4C0F6FA6"/>
    <w:rsid w:val="4C1559E9"/>
    <w:rsid w:val="4C3861A2"/>
    <w:rsid w:val="4C4A0649"/>
    <w:rsid w:val="4C5365B2"/>
    <w:rsid w:val="4C602A7D"/>
    <w:rsid w:val="4C7E5ECA"/>
    <w:rsid w:val="4C876AA5"/>
    <w:rsid w:val="4D0E00FB"/>
    <w:rsid w:val="4D176606"/>
    <w:rsid w:val="4D1E40A2"/>
    <w:rsid w:val="4D215DDF"/>
    <w:rsid w:val="4D28463C"/>
    <w:rsid w:val="4D40606D"/>
    <w:rsid w:val="4D5D6FBD"/>
    <w:rsid w:val="4D930C1A"/>
    <w:rsid w:val="4D9E1AAF"/>
    <w:rsid w:val="4DAB1AD6"/>
    <w:rsid w:val="4DB75F3D"/>
    <w:rsid w:val="4DB82445"/>
    <w:rsid w:val="4DEC4FB0"/>
    <w:rsid w:val="4DF5104E"/>
    <w:rsid w:val="4E075D8A"/>
    <w:rsid w:val="4E0909D2"/>
    <w:rsid w:val="4E140649"/>
    <w:rsid w:val="4E235B10"/>
    <w:rsid w:val="4E355844"/>
    <w:rsid w:val="4E4A12EF"/>
    <w:rsid w:val="4E611B8B"/>
    <w:rsid w:val="4EA01857"/>
    <w:rsid w:val="4EA316A1"/>
    <w:rsid w:val="4EA40FCB"/>
    <w:rsid w:val="4EC00FAD"/>
    <w:rsid w:val="4ECE0172"/>
    <w:rsid w:val="4F0B3174"/>
    <w:rsid w:val="4F1C75DD"/>
    <w:rsid w:val="4F22401A"/>
    <w:rsid w:val="4F3C4E12"/>
    <w:rsid w:val="4F3D2C02"/>
    <w:rsid w:val="4F4A3DFE"/>
    <w:rsid w:val="4F510191"/>
    <w:rsid w:val="4F600D9A"/>
    <w:rsid w:val="4F980780"/>
    <w:rsid w:val="4F9843DC"/>
    <w:rsid w:val="4F9D18F3"/>
    <w:rsid w:val="4FC13833"/>
    <w:rsid w:val="4FC41575"/>
    <w:rsid w:val="4FC62A8C"/>
    <w:rsid w:val="4FD113F6"/>
    <w:rsid w:val="4FE20F0D"/>
    <w:rsid w:val="4FE51552"/>
    <w:rsid w:val="50120532"/>
    <w:rsid w:val="503404A9"/>
    <w:rsid w:val="50504C4B"/>
    <w:rsid w:val="50580167"/>
    <w:rsid w:val="505C355C"/>
    <w:rsid w:val="50842909"/>
    <w:rsid w:val="509C6E7C"/>
    <w:rsid w:val="50F11284"/>
    <w:rsid w:val="50F86586"/>
    <w:rsid w:val="510819DD"/>
    <w:rsid w:val="514324CE"/>
    <w:rsid w:val="5162104E"/>
    <w:rsid w:val="517448D5"/>
    <w:rsid w:val="51B761EE"/>
    <w:rsid w:val="51DD691E"/>
    <w:rsid w:val="51FF6019"/>
    <w:rsid w:val="522307D5"/>
    <w:rsid w:val="52302EF2"/>
    <w:rsid w:val="52855B2A"/>
    <w:rsid w:val="528D42FA"/>
    <w:rsid w:val="52C134E5"/>
    <w:rsid w:val="52E22421"/>
    <w:rsid w:val="52F35D43"/>
    <w:rsid w:val="530D6D8F"/>
    <w:rsid w:val="53424C8B"/>
    <w:rsid w:val="535350EA"/>
    <w:rsid w:val="53605111"/>
    <w:rsid w:val="539B25ED"/>
    <w:rsid w:val="53A039CC"/>
    <w:rsid w:val="53A1505A"/>
    <w:rsid w:val="53D46B79"/>
    <w:rsid w:val="53E421E6"/>
    <w:rsid w:val="53E61ABA"/>
    <w:rsid w:val="54063E08"/>
    <w:rsid w:val="540672D6"/>
    <w:rsid w:val="54181E8F"/>
    <w:rsid w:val="543437E8"/>
    <w:rsid w:val="54434E84"/>
    <w:rsid w:val="54555434"/>
    <w:rsid w:val="54602094"/>
    <w:rsid w:val="54C85830"/>
    <w:rsid w:val="54CE5DA9"/>
    <w:rsid w:val="54CF69F2"/>
    <w:rsid w:val="54F36F93"/>
    <w:rsid w:val="54F73313"/>
    <w:rsid w:val="54F80955"/>
    <w:rsid w:val="54FA6421"/>
    <w:rsid w:val="54FE72D7"/>
    <w:rsid w:val="554C6B20"/>
    <w:rsid w:val="555170A7"/>
    <w:rsid w:val="5563538C"/>
    <w:rsid w:val="5587536D"/>
    <w:rsid w:val="5598445C"/>
    <w:rsid w:val="559B174B"/>
    <w:rsid w:val="55C90E9F"/>
    <w:rsid w:val="55CE0CF4"/>
    <w:rsid w:val="55EE2985"/>
    <w:rsid w:val="561623FF"/>
    <w:rsid w:val="56323497"/>
    <w:rsid w:val="564C3298"/>
    <w:rsid w:val="564E64E5"/>
    <w:rsid w:val="5662347E"/>
    <w:rsid w:val="56673F1F"/>
    <w:rsid w:val="56727104"/>
    <w:rsid w:val="567A473C"/>
    <w:rsid w:val="56811F6E"/>
    <w:rsid w:val="56B22A9C"/>
    <w:rsid w:val="56B80EAE"/>
    <w:rsid w:val="56C34BB0"/>
    <w:rsid w:val="56F965BD"/>
    <w:rsid w:val="572465E0"/>
    <w:rsid w:val="576551C6"/>
    <w:rsid w:val="579A2768"/>
    <w:rsid w:val="57A04676"/>
    <w:rsid w:val="57B72A76"/>
    <w:rsid w:val="57C3426C"/>
    <w:rsid w:val="57C9597B"/>
    <w:rsid w:val="57CE1F93"/>
    <w:rsid w:val="57D37254"/>
    <w:rsid w:val="58020E8D"/>
    <w:rsid w:val="581806B0"/>
    <w:rsid w:val="588743D1"/>
    <w:rsid w:val="5887701A"/>
    <w:rsid w:val="588B230B"/>
    <w:rsid w:val="589171BF"/>
    <w:rsid w:val="58E862D4"/>
    <w:rsid w:val="58FD0B73"/>
    <w:rsid w:val="59451C63"/>
    <w:rsid w:val="59457283"/>
    <w:rsid w:val="5952374E"/>
    <w:rsid w:val="59853B23"/>
    <w:rsid w:val="59876967"/>
    <w:rsid w:val="59942098"/>
    <w:rsid w:val="59C0439F"/>
    <w:rsid w:val="5A0C551C"/>
    <w:rsid w:val="5A5C0D28"/>
    <w:rsid w:val="5A8148A2"/>
    <w:rsid w:val="5A816F33"/>
    <w:rsid w:val="5A8550FA"/>
    <w:rsid w:val="5A8E2EAB"/>
    <w:rsid w:val="5ABE2233"/>
    <w:rsid w:val="5ADD72A9"/>
    <w:rsid w:val="5AF06C4D"/>
    <w:rsid w:val="5B0B44FC"/>
    <w:rsid w:val="5B13515F"/>
    <w:rsid w:val="5B2561DF"/>
    <w:rsid w:val="5B715EBD"/>
    <w:rsid w:val="5B77068B"/>
    <w:rsid w:val="5B8125D8"/>
    <w:rsid w:val="5B8D3163"/>
    <w:rsid w:val="5B9B5880"/>
    <w:rsid w:val="5BDF5D95"/>
    <w:rsid w:val="5BE07737"/>
    <w:rsid w:val="5BFE7528"/>
    <w:rsid w:val="5C0F1033"/>
    <w:rsid w:val="5C152EF2"/>
    <w:rsid w:val="5C2F5FC8"/>
    <w:rsid w:val="5C4B63A6"/>
    <w:rsid w:val="5C9131B9"/>
    <w:rsid w:val="5CAF441C"/>
    <w:rsid w:val="5CBA6B92"/>
    <w:rsid w:val="5CF82FF0"/>
    <w:rsid w:val="5D19769B"/>
    <w:rsid w:val="5D1C654D"/>
    <w:rsid w:val="5D2B7A1F"/>
    <w:rsid w:val="5D69080D"/>
    <w:rsid w:val="5DA2346C"/>
    <w:rsid w:val="5DB31E9B"/>
    <w:rsid w:val="5DB3780B"/>
    <w:rsid w:val="5DB90A1A"/>
    <w:rsid w:val="5DC170F4"/>
    <w:rsid w:val="5E196812"/>
    <w:rsid w:val="5E2467F1"/>
    <w:rsid w:val="5E59557E"/>
    <w:rsid w:val="5E6E2DD8"/>
    <w:rsid w:val="5E710B1A"/>
    <w:rsid w:val="5E9B0352"/>
    <w:rsid w:val="5EAB6706"/>
    <w:rsid w:val="5EBA367D"/>
    <w:rsid w:val="5EC925A8"/>
    <w:rsid w:val="5F0A0E0B"/>
    <w:rsid w:val="5F0B4ACB"/>
    <w:rsid w:val="5F1A2B43"/>
    <w:rsid w:val="5F1E1F19"/>
    <w:rsid w:val="5F261904"/>
    <w:rsid w:val="5F3131CD"/>
    <w:rsid w:val="5FB36828"/>
    <w:rsid w:val="5FB837BB"/>
    <w:rsid w:val="5FCD546F"/>
    <w:rsid w:val="5FD3636E"/>
    <w:rsid w:val="5FF732A1"/>
    <w:rsid w:val="60085BF5"/>
    <w:rsid w:val="605424A1"/>
    <w:rsid w:val="606E5E7E"/>
    <w:rsid w:val="60995B36"/>
    <w:rsid w:val="60A76A75"/>
    <w:rsid w:val="60CC405A"/>
    <w:rsid w:val="60D1764E"/>
    <w:rsid w:val="60E4432C"/>
    <w:rsid w:val="610E1977"/>
    <w:rsid w:val="612E3591"/>
    <w:rsid w:val="6131159B"/>
    <w:rsid w:val="613F1AF9"/>
    <w:rsid w:val="613F280A"/>
    <w:rsid w:val="6142054C"/>
    <w:rsid w:val="61646DB2"/>
    <w:rsid w:val="61883485"/>
    <w:rsid w:val="619C5EAE"/>
    <w:rsid w:val="61AA6E6F"/>
    <w:rsid w:val="61E215D8"/>
    <w:rsid w:val="61F50987"/>
    <w:rsid w:val="621B3775"/>
    <w:rsid w:val="62285994"/>
    <w:rsid w:val="62364782"/>
    <w:rsid w:val="623F4BDD"/>
    <w:rsid w:val="62AD7C47"/>
    <w:rsid w:val="62B60AC0"/>
    <w:rsid w:val="62FD1CBD"/>
    <w:rsid w:val="637B5220"/>
    <w:rsid w:val="6394356A"/>
    <w:rsid w:val="63A454EE"/>
    <w:rsid w:val="63C61B2C"/>
    <w:rsid w:val="63D4074F"/>
    <w:rsid w:val="63D40BE9"/>
    <w:rsid w:val="63FA6EBC"/>
    <w:rsid w:val="63FE69AC"/>
    <w:rsid w:val="64102431"/>
    <w:rsid w:val="64504D2E"/>
    <w:rsid w:val="645E09DA"/>
    <w:rsid w:val="64A5243A"/>
    <w:rsid w:val="64F32289"/>
    <w:rsid w:val="64F531DE"/>
    <w:rsid w:val="652F2B95"/>
    <w:rsid w:val="65373578"/>
    <w:rsid w:val="65650E44"/>
    <w:rsid w:val="65B84A0F"/>
    <w:rsid w:val="65D73958"/>
    <w:rsid w:val="65E120E1"/>
    <w:rsid w:val="65EC71F6"/>
    <w:rsid w:val="662D5433"/>
    <w:rsid w:val="665054B9"/>
    <w:rsid w:val="66882EA5"/>
    <w:rsid w:val="66D94F5C"/>
    <w:rsid w:val="66F45E44"/>
    <w:rsid w:val="66F57DCC"/>
    <w:rsid w:val="66F66060"/>
    <w:rsid w:val="671958AB"/>
    <w:rsid w:val="671F124A"/>
    <w:rsid w:val="672524A2"/>
    <w:rsid w:val="673F17B5"/>
    <w:rsid w:val="674D3382"/>
    <w:rsid w:val="67672AEA"/>
    <w:rsid w:val="67796717"/>
    <w:rsid w:val="677A33C6"/>
    <w:rsid w:val="68112B7C"/>
    <w:rsid w:val="68144CC4"/>
    <w:rsid w:val="681F6961"/>
    <w:rsid w:val="682A349B"/>
    <w:rsid w:val="6841155D"/>
    <w:rsid w:val="68593A89"/>
    <w:rsid w:val="68610A2F"/>
    <w:rsid w:val="68805514"/>
    <w:rsid w:val="688A75AA"/>
    <w:rsid w:val="68A65864"/>
    <w:rsid w:val="68CC03DA"/>
    <w:rsid w:val="690031C6"/>
    <w:rsid w:val="69316E2F"/>
    <w:rsid w:val="693C33D0"/>
    <w:rsid w:val="694E2071"/>
    <w:rsid w:val="695931B4"/>
    <w:rsid w:val="696F5C56"/>
    <w:rsid w:val="69766163"/>
    <w:rsid w:val="697A3B33"/>
    <w:rsid w:val="6988602B"/>
    <w:rsid w:val="69A73642"/>
    <w:rsid w:val="69C77840"/>
    <w:rsid w:val="69D44760"/>
    <w:rsid w:val="69EC54F9"/>
    <w:rsid w:val="6A322B85"/>
    <w:rsid w:val="6A3F38D9"/>
    <w:rsid w:val="6A50680E"/>
    <w:rsid w:val="6A520EC7"/>
    <w:rsid w:val="6A5A06B4"/>
    <w:rsid w:val="6A9F6B82"/>
    <w:rsid w:val="6AA47B81"/>
    <w:rsid w:val="6ABA36B3"/>
    <w:rsid w:val="6ADA6DFD"/>
    <w:rsid w:val="6AF87E20"/>
    <w:rsid w:val="6B1116BB"/>
    <w:rsid w:val="6B322639"/>
    <w:rsid w:val="6B5F711A"/>
    <w:rsid w:val="6B61644D"/>
    <w:rsid w:val="6B6932A5"/>
    <w:rsid w:val="6B7669D6"/>
    <w:rsid w:val="6BAA3F28"/>
    <w:rsid w:val="6BB67B6C"/>
    <w:rsid w:val="6C094140"/>
    <w:rsid w:val="6C1C6720"/>
    <w:rsid w:val="6C292269"/>
    <w:rsid w:val="6C390C28"/>
    <w:rsid w:val="6C3C4515"/>
    <w:rsid w:val="6C4E6C53"/>
    <w:rsid w:val="6C636C38"/>
    <w:rsid w:val="6CC35974"/>
    <w:rsid w:val="6CD504C6"/>
    <w:rsid w:val="6CDD3C12"/>
    <w:rsid w:val="6D0C15C3"/>
    <w:rsid w:val="6D88759D"/>
    <w:rsid w:val="6D9F7C70"/>
    <w:rsid w:val="6DB34098"/>
    <w:rsid w:val="6DB545B6"/>
    <w:rsid w:val="6DCF2230"/>
    <w:rsid w:val="6DE02FB4"/>
    <w:rsid w:val="6DF717AF"/>
    <w:rsid w:val="6DFE0CAC"/>
    <w:rsid w:val="6E514CED"/>
    <w:rsid w:val="6E900B48"/>
    <w:rsid w:val="6EB563D5"/>
    <w:rsid w:val="6EC75B57"/>
    <w:rsid w:val="6ED74E66"/>
    <w:rsid w:val="6ED92677"/>
    <w:rsid w:val="6EFA5425"/>
    <w:rsid w:val="6F225983"/>
    <w:rsid w:val="6F332E9E"/>
    <w:rsid w:val="6F685621"/>
    <w:rsid w:val="6FA04EC3"/>
    <w:rsid w:val="6FAA5C3A"/>
    <w:rsid w:val="6FAB48BC"/>
    <w:rsid w:val="6FED13C0"/>
    <w:rsid w:val="6FFC5590"/>
    <w:rsid w:val="706D1DD0"/>
    <w:rsid w:val="70856B87"/>
    <w:rsid w:val="70C95090"/>
    <w:rsid w:val="70CD1249"/>
    <w:rsid w:val="70D527EE"/>
    <w:rsid w:val="70D64A7B"/>
    <w:rsid w:val="70EF69D7"/>
    <w:rsid w:val="7104137A"/>
    <w:rsid w:val="711368CE"/>
    <w:rsid w:val="714C26EA"/>
    <w:rsid w:val="715B5300"/>
    <w:rsid w:val="71727C3B"/>
    <w:rsid w:val="717D79A1"/>
    <w:rsid w:val="71A52B5D"/>
    <w:rsid w:val="71D27F8A"/>
    <w:rsid w:val="71FD29A8"/>
    <w:rsid w:val="72352198"/>
    <w:rsid w:val="72553024"/>
    <w:rsid w:val="727E16B2"/>
    <w:rsid w:val="729055BB"/>
    <w:rsid w:val="72A6630F"/>
    <w:rsid w:val="72B33DEA"/>
    <w:rsid w:val="72C97A85"/>
    <w:rsid w:val="72F853FF"/>
    <w:rsid w:val="73122968"/>
    <w:rsid w:val="731F5D5E"/>
    <w:rsid w:val="736507F6"/>
    <w:rsid w:val="73741484"/>
    <w:rsid w:val="737B6A68"/>
    <w:rsid w:val="73B00889"/>
    <w:rsid w:val="73C51AD5"/>
    <w:rsid w:val="73F43927"/>
    <w:rsid w:val="7402235F"/>
    <w:rsid w:val="741E793C"/>
    <w:rsid w:val="74216777"/>
    <w:rsid w:val="742F4DE6"/>
    <w:rsid w:val="742F6013"/>
    <w:rsid w:val="745E3944"/>
    <w:rsid w:val="746E1D09"/>
    <w:rsid w:val="747607E0"/>
    <w:rsid w:val="747671D2"/>
    <w:rsid w:val="74B45D96"/>
    <w:rsid w:val="750758DC"/>
    <w:rsid w:val="75094A06"/>
    <w:rsid w:val="75097E5E"/>
    <w:rsid w:val="7514770C"/>
    <w:rsid w:val="753B10E2"/>
    <w:rsid w:val="7553467E"/>
    <w:rsid w:val="75A3791A"/>
    <w:rsid w:val="75EE07A4"/>
    <w:rsid w:val="75F96FD3"/>
    <w:rsid w:val="761938F1"/>
    <w:rsid w:val="7635099D"/>
    <w:rsid w:val="764C5FBF"/>
    <w:rsid w:val="768C6099"/>
    <w:rsid w:val="769006E4"/>
    <w:rsid w:val="769B6B48"/>
    <w:rsid w:val="76C92E49"/>
    <w:rsid w:val="76E1631E"/>
    <w:rsid w:val="76EB1A60"/>
    <w:rsid w:val="76EC6B38"/>
    <w:rsid w:val="770E6AAE"/>
    <w:rsid w:val="773504DF"/>
    <w:rsid w:val="773F310C"/>
    <w:rsid w:val="775A1D1E"/>
    <w:rsid w:val="77762421"/>
    <w:rsid w:val="7782124A"/>
    <w:rsid w:val="77B56B1F"/>
    <w:rsid w:val="77E2713E"/>
    <w:rsid w:val="77EB5041"/>
    <w:rsid w:val="77F92EE3"/>
    <w:rsid w:val="780F09F4"/>
    <w:rsid w:val="78280044"/>
    <w:rsid w:val="786646C8"/>
    <w:rsid w:val="78870772"/>
    <w:rsid w:val="7897528D"/>
    <w:rsid w:val="78A90480"/>
    <w:rsid w:val="78C26AEC"/>
    <w:rsid w:val="78CF4963"/>
    <w:rsid w:val="797D676F"/>
    <w:rsid w:val="798E2128"/>
    <w:rsid w:val="7999345B"/>
    <w:rsid w:val="79B3393D"/>
    <w:rsid w:val="79C2422B"/>
    <w:rsid w:val="79F16D16"/>
    <w:rsid w:val="79F57588"/>
    <w:rsid w:val="79FD4EB5"/>
    <w:rsid w:val="79FE105C"/>
    <w:rsid w:val="7A2401C6"/>
    <w:rsid w:val="7A252032"/>
    <w:rsid w:val="7A28432B"/>
    <w:rsid w:val="7A364017"/>
    <w:rsid w:val="7A3F3423"/>
    <w:rsid w:val="7A4E4C46"/>
    <w:rsid w:val="7A545120"/>
    <w:rsid w:val="7A7358BD"/>
    <w:rsid w:val="7A8265E1"/>
    <w:rsid w:val="7A851FF7"/>
    <w:rsid w:val="7AC755D8"/>
    <w:rsid w:val="7B686D42"/>
    <w:rsid w:val="7B841746"/>
    <w:rsid w:val="7BB169D0"/>
    <w:rsid w:val="7BCB4BEA"/>
    <w:rsid w:val="7BF97117"/>
    <w:rsid w:val="7C532F51"/>
    <w:rsid w:val="7C6C5AC7"/>
    <w:rsid w:val="7C972A58"/>
    <w:rsid w:val="7CAD0B17"/>
    <w:rsid w:val="7CC6544B"/>
    <w:rsid w:val="7CCF6CE0"/>
    <w:rsid w:val="7CED7166"/>
    <w:rsid w:val="7CF25884"/>
    <w:rsid w:val="7D0239FF"/>
    <w:rsid w:val="7D275691"/>
    <w:rsid w:val="7D580A83"/>
    <w:rsid w:val="7D5A634C"/>
    <w:rsid w:val="7D5E40CD"/>
    <w:rsid w:val="7D6531A0"/>
    <w:rsid w:val="7D6E02A7"/>
    <w:rsid w:val="7D7539AD"/>
    <w:rsid w:val="7D97644D"/>
    <w:rsid w:val="7DA104EE"/>
    <w:rsid w:val="7DB859C6"/>
    <w:rsid w:val="7DCD00E6"/>
    <w:rsid w:val="7DCD56F2"/>
    <w:rsid w:val="7DDB16B4"/>
    <w:rsid w:val="7E0D112E"/>
    <w:rsid w:val="7E2E230E"/>
    <w:rsid w:val="7E396311"/>
    <w:rsid w:val="7E505BFE"/>
    <w:rsid w:val="7E553215"/>
    <w:rsid w:val="7E9B3088"/>
    <w:rsid w:val="7E9E3C4A"/>
    <w:rsid w:val="7EA62974"/>
    <w:rsid w:val="7F001CE7"/>
    <w:rsid w:val="7F0C421B"/>
    <w:rsid w:val="7F3855CE"/>
    <w:rsid w:val="7F606FAC"/>
    <w:rsid w:val="7F69394E"/>
    <w:rsid w:val="7F6F7368"/>
    <w:rsid w:val="7F992C65"/>
    <w:rsid w:val="7FAE7080"/>
    <w:rsid w:val="7FB23265"/>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99" w:name="index 9"/>
    <w:lsdException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left"/>
    </w:pPr>
    <w:rPr>
      <w:rFonts w:ascii="Times New Roman" w:hAnsi="Times New Roman" w:eastAsia="宋体" w:cs="Times New Roman"/>
      <w:kern w:val="2"/>
      <w:sz w:val="24"/>
      <w:szCs w:val="24"/>
      <w:lang w:val="en-US" w:eastAsia="zh-CN" w:bidi="ar-SA"/>
    </w:rPr>
  </w:style>
  <w:style w:type="paragraph" w:styleId="2">
    <w:name w:val="heading 1"/>
    <w:basedOn w:val="1"/>
    <w:next w:val="1"/>
    <w:link w:val="59"/>
    <w:qFormat/>
    <w:uiPriority w:val="99"/>
    <w:pPr>
      <w:keepNext/>
      <w:overflowPunct w:val="0"/>
      <w:snapToGrid w:val="0"/>
      <w:spacing w:line="360" w:lineRule="auto"/>
      <w:ind w:left="0" w:firstLine="0"/>
      <w:jc w:val="left"/>
      <w:outlineLvl w:val="0"/>
    </w:pPr>
    <w:rPr>
      <w:rFonts w:ascii="Times New Roman" w:hAnsi="Times New Roman" w:eastAsia="宋体"/>
      <w:b/>
      <w:bCs/>
      <w:color w:val="000000"/>
      <w:kern w:val="44"/>
      <w:sz w:val="28"/>
      <w:szCs w:val="30"/>
    </w:rPr>
  </w:style>
  <w:style w:type="paragraph" w:styleId="3">
    <w:name w:val="heading 2"/>
    <w:basedOn w:val="1"/>
    <w:next w:val="4"/>
    <w:link w:val="88"/>
    <w:unhideWhenUsed/>
    <w:qFormat/>
    <w:uiPriority w:val="0"/>
    <w:pPr>
      <w:keepNext/>
      <w:keepLines/>
      <w:spacing w:beforeLines="0" w:beforeAutospacing="0" w:afterLines="0" w:afterAutospacing="0" w:line="360" w:lineRule="auto"/>
      <w:jc w:val="left"/>
      <w:outlineLvl w:val="1"/>
    </w:pPr>
    <w:rPr>
      <w:rFonts w:ascii="Times New Roman" w:hAnsi="Times New Roman" w:eastAsia="宋体"/>
      <w:b/>
      <w:szCs w:val="21"/>
    </w:rPr>
  </w:style>
  <w:style w:type="paragraph" w:styleId="8">
    <w:name w:val="heading 3"/>
    <w:basedOn w:val="1"/>
    <w:next w:val="1"/>
    <w:unhideWhenUsed/>
    <w:qFormat/>
    <w:uiPriority w:val="0"/>
    <w:pPr>
      <w:keepNext/>
      <w:keepLines/>
      <w:spacing w:beforeLines="0" w:beforeAutospacing="0" w:afterLines="0" w:afterAutospacing="0" w:line="360" w:lineRule="auto"/>
      <w:ind w:firstLine="0" w:firstLineChars="0"/>
      <w:outlineLvl w:val="2"/>
    </w:pPr>
    <w:rPr>
      <w:rFonts w:ascii="Times New Roman" w:hAnsi="Times New Roman" w:eastAsia="宋体"/>
    </w:rPr>
  </w:style>
  <w:style w:type="paragraph" w:styleId="9">
    <w:name w:val="heading 4"/>
    <w:basedOn w:val="1"/>
    <w:next w:val="1"/>
    <w:unhideWhenUsed/>
    <w:qFormat/>
    <w:uiPriority w:val="0"/>
    <w:pPr>
      <w:keepNext/>
      <w:keepLines/>
      <w:spacing w:beforeLines="0" w:beforeAutospacing="0" w:afterLines="0" w:afterAutospacing="0" w:line="360" w:lineRule="auto"/>
      <w:jc w:val="left"/>
      <w:outlineLvl w:val="3"/>
    </w:pPr>
    <w:rPr>
      <w:rFonts w:eastAsia="宋体"/>
      <w:b/>
      <w:sz w:val="24"/>
      <w:szCs w:val="21"/>
    </w:rPr>
  </w:style>
  <w:style w:type="paragraph" w:styleId="10">
    <w:name w:val="heading 5"/>
    <w:basedOn w:val="1"/>
    <w:next w:val="1"/>
    <w:unhideWhenUsed/>
    <w:qFormat/>
    <w:uiPriority w:val="0"/>
    <w:pPr>
      <w:snapToGrid w:val="0"/>
      <w:spacing w:beforeAutospacing="0" w:afterAutospacing="0"/>
      <w:ind w:firstLine="0" w:firstLineChars="0"/>
      <w:jc w:val="left"/>
      <w:outlineLvl w:val="4"/>
    </w:pPr>
    <w:rPr>
      <w:rFonts w:hint="eastAsia" w:eastAsia="宋体"/>
      <w:sz w:val="24"/>
      <w:szCs w:val="21"/>
    </w:rPr>
  </w:style>
  <w:style w:type="character" w:default="1" w:styleId="33">
    <w:name w:val="Default Paragraph Font"/>
    <w:semiHidden/>
    <w:qFormat/>
    <w:uiPriority w:val="0"/>
  </w:style>
  <w:style w:type="table" w:default="1" w:styleId="31">
    <w:name w:val="Normal Table"/>
    <w:semiHidden/>
    <w:qFormat/>
    <w:uiPriority w:val="0"/>
    <w:tblPr>
      <w:tblCellMar>
        <w:top w:w="0" w:type="dxa"/>
        <w:left w:w="108" w:type="dxa"/>
        <w:bottom w:w="0" w:type="dxa"/>
        <w:right w:w="108" w:type="dxa"/>
      </w:tblCellMar>
    </w:tblPr>
  </w:style>
  <w:style w:type="paragraph" w:styleId="4">
    <w:name w:val="Normal Indent"/>
    <w:basedOn w:val="1"/>
    <w:next w:val="5"/>
    <w:qFormat/>
    <w:uiPriority w:val="0"/>
    <w:pPr>
      <w:ind w:firstLine="420"/>
    </w:pPr>
  </w:style>
  <w:style w:type="paragraph" w:customStyle="1" w:styleId="5">
    <w:name w:val="样式 正文文本 + 首行缩进:  2 字符"/>
    <w:basedOn w:val="6"/>
    <w:qFormat/>
    <w:uiPriority w:val="99"/>
    <w:pPr>
      <w:spacing w:after="200" w:line="480" w:lineRule="exact"/>
      <w:ind w:firstLine="480"/>
    </w:pPr>
    <w:rPr>
      <w:rFonts w:ascii="宋体" w:hAnsi="宋体"/>
      <w:sz w:val="24"/>
    </w:rPr>
  </w:style>
  <w:style w:type="paragraph" w:styleId="6">
    <w:name w:val="Body Text"/>
    <w:basedOn w:val="1"/>
    <w:next w:val="7"/>
    <w:link w:val="61"/>
    <w:qFormat/>
    <w:uiPriority w:val="0"/>
    <w:pPr>
      <w:widowControl/>
      <w:snapToGrid w:val="0"/>
      <w:spacing w:before="60" w:after="160" w:line="259" w:lineRule="auto"/>
      <w:ind w:right="113"/>
    </w:pPr>
    <w:rPr>
      <w:kern w:val="0"/>
      <w:sz w:val="18"/>
      <w:szCs w:val="20"/>
    </w:rPr>
  </w:style>
  <w:style w:type="paragraph" w:customStyle="1" w:styleId="7">
    <w:name w:val="默认段落"/>
    <w:basedOn w:val="1"/>
    <w:qFormat/>
    <w:uiPriority w:val="0"/>
    <w:pPr>
      <w:topLinePunct w:val="0"/>
    </w:pPr>
  </w:style>
  <w:style w:type="paragraph" w:styleId="11">
    <w:name w:val="toa heading"/>
    <w:basedOn w:val="1"/>
    <w:next w:val="1"/>
    <w:qFormat/>
    <w:uiPriority w:val="0"/>
    <w:pPr>
      <w:spacing w:before="120" w:after="120" w:line="360" w:lineRule="auto"/>
      <w:ind w:firstLine="200" w:firstLineChars="200"/>
      <w:jc w:val="left"/>
    </w:pPr>
    <w:rPr>
      <w:sz w:val="24"/>
      <w:u w:val="single"/>
    </w:rPr>
  </w:style>
  <w:style w:type="paragraph" w:styleId="12">
    <w:name w:val="annotation text"/>
    <w:basedOn w:val="1"/>
    <w:link w:val="62"/>
    <w:semiHidden/>
    <w:qFormat/>
    <w:uiPriority w:val="0"/>
    <w:pPr>
      <w:jc w:val="left"/>
    </w:pPr>
    <w:rPr>
      <w:kern w:val="0"/>
      <w:sz w:val="24"/>
      <w:szCs w:val="20"/>
    </w:rPr>
  </w:style>
  <w:style w:type="paragraph" w:styleId="13">
    <w:name w:val="Body Text Indent"/>
    <w:basedOn w:val="1"/>
    <w:next w:val="14"/>
    <w:link w:val="63"/>
    <w:qFormat/>
    <w:uiPriority w:val="0"/>
    <w:pPr>
      <w:spacing w:after="120"/>
      <w:ind w:left="420" w:leftChars="200"/>
    </w:pPr>
    <w:rPr>
      <w:kern w:val="0"/>
      <w:sz w:val="24"/>
      <w:szCs w:val="20"/>
    </w:rPr>
  </w:style>
  <w:style w:type="paragraph" w:styleId="14">
    <w:name w:val="Body Text Indent 2"/>
    <w:basedOn w:val="1"/>
    <w:next w:val="11"/>
    <w:qFormat/>
    <w:uiPriority w:val="0"/>
    <w:pPr>
      <w:spacing w:after="120" w:line="480" w:lineRule="auto"/>
      <w:ind w:left="420" w:leftChars="200"/>
    </w:pPr>
  </w:style>
  <w:style w:type="paragraph" w:styleId="15">
    <w:name w:val="Plain Text"/>
    <w:basedOn w:val="1"/>
    <w:next w:val="16"/>
    <w:qFormat/>
    <w:uiPriority w:val="0"/>
    <w:rPr>
      <w:rFonts w:ascii="宋体" w:hAnsi="Courier New"/>
      <w:szCs w:val="20"/>
    </w:rPr>
  </w:style>
  <w:style w:type="paragraph" w:customStyle="1" w:styleId="16">
    <w:name w:val="表内文字"/>
    <w:basedOn w:val="1"/>
    <w:next w:val="17"/>
    <w:qFormat/>
    <w:uiPriority w:val="0"/>
    <w:pPr>
      <w:spacing w:line="360" w:lineRule="atLeast"/>
      <w:jc w:val="center"/>
    </w:pPr>
  </w:style>
  <w:style w:type="paragraph" w:customStyle="1" w:styleId="17">
    <w:name w:val="+正文"/>
    <w:basedOn w:val="1"/>
    <w:qFormat/>
    <w:uiPriority w:val="0"/>
    <w:pPr>
      <w:spacing w:line="360" w:lineRule="auto"/>
      <w:ind w:firstLine="560" w:firstLineChars="200"/>
      <w:outlineLvl w:val="0"/>
    </w:pPr>
    <w:rPr>
      <w:rFonts w:ascii="宋体"/>
      <w:sz w:val="28"/>
      <w:szCs w:val="28"/>
    </w:rPr>
  </w:style>
  <w:style w:type="paragraph" w:styleId="18">
    <w:name w:val="Date"/>
    <w:basedOn w:val="1"/>
    <w:next w:val="1"/>
    <w:link w:val="65"/>
    <w:qFormat/>
    <w:uiPriority w:val="0"/>
    <w:pPr>
      <w:ind w:left="100" w:leftChars="2500"/>
    </w:pPr>
    <w:rPr>
      <w:kern w:val="0"/>
      <w:sz w:val="24"/>
      <w:szCs w:val="20"/>
    </w:rPr>
  </w:style>
  <w:style w:type="paragraph" w:styleId="19">
    <w:name w:val="Balloon Text"/>
    <w:basedOn w:val="1"/>
    <w:link w:val="66"/>
    <w:semiHidden/>
    <w:qFormat/>
    <w:uiPriority w:val="0"/>
    <w:rPr>
      <w:kern w:val="0"/>
      <w:sz w:val="18"/>
      <w:szCs w:val="20"/>
    </w:rPr>
  </w:style>
  <w:style w:type="paragraph" w:styleId="20">
    <w:name w:val="footer"/>
    <w:basedOn w:val="1"/>
    <w:link w:val="67"/>
    <w:qFormat/>
    <w:uiPriority w:val="99"/>
    <w:pPr>
      <w:tabs>
        <w:tab w:val="center" w:pos="4153"/>
        <w:tab w:val="right" w:pos="8306"/>
      </w:tabs>
      <w:snapToGrid w:val="0"/>
      <w:jc w:val="left"/>
    </w:pPr>
    <w:rPr>
      <w:kern w:val="0"/>
      <w:sz w:val="18"/>
      <w:szCs w:val="20"/>
    </w:rPr>
  </w:style>
  <w:style w:type="paragraph" w:styleId="21">
    <w:name w:val="header"/>
    <w:basedOn w:val="1"/>
    <w:next w:val="22"/>
    <w:link w:val="64"/>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2">
    <w:name w:val="样式5"/>
    <w:basedOn w:val="23"/>
    <w:qFormat/>
    <w:uiPriority w:val="0"/>
    <w:pPr>
      <w:spacing w:line="580" w:lineRule="exact"/>
      <w:ind w:firstLine="720" w:firstLineChars="300"/>
    </w:pPr>
    <w:rPr>
      <w:rFonts w:ascii="黑体" w:eastAsia="黑体"/>
      <w:kern w:val="2"/>
    </w:rPr>
  </w:style>
  <w:style w:type="paragraph" w:customStyle="1" w:styleId="23">
    <w:name w:val="正文1"/>
    <w:basedOn w:val="1"/>
    <w:next w:val="1"/>
    <w:qFormat/>
    <w:uiPriority w:val="0"/>
    <w:pPr>
      <w:textAlignment w:val="top"/>
    </w:pPr>
    <w:rPr>
      <w:rFonts w:ascii="Times New Roman"/>
      <w:kern w:val="0"/>
      <w:sz w:val="24"/>
    </w:rPr>
  </w:style>
  <w:style w:type="paragraph" w:styleId="24">
    <w:name w:val="List"/>
    <w:basedOn w:val="1"/>
    <w:qFormat/>
    <w:uiPriority w:val="0"/>
    <w:pPr>
      <w:ind w:left="200" w:hanging="200" w:hangingChars="200"/>
    </w:pPr>
  </w:style>
  <w:style w:type="paragraph" w:styleId="25">
    <w:name w:val="index 9"/>
    <w:basedOn w:val="1"/>
    <w:next w:val="1"/>
    <w:semiHidden/>
    <w:qFormat/>
    <w:uiPriority w:val="99"/>
    <w:pPr>
      <w:ind w:left="3360"/>
      <w:jc w:val="left"/>
    </w:pPr>
  </w:style>
  <w:style w:type="paragraph" w:styleId="26">
    <w:name w:val="toc 2"/>
    <w:basedOn w:val="1"/>
    <w:next w:val="1"/>
    <w:semiHidden/>
    <w:qFormat/>
    <w:uiPriority w:val="0"/>
    <w:pPr>
      <w:ind w:left="420" w:leftChars="200"/>
    </w:pPr>
  </w:style>
  <w:style w:type="paragraph" w:styleId="27">
    <w:name w:val="Normal (Web)"/>
    <w:basedOn w:val="1"/>
    <w:link w:val="68"/>
    <w:qFormat/>
    <w:uiPriority w:val="0"/>
    <w:pPr>
      <w:widowControl/>
      <w:spacing w:before="100" w:beforeAutospacing="1" w:after="100" w:afterAutospacing="1"/>
      <w:jc w:val="left"/>
    </w:pPr>
    <w:rPr>
      <w:rFonts w:ascii="宋体" w:hAnsi="宋体"/>
      <w:kern w:val="0"/>
      <w:sz w:val="24"/>
      <w:szCs w:val="20"/>
    </w:rPr>
  </w:style>
  <w:style w:type="paragraph" w:styleId="28">
    <w:name w:val="annotation subject"/>
    <w:basedOn w:val="12"/>
    <w:next w:val="12"/>
    <w:link w:val="69"/>
    <w:semiHidden/>
    <w:qFormat/>
    <w:uiPriority w:val="0"/>
    <w:rPr>
      <w:b/>
      <w:sz w:val="24"/>
      <w:szCs w:val="20"/>
    </w:rPr>
  </w:style>
  <w:style w:type="paragraph" w:styleId="29">
    <w:name w:val="Body Text First Indent"/>
    <w:basedOn w:val="6"/>
    <w:next w:val="9"/>
    <w:qFormat/>
    <w:uiPriority w:val="0"/>
    <w:pPr>
      <w:spacing w:after="120"/>
      <w:ind w:firstLine="420" w:firstLineChars="100"/>
    </w:pPr>
    <w:rPr>
      <w:sz w:val="21"/>
      <w:szCs w:val="24"/>
    </w:rPr>
  </w:style>
  <w:style w:type="paragraph" w:styleId="30">
    <w:name w:val="Body Text First Indent 2"/>
    <w:basedOn w:val="13"/>
    <w:next w:val="1"/>
    <w:qFormat/>
    <w:uiPriority w:val="0"/>
    <w:pPr>
      <w:ind w:firstLine="420" w:firstLineChars="200"/>
    </w:pPr>
  </w:style>
  <w:style w:type="table" w:styleId="32">
    <w:name w:val="Table Grid"/>
    <w:basedOn w:val="3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basedOn w:val="33"/>
    <w:qFormat/>
    <w:uiPriority w:val="0"/>
  </w:style>
  <w:style w:type="character" w:styleId="35">
    <w:name w:val="Emphasis"/>
    <w:basedOn w:val="33"/>
    <w:qFormat/>
    <w:uiPriority w:val="0"/>
    <w:rPr>
      <w:i/>
    </w:rPr>
  </w:style>
  <w:style w:type="character" w:styleId="36">
    <w:name w:val="Hyperlink"/>
    <w:unhideWhenUsed/>
    <w:qFormat/>
    <w:uiPriority w:val="99"/>
    <w:rPr>
      <w:rFonts w:ascii="Arial" w:hAnsi="Arial" w:cs="Arial"/>
      <w:color w:val="0331BC"/>
      <w:u w:val="single"/>
    </w:rPr>
  </w:style>
  <w:style w:type="character" w:styleId="37">
    <w:name w:val="annotation reference"/>
    <w:semiHidden/>
    <w:qFormat/>
    <w:uiPriority w:val="0"/>
    <w:rPr>
      <w:sz w:val="21"/>
    </w:rPr>
  </w:style>
  <w:style w:type="character" w:customStyle="1" w:styleId="38">
    <w:name w:val="页脚 字符"/>
    <w:basedOn w:val="33"/>
    <w:qFormat/>
    <w:uiPriority w:val="99"/>
  </w:style>
  <w:style w:type="paragraph" w:customStyle="1" w:styleId="39">
    <w:name w:val="Default"/>
    <w:basedOn w:val="4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0">
    <w:name w:val="纯文本1"/>
    <w:basedOn w:val="1"/>
    <w:qFormat/>
    <w:uiPriority w:val="99"/>
    <w:pPr>
      <w:autoSpaceDE w:val="0"/>
      <w:autoSpaceDN w:val="0"/>
      <w:adjustRightInd w:val="0"/>
      <w:textAlignment w:val="baseline"/>
    </w:pPr>
    <w:rPr>
      <w:rFonts w:ascii="宋体"/>
      <w:szCs w:val="20"/>
    </w:rPr>
  </w:style>
  <w:style w:type="paragraph" w:customStyle="1" w:styleId="41">
    <w:name w:val="样式 样式 样式 四号 左侧:  1.53 厘米 + 首行缩进:  2 字符 + 居中 左侧:  2 字符 首行缩进:  2..."/>
    <w:basedOn w:val="42"/>
    <w:qFormat/>
    <w:uiPriority w:val="0"/>
    <w:pPr>
      <w:ind w:firstLine="0" w:firstLineChars="0"/>
      <w:jc w:val="center"/>
    </w:pPr>
  </w:style>
  <w:style w:type="paragraph" w:customStyle="1" w:styleId="42">
    <w:name w:val="样式 样式 四号 左侧:  1.53 厘米 + 首行缩进:  2 字符"/>
    <w:basedOn w:val="43"/>
    <w:qFormat/>
    <w:uiPriority w:val="0"/>
    <w:pPr>
      <w:ind w:left="200" w:leftChars="200"/>
    </w:pPr>
    <w:rPr>
      <w:szCs w:val="20"/>
    </w:rPr>
  </w:style>
  <w:style w:type="paragraph" w:customStyle="1" w:styleId="43">
    <w:name w:val="样式 四号 左侧:  1.53 厘米"/>
    <w:basedOn w:val="1"/>
    <w:qFormat/>
    <w:uiPriority w:val="0"/>
    <w:pPr>
      <w:adjustRightInd w:val="0"/>
    </w:pPr>
    <w:rPr>
      <w:w w:val="90"/>
      <w:sz w:val="28"/>
      <w:szCs w:val="28"/>
    </w:rPr>
  </w:style>
  <w:style w:type="paragraph" w:customStyle="1" w:styleId="44">
    <w:name w:val="策标题一"/>
    <w:basedOn w:val="2"/>
    <w:next w:val="1"/>
    <w:qFormat/>
    <w:uiPriority w:val="0"/>
    <w:pPr>
      <w:spacing w:line="360" w:lineRule="auto"/>
      <w:jc w:val="left"/>
    </w:pPr>
    <w:rPr>
      <w:rFonts w:eastAsia="宋体" w:asciiTheme="minorAscii" w:hAnsiTheme="minorAscii"/>
      <w:sz w:val="28"/>
      <w:szCs w:val="24"/>
      <w:lang w:eastAsia="en-US" w:bidi="en-US"/>
    </w:rPr>
  </w:style>
  <w:style w:type="paragraph" w:customStyle="1" w:styleId="45">
    <w:name w:val="策标题二"/>
    <w:basedOn w:val="3"/>
    <w:next w:val="1"/>
    <w:qFormat/>
    <w:uiPriority w:val="0"/>
    <w:pPr>
      <w:spacing w:line="360" w:lineRule="auto"/>
      <w:jc w:val="left"/>
    </w:pPr>
    <w:rPr>
      <w:rFonts w:eastAsia="宋体" w:cs="Times New Roman" w:asciiTheme="minorAscii" w:hAnsiTheme="minorAscii"/>
      <w:color w:val="000000"/>
      <w:lang w:eastAsia="en-US" w:bidi="en-US"/>
    </w:rPr>
  </w:style>
  <w:style w:type="paragraph" w:customStyle="1" w:styleId="46">
    <w:name w:val="策标题3"/>
    <w:basedOn w:val="8"/>
    <w:next w:val="1"/>
    <w:qFormat/>
    <w:uiPriority w:val="0"/>
    <w:pPr>
      <w:spacing w:line="360" w:lineRule="auto"/>
      <w:jc w:val="left"/>
    </w:pPr>
    <w:rPr>
      <w:rFonts w:eastAsia="宋体" w:cs="Times New Roman" w:asciiTheme="minorAscii" w:hAnsiTheme="minorAscii"/>
      <w:color w:val="000000"/>
      <w:sz w:val="24"/>
      <w:lang w:eastAsia="en-US" w:bidi="en-US"/>
    </w:rPr>
  </w:style>
  <w:style w:type="paragraph" w:customStyle="1" w:styleId="47">
    <w:name w:val="策正文"/>
    <w:basedOn w:val="1"/>
    <w:link w:val="90"/>
    <w:qFormat/>
    <w:uiPriority w:val="0"/>
    <w:pPr>
      <w:adjustRightInd w:val="0"/>
      <w:spacing w:line="360" w:lineRule="auto"/>
      <w:ind w:left="0" w:leftChars="0" w:firstLine="420" w:firstLineChars="200"/>
      <w:jc w:val="both"/>
    </w:pPr>
    <w:rPr>
      <w:rFonts w:eastAsia="宋体" w:asciiTheme="minorAscii" w:hAnsiTheme="minorAscii"/>
      <w:color w:val="000000"/>
      <w:lang w:eastAsia="en-US" w:bidi="en-US"/>
    </w:rPr>
  </w:style>
  <w:style w:type="paragraph" w:customStyle="1" w:styleId="48">
    <w:name w:val="表头"/>
    <w:basedOn w:val="49"/>
    <w:next w:val="1"/>
    <w:qFormat/>
    <w:uiPriority w:val="0"/>
    <w:pPr>
      <w:keepNext/>
      <w:keepLines/>
      <w:autoSpaceDE w:val="0"/>
      <w:autoSpaceDN w:val="0"/>
      <w:adjustRightInd w:val="0"/>
      <w:spacing w:line="240" w:lineRule="auto"/>
      <w:jc w:val="center"/>
    </w:pPr>
    <w:rPr>
      <w:rFonts w:eastAsia="宋体"/>
      <w:kern w:val="21"/>
      <w:szCs w:val="20"/>
    </w:rPr>
  </w:style>
  <w:style w:type="paragraph" w:customStyle="1" w:styleId="49">
    <w:name w:val="标题四"/>
    <w:basedOn w:val="50"/>
    <w:qFormat/>
    <w:uiPriority w:val="0"/>
  </w:style>
  <w:style w:type="paragraph" w:customStyle="1" w:styleId="50">
    <w:name w:val="标题3"/>
    <w:basedOn w:val="51"/>
    <w:next w:val="52"/>
    <w:qFormat/>
    <w:uiPriority w:val="0"/>
    <w:pPr>
      <w:suppressAutoHyphens/>
      <w:ind w:firstLine="482"/>
    </w:pPr>
    <w:rPr>
      <w:rFonts w:ascii="Times New Roman" w:hAnsi="Times New Roman"/>
      <w:b/>
      <w:bCs/>
      <w:spacing w:val="18"/>
      <w:kern w:val="0"/>
      <w:szCs w:val="20"/>
    </w:rPr>
  </w:style>
  <w:style w:type="paragraph" w:customStyle="1" w:styleId="51">
    <w:name w:val="正文2"/>
    <w:qFormat/>
    <w:uiPriority w:val="0"/>
    <w:pPr>
      <w:widowControl w:val="0"/>
      <w:suppressAutoHyphens/>
      <w:spacing w:line="520" w:lineRule="atLeast"/>
      <w:ind w:firstLine="680"/>
      <w:jc w:val="both"/>
    </w:pPr>
    <w:rPr>
      <w:rFonts w:ascii="Times New Roman" w:hAnsi="Times New Roman" w:eastAsia="宋体" w:cs="Times New Roman"/>
      <w:spacing w:val="18"/>
      <w:sz w:val="32"/>
      <w:lang w:val="en-US" w:eastAsia="zh-CN" w:bidi="ar-SA"/>
    </w:rPr>
  </w:style>
  <w:style w:type="paragraph" w:customStyle="1" w:styleId="52">
    <w:name w:val="正文文本1"/>
    <w:basedOn w:val="53"/>
    <w:qFormat/>
    <w:uiPriority w:val="0"/>
    <w:pPr>
      <w:ind w:firstLine="200" w:firstLineChars="200"/>
    </w:pPr>
    <w:rPr>
      <w:b w:val="0"/>
    </w:rPr>
  </w:style>
  <w:style w:type="paragraph" w:customStyle="1" w:styleId="53">
    <w:name w:val="标题2"/>
    <w:basedOn w:val="1"/>
    <w:qFormat/>
    <w:uiPriority w:val="0"/>
    <w:pPr>
      <w:adjustRightInd w:val="0"/>
      <w:snapToGrid w:val="0"/>
      <w:ind w:firstLine="0" w:firstLineChars="0"/>
      <w:jc w:val="left"/>
    </w:pPr>
    <w:rPr>
      <w:b/>
      <w:bCs/>
      <w:szCs w:val="21"/>
    </w:rPr>
  </w:style>
  <w:style w:type="paragraph" w:customStyle="1" w:styleId="54">
    <w:name w:val="策表格"/>
    <w:qFormat/>
    <w:uiPriority w:val="0"/>
    <w:pPr>
      <w:spacing w:line="240" w:lineRule="auto"/>
      <w:jc w:val="center"/>
    </w:pPr>
    <w:rPr>
      <w:rFonts w:eastAsia="宋体" w:asciiTheme="minorAscii" w:hAnsiTheme="minorAscii" w:cstheme="minorBidi"/>
      <w:sz w:val="21"/>
    </w:rPr>
  </w:style>
  <w:style w:type="paragraph" w:customStyle="1" w:styleId="55">
    <w:name w:val="样式1"/>
    <w:basedOn w:val="51"/>
    <w:qFormat/>
    <w:uiPriority w:val="0"/>
    <w:pPr>
      <w:snapToGrid w:val="0"/>
      <w:spacing w:line="240" w:lineRule="auto"/>
      <w:ind w:firstLine="0" w:firstLineChars="0"/>
      <w:jc w:val="center"/>
    </w:pPr>
    <w:rPr>
      <w:rFonts w:hint="eastAsia" w:ascii="Times New Roman" w:hAnsi="Times New Roman" w:eastAsia="宋体" w:cs="Times New Roman"/>
      <w:b/>
      <w:bCs/>
      <w:color w:val="000000"/>
      <w:sz w:val="24"/>
      <w:lang w:eastAsia="zh-CN" w:bidi="en-US"/>
    </w:rPr>
  </w:style>
  <w:style w:type="paragraph" w:customStyle="1" w:styleId="56">
    <w:name w:val="表头111"/>
    <w:basedOn w:val="1"/>
    <w:qFormat/>
    <w:uiPriority w:val="0"/>
    <w:pPr>
      <w:spacing w:line="240" w:lineRule="auto"/>
      <w:jc w:val="center"/>
    </w:pPr>
    <w:rPr>
      <w:rFonts w:hint="default" w:eastAsia="宋体" w:asciiTheme="minorAscii" w:hAnsiTheme="minorAscii" w:cstheme="minorBidi"/>
      <w:b/>
      <w:color w:val="000000"/>
      <w:sz w:val="24"/>
      <w:lang w:eastAsia="zh-CN" w:bidi="en-US"/>
    </w:rPr>
  </w:style>
  <w:style w:type="paragraph" w:customStyle="1" w:styleId="57">
    <w:name w:val="表格   环评"/>
    <w:basedOn w:val="1"/>
    <w:next w:val="1"/>
    <w:link w:val="89"/>
    <w:qFormat/>
    <w:uiPriority w:val="0"/>
    <w:pPr>
      <w:keepNext/>
      <w:keepLines/>
      <w:spacing w:beforeLines="0" w:afterLines="0" w:line="360" w:lineRule="auto"/>
      <w:ind w:firstLine="0" w:firstLineChars="0"/>
      <w:jc w:val="center"/>
      <w:outlineLvl w:val="3"/>
    </w:pPr>
    <w:rPr>
      <w:rFonts w:hint="eastAsia"/>
      <w:sz w:val="21"/>
      <w:szCs w:val="21"/>
    </w:rPr>
  </w:style>
  <w:style w:type="paragraph" w:customStyle="1" w:styleId="58">
    <w:name w:val="表格正文"/>
    <w:basedOn w:val="1"/>
    <w:qFormat/>
    <w:uiPriority w:val="0"/>
    <w:pPr>
      <w:spacing w:line="360" w:lineRule="exact"/>
      <w:jc w:val="center"/>
    </w:pPr>
  </w:style>
  <w:style w:type="character" w:customStyle="1" w:styleId="59">
    <w:name w:val="标题 1 Char"/>
    <w:link w:val="2"/>
    <w:qFormat/>
    <w:uiPriority w:val="99"/>
    <w:rPr>
      <w:rFonts w:ascii="Times New Roman" w:hAnsi="Times New Roman" w:eastAsia="宋体"/>
      <w:b/>
      <w:bCs/>
      <w:color w:val="000000"/>
      <w:kern w:val="44"/>
      <w:sz w:val="28"/>
      <w:szCs w:val="30"/>
    </w:rPr>
  </w:style>
  <w:style w:type="paragraph" w:customStyle="1" w:styleId="60">
    <w:name w:val="表中表"/>
    <w:basedOn w:val="1"/>
    <w:qFormat/>
    <w:uiPriority w:val="0"/>
    <w:pPr>
      <w:spacing w:line="360" w:lineRule="auto"/>
      <w:jc w:val="center"/>
    </w:pPr>
    <w:rPr>
      <w:rFonts w:hint="eastAsia" w:ascii="Times New Roman" w:hAnsi="Times New Roman"/>
      <w:sz w:val="21"/>
      <w:szCs w:val="21"/>
      <w:lang w:val="en-GB"/>
    </w:rPr>
  </w:style>
  <w:style w:type="character" w:customStyle="1" w:styleId="61">
    <w:name w:val="正文文本 Char"/>
    <w:link w:val="6"/>
    <w:qFormat/>
    <w:uiPriority w:val="0"/>
    <w:rPr>
      <w:sz w:val="18"/>
    </w:rPr>
  </w:style>
  <w:style w:type="character" w:customStyle="1" w:styleId="62">
    <w:name w:val="批注文字 Char"/>
    <w:link w:val="12"/>
    <w:qFormat/>
    <w:uiPriority w:val="0"/>
    <w:rPr>
      <w:rFonts w:ascii="Times New Roman" w:hAnsi="Times New Roman" w:eastAsia="宋体"/>
      <w:sz w:val="24"/>
    </w:rPr>
  </w:style>
  <w:style w:type="character" w:customStyle="1" w:styleId="63">
    <w:name w:val="正文文本缩进 Char"/>
    <w:link w:val="13"/>
    <w:semiHidden/>
    <w:qFormat/>
    <w:uiPriority w:val="0"/>
    <w:rPr>
      <w:rFonts w:ascii="Times New Roman" w:hAnsi="Times New Roman" w:eastAsia="宋体"/>
      <w:sz w:val="24"/>
    </w:rPr>
  </w:style>
  <w:style w:type="character" w:customStyle="1" w:styleId="64">
    <w:name w:val="页眉 Char"/>
    <w:link w:val="21"/>
    <w:qFormat/>
    <w:uiPriority w:val="0"/>
    <w:rPr>
      <w:sz w:val="18"/>
    </w:rPr>
  </w:style>
  <w:style w:type="character" w:customStyle="1" w:styleId="65">
    <w:name w:val="日期 Char"/>
    <w:link w:val="18"/>
    <w:qFormat/>
    <w:uiPriority w:val="0"/>
    <w:rPr>
      <w:rFonts w:ascii="Times New Roman" w:hAnsi="Times New Roman" w:eastAsia="宋体"/>
      <w:sz w:val="24"/>
    </w:rPr>
  </w:style>
  <w:style w:type="character" w:customStyle="1" w:styleId="66">
    <w:name w:val="批注框文本 Char"/>
    <w:link w:val="19"/>
    <w:semiHidden/>
    <w:qFormat/>
    <w:uiPriority w:val="0"/>
    <w:rPr>
      <w:rFonts w:ascii="Times New Roman" w:hAnsi="Times New Roman" w:eastAsia="宋体"/>
      <w:sz w:val="18"/>
    </w:rPr>
  </w:style>
  <w:style w:type="character" w:customStyle="1" w:styleId="67">
    <w:name w:val="页脚 Char"/>
    <w:link w:val="20"/>
    <w:qFormat/>
    <w:uiPriority w:val="99"/>
    <w:rPr>
      <w:sz w:val="18"/>
    </w:rPr>
  </w:style>
  <w:style w:type="character" w:customStyle="1" w:styleId="68">
    <w:name w:val="普通(网站) Char"/>
    <w:link w:val="27"/>
    <w:qFormat/>
    <w:uiPriority w:val="0"/>
    <w:rPr>
      <w:rFonts w:ascii="宋体" w:hAnsi="宋体" w:eastAsia="宋体"/>
      <w:sz w:val="24"/>
    </w:rPr>
  </w:style>
  <w:style w:type="character" w:customStyle="1" w:styleId="69">
    <w:name w:val="批注主题 Char"/>
    <w:link w:val="28"/>
    <w:semiHidden/>
    <w:qFormat/>
    <w:uiPriority w:val="0"/>
    <w:rPr>
      <w:rFonts w:ascii="Times New Roman" w:hAnsi="Times New Roman" w:eastAsia="宋体"/>
      <w:b/>
      <w:kern w:val="2"/>
      <w:sz w:val="24"/>
    </w:rPr>
  </w:style>
  <w:style w:type="character" w:customStyle="1" w:styleId="70">
    <w:name w:val="批注文字 字符1"/>
    <w:semiHidden/>
    <w:qFormat/>
    <w:uiPriority w:val="0"/>
    <w:rPr>
      <w:rFonts w:ascii="Times New Roman" w:hAnsi="Times New Roman" w:eastAsia="宋体"/>
      <w:sz w:val="24"/>
    </w:rPr>
  </w:style>
  <w:style w:type="character" w:customStyle="1" w:styleId="71">
    <w:name w:val="font21"/>
    <w:basedOn w:val="33"/>
    <w:qFormat/>
    <w:uiPriority w:val="0"/>
    <w:rPr>
      <w:rFonts w:hint="eastAsia" w:ascii="宋体" w:hAnsi="宋体" w:eastAsia="宋体" w:cs="宋体"/>
      <w:color w:val="000000"/>
      <w:sz w:val="21"/>
      <w:szCs w:val="21"/>
      <w:u w:val="none"/>
    </w:rPr>
  </w:style>
  <w:style w:type="character" w:customStyle="1" w:styleId="72">
    <w:name w:val="font81"/>
    <w:basedOn w:val="33"/>
    <w:qFormat/>
    <w:uiPriority w:val="0"/>
    <w:rPr>
      <w:rFonts w:hint="eastAsia" w:ascii="宋体" w:hAnsi="宋体" w:eastAsia="宋体" w:cs="宋体"/>
      <w:color w:val="000000"/>
      <w:sz w:val="21"/>
      <w:szCs w:val="21"/>
      <w:u w:val="none"/>
    </w:rPr>
  </w:style>
  <w:style w:type="character" w:customStyle="1" w:styleId="73">
    <w:name w:val="font51"/>
    <w:basedOn w:val="33"/>
    <w:qFormat/>
    <w:uiPriority w:val="0"/>
    <w:rPr>
      <w:rFonts w:hint="eastAsia" w:ascii="宋体" w:hAnsi="宋体" w:eastAsia="宋体" w:cs="宋体"/>
      <w:color w:val="000000"/>
      <w:sz w:val="21"/>
      <w:szCs w:val="21"/>
      <w:u w:val="none"/>
    </w:rPr>
  </w:style>
  <w:style w:type="character" w:customStyle="1" w:styleId="74">
    <w:name w:val="font11"/>
    <w:basedOn w:val="33"/>
    <w:qFormat/>
    <w:uiPriority w:val="0"/>
    <w:rPr>
      <w:rFonts w:hint="default" w:ascii="Times New Roman" w:hAnsi="Times New Roman" w:cs="Times New Roman"/>
      <w:color w:val="000000"/>
      <w:sz w:val="21"/>
      <w:szCs w:val="21"/>
      <w:u w:val="none"/>
    </w:rPr>
  </w:style>
  <w:style w:type="character" w:customStyle="1" w:styleId="75">
    <w:name w:val="日期 字符"/>
    <w:semiHidden/>
    <w:qFormat/>
    <w:uiPriority w:val="0"/>
    <w:rPr>
      <w:rFonts w:ascii="Times New Roman" w:hAnsi="Times New Roman" w:eastAsia="宋体"/>
      <w:sz w:val="24"/>
    </w:rPr>
  </w:style>
  <w:style w:type="character" w:customStyle="1" w:styleId="76">
    <w:name w:val="font31"/>
    <w:basedOn w:val="33"/>
    <w:qFormat/>
    <w:uiPriority w:val="0"/>
    <w:rPr>
      <w:rFonts w:hint="default" w:ascii="Times New Roman" w:hAnsi="Times New Roman" w:cs="Times New Roman"/>
      <w:color w:val="000000"/>
      <w:sz w:val="21"/>
      <w:szCs w:val="21"/>
      <w:u w:val="none"/>
    </w:rPr>
  </w:style>
  <w:style w:type="character" w:customStyle="1" w:styleId="77">
    <w:name w:val="表格 Char"/>
    <w:link w:val="78"/>
    <w:qFormat/>
    <w:uiPriority w:val="0"/>
    <w:rPr>
      <w:rFonts w:ascii="宋体" w:hAnsi="宋体" w:eastAsia="宋体"/>
      <w:sz w:val="21"/>
    </w:rPr>
  </w:style>
  <w:style w:type="paragraph" w:customStyle="1" w:styleId="78">
    <w:name w:val="表格"/>
    <w:basedOn w:val="4"/>
    <w:next w:val="1"/>
    <w:link w:val="77"/>
    <w:qFormat/>
    <w:uiPriority w:val="0"/>
    <w:pPr>
      <w:adjustRightInd w:val="0"/>
      <w:snapToGrid w:val="0"/>
      <w:spacing w:line="240" w:lineRule="auto"/>
      <w:jc w:val="center"/>
    </w:pPr>
    <w:rPr>
      <w:rFonts w:ascii="宋体" w:hAnsi="宋体" w:eastAsia="宋体"/>
      <w:kern w:val="0"/>
      <w:sz w:val="21"/>
      <w:szCs w:val="20"/>
    </w:rPr>
  </w:style>
  <w:style w:type="character" w:customStyle="1" w:styleId="79">
    <w:name w:val="正文文本 字符1"/>
    <w:semiHidden/>
    <w:qFormat/>
    <w:uiPriority w:val="0"/>
    <w:rPr>
      <w:rFonts w:ascii="Times New Roman" w:hAnsi="Times New Roman" w:eastAsia="宋体"/>
      <w:sz w:val="24"/>
    </w:rPr>
  </w:style>
  <w:style w:type="paragraph" w:customStyle="1" w:styleId="80">
    <w:name w:val="正文_25"/>
    <w:qFormat/>
    <w:uiPriority w:val="0"/>
    <w:pPr>
      <w:widowControl w:val="0"/>
      <w:jc w:val="both"/>
    </w:pPr>
    <w:rPr>
      <w:rFonts w:ascii="Calibri" w:hAnsi="Calibri" w:eastAsia="宋体" w:cs="Times New Roman"/>
      <w:kern w:val="2"/>
      <w:sz w:val="21"/>
      <w:lang w:val="en-US" w:eastAsia="zh-CN" w:bidi="ar-SA"/>
    </w:rPr>
  </w:style>
  <w:style w:type="paragraph" w:customStyle="1" w:styleId="81">
    <w:name w:val="正文 首行缩进:  2 字符"/>
    <w:basedOn w:val="1"/>
    <w:semiHidden/>
    <w:qFormat/>
    <w:uiPriority w:val="0"/>
    <w:pPr>
      <w:spacing w:line="520" w:lineRule="exact"/>
      <w:ind w:firstLine="480" w:firstLineChars="200"/>
    </w:pPr>
    <w:rPr>
      <w:kern w:val="44"/>
      <w:sz w:val="24"/>
    </w:rPr>
  </w:style>
  <w:style w:type="paragraph" w:customStyle="1" w:styleId="82">
    <w:name w:val="正文_28"/>
    <w:qFormat/>
    <w:uiPriority w:val="0"/>
    <w:pPr>
      <w:widowControl w:val="0"/>
      <w:jc w:val="both"/>
    </w:pPr>
    <w:rPr>
      <w:rFonts w:ascii="Calibri" w:hAnsi="Calibri" w:eastAsia="宋体" w:cs="Times New Roman"/>
      <w:kern w:val="2"/>
      <w:sz w:val="21"/>
      <w:lang w:val="en-US" w:eastAsia="zh-CN" w:bidi="ar-SA"/>
    </w:rPr>
  </w:style>
  <w:style w:type="paragraph" w:customStyle="1" w:styleId="8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4">
    <w:name w:val="正文_26"/>
    <w:qFormat/>
    <w:uiPriority w:val="0"/>
    <w:pPr>
      <w:widowControl w:val="0"/>
      <w:jc w:val="both"/>
    </w:pPr>
    <w:rPr>
      <w:rFonts w:ascii="Calibri" w:hAnsi="Calibri" w:eastAsia="宋体" w:cs="Times New Roman"/>
      <w:kern w:val="2"/>
      <w:sz w:val="21"/>
      <w:lang w:val="en-US" w:eastAsia="zh-CN" w:bidi="ar-SA"/>
    </w:rPr>
  </w:style>
  <w:style w:type="paragraph" w:customStyle="1" w:styleId="8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6">
    <w:name w:val="1.1.1.1"/>
    <w:basedOn w:val="1"/>
    <w:next w:val="1"/>
    <w:qFormat/>
    <w:uiPriority w:val="0"/>
    <w:pPr>
      <w:keepNext/>
      <w:keepLines/>
      <w:spacing w:beforeLines="0" w:afterLines="0"/>
      <w:outlineLvl w:val="2"/>
    </w:pPr>
    <w:rPr>
      <w:rFonts w:eastAsia="宋体" w:cs="Times New Roman"/>
      <w:sz w:val="24"/>
    </w:rPr>
  </w:style>
  <w:style w:type="paragraph" w:customStyle="1" w:styleId="87">
    <w:name w:val="A正文"/>
    <w:basedOn w:val="13"/>
    <w:qFormat/>
    <w:uiPriority w:val="0"/>
    <w:pPr>
      <w:spacing w:line="360" w:lineRule="auto"/>
      <w:ind w:firstLine="480"/>
    </w:pPr>
    <w:rPr>
      <w:rFonts w:ascii="Times New Roman" w:hAnsi="Times New Roman"/>
      <w:kern w:val="0"/>
      <w:sz w:val="24"/>
      <w:szCs w:val="24"/>
    </w:rPr>
  </w:style>
  <w:style w:type="character" w:customStyle="1" w:styleId="88">
    <w:name w:val="标题 2 Char"/>
    <w:link w:val="3"/>
    <w:qFormat/>
    <w:uiPriority w:val="0"/>
    <w:rPr>
      <w:rFonts w:ascii="Times New Roman" w:hAnsi="Times New Roman" w:eastAsia="宋体"/>
      <w:b/>
      <w:szCs w:val="21"/>
    </w:rPr>
  </w:style>
  <w:style w:type="character" w:customStyle="1" w:styleId="89">
    <w:name w:val="表格   环评 Char"/>
    <w:link w:val="57"/>
    <w:qFormat/>
    <w:uiPriority w:val="0"/>
    <w:rPr>
      <w:rFonts w:hint="eastAsia"/>
      <w:sz w:val="21"/>
      <w:szCs w:val="21"/>
    </w:rPr>
  </w:style>
  <w:style w:type="character" w:customStyle="1" w:styleId="90">
    <w:name w:val="策正文 Char1"/>
    <w:link w:val="47"/>
    <w:qFormat/>
    <w:uiPriority w:val="0"/>
    <w:rPr>
      <w:rFonts w:eastAsia="宋体" w:asciiTheme="minorAscii" w:hAnsiTheme="minorAscii"/>
      <w:color w:val="000000"/>
      <w:sz w:val="24"/>
      <w:lang w:eastAsia="en-US" w:bidi="en-US"/>
    </w:rPr>
  </w:style>
  <w:style w:type="paragraph" w:customStyle="1" w:styleId="91">
    <w:name w:val="Other|1"/>
    <w:basedOn w:val="1"/>
    <w:qFormat/>
    <w:uiPriority w:val="0"/>
    <w:pPr>
      <w:spacing w:after="40" w:line="430" w:lineRule="auto"/>
      <w:ind w:firstLine="400"/>
    </w:pPr>
    <w:rPr>
      <w:rFonts w:ascii="宋体" w:hAnsi="宋体" w:cs="宋体"/>
      <w:color w:val="526D84"/>
      <w:sz w:val="26"/>
      <w:szCs w:val="26"/>
      <w:lang w:val="zh-TW" w:eastAsia="zh-TW" w:bidi="zh-TW"/>
    </w:rPr>
  </w:style>
  <w:style w:type="paragraph" w:customStyle="1" w:styleId="92">
    <w:name w:val="表头  1"/>
    <w:basedOn w:val="1"/>
    <w:qFormat/>
    <w:uiPriority w:val="0"/>
    <w:pPr>
      <w:keepNext/>
      <w:keepLines/>
      <w:spacing w:line="240" w:lineRule="auto"/>
      <w:ind w:firstLine="0" w:firstLineChars="0"/>
      <w:jc w:val="center"/>
      <w:outlineLvl w:val="0"/>
    </w:pPr>
    <w:rPr>
      <w:rFonts w:eastAsia="宋体" w:cs="Times New Roman" w:asciiTheme="minorAscii" w:hAnsiTheme="minorAscii"/>
      <w:b/>
      <w:color w:val="000000"/>
      <w:kern w:val="44"/>
      <w:sz w:val="24"/>
      <w:lang w:eastAsia="en-US" w:bidi="en-US"/>
    </w:rPr>
  </w:style>
  <w:style w:type="paragraph" w:customStyle="1" w:styleId="93">
    <w:name w:val="表格文字"/>
    <w:basedOn w:val="1"/>
    <w:qFormat/>
    <w:uiPriority w:val="0"/>
    <w:pPr>
      <w:jc w:val="center"/>
    </w:pPr>
    <w:rPr>
      <w:rFonts w:ascii="FangSong_GB2312" w:hAnsi="Arial Black" w:eastAsia="FangSong_GB2312"/>
      <w:kern w:val="44"/>
      <w:sz w:val="24"/>
    </w:rPr>
  </w:style>
  <w:style w:type="paragraph" w:customStyle="1" w:styleId="94">
    <w:name w:val="Table Paragraph"/>
    <w:basedOn w:val="1"/>
    <w:qFormat/>
    <w:uiPriority w:val="1"/>
    <w:pPr>
      <w:autoSpaceDE w:val="0"/>
      <w:autoSpaceDN w:val="0"/>
      <w:jc w:val="left"/>
    </w:pPr>
    <w:rPr>
      <w:rFonts w:ascii="宋体" w:hAnsi="宋体" w:cs="宋体"/>
      <w:kern w:val="0"/>
      <w:sz w:val="22"/>
      <w:szCs w:val="22"/>
    </w:rPr>
  </w:style>
  <w:style w:type="paragraph" w:customStyle="1" w:styleId="95">
    <w:name w:val="表标题"/>
    <w:basedOn w:val="1"/>
    <w:qFormat/>
    <w:uiPriority w:val="0"/>
    <w:pPr>
      <w:spacing w:line="360" w:lineRule="auto"/>
      <w:ind w:firstLine="0" w:firstLineChars="0"/>
      <w:jc w:val="center"/>
    </w:pPr>
    <w:rPr>
      <w:b/>
    </w:rPr>
  </w:style>
  <w:style w:type="paragraph" w:customStyle="1" w:styleId="96">
    <w:name w:val="报告正文"/>
    <w:basedOn w:val="1"/>
    <w:qFormat/>
    <w:uiPriority w:val="0"/>
    <w:pPr>
      <w:spacing w:line="480" w:lineRule="exact"/>
      <w:ind w:firstLine="480" w:firstLineChars="200"/>
    </w:pPr>
    <w:rPr>
      <w:sz w:val="24"/>
      <w:szCs w:val="22"/>
    </w:rPr>
  </w:style>
  <w:style w:type="paragraph" w:customStyle="1" w:styleId="97">
    <w:name w:val="表格内容"/>
    <w:basedOn w:val="1"/>
    <w:qFormat/>
    <w:uiPriority w:val="0"/>
    <w:pPr>
      <w:overflowPunct w:val="0"/>
      <w:adjustRightInd w:val="0"/>
      <w:snapToGrid w:val="0"/>
      <w:spacing w:line="360" w:lineRule="exact"/>
      <w:jc w:val="center"/>
      <w:textAlignment w:val="baseline"/>
    </w:pPr>
    <w:rPr>
      <w:kern w:val="0"/>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2.jpeg" Type="http://schemas.openxmlformats.org/officeDocument/2006/relationships/image"/><Relationship Id="rId100" Target="embeddings/oleObject46.bin" Type="http://schemas.openxmlformats.org/officeDocument/2006/relationships/oleObject"/><Relationship Id="rId101" Target="media/image47.wmf" Type="http://schemas.openxmlformats.org/officeDocument/2006/relationships/image"/><Relationship Id="rId102" Target="embeddings/oleObject47.bin" Type="http://schemas.openxmlformats.org/officeDocument/2006/relationships/oleObject"/><Relationship Id="rId103" Target="media/image48.wmf" Type="http://schemas.openxmlformats.org/officeDocument/2006/relationships/image"/><Relationship Id="rId104" Target="media/image49.wmf" Type="http://schemas.openxmlformats.org/officeDocument/2006/relationships/image"/><Relationship Id="rId105" Target="embeddings/oleObject48.bin" Type="http://schemas.openxmlformats.org/officeDocument/2006/relationships/oleObject"/><Relationship Id="rId106" Target="media/image50.wmf" Type="http://schemas.openxmlformats.org/officeDocument/2006/relationships/image"/><Relationship Id="rId107" Target="embeddings/oleObject49.bin" Type="http://schemas.openxmlformats.org/officeDocument/2006/relationships/oleObject"/><Relationship Id="rId108" Target="media/image51.wmf" Type="http://schemas.openxmlformats.org/officeDocument/2006/relationships/image"/><Relationship Id="rId109" Target="embeddings/oleObject50.bin" Type="http://schemas.openxmlformats.org/officeDocument/2006/relationships/oleObject"/><Relationship Id="rId11" Target="media/image3.png" Type="http://schemas.openxmlformats.org/officeDocument/2006/relationships/image"/><Relationship Id="rId110" Target="media/image52.wmf" Type="http://schemas.openxmlformats.org/officeDocument/2006/relationships/image"/><Relationship Id="rId111" Target="embeddings/oleObject51.bin" Type="http://schemas.openxmlformats.org/officeDocument/2006/relationships/oleObject"/><Relationship Id="rId112" Target="media/image53.wmf" Type="http://schemas.openxmlformats.org/officeDocument/2006/relationships/image"/><Relationship Id="rId113" Target="media/image54.jpeg" Type="http://schemas.openxmlformats.org/officeDocument/2006/relationships/image"/><Relationship Id="rId114" Target="media/image55.jpeg" Type="http://schemas.openxmlformats.org/officeDocument/2006/relationships/image"/><Relationship Id="rId115" Target="media/image56.png" Type="http://schemas.openxmlformats.org/officeDocument/2006/relationships/image"/><Relationship Id="rId116" Target="media/image57.png" Type="http://schemas.openxmlformats.org/officeDocument/2006/relationships/image"/><Relationship Id="rId117" Target="media/image58.png" Type="http://schemas.openxmlformats.org/officeDocument/2006/relationships/image"/><Relationship Id="rId118" Target="media/image59.png" Type="http://schemas.openxmlformats.org/officeDocument/2006/relationships/image"/><Relationship Id="rId119" Target="../customXml/item1.xml" Type="http://schemas.openxmlformats.org/officeDocument/2006/relationships/customXml"/><Relationship Id="rId12" Target="media/image4.png" Type="http://schemas.openxmlformats.org/officeDocument/2006/relationships/image"/><Relationship Id="rId120" Target="numbering.xml" Type="http://schemas.openxmlformats.org/officeDocument/2006/relationships/numbering"/><Relationship Id="rId121" Target="fontTable.xml" Type="http://schemas.openxmlformats.org/officeDocument/2006/relationships/fontTable"/><Relationship Id="rId13" Target="media/image5.png" Type="http://schemas.openxmlformats.org/officeDocument/2006/relationships/image"/><Relationship Id="rId14" Target="embeddings/oleObject1.bin" Type="http://schemas.openxmlformats.org/officeDocument/2006/relationships/oleObject"/><Relationship Id="rId15" Target="media/image6.wmf" Type="http://schemas.openxmlformats.org/officeDocument/2006/relationships/image"/><Relationship Id="rId16" Target="embeddings/oleObject2.bin" Type="http://schemas.openxmlformats.org/officeDocument/2006/relationships/oleObject"/><Relationship Id="rId17" Target="media/image7.wmf" Type="http://schemas.openxmlformats.org/officeDocument/2006/relationships/image"/><Relationship Id="rId18" Target="embeddings/oleObject3.bin" Type="http://schemas.openxmlformats.org/officeDocument/2006/relationships/oleObject"/><Relationship Id="rId19" Target="media/image8.wmf" Type="http://schemas.openxmlformats.org/officeDocument/2006/relationships/image"/><Relationship Id="rId2" Target="settings.xml" Type="http://schemas.openxmlformats.org/officeDocument/2006/relationships/settings"/><Relationship Id="rId20" Target="embeddings/oleObject4.bin" Type="http://schemas.openxmlformats.org/officeDocument/2006/relationships/oleObject"/><Relationship Id="rId21" Target="media/image9.wmf" Type="http://schemas.openxmlformats.org/officeDocument/2006/relationships/image"/><Relationship Id="rId22" Target="embeddings/oleObject5.bin" Type="http://schemas.openxmlformats.org/officeDocument/2006/relationships/oleObject"/><Relationship Id="rId23" Target="media/image10.wmf" Type="http://schemas.openxmlformats.org/officeDocument/2006/relationships/image"/><Relationship Id="rId24" Target="embeddings/oleObject6.bin" Type="http://schemas.openxmlformats.org/officeDocument/2006/relationships/oleObject"/><Relationship Id="rId25" Target="media/image11.wmf" Type="http://schemas.openxmlformats.org/officeDocument/2006/relationships/image"/><Relationship Id="rId26" Target="embeddings/oleObject7.bin" Type="http://schemas.openxmlformats.org/officeDocument/2006/relationships/oleObject"/><Relationship Id="rId27" Target="media/image12.wmf" Type="http://schemas.openxmlformats.org/officeDocument/2006/relationships/image"/><Relationship Id="rId28" Target="embeddings/oleObject8.bin" Type="http://schemas.openxmlformats.org/officeDocument/2006/relationships/oleObject"/><Relationship Id="rId29" Target="media/image13.wmf" Type="http://schemas.openxmlformats.org/officeDocument/2006/relationships/image"/><Relationship Id="rId3" Target="footnotes.xml" Type="http://schemas.openxmlformats.org/officeDocument/2006/relationships/footnotes"/><Relationship Id="rId30" Target="embeddings/oleObject9.bin" Type="http://schemas.openxmlformats.org/officeDocument/2006/relationships/oleObject"/><Relationship Id="rId31" Target="media/image14.wmf" Type="http://schemas.openxmlformats.org/officeDocument/2006/relationships/image"/><Relationship Id="rId32" Target="embeddings/oleObject10.bin" Type="http://schemas.openxmlformats.org/officeDocument/2006/relationships/oleObject"/><Relationship Id="rId33" Target="media/image15.wmf" Type="http://schemas.openxmlformats.org/officeDocument/2006/relationships/image"/><Relationship Id="rId34" Target="embeddings/oleObject11.bin" Type="http://schemas.openxmlformats.org/officeDocument/2006/relationships/oleObject"/><Relationship Id="rId35" Target="media/image16.wmf" Type="http://schemas.openxmlformats.org/officeDocument/2006/relationships/image"/><Relationship Id="rId36" Target="embeddings/oleObject12.bin" Type="http://schemas.openxmlformats.org/officeDocument/2006/relationships/oleObject"/><Relationship Id="rId37" Target="media/image17.wmf" Type="http://schemas.openxmlformats.org/officeDocument/2006/relationships/image"/><Relationship Id="rId38" Target="embeddings/oleObject13.bin" Type="http://schemas.openxmlformats.org/officeDocument/2006/relationships/oleObject"/><Relationship Id="rId39" Target="media/image18.wmf" Type="http://schemas.openxmlformats.org/officeDocument/2006/relationships/image"/><Relationship Id="rId4" Target="endnotes.xml" Type="http://schemas.openxmlformats.org/officeDocument/2006/relationships/endnotes"/><Relationship Id="rId40" Target="embeddings/oleObject14.bin" Type="http://schemas.openxmlformats.org/officeDocument/2006/relationships/oleObject"/><Relationship Id="rId41" Target="media/image19.wmf" Type="http://schemas.openxmlformats.org/officeDocument/2006/relationships/image"/><Relationship Id="rId42" Target="embeddings/oleObject15.bin" Type="http://schemas.openxmlformats.org/officeDocument/2006/relationships/oleObject"/><Relationship Id="rId43" Target="media/image20.wmf" Type="http://schemas.openxmlformats.org/officeDocument/2006/relationships/image"/><Relationship Id="rId44" Target="embeddings/oleObject16.bin" Type="http://schemas.openxmlformats.org/officeDocument/2006/relationships/oleObject"/><Relationship Id="rId45" Target="media/image21.wmf" Type="http://schemas.openxmlformats.org/officeDocument/2006/relationships/image"/><Relationship Id="rId46" Target="embeddings/oleObject17.bin" Type="http://schemas.openxmlformats.org/officeDocument/2006/relationships/oleObject"/><Relationship Id="rId47" Target="media/image22.wmf" Type="http://schemas.openxmlformats.org/officeDocument/2006/relationships/image"/><Relationship Id="rId48" Target="embeddings/oleObject18.bin" Type="http://schemas.openxmlformats.org/officeDocument/2006/relationships/oleObject"/><Relationship Id="rId49" Target="media/image23.wmf" Type="http://schemas.openxmlformats.org/officeDocument/2006/relationships/image"/><Relationship Id="rId5" Target="footer1.xml" Type="http://schemas.openxmlformats.org/officeDocument/2006/relationships/footer"/><Relationship Id="rId50" Target="embeddings/oleObject19.bin" Type="http://schemas.openxmlformats.org/officeDocument/2006/relationships/oleObject"/><Relationship Id="rId51" Target="media/image24.wmf" Type="http://schemas.openxmlformats.org/officeDocument/2006/relationships/image"/><Relationship Id="rId52" Target="embeddings/oleObject20.bin" Type="http://schemas.openxmlformats.org/officeDocument/2006/relationships/oleObject"/><Relationship Id="rId53" Target="media/image25.wmf" Type="http://schemas.openxmlformats.org/officeDocument/2006/relationships/image"/><Relationship Id="rId54" Target="embeddings/oleObject21.bin" Type="http://schemas.openxmlformats.org/officeDocument/2006/relationships/oleObject"/><Relationship Id="rId55" Target="media/image26.wmf" Type="http://schemas.openxmlformats.org/officeDocument/2006/relationships/image"/><Relationship Id="rId56" Target="embeddings/oleObject22.bin" Type="http://schemas.openxmlformats.org/officeDocument/2006/relationships/oleObject"/><Relationship Id="rId57" Target="media/image27.wmf" Type="http://schemas.openxmlformats.org/officeDocument/2006/relationships/image"/><Relationship Id="rId58" Target="embeddings/oleObject23.bin" Type="http://schemas.openxmlformats.org/officeDocument/2006/relationships/oleObject"/><Relationship Id="rId59" Target="media/image28.wmf" Type="http://schemas.openxmlformats.org/officeDocument/2006/relationships/image"/><Relationship Id="rId6" Target="footer2.xml" Type="http://schemas.openxmlformats.org/officeDocument/2006/relationships/footer"/><Relationship Id="rId60" Target="embeddings/oleObject24.bin" Type="http://schemas.openxmlformats.org/officeDocument/2006/relationships/oleObject"/><Relationship Id="rId61" Target="media/image29.wmf" Type="http://schemas.openxmlformats.org/officeDocument/2006/relationships/image"/><Relationship Id="rId62" Target="embeddings/oleObject25.bin" Type="http://schemas.openxmlformats.org/officeDocument/2006/relationships/oleObject"/><Relationship Id="rId63" Target="embeddings/oleObject26.bin" Type="http://schemas.openxmlformats.org/officeDocument/2006/relationships/oleObject"/><Relationship Id="rId64" Target="media/image30.wmf" Type="http://schemas.openxmlformats.org/officeDocument/2006/relationships/image"/><Relationship Id="rId65" Target="embeddings/oleObject27.bin" Type="http://schemas.openxmlformats.org/officeDocument/2006/relationships/oleObject"/><Relationship Id="rId66" Target="media/image31.wmf" Type="http://schemas.openxmlformats.org/officeDocument/2006/relationships/image"/><Relationship Id="rId67" Target="embeddings/oleObject28.bin" Type="http://schemas.openxmlformats.org/officeDocument/2006/relationships/oleObject"/><Relationship Id="rId68" Target="media/image32.wmf" Type="http://schemas.openxmlformats.org/officeDocument/2006/relationships/image"/><Relationship Id="rId69" Target="embeddings/oleObject29.bin" Type="http://schemas.openxmlformats.org/officeDocument/2006/relationships/oleObject"/><Relationship Id="rId7" Target="footer3.xml" Type="http://schemas.openxmlformats.org/officeDocument/2006/relationships/footer"/><Relationship Id="rId70" Target="embeddings/oleObject30.bin" Type="http://schemas.openxmlformats.org/officeDocument/2006/relationships/oleObject"/><Relationship Id="rId71" Target="media/image33.wmf" Type="http://schemas.openxmlformats.org/officeDocument/2006/relationships/image"/><Relationship Id="rId72" Target="embeddings/oleObject31.bin" Type="http://schemas.openxmlformats.org/officeDocument/2006/relationships/oleObject"/><Relationship Id="rId73" Target="embeddings/oleObject32.bin" Type="http://schemas.openxmlformats.org/officeDocument/2006/relationships/oleObject"/><Relationship Id="rId74" Target="media/image34.wmf" Type="http://schemas.openxmlformats.org/officeDocument/2006/relationships/image"/><Relationship Id="rId75" Target="embeddings/oleObject33.bin" Type="http://schemas.openxmlformats.org/officeDocument/2006/relationships/oleObject"/><Relationship Id="rId76" Target="media/image35.wmf" Type="http://schemas.openxmlformats.org/officeDocument/2006/relationships/image"/><Relationship Id="rId77" Target="embeddings/oleObject34.bin" Type="http://schemas.openxmlformats.org/officeDocument/2006/relationships/oleObject"/><Relationship Id="rId78" Target="media/image36.wmf" Type="http://schemas.openxmlformats.org/officeDocument/2006/relationships/image"/><Relationship Id="rId79" Target="embeddings/oleObject35.bin" Type="http://schemas.openxmlformats.org/officeDocument/2006/relationships/oleObject"/><Relationship Id="rId8" Target="theme/theme1.xml" Type="http://schemas.openxmlformats.org/officeDocument/2006/relationships/theme"/><Relationship Id="rId80" Target="media/image37.wmf" Type="http://schemas.openxmlformats.org/officeDocument/2006/relationships/image"/><Relationship Id="rId81" Target="embeddings/oleObject36.bin" Type="http://schemas.openxmlformats.org/officeDocument/2006/relationships/oleObject"/><Relationship Id="rId82" Target="media/image38.wmf" Type="http://schemas.openxmlformats.org/officeDocument/2006/relationships/image"/><Relationship Id="rId83" Target="embeddings/oleObject37.bin" Type="http://schemas.openxmlformats.org/officeDocument/2006/relationships/oleObject"/><Relationship Id="rId84" Target="media/image39.wmf" Type="http://schemas.openxmlformats.org/officeDocument/2006/relationships/image"/><Relationship Id="rId85" Target="embeddings/oleObject38.bin" Type="http://schemas.openxmlformats.org/officeDocument/2006/relationships/oleObject"/><Relationship Id="rId86" Target="media/image40.wmf" Type="http://schemas.openxmlformats.org/officeDocument/2006/relationships/image"/><Relationship Id="rId87" Target="embeddings/oleObject39.bin" Type="http://schemas.openxmlformats.org/officeDocument/2006/relationships/oleObject"/><Relationship Id="rId88" Target="media/image41.wmf" Type="http://schemas.openxmlformats.org/officeDocument/2006/relationships/image"/><Relationship Id="rId89" Target="embeddings/oleObject40.bin" Type="http://schemas.openxmlformats.org/officeDocument/2006/relationships/oleObject"/><Relationship Id="rId9" Target="media/image1.png" Type="http://schemas.openxmlformats.org/officeDocument/2006/relationships/image"/><Relationship Id="rId90" Target="media/image42.wmf" Type="http://schemas.openxmlformats.org/officeDocument/2006/relationships/image"/><Relationship Id="rId91" Target="embeddings/oleObject41.bin" Type="http://schemas.openxmlformats.org/officeDocument/2006/relationships/oleObject"/><Relationship Id="rId92" Target="embeddings/oleObject42.bin" Type="http://schemas.openxmlformats.org/officeDocument/2006/relationships/oleObject"/><Relationship Id="rId93" Target="media/image43.wmf" Type="http://schemas.openxmlformats.org/officeDocument/2006/relationships/image"/><Relationship Id="rId94" Target="embeddings/oleObject43.bin" Type="http://schemas.openxmlformats.org/officeDocument/2006/relationships/oleObject"/><Relationship Id="rId95" Target="media/image44.wmf" Type="http://schemas.openxmlformats.org/officeDocument/2006/relationships/image"/><Relationship Id="rId96" Target="embeddings/oleObject44.bin" Type="http://schemas.openxmlformats.org/officeDocument/2006/relationships/oleObject"/><Relationship Id="rId97" Target="media/image45.wmf" Type="http://schemas.openxmlformats.org/officeDocument/2006/relationships/image"/><Relationship Id="rId98" Target="embeddings/oleObject45.bin" Type="http://schemas.openxmlformats.org/officeDocument/2006/relationships/oleObject"/><Relationship Id="rId99" Target="media/image46.wmf" Type="http://schemas.openxmlformats.org/officeDocument/2006/relationships/image"/></Relationships>
</file>

<file path=word/_rels/settings.xml.rels><?xml version="1.0" encoding="UTF-8" standalone="no"?><Relationships xmlns="http://schemas.openxmlformats.org/package/2006/relationships"><Relationship Id="rId1" Target="file:///C:/dsoa/wdzx97.dot" TargetMode="External" Type="http://schemas.openxmlformats.org/officeDocument/2006/relationships/attachedTemplat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2050" textRotate="1"/>
  </customShpExts>
  <extobjs>
    <extobj name="ECB019B1-382A-4266-B25C-5B523AA43C14-1">
      <extobjdata type="ECB019B1-382A-4266-B25C-5B523AA43C14" data="ewoJIkZpbGVJZCIgOiAiMjAzMzc3MDI3MTM3IiwKCSJHcm91cElkIiA6ICIxOTUwODIzMjIiLAoJIkltYWdlIiA6ICJpVkJPUncwS0dnb0FBQUFOU1VoRVVnQUFBdnNBQUFMR0NBWUFBQURiWlY0OUFBQUFDWEJJV1hNQUFBc1RBQUFMRXdFQW1wd1lBQUFnQUVsRVFWUjRuT3pkZVh4VTliMy84ZmVabWN4TWtza3kyUW5CUUFpQnNNOXdxN1d0UmJHVVdsdTF4U3BZdCt0V2EwdXR5MC9sdHRWdVFxMjN0MWVycld0YnJkeXFkUmUxMVVvRkJWUWdZVWZJQWdnRVNBalpKcE5NWnVhYzN4K1FOT3dKQkNZTXIrZmprVWN6My9NNTUzd21uZUI3VHI3bk94S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IwU24xL3dHbW8vWUU3UjhUbEF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45</Pages>
  <Words>24357</Words>
  <Characters>27697</Characters>
  <Lines>13</Lines>
  <Paragraphs>3</Paragraphs>
  <TotalTime>9</TotalTime>
  <ScaleCrop>false</ScaleCrop>
  <LinksUpToDate>false</LinksUpToDate>
  <CharactersWithSpaces>28144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2020-12-24T01:29:00Z</dcterms:created>
  <dc:creator>lhj</dc:creator>
  <cp:lastModifiedBy>NIUYATONG </cp:lastModifiedBy>
  <cp:lastPrinted>2022-11-15T00:39:00Z</cp:lastPrinted>
  <dcterms:modified xsi:type="dcterms:W3CDTF">2023-02-02T02:39:53Z</dcterms:modified>
  <cp:revision>37</cp:revision>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9A49706906E14C64B3327929E5312D8E</vt:lpwstr>
  </property>
</Properties>
</file>