
<file path=[Content_Types].xml><?xml version="1.0" encoding="utf-8"?>
<Types xmlns="http://schemas.openxmlformats.org/package/2006/content-types">
  <Default ContentType="application/vnd.openxmlformats-officedocument.oleObject" Extension="bin"/>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highlight w:val="none"/>
        </w:rPr>
      </w:pPr>
    </w:p>
    <w:p>
      <w:pPr>
        <w:rPr>
          <w:rFonts w:hint="default" w:ascii="Times New Roman" w:hAnsi="Times New Roman" w:eastAsia="仿宋_GB2312" w:cs="Times New Roman"/>
          <w:color w:val="auto"/>
          <w:sz w:val="36"/>
          <w:szCs w:val="36"/>
          <w:highlight w:val="none"/>
        </w:rPr>
      </w:pPr>
    </w:p>
    <w:p>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4"/>
          <w:szCs w:val="44"/>
          <w:highlight w:val="none"/>
          <w:lang w:val="en-US" w:eastAsia="zh-CN"/>
        </w:rPr>
      </w:pPr>
      <w:r>
        <w:rPr>
          <w:rFonts w:hint="default" w:ascii="Times New Roman" w:hAnsi="Times New Roman" w:eastAsia="楷体_GB2312" w:cs="Times New Roman"/>
          <w:bCs/>
          <w:color w:val="auto"/>
          <w:sz w:val="44"/>
          <w:szCs w:val="44"/>
          <w:highlight w:val="none"/>
        </w:rPr>
        <w:t>（污染影响类）</w:t>
      </w:r>
      <w:r>
        <w:rPr>
          <w:rFonts w:hint="eastAsia" w:eastAsia="楷体_GB2312" w:cs="Times New Roman"/>
          <w:bCs/>
          <w:color w:val="auto"/>
          <w:sz w:val="44"/>
          <w:szCs w:val="44"/>
          <w:highlight w:val="none"/>
          <w:lang w:val="en-US" w:eastAsia="zh-CN"/>
        </w:rPr>
        <w:t xml:space="preserve">  </w:t>
      </w:r>
    </w:p>
    <w:p>
      <w:pPr>
        <w:adjustRightInd w:val="0"/>
        <w:snapToGrid w:val="0"/>
        <w:spacing w:line="360" w:lineRule="auto"/>
        <w:ind w:left="3355" w:leftChars="348" w:hanging="2520" w:hangingChars="900"/>
        <w:rPr>
          <w:rFonts w:hint="default" w:ascii="Times New Roman" w:hAnsi="Times New Roman" w:eastAsia="宋体" w:cs="Times New Roman"/>
          <w:bCs/>
          <w:color w:val="auto"/>
          <w:sz w:val="28"/>
          <w:szCs w:val="28"/>
          <w:highlight w:val="none"/>
        </w:rPr>
      </w:pPr>
    </w:p>
    <w:p>
      <w:pPr>
        <w:adjustRightInd w:val="0"/>
        <w:snapToGrid w:val="0"/>
        <w:spacing w:line="360" w:lineRule="auto"/>
        <w:ind w:left="3355" w:leftChars="348" w:hanging="2520" w:hangingChars="900"/>
        <w:rPr>
          <w:rFonts w:hint="eastAsia" w:ascii="Times New Roman" w:hAnsi="Times New Roman" w:eastAsia="宋体" w:cs="Times New Roman"/>
          <w:bCs/>
          <w:color w:val="auto"/>
          <w:sz w:val="28"/>
          <w:szCs w:val="28"/>
          <w:highlight w:val="none"/>
          <w:lang w:val="en-US" w:eastAsia="zh-CN"/>
        </w:rPr>
      </w:pPr>
    </w:p>
    <w:p>
      <w:pPr>
        <w:adjustRightInd w:val="0"/>
        <w:snapToGrid w:val="0"/>
        <w:spacing w:line="360" w:lineRule="auto"/>
        <w:ind w:left="3355" w:leftChars="348" w:hanging="2520" w:hangingChars="900"/>
        <w:rPr>
          <w:rFonts w:hint="default" w:ascii="Times New Roman" w:hAnsi="Times New Roman" w:eastAsia="宋体" w:cs="Times New Roman"/>
          <w:bCs/>
          <w:color w:val="auto"/>
          <w:sz w:val="28"/>
          <w:szCs w:val="28"/>
          <w:highlight w:val="none"/>
        </w:rPr>
      </w:pPr>
    </w:p>
    <w:p>
      <w:pPr>
        <w:adjustRightInd w:val="0"/>
        <w:snapToGrid w:val="0"/>
        <w:spacing w:line="360" w:lineRule="auto"/>
        <w:ind w:left="3355" w:leftChars="348" w:hanging="2520" w:hangingChars="900"/>
        <w:rPr>
          <w:rFonts w:hint="default" w:ascii="Times New Roman" w:hAnsi="Times New Roman" w:eastAsia="宋体" w:cs="Times New Roman"/>
          <w:bCs/>
          <w:color w:val="auto"/>
          <w:sz w:val="28"/>
          <w:szCs w:val="28"/>
          <w:highlight w:val="none"/>
        </w:rPr>
      </w:pPr>
    </w:p>
    <w:p>
      <w:pPr>
        <w:adjustRightInd w:val="0"/>
        <w:snapToGrid w:val="0"/>
        <w:spacing w:line="360" w:lineRule="auto"/>
        <w:ind w:left="3355" w:leftChars="348" w:hanging="2520" w:hangingChars="900"/>
        <w:rPr>
          <w:rFonts w:hint="default" w:ascii="Times New Roman" w:hAnsi="Times New Roman" w:eastAsia="宋体" w:cs="Times New Roman"/>
          <w:bCs/>
          <w:color w:val="auto"/>
          <w:sz w:val="28"/>
          <w:szCs w:val="28"/>
          <w:highlight w:val="none"/>
        </w:rPr>
      </w:pPr>
    </w:p>
    <w:p>
      <w:pPr>
        <w:adjustRightInd w:val="0"/>
        <w:snapToGrid w:val="0"/>
        <w:spacing w:line="360" w:lineRule="auto"/>
        <w:rPr>
          <w:rFonts w:hint="default" w:ascii="Times New Roman" w:hAnsi="Times New Roman" w:eastAsia="宋体" w:cs="Times New Roman"/>
          <w:bCs/>
          <w:color w:val="auto"/>
          <w:sz w:val="28"/>
          <w:szCs w:val="28"/>
          <w:highlight w:val="none"/>
        </w:rPr>
      </w:pPr>
    </w:p>
    <w:p>
      <w:pPr>
        <w:pStyle w:val="29"/>
        <w:rPr>
          <w:rFonts w:hint="eastAsia" w:ascii="仿宋" w:hAnsi="仿宋" w:eastAsia="仿宋" w:cs="仿宋"/>
          <w:color w:val="auto"/>
          <w:highlight w:val="none"/>
        </w:rPr>
      </w:pPr>
    </w:p>
    <w:p>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640" w:firstLineChars="200"/>
        <w:jc w:val="both"/>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t>项</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目</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名</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称</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single"/>
          <w:lang w:val="en-US" w:eastAsia="zh-CN"/>
        </w:rPr>
        <w:t>特种机械设备生产线技改项目</w:t>
      </w:r>
    </w:p>
    <w:p>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640" w:firstLineChars="200"/>
        <w:jc w:val="both"/>
        <w:rPr>
          <w:rFonts w:hint="eastAsia" w:ascii="仿宋" w:hAnsi="仿宋" w:eastAsia="仿宋" w:cs="仿宋"/>
          <w:color w:val="auto"/>
          <w:sz w:val="32"/>
          <w:szCs w:val="32"/>
          <w:highlight w:val="none"/>
          <w:lang w:val="en-US"/>
        </w:rPr>
      </w:pPr>
      <w:r>
        <w:rPr>
          <w:rFonts w:hint="eastAsia" w:ascii="仿宋" w:hAnsi="仿宋" w:eastAsia="仿宋" w:cs="仿宋"/>
          <w:color w:val="auto"/>
          <w:sz w:val="32"/>
          <w:szCs w:val="32"/>
          <w:highlight w:val="none"/>
        </w:rPr>
        <w:t>建设单位（盖章）：</w:t>
      </w:r>
      <w:r>
        <w:rPr>
          <w:rFonts w:hint="eastAsia" w:ascii="仿宋" w:hAnsi="仿宋" w:eastAsia="仿宋" w:cs="仿宋"/>
          <w:color w:val="auto"/>
          <w:sz w:val="32"/>
          <w:szCs w:val="32"/>
          <w:highlight w:val="none"/>
          <w:u w:val="single"/>
          <w:lang w:val="en-US" w:eastAsia="zh-CN"/>
        </w:rPr>
        <w:t xml:space="preserve">秦皇岛联安机械科技有限公司     </w:t>
      </w:r>
      <w:r>
        <w:rPr>
          <w:rFonts w:hint="eastAsia" w:ascii="仿宋" w:hAnsi="仿宋" w:eastAsia="仿宋" w:cs="仿宋"/>
          <w:color w:val="auto"/>
          <w:sz w:val="32"/>
          <w:szCs w:val="32"/>
          <w:highlight w:val="none"/>
          <w:lang w:val="en-US" w:eastAsia="zh-CN"/>
        </w:rPr>
        <w:t xml:space="preserve">      </w:t>
      </w:r>
    </w:p>
    <w:p>
      <w:pPr>
        <w:pBdr>
          <w:top w:val="none" w:color="auto" w:sz="0" w:space="0"/>
          <w:left w:val="none" w:color="auto" w:sz="0" w:space="0"/>
          <w:bottom w:val="none" w:color="auto" w:sz="0" w:space="0"/>
          <w:right w:val="none" w:color="auto" w:sz="0" w:space="0"/>
          <w:between w:val="none" w:color="auto" w:sz="0" w:space="0"/>
        </w:pBdr>
        <w:adjustRightInd w:val="0"/>
        <w:snapToGrid w:val="0"/>
        <w:spacing w:line="360" w:lineRule="auto"/>
        <w:ind w:firstLine="640" w:firstLineChars="200"/>
        <w:jc w:val="both"/>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编</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制</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日</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期</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u w:val="single"/>
        </w:rPr>
        <w:t>202</w:t>
      </w:r>
      <w:r>
        <w:rPr>
          <w:rFonts w:hint="eastAsia" w:ascii="仿宋" w:hAnsi="仿宋" w:eastAsia="仿宋" w:cs="仿宋"/>
          <w:color w:val="auto"/>
          <w:sz w:val="32"/>
          <w:szCs w:val="32"/>
          <w:highlight w:val="none"/>
          <w:u w:val="single"/>
          <w:lang w:val="en-US" w:eastAsia="zh-CN"/>
        </w:rPr>
        <w:t>3</w:t>
      </w:r>
      <w:r>
        <w:rPr>
          <w:rFonts w:hint="eastAsia" w:ascii="仿宋" w:hAnsi="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年</w:t>
      </w:r>
      <w:r>
        <w:rPr>
          <w:rFonts w:hint="eastAsia" w:ascii="仿宋" w:hAnsi="仿宋" w:cs="仿宋"/>
          <w:color w:val="auto"/>
          <w:sz w:val="32"/>
          <w:szCs w:val="32"/>
          <w:highlight w:val="none"/>
          <w:u w:val="single"/>
          <w:lang w:val="en-US" w:eastAsia="zh-CN"/>
        </w:rPr>
        <w:t>3</w:t>
      </w:r>
      <w:r>
        <w:rPr>
          <w:rFonts w:hint="eastAsia" w:ascii="仿宋" w:hAnsi="仿宋" w:eastAsia="仿宋" w:cs="仿宋"/>
          <w:color w:val="auto"/>
          <w:sz w:val="32"/>
          <w:szCs w:val="32"/>
          <w:highlight w:val="none"/>
          <w:u w:val="single"/>
        </w:rPr>
        <w:t xml:space="preserve">月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p>
    <w:p>
      <w:pPr>
        <w:adjustRightInd w:val="0"/>
        <w:snapToGrid w:val="0"/>
        <w:spacing w:line="288" w:lineRule="auto"/>
        <w:jc w:val="center"/>
        <w:rPr>
          <w:rFonts w:hint="default" w:ascii="Times New Roman" w:hAnsi="Times New Roman" w:eastAsia="宋体" w:cs="Times New Roman"/>
          <w:color w:val="auto"/>
          <w:sz w:val="36"/>
          <w:szCs w:val="36"/>
          <w:highlight w:val="none"/>
        </w:rPr>
      </w:pPr>
    </w:p>
    <w:p>
      <w:pPr>
        <w:adjustRightInd w:val="0"/>
        <w:snapToGrid w:val="0"/>
        <w:spacing w:line="288" w:lineRule="auto"/>
        <w:jc w:val="center"/>
        <w:rPr>
          <w:rFonts w:hint="default" w:ascii="Times New Roman" w:hAnsi="Times New Roman" w:eastAsia="宋体" w:cs="Times New Roman"/>
          <w:color w:val="auto"/>
          <w:sz w:val="36"/>
          <w:szCs w:val="36"/>
          <w:highlight w:val="none"/>
        </w:rPr>
      </w:pPr>
    </w:p>
    <w:p>
      <w:pPr>
        <w:adjustRightInd w:val="0"/>
        <w:snapToGrid w:val="0"/>
        <w:spacing w:line="288" w:lineRule="auto"/>
        <w:jc w:val="center"/>
        <w:rPr>
          <w:rFonts w:hint="default" w:ascii="Times New Roman" w:hAnsi="Times New Roman" w:eastAsia="宋体" w:cs="Times New Roman"/>
          <w:color w:val="auto"/>
          <w:sz w:val="36"/>
          <w:szCs w:val="36"/>
          <w:highlight w:val="none"/>
        </w:rPr>
      </w:pPr>
    </w:p>
    <w:p>
      <w:pPr>
        <w:rPr>
          <w:rFonts w:hint="default" w:ascii="Times New Roman" w:hAnsi="Times New Roman" w:eastAsia="宋体" w:cs="Times New Roman"/>
          <w:color w:val="auto"/>
          <w:sz w:val="36"/>
          <w:szCs w:val="36"/>
          <w:highlight w:val="none"/>
        </w:rPr>
      </w:pPr>
    </w:p>
    <w:p>
      <w:pPr>
        <w:pStyle w:val="10"/>
        <w:rPr>
          <w:rFonts w:hint="default"/>
          <w:color w:val="auto"/>
          <w:highlight w:val="none"/>
        </w:rPr>
      </w:pPr>
    </w:p>
    <w:p>
      <w:pP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楷体_GB2312" w:cs="Times New Roman"/>
          <w:color w:val="auto"/>
          <w:sz w:val="36"/>
          <w:szCs w:val="36"/>
          <w:highlight w:val="none"/>
        </w:rPr>
        <w:t>中华人民共和国生态环境部制</w:t>
      </w:r>
    </w:p>
    <w:p>
      <w:pPr>
        <w:rPr>
          <w:rFonts w:hint="eastAsia" w:ascii="Times New Roman" w:hAnsi="Times New Roman" w:eastAsia="楷体_GB2312" w:cs="Times New Roman"/>
          <w:bCs/>
          <w:color w:val="auto"/>
          <w:sz w:val="44"/>
          <w:szCs w:val="44"/>
          <w:highlight w:val="none"/>
        </w:rPr>
        <w:sectPr>
          <w:footerReference r:id="rId5" w:type="default"/>
          <w:pgSz w:w="11905" w:h="16838"/>
          <w:pgMar w:top="1440" w:right="1587" w:bottom="1440"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pPr>
        <w:rPr>
          <w:rFonts w:hint="eastAsia" w:ascii="Times New Roman" w:hAnsi="Times New Roman" w:eastAsia="楷体_GB2312" w:cs="Times New Roman"/>
          <w:bCs/>
          <w:color w:val="auto"/>
          <w:sz w:val="44"/>
          <w:szCs w:val="44"/>
          <w:highlight w:val="none"/>
        </w:rPr>
      </w:pPr>
      <w:r>
        <w:rPr>
          <w:rFonts w:hint="eastAsia" w:ascii="Times New Roman" w:hAnsi="Times New Roman" w:eastAsia="楷体_GB2312" w:cs="Times New Roman"/>
          <w:bCs/>
          <w:color w:val="auto"/>
          <w:sz w:val="44"/>
          <w:szCs w:val="44"/>
          <w:highlight w:val="none"/>
        </w:rPr>
        <w:t>目录</w:t>
      </w:r>
    </w:p>
    <w:p>
      <w:pPr>
        <w:pStyle w:val="103"/>
        <w:tabs>
          <w:tab w:val="right" w:leader="dot" w:pos="8844"/>
        </w:tabs>
        <w:spacing w:line="480" w:lineRule="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资质材料及其他声明</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1、建设单位免责声明</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2、编制单位和编制人员情况表</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3、编制主持人职业资格证书和社保证明</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4、编制情况承诺书</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5、编制单位营业执照</w:t>
      </w:r>
    </w:p>
    <w:p>
      <w:pPr>
        <w:pStyle w:val="103"/>
        <w:tabs>
          <w:tab w:val="right" w:leader="dot" w:pos="8844"/>
        </w:tabs>
        <w:spacing w:line="480" w:lineRule="auto"/>
        <w:rPr>
          <w:rFonts w:hint="eastAsia" w:ascii="仿宋" w:hAnsi="仿宋" w:eastAsia="仿宋" w:cs="仿宋"/>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环评报告正文</w:t>
      </w:r>
    </w:p>
    <w:p>
      <w:pPr>
        <w:pStyle w:val="103"/>
        <w:tabs>
          <w:tab w:val="right" w:leader="dot" w:pos="8844"/>
        </w:tabs>
        <w:spacing w:line="48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8"/>
          <w:szCs w:val="28"/>
          <w:highlight w:val="none"/>
          <w:lang w:val="en-US" w:eastAsia="zh-CN"/>
        </w:rPr>
        <w:fldChar w:fldCharType="begin"/>
      </w:r>
      <w:r>
        <w:rPr>
          <w:rFonts w:hint="eastAsia" w:ascii="仿宋" w:hAnsi="仿宋" w:eastAsia="仿宋" w:cs="仿宋"/>
          <w:color w:val="auto"/>
          <w:sz w:val="28"/>
          <w:szCs w:val="28"/>
          <w:highlight w:val="none"/>
          <w:lang w:val="en-US" w:eastAsia="zh-CN"/>
        </w:rPr>
        <w:instrText xml:space="preserve">TOC \o "1-1" \h \u </w:instrText>
      </w:r>
      <w:r>
        <w:rPr>
          <w:rFonts w:hint="eastAsia" w:ascii="仿宋" w:hAnsi="仿宋" w:eastAsia="仿宋" w:cs="仿宋"/>
          <w:color w:val="auto"/>
          <w:sz w:val="28"/>
          <w:szCs w:val="28"/>
          <w:highlight w:val="none"/>
          <w:lang w:val="en-US" w:eastAsia="zh-CN"/>
        </w:rPr>
        <w:fldChar w:fldCharType="separate"/>
      </w: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_Toc9528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一、建设项目基本情况</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fldChar w:fldCharType="end"/>
      </w:r>
    </w:p>
    <w:p>
      <w:pPr>
        <w:pStyle w:val="103"/>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_Toc12870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二、建设项目工程分析</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7</w:t>
      </w:r>
    </w:p>
    <w:p>
      <w:pPr>
        <w:pStyle w:val="103"/>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_Toc2477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三、区域环境质量现状、环境保护目标及评价标准</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31</w:t>
      </w:r>
    </w:p>
    <w:p>
      <w:pPr>
        <w:pStyle w:val="103"/>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_Toc6916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四、主要环境影响和保护措施</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37</w:t>
      </w:r>
    </w:p>
    <w:p>
      <w:pPr>
        <w:pStyle w:val="103"/>
        <w:tabs>
          <w:tab w:val="right" w:leader="dot" w:pos="8844"/>
        </w:tabs>
        <w:spacing w:line="48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_Toc3310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五、环境保护措施监督检查清单</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55</w:t>
      </w:r>
    </w:p>
    <w:p>
      <w:pPr>
        <w:pStyle w:val="103"/>
        <w:tabs>
          <w:tab w:val="right" w:leader="dot" w:pos="8844"/>
        </w:tabs>
        <w:spacing w:line="480" w:lineRule="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4"/>
          <w:szCs w:val="24"/>
          <w:highlight w:val="none"/>
          <w:lang w:val="en-US" w:eastAsia="zh-CN"/>
        </w:rPr>
        <w:fldChar w:fldCharType="begin"/>
      </w:r>
      <w:r>
        <w:rPr>
          <w:rFonts w:hint="eastAsia" w:ascii="仿宋" w:hAnsi="仿宋" w:eastAsia="仿宋" w:cs="仿宋"/>
          <w:color w:val="auto"/>
          <w:sz w:val="24"/>
          <w:szCs w:val="24"/>
          <w:highlight w:val="none"/>
          <w:lang w:val="en-US" w:eastAsia="zh-CN"/>
        </w:rPr>
        <w:instrText xml:space="preserve"> HYPERLINK \l _Toc19881 </w:instrText>
      </w:r>
      <w:r>
        <w:rPr>
          <w:rFonts w:hint="eastAsia" w:ascii="仿宋" w:hAnsi="仿宋" w:eastAsia="仿宋" w:cs="仿宋"/>
          <w:color w:val="auto"/>
          <w:sz w:val="24"/>
          <w:szCs w:val="24"/>
          <w:highlight w:val="none"/>
          <w:lang w:val="en-US" w:eastAsia="zh-CN"/>
        </w:rPr>
        <w:fldChar w:fldCharType="separate"/>
      </w:r>
      <w:r>
        <w:rPr>
          <w:rFonts w:hint="eastAsia" w:ascii="仿宋" w:hAnsi="仿宋" w:eastAsia="仿宋" w:cs="仿宋"/>
          <w:color w:val="auto"/>
          <w:sz w:val="24"/>
          <w:szCs w:val="24"/>
          <w:highlight w:val="none"/>
          <w:lang w:val="en-US" w:eastAsia="zh-CN"/>
        </w:rPr>
        <w:t>六、结论</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fldChar w:fldCharType="end"/>
      </w:r>
      <w:r>
        <w:rPr>
          <w:rFonts w:hint="eastAsia" w:ascii="仿宋" w:hAnsi="仿宋" w:eastAsia="仿宋" w:cs="仿宋"/>
          <w:color w:val="auto"/>
          <w:sz w:val="24"/>
          <w:szCs w:val="24"/>
          <w:highlight w:val="none"/>
          <w:lang w:val="en-US" w:eastAsia="zh-CN"/>
        </w:rPr>
        <w:t>57</w:t>
      </w:r>
    </w:p>
    <w:p>
      <w:pPr>
        <w:pStyle w:val="103"/>
        <w:tabs>
          <w:tab w:val="right" w:leader="dot" w:pos="8844"/>
        </w:tabs>
        <w:spacing w:line="48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lang w:val="en-US" w:eastAsia="zh-CN"/>
        </w:rPr>
        <w:fldChar w:fldCharType="end"/>
      </w:r>
      <w:r>
        <w:rPr>
          <w:rFonts w:hint="eastAsia" w:ascii="仿宋" w:hAnsi="仿宋" w:eastAsia="仿宋" w:cs="仿宋"/>
          <w:b/>
          <w:bCs/>
          <w:color w:val="auto"/>
          <w:sz w:val="28"/>
          <w:szCs w:val="28"/>
          <w:highlight w:val="none"/>
          <w:lang w:val="en-US" w:eastAsia="zh-CN"/>
        </w:rPr>
        <w:t>附图</w:t>
      </w:r>
    </w:p>
    <w:p>
      <w:pPr>
        <w:pStyle w:val="103"/>
        <w:tabs>
          <w:tab w:val="right" w:leader="dot" w:pos="8844"/>
        </w:tabs>
        <w:spacing w:line="480" w:lineRule="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附件</w:t>
      </w:r>
    </w:p>
    <w:p>
      <w:pPr>
        <w:pStyle w:val="10"/>
        <w:bidi w:val="0"/>
        <w:jc w:val="center"/>
        <w:rPr>
          <w:rFonts w:hint="default" w:ascii="Times New Roman" w:hAnsi="Times New Roman" w:cs="Times New Roman"/>
          <w:color w:val="auto"/>
          <w:highlight w:val="none"/>
        </w:rPr>
        <w:sectPr>
          <w:footerReference r:id="rId6" w:type="default"/>
          <w:pgSz w:w="11905" w:h="16838"/>
          <w:pgMar w:top="1440" w:right="1587" w:bottom="1440"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1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一、建设项目基本情况</w:t>
      </w:r>
    </w:p>
    <w:tbl>
      <w:tblPr>
        <w:tblStyle w:val="32"/>
        <w:tblW w:w="49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41"/>
        <w:gridCol w:w="1387"/>
        <w:gridCol w:w="2043"/>
        <w:gridCol w:w="343"/>
        <w:gridCol w:w="1665"/>
        <w:gridCol w:w="169"/>
        <w:gridCol w:w="25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6806"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特种机械设备生产线技改项目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6806"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highlight w:val="none"/>
                <w:lang w:val="en-US" w:eastAsia="zh-CN"/>
              </w:rPr>
              <w:t>2209-130306-89-01-352802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388"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eastAsia="宋体" w:cs="Times New Roman"/>
                <w:color w:val="auto"/>
                <w:highlight w:val="none"/>
                <w:lang w:val="en-US" w:eastAsia="zh-CN"/>
              </w:rPr>
              <w:t>徐颖</w:t>
            </w:r>
          </w:p>
        </w:tc>
        <w:tc>
          <w:tcPr>
            <w:tcW w:w="1667"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highlight w:val="none"/>
              </w:rPr>
              <w:t>联系方式</w:t>
            </w:r>
          </w:p>
        </w:tc>
        <w:tc>
          <w:tcPr>
            <w:tcW w:w="2751" w:type="dxa"/>
            <w:gridSpan w:val="2"/>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18603355639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6806"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lang w:val="en-US" w:eastAsia="zh-CN"/>
              </w:rPr>
              <w:t>抚宁经济开发区北规一街南创业路东 秦皇岛联安机械科技有限公司院内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806" w:type="dxa"/>
            <w:gridSpan w:val="5"/>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北纬39°55′17.170″，东经119°13′53.83</w:t>
            </w:r>
            <w:r>
              <w:rPr>
                <w:rFonts w:hint="eastAsia" w:eastAsia="宋体" w:cs="Times New Roman"/>
                <w:color w:val="auto"/>
                <w:highlight w:val="none"/>
                <w:lang w:val="en-US" w:eastAsia="zh-CN"/>
              </w:rPr>
              <w:t>0</w:t>
            </w:r>
            <w:r>
              <w:rPr>
                <w:rFonts w:hint="default" w:ascii="Times New Roman" w:hAnsi="Times New Roman" w:eastAsia="宋体"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2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045"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rPr>
            </w:pPr>
            <w:r>
              <w:rPr>
                <w:rFonts w:hint="eastAsia" w:eastAsia="宋体" w:cs="Times New Roman"/>
                <w:color w:val="auto"/>
                <w:highlight w:val="none"/>
                <w:lang w:val="en-US" w:eastAsia="zh-CN"/>
              </w:rPr>
              <w:t>铸造机械制造</w:t>
            </w:r>
            <w:r>
              <w:rPr>
                <w:rFonts w:hint="default" w:ascii="Times New Roman" w:hAnsi="Times New Roman" w:eastAsia="宋体" w:cs="Times New Roman"/>
                <w:color w:val="auto"/>
                <w:highlight w:val="none"/>
              </w:rPr>
              <w:t>/C-</w:t>
            </w:r>
            <w:r>
              <w:rPr>
                <w:rFonts w:hint="eastAsia" w:eastAsia="宋体" w:cs="Times New Roman"/>
                <w:color w:val="auto"/>
                <w:highlight w:val="none"/>
                <w:lang w:val="en-US" w:eastAsia="zh-CN"/>
              </w:rPr>
              <w:t>3423</w:t>
            </w:r>
          </w:p>
        </w:tc>
        <w:tc>
          <w:tcPr>
            <w:tcW w:w="2179" w:type="dxa"/>
            <w:gridSpan w:val="3"/>
            <w:noWrap w:val="0"/>
            <w:vAlign w:val="center"/>
          </w:tcPr>
          <w:p>
            <w:pPr>
              <w:adjustRightInd w:val="0"/>
              <w:snapToGrid w:val="0"/>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建设项目</w:t>
            </w:r>
          </w:p>
          <w:p>
            <w:pPr>
              <w:adjustRightInd w:val="0"/>
              <w:snapToGrid w:val="0"/>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highlight w:val="none"/>
              </w:rPr>
              <w:t>行业类别</w:t>
            </w:r>
          </w:p>
        </w:tc>
        <w:tc>
          <w:tcPr>
            <w:tcW w:w="2582"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t>三十</w:t>
            </w:r>
            <w:r>
              <w:rPr>
                <w:rFonts w:hint="eastAsia" w:cs="Times New Roman"/>
                <w:color w:val="auto"/>
                <w:highlight w:val="none"/>
                <w:lang w:val="en-US" w:eastAsia="zh-CN"/>
              </w:rPr>
              <w:t>二</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专用</w:t>
            </w:r>
            <w:r>
              <w:rPr>
                <w:rFonts w:hint="eastAsia" w:eastAsia="宋体" w:cs="Times New Roman"/>
                <w:color w:val="auto"/>
                <w:highlight w:val="none"/>
                <w:lang w:val="en-US" w:eastAsia="zh-CN"/>
              </w:rPr>
              <w:t>设备制造业</w:t>
            </w:r>
            <w:r>
              <w:rPr>
                <w:rFonts w:hint="eastAsia" w:cs="Times New Roman"/>
                <w:color w:val="auto"/>
                <w:highlight w:val="none"/>
                <w:lang w:val="en-US" w:eastAsia="zh-CN"/>
              </w:rPr>
              <w:t>70</w:t>
            </w:r>
            <w:r>
              <w:rPr>
                <w:rFonts w:hint="eastAsia" w:eastAsia="宋体" w:cs="Times New Roman"/>
                <w:color w:val="auto"/>
                <w:highlight w:val="none"/>
                <w:lang w:val="en-US" w:eastAsia="zh-CN"/>
              </w:rPr>
              <w:t xml:space="preserve"> 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045" w:type="dxa"/>
            <w:noWrap w:val="0"/>
            <w:vAlign w:val="center"/>
          </w:tcPr>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新建（迁建）</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pageBreakBefore w:val="0"/>
              <w:widowControl w:val="0"/>
              <w:kinsoku/>
              <w:wordWrap/>
              <w:topLinePunct w:val="0"/>
              <w:bidi w:val="0"/>
              <w:spacing w:line="240" w:lineRule="auto"/>
              <w:jc w:val="both"/>
              <w:textAlignment w:val="auto"/>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sym w:font="Wingdings 2" w:char="00A3"/>
            </w:r>
            <w:r>
              <w:rPr>
                <w:rFonts w:hint="eastAsia" w:cs="Times New Roman"/>
                <w:color w:val="auto"/>
                <w:sz w:val="24"/>
                <w:szCs w:val="24"/>
                <w:highlight w:val="none"/>
                <w:lang w:val="en-US" w:eastAsia="zh-CN"/>
              </w:rPr>
              <w:t>扩建</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sym w:font="Wingdings 2" w:char="0052"/>
            </w:r>
            <w:r>
              <w:rPr>
                <w:rFonts w:hint="default" w:ascii="Times New Roman" w:hAnsi="Times New Roman" w:eastAsia="宋体" w:cs="Times New Roman"/>
                <w:color w:val="auto"/>
                <w:sz w:val="24"/>
                <w:szCs w:val="24"/>
                <w:highlight w:val="none"/>
              </w:rPr>
              <w:t>技术改造</w:t>
            </w:r>
          </w:p>
        </w:tc>
        <w:tc>
          <w:tcPr>
            <w:tcW w:w="2179"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建设项目</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申报情形</w:t>
            </w:r>
          </w:p>
        </w:tc>
        <w:tc>
          <w:tcPr>
            <w:tcW w:w="2582" w:type="dxa"/>
            <w:noWrap w:val="0"/>
            <w:vAlign w:val="center"/>
          </w:tcPr>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☑首次申报项目</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sym w:font="Wingdings" w:char="00A8"/>
            </w:r>
            <w:r>
              <w:rPr>
                <w:rFonts w:hint="default" w:ascii="Times New Roman" w:hAnsi="Times New Roman" w:eastAsia="宋体" w:cs="Times New Roman"/>
                <w:color w:val="auto"/>
                <w:sz w:val="24"/>
                <w:szCs w:val="24"/>
                <w:highlight w:val="none"/>
                <w:lang w:eastAsia="zh-CN"/>
              </w:rPr>
              <w:t>不予批准后再次申报项目</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sym w:font="Wingdings" w:char="00A8"/>
            </w:r>
            <w:r>
              <w:rPr>
                <w:rFonts w:hint="default" w:ascii="Times New Roman" w:hAnsi="Times New Roman" w:eastAsia="宋体" w:cs="Times New Roman"/>
                <w:color w:val="auto"/>
                <w:sz w:val="24"/>
                <w:szCs w:val="24"/>
                <w:highlight w:val="none"/>
                <w:lang w:eastAsia="zh-CN"/>
              </w:rPr>
              <w:t>超五年重新审核项目</w:t>
            </w:r>
          </w:p>
          <w:p>
            <w:pPr>
              <w:pageBreakBefore w:val="0"/>
              <w:widowControl w:val="0"/>
              <w:kinsoku/>
              <w:wordWrap/>
              <w:topLinePunct w:val="0"/>
              <w:bidi w:val="0"/>
              <w:spacing w:line="240" w:lineRule="auto"/>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w:char="00A8"/>
            </w:r>
            <w:r>
              <w:rPr>
                <w:rFonts w:hint="default" w:ascii="Times New Roman" w:hAnsi="Times New Roman" w:eastAsia="宋体" w:cs="Times New Roman"/>
                <w:color w:val="auto"/>
                <w:sz w:val="24"/>
                <w:szCs w:val="24"/>
                <w:highlight w:val="none"/>
                <w:lang w:eastAsia="zh-CN"/>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备案）部门（选填）</w:t>
            </w:r>
          </w:p>
        </w:tc>
        <w:tc>
          <w:tcPr>
            <w:tcW w:w="2045" w:type="dxa"/>
            <w:noWrap w:val="0"/>
            <w:vAlign w:val="center"/>
          </w:tcPr>
          <w:p>
            <w:pPr>
              <w:pageBreakBefore w:val="0"/>
              <w:widowControl w:val="0"/>
              <w:kinsoku/>
              <w:wordWrap/>
              <w:topLinePunct w:val="0"/>
              <w:bidi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秦皇岛市抚宁区行政审批局</w:t>
            </w:r>
          </w:p>
        </w:tc>
        <w:tc>
          <w:tcPr>
            <w:tcW w:w="2179" w:type="dxa"/>
            <w:gridSpan w:val="3"/>
            <w:noWrap w:val="0"/>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项目审批（核准/</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备案）文号（选填）</w:t>
            </w:r>
          </w:p>
        </w:tc>
        <w:tc>
          <w:tcPr>
            <w:tcW w:w="25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eastAsia" w:eastAsia="宋体" w:cs="Times New Roman"/>
                <w:color w:val="auto"/>
                <w:highlight w:val="none"/>
                <w:lang w:val="en-US" w:eastAsia="zh-CN"/>
              </w:rPr>
              <w:t>抚行审备</w:t>
            </w:r>
            <w:r>
              <w:rPr>
                <w:rFonts w:hint="default" w:ascii="Times New Roman" w:hAnsi="Times New Roman" w:eastAsia="宋体" w:cs="Times New Roman"/>
                <w:color w:val="auto"/>
                <w:highlight w:val="none"/>
              </w:rPr>
              <w:t>〔202</w:t>
            </w:r>
            <w:r>
              <w:rPr>
                <w:rFonts w:hint="eastAsia"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eastAsia="宋体" w:cs="Times New Roman"/>
                <w:color w:val="auto"/>
                <w:highlight w:val="none"/>
                <w:lang w:val="en-US" w:eastAsia="zh-CN"/>
              </w:rPr>
              <w:t>92</w:t>
            </w:r>
            <w:r>
              <w:rPr>
                <w:rFonts w:hint="default" w:ascii="Times New Roman" w:hAnsi="Times New Roman" w:eastAsia="宋体" w:cs="Times New Roman"/>
                <w:color w:val="auto"/>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045" w:type="dxa"/>
            <w:noWrap w:val="0"/>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75</w:t>
            </w:r>
          </w:p>
        </w:tc>
        <w:tc>
          <w:tcPr>
            <w:tcW w:w="2179" w:type="dxa"/>
            <w:gridSpan w:val="3"/>
            <w:noWrap w:val="0"/>
            <w:tcMar>
              <w:top w:w="16" w:type="dxa"/>
              <w:left w:w="16" w:type="dxa"/>
              <w:right w:w="16" w:type="dxa"/>
            </w:tcMar>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环保投资（万元）</w:t>
            </w:r>
          </w:p>
        </w:tc>
        <w:tc>
          <w:tcPr>
            <w:tcW w:w="2582" w:type="dxa"/>
            <w:noWrap w:val="0"/>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29"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overflowPunct/>
              <w:topLinePunct w:val="0"/>
              <w:autoSpaceDE/>
              <w:autoSpaceDN/>
              <w:bidi w:val="0"/>
              <w:spacing w:beforeLines="0" w:afterLines="0"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045" w:type="dxa"/>
            <w:noWrap w:val="0"/>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9.3</w:t>
            </w:r>
          </w:p>
        </w:tc>
        <w:tc>
          <w:tcPr>
            <w:tcW w:w="2179" w:type="dxa"/>
            <w:gridSpan w:val="3"/>
            <w:noWrap w:val="0"/>
            <w:tcMar>
              <w:top w:w="16" w:type="dxa"/>
              <w:left w:w="16" w:type="dxa"/>
              <w:right w:w="16" w:type="dxa"/>
            </w:tcMar>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施工工期</w:t>
            </w:r>
          </w:p>
        </w:tc>
        <w:tc>
          <w:tcPr>
            <w:tcW w:w="2582" w:type="dxa"/>
            <w:noWrap w:val="0"/>
            <w:vAlign w:val="center"/>
          </w:tcPr>
          <w:p>
            <w:pPr>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29" w:type="dxa"/>
            <w:gridSpan w:val="2"/>
            <w:noWrap w:val="0"/>
            <w:tcMar>
              <w:top w:w="16" w:type="dxa"/>
              <w:left w:w="16" w:type="dxa"/>
              <w:right w:w="16" w:type="dxa"/>
            </w:tcMar>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0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w:char="00FE"/>
            </w:r>
            <w:r>
              <w:rPr>
                <w:rFonts w:hint="default" w:ascii="Times New Roman" w:hAnsi="Times New Roman" w:eastAsia="宋体" w:cs="Times New Roman"/>
                <w:color w:val="auto"/>
                <w:sz w:val="24"/>
                <w:szCs w:val="24"/>
                <w:highlight w:val="none"/>
              </w:rPr>
              <w:t>否</w:t>
            </w:r>
          </w:p>
          <w:p>
            <w:pPr>
              <w:pageBreakBefore w:val="0"/>
              <w:widowControl w:val="0"/>
              <w:kinsoku/>
              <w:wordWrap/>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sym w:font="Wingdings" w:char="00A8"/>
            </w:r>
            <w:r>
              <w:rPr>
                <w:rFonts w:hint="default" w:ascii="Times New Roman" w:hAnsi="Times New Roman" w:eastAsia="宋体" w:cs="Times New Roman"/>
                <w:color w:val="auto"/>
                <w:sz w:val="24"/>
                <w:szCs w:val="24"/>
                <w:highlight w:val="none"/>
              </w:rPr>
              <w:t>是：</w:t>
            </w:r>
          </w:p>
        </w:tc>
        <w:tc>
          <w:tcPr>
            <w:tcW w:w="2179" w:type="dxa"/>
            <w:gridSpan w:val="3"/>
            <w:noWrap w:val="0"/>
            <w:tcMar>
              <w:top w:w="16" w:type="dxa"/>
              <w:left w:w="16" w:type="dxa"/>
              <w:right w:w="16" w:type="dxa"/>
            </w:tcMar>
            <w:vAlign w:val="center"/>
          </w:tcPr>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auto"/>
                <w:spacing w:val="-6"/>
                <w:sz w:val="24"/>
                <w:szCs w:val="24"/>
                <w:highlight w:val="none"/>
              </w:rPr>
            </w:pPr>
            <w:r>
              <w:rPr>
                <w:rFonts w:hint="default" w:ascii="Times New Roman" w:hAnsi="Times New Roman" w:eastAsia="宋体" w:cs="Times New Roman"/>
                <w:b/>
                <w:bCs/>
                <w:color w:val="auto"/>
                <w:spacing w:val="-6"/>
                <w:sz w:val="24"/>
                <w:szCs w:val="24"/>
                <w:highlight w:val="none"/>
              </w:rPr>
              <w:t>用地（用海）</w:t>
            </w:r>
          </w:p>
          <w:p>
            <w:pPr>
              <w:pageBreakBefore w:val="0"/>
              <w:widowControl w:val="0"/>
              <w:kinsoku/>
              <w:wordWrap/>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pacing w:val="-6"/>
                <w:sz w:val="24"/>
                <w:szCs w:val="24"/>
                <w:highlight w:val="none"/>
              </w:rPr>
              <w:t>面积（m</w:t>
            </w:r>
            <w:r>
              <w:rPr>
                <w:rFonts w:hint="default" w:ascii="Times New Roman" w:hAnsi="Times New Roman" w:eastAsia="宋体" w:cs="Times New Roman"/>
                <w:b/>
                <w:bCs/>
                <w:color w:val="auto"/>
                <w:spacing w:val="-6"/>
                <w:sz w:val="24"/>
                <w:szCs w:val="24"/>
                <w:highlight w:val="none"/>
                <w:vertAlign w:val="superscript"/>
              </w:rPr>
              <w:t>2</w:t>
            </w:r>
            <w:r>
              <w:rPr>
                <w:rFonts w:hint="default" w:ascii="Times New Roman" w:hAnsi="Times New Roman" w:eastAsia="宋体" w:cs="Times New Roman"/>
                <w:b/>
                <w:bCs/>
                <w:color w:val="auto"/>
                <w:spacing w:val="-6"/>
                <w:sz w:val="24"/>
                <w:szCs w:val="24"/>
                <w:highlight w:val="none"/>
              </w:rPr>
              <w:t>）</w:t>
            </w:r>
          </w:p>
        </w:tc>
        <w:tc>
          <w:tcPr>
            <w:tcW w:w="2582" w:type="dxa"/>
            <w:noWrap w:val="0"/>
            <w:vAlign w:val="center"/>
          </w:tcPr>
          <w:p>
            <w:pPr>
              <w:pageBreakBefore w:val="0"/>
              <w:widowControl w:val="0"/>
              <w:kinsoku/>
              <w:wordWrap/>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829" w:type="dxa"/>
            <w:gridSpan w:val="2"/>
            <w:noWrap w:val="0"/>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专项评价设置情况</w:t>
            </w:r>
          </w:p>
        </w:tc>
        <w:tc>
          <w:tcPr>
            <w:tcW w:w="6806" w:type="dxa"/>
            <w:gridSpan w:val="5"/>
            <w:noWrap w:val="0"/>
            <w:vAlign w:val="center"/>
          </w:tcPr>
          <w:p>
            <w:pPr>
              <w:pageBreakBefore w:val="0"/>
              <w:widowControl w:val="0"/>
              <w:kinsoku/>
              <w:wordWrap/>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829" w:type="dxa"/>
            <w:gridSpan w:val="2"/>
            <w:noWrap w:val="0"/>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规划情况</w:t>
            </w:r>
          </w:p>
        </w:tc>
        <w:tc>
          <w:tcPr>
            <w:tcW w:w="6806" w:type="dxa"/>
            <w:gridSpan w:val="5"/>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规划名称：《河北抚宁经济开发区总体规划（2016年~2030年）》</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审批机关：秦皇岛市城乡规划局</w:t>
            </w:r>
          </w:p>
          <w:p>
            <w:pPr>
              <w:pStyle w:val="50"/>
              <w:bidi w:val="0"/>
              <w:spacing w:line="360" w:lineRule="auto"/>
              <w:ind w:left="0" w:leftChars="0" w:firstLine="0" w:firstLineChars="0"/>
              <w:jc w:val="both"/>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审批文件名称：《秦皇岛市城乡规划局关于对抚宁经济开发区总体规划的意见》文号：秦规函[2018]130号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9" w:type="dxa"/>
            <w:gridSpan w:val="2"/>
            <w:noWrap w:val="0"/>
            <w:vAlign w:val="center"/>
          </w:tcPr>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pStyle w:val="11"/>
              <w:pageBreakBefore w:val="0"/>
              <w:widowControl w:val="0"/>
              <w:kinsoku/>
              <w:wordWrap/>
              <w:topLinePunct w:val="0"/>
              <w:bidi w:val="0"/>
              <w:spacing w:line="24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评价情况</w:t>
            </w:r>
          </w:p>
        </w:tc>
        <w:tc>
          <w:tcPr>
            <w:tcW w:w="6806" w:type="dxa"/>
            <w:gridSpan w:val="5"/>
            <w:noWrap w:val="0"/>
            <w:vAlign w:val="center"/>
          </w:tcPr>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规划环评名称：《河北抚宁经济开发区总体规划（</w:t>
            </w:r>
            <w:r>
              <w:rPr>
                <w:rFonts w:hint="default" w:ascii="Times New Roman" w:hAnsi="Times New Roman" w:eastAsia="宋体" w:cs="Times New Roman"/>
                <w:color w:val="auto"/>
                <w:kern w:val="0"/>
                <w:sz w:val="24"/>
                <w:szCs w:val="24"/>
                <w:highlight w:val="none"/>
                <w:lang w:val="en-US" w:eastAsia="zh-CN" w:bidi="ar"/>
              </w:rPr>
              <w:t>2016-2030</w:t>
            </w:r>
            <w:r>
              <w:rPr>
                <w:rFonts w:hint="eastAsia" w:ascii="宋体" w:hAnsi="宋体" w:eastAsia="宋体" w:cs="宋体"/>
                <w:color w:val="auto"/>
                <w:kern w:val="0"/>
                <w:sz w:val="24"/>
                <w:szCs w:val="24"/>
                <w:highlight w:val="none"/>
                <w:lang w:val="en-US" w:eastAsia="zh-CN" w:bidi="ar"/>
              </w:rPr>
              <w:t xml:space="preserve">年）环境影响报告书》 </w:t>
            </w:r>
          </w:p>
          <w:p>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审查机关：河北省生态环境厅（原河北省环境保护厅） </w:t>
            </w:r>
          </w:p>
          <w:p>
            <w:pPr>
              <w:keepNext w:val="0"/>
              <w:keepLines w:val="0"/>
              <w:widowControl/>
              <w:suppressLineNumbers w:val="0"/>
              <w:jc w:val="left"/>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审批文件名称及文号：冀环评函【</w:t>
            </w:r>
            <w:r>
              <w:rPr>
                <w:rFonts w:hint="default" w:ascii="Times New Roman" w:hAnsi="Times New Roman" w:eastAsia="宋体" w:cs="Times New Roman"/>
                <w:color w:val="auto"/>
                <w:kern w:val="0"/>
                <w:sz w:val="24"/>
                <w:szCs w:val="24"/>
                <w:highlight w:val="none"/>
                <w:lang w:val="en-US" w:eastAsia="zh-CN" w:bidi="ar"/>
              </w:rPr>
              <w:t>2018</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1188</w:t>
            </w:r>
            <w:r>
              <w:rPr>
                <w:rFonts w:hint="eastAsia" w:ascii="宋体" w:hAnsi="宋体" w:eastAsia="宋体" w:cs="宋体"/>
                <w:color w:val="auto"/>
                <w:kern w:val="0"/>
                <w:sz w:val="24"/>
                <w:szCs w:val="24"/>
                <w:highlight w:val="none"/>
                <w:lang w:val="en-US" w:eastAsia="zh-CN" w:bidi="ar"/>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60" w:hRule="atLeast"/>
          <w:jc w:val="center"/>
        </w:trPr>
        <w:tc>
          <w:tcPr>
            <w:tcW w:w="441" w:type="dxa"/>
            <w:noWrap w:val="0"/>
            <w:vAlign w:val="center"/>
          </w:tcPr>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p>
          <w:p>
            <w:pPr>
              <w:pStyle w:val="11"/>
              <w:pageBreakBefore w:val="0"/>
              <w:widowControl w:val="0"/>
              <w:kinsoku/>
              <w:wordWrap/>
              <w:topLinePunct w:val="0"/>
              <w:bidi w:val="0"/>
              <w:spacing w:line="312"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规划及规划环境影响评价符合性分析</w:t>
            </w:r>
          </w:p>
        </w:tc>
        <w:tc>
          <w:tcPr>
            <w:tcW w:w="8194" w:type="dxa"/>
            <w:gridSpan w:val="6"/>
            <w:noWrap w:val="0"/>
            <w:vAlign w:val="center"/>
          </w:tcPr>
          <w:p>
            <w:pPr>
              <w:keepNext w:val="0"/>
              <w:keepLines w:val="0"/>
              <w:widowControl/>
              <w:suppressLineNumbers w:val="0"/>
              <w:ind w:firstLine="480" w:firstLineChars="200"/>
              <w:jc w:val="both"/>
              <w:rPr>
                <w:color w:val="auto"/>
                <w:highlight w:val="none"/>
              </w:rPr>
            </w:pPr>
            <w:r>
              <w:rPr>
                <w:rFonts w:hint="default" w:ascii="Times New Roman" w:hAnsi="Times New Roman" w:eastAsia="宋体" w:cs="Times New Roman"/>
                <w:color w:val="auto"/>
                <w:kern w:val="2"/>
                <w:sz w:val="24"/>
                <w:szCs w:val="24"/>
                <w:highlight w:val="none"/>
                <w:lang w:val="en-US" w:eastAsia="zh-CN" w:bidi="ar-SA"/>
              </w:rPr>
              <w:t>《河北抚宁经济开发区总体规划（2016-2030年）环境影响报告书》</w:t>
            </w:r>
            <w:r>
              <w:rPr>
                <w:rFonts w:hint="eastAsia" w:ascii="宋体" w:hAnsi="宋体" w:eastAsia="宋体" w:cs="宋体"/>
                <w:color w:val="auto"/>
                <w:kern w:val="0"/>
                <w:sz w:val="24"/>
                <w:szCs w:val="24"/>
                <w:highlight w:val="none"/>
                <w:lang w:val="en-US" w:eastAsia="zh-CN" w:bidi="ar"/>
              </w:rPr>
              <w:t>中关于规划范围、定位、产业布局和用地规划相关内容如下：</w:t>
            </w:r>
          </w:p>
          <w:p>
            <w:pPr>
              <w:pStyle w:val="50"/>
              <w:bidi w:val="0"/>
              <w:ind w:left="0" w:leftChars="0" w:firstLine="480" w:firstLineChars="200"/>
              <w:jc w:val="both"/>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规划范围：北至北规一街，西至滨河东大街和碧海路，南至规划环城南路，东至下庄，规划范围总面积19.10万平方公里。</w:t>
            </w:r>
          </w:p>
          <w:p>
            <w:pPr>
              <w:pStyle w:val="50"/>
              <w:bidi w:val="0"/>
              <w:ind w:left="0" w:leftChars="0" w:firstLine="480" w:firstLineChars="200"/>
              <w:jc w:val="both"/>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功能定位及产业布局：秦皇岛市产业、技术辐射扩散的主要承接地，抚宁区经济增长及以食品生物为基础，新能源产业、高新技术产业和先进制造业为支撑，智能制造产业为主导的河北省沿海地区生态型、现代化工业聚集区。</w:t>
            </w:r>
          </w:p>
          <w:p>
            <w:pPr>
              <w:pStyle w:val="50"/>
              <w:bidi w:val="0"/>
              <w:ind w:left="0" w:leftChars="0" w:firstLine="480" w:firstLineChars="200"/>
              <w:jc w:val="both"/>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用地规划：①近期主要向北、向东的发展方向；②以至海港区快速交通线建设为依托建设东部园区，实现规划区与中心城区联动发展态势；③优化做强北部工业区，初步实现现代化工业园区的建设；④注重调整园区村庄安置与开发的用地布局，进一步改善园区的生态环境和景观风貌。</w:t>
            </w:r>
          </w:p>
          <w:p>
            <w:pPr>
              <w:pStyle w:val="50"/>
              <w:bidi w:val="0"/>
              <w:ind w:left="0" w:leftChars="0" w:firstLine="480" w:firstLineChars="200"/>
              <w:jc w:val="both"/>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本项目为C3423</w:t>
            </w:r>
            <w:r>
              <w:rPr>
                <w:rFonts w:hint="eastAsia" w:eastAsia="宋体" w:cs="Times New Roman"/>
                <w:color w:val="auto"/>
                <w:highlight w:val="none"/>
                <w:lang w:val="en-US" w:eastAsia="zh-CN"/>
              </w:rPr>
              <w:t>铸造机械制造</w:t>
            </w:r>
            <w:r>
              <w:rPr>
                <w:rFonts w:hint="eastAsia" w:ascii="Times New Roman" w:hAnsi="Times New Roman" w:cs="Times New Roman"/>
                <w:color w:val="auto"/>
                <w:kern w:val="0"/>
                <w:sz w:val="24"/>
                <w:szCs w:val="24"/>
                <w:highlight w:val="none"/>
                <w:lang w:val="en-US" w:eastAsia="zh-CN"/>
              </w:rPr>
              <w:t>，属于制造业，位于</w:t>
            </w:r>
            <w:r>
              <w:rPr>
                <w:rFonts w:hint="default" w:ascii="Times New Roman" w:hAnsi="Times New Roman" w:eastAsia="宋体" w:cs="Times New Roman"/>
                <w:color w:val="auto"/>
                <w:highlight w:val="none"/>
                <w:lang w:val="en-US" w:eastAsia="zh-CN"/>
              </w:rPr>
              <w:t>抚宁经济开发区北规一街南创业路东 秦皇岛联安机械科技有限公司院内</w:t>
            </w:r>
            <w:r>
              <w:rPr>
                <w:rFonts w:hint="eastAsia" w:ascii="Times New Roman" w:hAnsi="Times New Roman" w:cs="Times New Roman"/>
                <w:color w:val="auto"/>
                <w:kern w:val="0"/>
                <w:sz w:val="24"/>
                <w:szCs w:val="24"/>
                <w:highlight w:val="none"/>
                <w:lang w:val="en-US" w:eastAsia="zh-CN"/>
              </w:rPr>
              <w:t>，符合其产业定位和规划布局。</w:t>
            </w:r>
          </w:p>
          <w:p>
            <w:pPr>
              <w:pStyle w:val="50"/>
              <w:bidi w:val="0"/>
              <w:ind w:left="0" w:leftChars="0" w:firstLine="480" w:firstLineChars="200"/>
              <w:jc w:val="both"/>
              <w:rPr>
                <w:rFonts w:hint="eastAsia"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本项目与规划环评负面清单符合性分析，具体如下：</w:t>
            </w:r>
          </w:p>
          <w:p>
            <w:pPr>
              <w:pStyle w:val="51"/>
              <w:pageBreakBefore w:val="0"/>
              <w:widowControl w:val="0"/>
              <w:kinsoku/>
              <w:wordWrap/>
              <w:topLinePunct w:val="0"/>
              <w:bidi w:val="0"/>
              <w:spacing w:line="240" w:lineRule="auto"/>
              <w:textAlignment w:val="auto"/>
              <w:rPr>
                <w:rFonts w:hint="eastAsia"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表1-1 本项目与规划环评负面清单符合性分析一览表</w:t>
            </w:r>
          </w:p>
          <w:tbl>
            <w:tblPr>
              <w:tblStyle w:val="33"/>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690"/>
              <w:gridCol w:w="3217"/>
              <w:gridCol w:w="266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434"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清单类型</w:t>
                  </w:r>
                </w:p>
              </w:tc>
              <w:tc>
                <w:tcPr>
                  <w:tcW w:w="202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内容</w:t>
                  </w:r>
                </w:p>
              </w:tc>
              <w:tc>
                <w:tcPr>
                  <w:tcW w:w="1673"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p>
              </w:tc>
              <w:tc>
                <w:tcPr>
                  <w:tcW w:w="62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是否属于负面清单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434"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污染物排放强度</w:t>
                  </w:r>
                </w:p>
              </w:tc>
              <w:tc>
                <w:tcPr>
                  <w:tcW w:w="202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①新能源企业VOC排放满足《工业企业挥发性有机污染物排放控制标准》(DB13/2322-2016)中的一半。</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②其他企业满足特别排放限值要求。</w:t>
                  </w:r>
                </w:p>
              </w:tc>
              <w:tc>
                <w:tcPr>
                  <w:tcW w:w="1673"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本项目不属于新能源企业，本项目排放污染物浓度满足《工业企业挥发性有机污染物排放控制标准》(DB13/2322-2016)中</w:t>
                  </w:r>
                  <w:r>
                    <w:rPr>
                      <w:rFonts w:hint="eastAsia" w:ascii="Times New Roman" w:hAnsi="Times New Roman" w:eastAsia="宋体" w:cs="Times New Roman"/>
                      <w:color w:val="auto"/>
                      <w:sz w:val="21"/>
                      <w:szCs w:val="21"/>
                      <w:highlight w:val="none"/>
                      <w:lang w:val="en-US" w:eastAsia="zh-CN"/>
                    </w:rPr>
                    <w:t>表面涂装业</w:t>
                  </w:r>
                  <w:r>
                    <w:rPr>
                      <w:rFonts w:hint="default" w:ascii="Times New Roman" w:hAnsi="Times New Roman" w:eastAsia="宋体" w:cs="Times New Roman"/>
                      <w:color w:val="auto"/>
                      <w:sz w:val="21"/>
                      <w:szCs w:val="21"/>
                      <w:highlight w:val="none"/>
                      <w:lang w:val="en-US" w:eastAsia="zh-CN"/>
                    </w:rPr>
                    <w:t>标准：</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mg/m³</w:t>
                  </w:r>
                </w:p>
              </w:tc>
              <w:tc>
                <w:tcPr>
                  <w:tcW w:w="62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434"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tc>
              <w:tc>
                <w:tcPr>
                  <w:tcW w:w="202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①禁止被列入《“高污染、高环境风险”产品名录（2017年）》产品项目入区。</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②园区及园区内各企业编制污染防治应急预案并在相关环保部门备案。</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③禁止在村庄搬迁完成前建设对环境产生风险较大的建设项目。</w:t>
                  </w:r>
                </w:p>
              </w:tc>
              <w:tc>
                <w:tcPr>
                  <w:tcW w:w="1673"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w:t>
                  </w:r>
                  <w:r>
                    <w:rPr>
                      <w:rFonts w:hint="default" w:ascii="Times New Roman" w:hAnsi="Times New Roman" w:eastAsia="宋体" w:cs="Times New Roman"/>
                      <w:color w:val="auto"/>
                      <w:sz w:val="21"/>
                      <w:szCs w:val="21"/>
                      <w:highlight w:val="none"/>
                    </w:rPr>
                    <w:t>《环境保护综合名录（</w:t>
                  </w:r>
                  <w:r>
                    <w:rPr>
                      <w:rFonts w:hint="eastAsia"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年版）</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高污染、高环境风险名录中</w:t>
                  </w:r>
                  <w:r>
                    <w:rPr>
                      <w:rFonts w:hint="default" w:ascii="Times New Roman" w:hAnsi="Times New Roman" w:eastAsia="宋体" w:cs="Times New Roman"/>
                      <w:color w:val="auto"/>
                      <w:sz w:val="21"/>
                      <w:szCs w:val="21"/>
                      <w:highlight w:val="none"/>
                      <w:lang w:val="en-US" w:eastAsia="zh-CN"/>
                    </w:rPr>
                    <w:t>；本报告要求企业建成后</w:t>
                  </w:r>
                  <w:r>
                    <w:rPr>
                      <w:rFonts w:hint="eastAsia"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lang w:val="en-US" w:eastAsia="zh-CN"/>
                    </w:rPr>
                    <w:t>突发环境事件应急预案</w:t>
                  </w:r>
                  <w:r>
                    <w:rPr>
                      <w:rFonts w:hint="eastAsia" w:cs="Times New Roman"/>
                      <w:color w:val="auto"/>
                      <w:sz w:val="21"/>
                      <w:szCs w:val="21"/>
                      <w:highlight w:val="none"/>
                      <w:lang w:val="en-US" w:eastAsia="zh-CN"/>
                    </w:rPr>
                    <w:t>进行修订并备案</w:t>
                  </w:r>
                  <w:r>
                    <w:rPr>
                      <w:rFonts w:hint="default" w:ascii="Times New Roman" w:hAnsi="Times New Roman" w:eastAsia="宋体" w:cs="Times New Roman"/>
                      <w:color w:val="auto"/>
                      <w:sz w:val="21"/>
                      <w:szCs w:val="21"/>
                      <w:highlight w:val="none"/>
                      <w:lang w:val="en-US" w:eastAsia="zh-CN"/>
                    </w:rPr>
                    <w:t>；本项目环境风险为一般，</w:t>
                  </w:r>
                  <w:r>
                    <w:rPr>
                      <w:rFonts w:hint="eastAsia" w:ascii="Times New Roman" w:hAnsi="Times New Roman" w:eastAsia="宋体"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eastAsia="zh-CN"/>
                    </w:rPr>
                    <w:t>属于风险较大的建设项目</w:t>
                  </w:r>
                </w:p>
              </w:tc>
              <w:tc>
                <w:tcPr>
                  <w:tcW w:w="62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434"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产业准入</w:t>
                  </w:r>
                </w:p>
              </w:tc>
              <w:tc>
                <w:tcPr>
                  <w:tcW w:w="2021"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①《产业结构调整指导目录(201</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年本)》（2013年修订）中限制类、淘汰类项目；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《外商投资产业指导目录》（2015年修订）中限制类、禁止类项目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②属于《关于抑制部分行业产能过剩和重复建设引导产业健康发展的若干意见》(国发[2009]38 号)中的项目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③列入《“高污染、高环境风险”产品名录（2017年）》产品项目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④属于《河北省新增限制和淘汰类产业目录（2015年版）》中的限制类和淘汰类项目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⑤属于《河北省禁止投资的产业目录（2014年版）》中明令禁止的建设项目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⑥不符合行业准入条件的建设项目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⑦不能满足《河北省环境敏感区支持、限制及禁止建设项目名录(2005年修订版)》要求的项目</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⑧清洁生产水平达不到国内先进水平及以上的新建项目。其中燃料乙醇项目清洁生产水平不得小于一级水平。</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⑨不符合园区产业定位项目（拟入区项目）</w:t>
                  </w:r>
                </w:p>
              </w:tc>
              <w:tc>
                <w:tcPr>
                  <w:tcW w:w="1673"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产业结构调整指导目录(2019年本)》、《外商投资产业指导目录（2017年修订）》中限制类、禁止类项目；不属于《关于抑制部分行业产能过剩和重复建设引导产业健康发展的若干意见》中所提到的行业；未列入</w:t>
                  </w:r>
                  <w:r>
                    <w:rPr>
                      <w:rFonts w:hint="default" w:ascii="Times New Roman" w:hAnsi="Times New Roman" w:eastAsia="宋体" w:cs="Times New Roman"/>
                      <w:color w:val="auto"/>
                      <w:sz w:val="21"/>
                      <w:szCs w:val="21"/>
                      <w:highlight w:val="none"/>
                    </w:rPr>
                    <w:t>《环境保护综合名录（</w:t>
                  </w:r>
                  <w:r>
                    <w:rPr>
                      <w:rFonts w:hint="eastAsia"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；不属于《河北省新增限制和淘汰类产业目录（2015年版）》、《河北省禁止投资的产业目录（2014 年版）》中所限制、淘汰禁止类的项目；本项目符合行业准入条件；</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本项目所在抚宁经济开发区，不在《河北省环境敏感区支持、限制及禁止建设项目名录(2005年修订版)》所规定的环境敏感区内；本项目性质为</w:t>
                  </w:r>
                  <w:r>
                    <w:rPr>
                      <w:rFonts w:hint="eastAsia" w:cs="Times New Roman"/>
                      <w:color w:val="auto"/>
                      <w:sz w:val="21"/>
                      <w:szCs w:val="21"/>
                      <w:highlight w:val="none"/>
                      <w:lang w:val="en-US" w:eastAsia="zh-CN"/>
                    </w:rPr>
                    <w:t>技改</w:t>
                  </w:r>
                  <w:r>
                    <w:rPr>
                      <w:rFonts w:hint="default" w:ascii="Times New Roman" w:hAnsi="Times New Roman" w:eastAsia="宋体"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为制造业，符合园区产业定位。</w:t>
                  </w:r>
                </w:p>
              </w:tc>
              <w:tc>
                <w:tcPr>
                  <w:tcW w:w="625" w:type="pct"/>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否</w:t>
                  </w:r>
                </w:p>
              </w:tc>
            </w:tr>
          </w:tbl>
          <w:p>
            <w:pPr>
              <w:pStyle w:val="50"/>
              <w:bidi w:val="0"/>
              <w:spacing w:line="240" w:lineRule="auto"/>
              <w:ind w:left="0" w:leftChars="0" w:firstLine="480" w:firstLineChars="200"/>
              <w:jc w:val="both"/>
              <w:rPr>
                <w:rFonts w:hint="default" w:ascii="Times New Roman" w:hAnsi="Times New Roman"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综上所述，本项目建设符合规划环评中各项管控要求。</w:t>
            </w:r>
          </w:p>
          <w:p>
            <w:pPr>
              <w:pStyle w:val="50"/>
              <w:bidi w:val="0"/>
              <w:spacing w:line="240" w:lineRule="auto"/>
              <w:ind w:left="0" w:leftChars="0" w:firstLine="480" w:firstLineChars="200"/>
              <w:jc w:val="both"/>
              <w:rPr>
                <w:rFonts w:hint="default" w:ascii="Times New Roman" w:hAnsi="Times New Roman" w:cs="Times New Roman"/>
                <w:color w:val="auto"/>
                <w:kern w:val="0"/>
                <w:sz w:val="24"/>
                <w:szCs w:val="24"/>
                <w:highlight w:val="none"/>
                <w:lang w:val="en-US" w:eastAsia="zh-CN"/>
              </w:rPr>
            </w:pPr>
          </w:p>
        </w:tc>
      </w:tr>
    </w:tbl>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br w:type="page"/>
      </w:r>
    </w:p>
    <w:tbl>
      <w:tblPr>
        <w:tblStyle w:val="32"/>
        <w:tblW w:w="48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90" w:hRule="atLeast"/>
          <w:jc w:val="center"/>
        </w:trPr>
        <w:tc>
          <w:tcPr>
            <w:tcW w:w="441" w:type="dxa"/>
            <w:noWrap w:val="0"/>
            <w:vAlign w:val="center"/>
          </w:tcPr>
          <w:p>
            <w:pPr>
              <w:pStyle w:val="12"/>
              <w:rPr>
                <w:rFonts w:hint="default" w:ascii="Times New Roman" w:hAnsi="Times New Roman" w:cs="Times New Roman"/>
                <w:color w:val="auto"/>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cs="Times New Roman"/>
                <w:color w:val="auto"/>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2"/>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2"/>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2"/>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2"/>
              <w:rPr>
                <w:rFonts w:hint="default" w:ascii="Times New Roman" w:hAnsi="Times New Roman" w:cs="Times New Roman"/>
                <w:color w:val="auto"/>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color w:val="auto"/>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10"/>
              <w:rPr>
                <w:rFonts w:hint="default"/>
                <w:color w:val="auto"/>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rPr>
                <w:rFonts w:hint="default" w:ascii="Times New Roman" w:hAnsi="Times New Roman" w:eastAsia="宋体" w:cs="Times New Roman"/>
                <w:b/>
                <w:bCs/>
                <w:color w:val="auto"/>
                <w:kern w:val="0"/>
                <w:sz w:val="24"/>
                <w:szCs w:val="24"/>
                <w:highlight w:val="none"/>
              </w:rPr>
            </w:pPr>
          </w:p>
          <w:p>
            <w:pPr>
              <w:rPr>
                <w:rFonts w:hint="default"/>
                <w:color w:val="auto"/>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10"/>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bidi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其他符合性分析</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tc>
        <w:tc>
          <w:tcPr>
            <w:tcW w:w="825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504" w:firstLineChars="200"/>
              <w:jc w:val="left"/>
              <w:textAlignment w:val="auto"/>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lang w:val="en-US" w:eastAsia="zh-CN"/>
              </w:rPr>
              <w:t>1、</w:t>
            </w:r>
            <w:r>
              <w:rPr>
                <w:rFonts w:hint="default" w:ascii="Times New Roman" w:hAnsi="Times New Roman" w:eastAsia="宋体" w:cs="Times New Roman"/>
                <w:color w:val="auto"/>
                <w:spacing w:val="6"/>
                <w:sz w:val="24"/>
                <w:szCs w:val="24"/>
                <w:highlight w:val="none"/>
              </w:rPr>
              <w:t>产业政策分析</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（1）项目为</w:t>
            </w:r>
            <w:r>
              <w:rPr>
                <w:rFonts w:hint="eastAsia" w:ascii="Times New Roman" w:hAnsi="Times New Roman" w:cs="Times New Roman"/>
                <w:color w:val="auto"/>
                <w:kern w:val="0"/>
                <w:sz w:val="24"/>
                <w:szCs w:val="24"/>
                <w:highlight w:val="none"/>
                <w:lang w:val="en-US" w:eastAsia="zh-CN"/>
              </w:rPr>
              <w:t>C</w:t>
            </w:r>
            <w:r>
              <w:rPr>
                <w:rFonts w:hint="eastAsia" w:cs="Times New Roman"/>
                <w:color w:val="auto"/>
                <w:kern w:val="0"/>
                <w:sz w:val="24"/>
                <w:szCs w:val="24"/>
                <w:highlight w:val="none"/>
                <w:lang w:val="en-US" w:eastAsia="zh-CN"/>
              </w:rPr>
              <w:t>3423铸造机械制造</w:t>
            </w:r>
            <w:r>
              <w:rPr>
                <w:rFonts w:hint="default" w:ascii="Times New Roman" w:hAnsi="Times New Roman" w:eastAsia="宋体" w:cs="Times New Roman"/>
                <w:bCs/>
                <w:color w:val="auto"/>
                <w:sz w:val="24"/>
                <w:szCs w:val="24"/>
                <w:highlight w:val="none"/>
                <w:lang w:val="en-US" w:eastAsia="zh-CN"/>
              </w:rPr>
              <w:t>，不属于2019年10月30日</w:t>
            </w:r>
            <w:r>
              <w:rPr>
                <w:rFonts w:hint="default" w:ascii="Times New Roman" w:hAnsi="Times New Roman" w:eastAsia="宋体" w:cs="Times New Roman"/>
                <w:bCs/>
                <w:color w:val="auto"/>
                <w:sz w:val="24"/>
                <w:szCs w:val="24"/>
                <w:highlight w:val="none"/>
                <w:lang w:eastAsia="zh-CN"/>
              </w:rPr>
              <w:t>国家发改委令第2</w:t>
            </w:r>
            <w:r>
              <w:rPr>
                <w:rFonts w:hint="default"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eastAsia="zh-CN"/>
              </w:rPr>
              <w:t>号《产业结构调整指导目录(20</w:t>
            </w:r>
            <w:r>
              <w:rPr>
                <w:rFonts w:hint="default" w:ascii="Times New Roman" w:hAnsi="Times New Roman" w:eastAsia="宋体" w:cs="Times New Roman"/>
                <w:bCs/>
                <w:color w:val="auto"/>
                <w:sz w:val="24"/>
                <w:szCs w:val="24"/>
                <w:highlight w:val="none"/>
                <w:lang w:val="en-US" w:eastAsia="zh-CN"/>
              </w:rPr>
              <w:t>19</w:t>
            </w:r>
            <w:r>
              <w:rPr>
                <w:rFonts w:hint="default" w:ascii="Times New Roman" w:hAnsi="Times New Roman" w:eastAsia="宋体" w:cs="Times New Roman"/>
                <w:bCs/>
                <w:color w:val="auto"/>
                <w:sz w:val="24"/>
                <w:szCs w:val="24"/>
                <w:highlight w:val="none"/>
                <w:lang w:eastAsia="zh-CN"/>
              </w:rPr>
              <w:t>年本)》</w:t>
            </w:r>
            <w:r>
              <w:rPr>
                <w:rFonts w:hint="default" w:ascii="Times New Roman" w:hAnsi="Times New Roman" w:eastAsia="宋体" w:cs="Times New Roman"/>
                <w:bCs/>
                <w:color w:val="auto"/>
                <w:sz w:val="24"/>
                <w:szCs w:val="24"/>
                <w:highlight w:val="none"/>
                <w:lang w:val="en-US" w:eastAsia="zh-CN"/>
              </w:rPr>
              <w:t>中限制类和淘汰类，</w:t>
            </w:r>
            <w:r>
              <w:rPr>
                <w:rFonts w:hint="eastAsia" w:cs="Times New Roman"/>
                <w:bCs/>
                <w:color w:val="auto"/>
                <w:sz w:val="24"/>
                <w:szCs w:val="24"/>
                <w:highlight w:val="none"/>
                <w:lang w:val="en-US" w:eastAsia="zh-CN"/>
              </w:rPr>
              <w:t>为允许类，</w:t>
            </w:r>
            <w:r>
              <w:rPr>
                <w:rFonts w:hint="default" w:ascii="Times New Roman" w:hAnsi="Times New Roman" w:eastAsia="宋体" w:cs="Times New Roman"/>
                <w:bCs/>
                <w:color w:val="auto"/>
                <w:sz w:val="24"/>
                <w:szCs w:val="24"/>
                <w:highlight w:val="none"/>
                <w:lang w:val="en-US" w:eastAsia="zh-CN"/>
              </w:rPr>
              <w:t>符合国家产业政策。项目已取得</w:t>
            </w:r>
            <w:r>
              <w:rPr>
                <w:rFonts w:hint="eastAsia" w:ascii="Times New Roman" w:hAnsi="Times New Roman" w:eastAsia="宋体" w:cs="Times New Roman"/>
                <w:bCs/>
                <w:color w:val="auto"/>
                <w:sz w:val="24"/>
                <w:szCs w:val="24"/>
                <w:highlight w:val="none"/>
                <w:lang w:val="en-US" w:eastAsia="zh-CN"/>
              </w:rPr>
              <w:t>秦皇岛市抚宁区</w:t>
            </w:r>
            <w:r>
              <w:rPr>
                <w:rFonts w:hint="default" w:ascii="Times New Roman" w:hAnsi="Times New Roman" w:eastAsia="宋体" w:cs="Times New Roman"/>
                <w:bCs/>
                <w:color w:val="auto"/>
                <w:sz w:val="24"/>
                <w:szCs w:val="24"/>
                <w:highlight w:val="none"/>
                <w:lang w:val="en-US" w:eastAsia="zh-CN"/>
              </w:rPr>
              <w:t>行政审批局企业投资项目备案信息，备案编号：抚行审备〔2022〕</w:t>
            </w:r>
            <w:r>
              <w:rPr>
                <w:rFonts w:hint="eastAsia" w:cs="Times New Roman"/>
                <w:bCs/>
                <w:color w:val="auto"/>
                <w:sz w:val="24"/>
                <w:szCs w:val="24"/>
                <w:highlight w:val="none"/>
                <w:lang w:val="en-US" w:eastAsia="zh-CN"/>
              </w:rPr>
              <w:t>92</w:t>
            </w:r>
            <w:r>
              <w:rPr>
                <w:rFonts w:hint="default" w:ascii="Times New Roman" w:hAnsi="Times New Roman" w:eastAsia="宋体" w:cs="Times New Roman"/>
                <w:bCs/>
                <w:color w:val="auto"/>
                <w:sz w:val="24"/>
                <w:szCs w:val="24"/>
                <w:highlight w:val="none"/>
                <w:lang w:val="en-US" w:eastAsia="zh-CN"/>
              </w:rPr>
              <w:t>号，项目代码：</w:t>
            </w:r>
            <w:r>
              <w:rPr>
                <w:rFonts w:hint="eastAsia" w:eastAsia="宋体" w:cs="Times New Roman"/>
                <w:color w:val="auto"/>
                <w:highlight w:val="none"/>
                <w:lang w:val="en-US" w:eastAsia="zh-CN"/>
              </w:rPr>
              <w:t>2209-130306-89-01-352802</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w:t>
            </w:r>
            <w:r>
              <w:rPr>
                <w:rFonts w:hint="eastAsia" w:cs="Times New Roman"/>
                <w:color w:val="auto"/>
                <w:kern w:val="0"/>
                <w:sz w:val="24"/>
                <w:szCs w:val="24"/>
                <w:highlight w:val="none"/>
                <w:lang w:val="en-US" w:eastAsia="zh-CN"/>
              </w:rPr>
              <w:t>企业所使用的</w:t>
            </w:r>
            <w:r>
              <w:rPr>
                <w:rFonts w:hint="eastAsia" w:cs="Times New Roman"/>
                <w:bCs/>
                <w:color w:val="auto"/>
                <w:sz w:val="24"/>
                <w:szCs w:val="24"/>
                <w:highlight w:val="none"/>
                <w:lang w:val="en-US" w:eastAsia="zh-CN"/>
              </w:rPr>
              <w:t>生产设备、污染治理防治措施均符合</w:t>
            </w:r>
            <w:r>
              <w:rPr>
                <w:rFonts w:hint="default" w:ascii="Times New Roman" w:hAnsi="Times New Roman" w:eastAsia="宋体" w:cs="Times New Roman"/>
                <w:bCs/>
                <w:color w:val="auto"/>
                <w:sz w:val="24"/>
                <w:szCs w:val="24"/>
                <w:highlight w:val="none"/>
                <w:lang w:val="en-US" w:eastAsia="zh-CN"/>
              </w:rPr>
              <w:t>《落后设备管理名录》</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《产业结构调整指导目录(2019年本)》相关要求</w:t>
            </w:r>
            <w:r>
              <w:rPr>
                <w:rFonts w:hint="eastAsia" w:cs="Times New Roman"/>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项目不属于《关于河北省区域禁（限）批建项目的实施意见（试行）》（冀政[2009]89号）中区域禁止和限制建设项目，不在该文件规定的环境敏感区内，也不属于《河北省新增限制和淘汰类产业目录（2015年版）》中限制和淘汰类项目，符合河北省政策要求。</w:t>
            </w:r>
            <w:r>
              <w:rPr>
                <w:rFonts w:hint="eastAsia" w:cs="Times New Roman"/>
                <w:bCs/>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（4）项目不属于秦皇岛市发展和改革委员会制定的《秦皇岛市限制和禁止投资的产业目录（2020年修订版）》中限制类和淘汰类，符合秦皇岛市产业政策要求。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综上，本项目建设符合相关产业政策。</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2、选址合理性分析</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本项目位于</w:t>
            </w:r>
            <w:r>
              <w:rPr>
                <w:rFonts w:hint="eastAsia" w:ascii="Times New Roman" w:hAnsi="Times New Roman" w:cs="Times New Roman"/>
                <w:color w:val="auto"/>
                <w:highlight w:val="none"/>
                <w:lang w:val="en-US" w:eastAsia="zh-CN"/>
              </w:rPr>
              <w:t>联安机械院内</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不新增占地</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新建喷漆房位于厂区中部，有组织非甲烷总烃排气筒500m范围内无大气敏感点，废气经治理后可达标排放，对周边环境影响较小，</w:t>
            </w:r>
            <w:r>
              <w:rPr>
                <w:rFonts w:hint="default" w:ascii="Times New Roman" w:hAnsi="Times New Roman" w:cs="Times New Roman"/>
                <w:color w:val="auto"/>
                <w:highlight w:val="none"/>
                <w:lang w:val="en-US" w:eastAsia="zh-CN"/>
              </w:rPr>
              <w:t>符合秦皇岛市土地利用总体规划要求同时符合秦皇岛市城乡规划要求</w:t>
            </w:r>
            <w:r>
              <w:rPr>
                <w:rFonts w:hint="eastAsia" w:ascii="Times New Roman" w:hAnsi="Times New Roman" w:cs="Times New Roman"/>
                <w:color w:val="auto"/>
                <w:highlight w:val="none"/>
                <w:lang w:val="en-US" w:eastAsia="zh-CN"/>
              </w:rPr>
              <w:t>（详见附图4）</w:t>
            </w:r>
            <w:r>
              <w:rPr>
                <w:rFonts w:hint="default" w:ascii="Times New Roman" w:hAnsi="Times New Roman" w:cs="Times New Roman"/>
                <w:color w:val="auto"/>
                <w:highlight w:val="none"/>
                <w:lang w:val="en-US" w:eastAsia="zh-CN"/>
              </w:rPr>
              <w:t>。</w:t>
            </w:r>
          </w:p>
          <w:p>
            <w:pPr>
              <w:pStyle w:val="5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址周围无饮用水源保护区、自然保护区和风景名胜区等敏感区域。项目不在国土资源部、国家发展和改革委员会发布的《限制用地项目目录（2012年本）》和《禁止用地项目目录（2012年本）》的范围内，项目场地不在河北省冀政[2009]89号《关于河北省区域禁（限）批建设项目的实施意见（试行）》范围内，也不属于《河北省环境敏感区支持、限制及禁止建设项目名录（2005年本）》中的限制、禁止内容</w:t>
            </w:r>
            <w:r>
              <w:rPr>
                <w:rFonts w:hint="eastAsia" w:ascii="Times New Roman" w:hAnsi="Times New Roman" w:cs="Times New Roman"/>
                <w:color w:val="auto"/>
                <w:highlight w:val="none"/>
                <w:lang w:val="en-US" w:eastAsia="zh-CN"/>
              </w:rPr>
              <w:t>。</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综上所述，本项目选址可行</w:t>
            </w:r>
            <w:r>
              <w:rPr>
                <w:rFonts w:hint="default" w:ascii="Times New Roman" w:hAnsi="Times New Roman" w:cs="Times New Roman"/>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3、平面布局合理</w:t>
            </w:r>
            <w:r>
              <w:rPr>
                <w:rFonts w:hint="default" w:ascii="Times New Roman" w:hAnsi="Times New Roman" w:eastAsia="宋体" w:cs="Times New Roman"/>
                <w:bCs/>
                <w:color w:val="auto"/>
                <w:sz w:val="24"/>
                <w:szCs w:val="24"/>
                <w:highlight w:val="none"/>
              </w:rPr>
              <w:t>性分析</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本次技改项目在</w:t>
            </w:r>
            <w:r>
              <w:rPr>
                <w:rFonts w:hint="default" w:ascii="Times New Roman" w:hAnsi="Times New Roman" w:eastAsia="宋体" w:cs="Times New Roman"/>
                <w:color w:val="auto"/>
                <w:highlight w:val="none"/>
                <w:lang w:val="en-US" w:eastAsia="zh-CN"/>
              </w:rPr>
              <w:t>联安机械</w:t>
            </w:r>
            <w:r>
              <w:rPr>
                <w:rFonts w:hint="eastAsia" w:cs="Times New Roman"/>
                <w:color w:val="auto"/>
                <w:highlight w:val="none"/>
                <w:lang w:val="en-US" w:eastAsia="zh-CN"/>
              </w:rPr>
              <w:t>院内进行建设，新建喷漆房在现有生产车间内建设，位于生产车间南侧，不影响生产车间整体运行及物料进出，布局合理。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三线一单</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rPr>
              <w:t>根据《关于以改善环境质量为核心加强环境影响评价管理的通知》（环环评[2016]150号），文中</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为适应以改善环境质量为核心的环境管理要求，切实加强环境影响评价（以下简称环评）管理，落实生态保护红线、环境质量底线、资源利用上线和环境准入负面清单（以下简称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）约束，建立项目环评审批与规划环评、现有项目环境管理、区域环境质量联动机制（以下简称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三挂钩</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机制），更好地发挥环评制度从源头防范环境污染和生态破坏的作用，加快推进改善环境质量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的要求，本项目结合生态环境部关于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三线一单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要求进行判定，详见下表。</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default" w:ascii="Times New Roman" w:hAnsi="Times New Roman" w:eastAsia="宋体" w:cs="Times New Roman"/>
                <w:color w:val="auto"/>
                <w:sz w:val="21"/>
                <w:szCs w:val="16"/>
                <w:highlight w:val="none"/>
                <w:lang w:val="en-US" w:eastAsia="zh-CN"/>
              </w:rPr>
              <w:t>表1-2  “三线一单”符合性分析</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150"/>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tc>
              <w:tc>
                <w:tcPr>
                  <w:tcW w:w="196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文件要求</w:t>
                  </w:r>
                </w:p>
              </w:tc>
              <w:tc>
                <w:tcPr>
                  <w:tcW w:w="232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w:t>
                  </w:r>
                </w:p>
              </w:tc>
              <w:tc>
                <w:tcPr>
                  <w:tcW w:w="196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232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在联安机械厂区内建设</w:t>
                  </w:r>
                  <w:r>
                    <w:rPr>
                      <w:rFonts w:hint="default" w:ascii="Times New Roman" w:hAnsi="Times New Roman" w:eastAsia="宋体" w:cs="Times New Roman"/>
                      <w:color w:val="auto"/>
                      <w:sz w:val="21"/>
                      <w:szCs w:val="21"/>
                      <w:highlight w:val="none"/>
                    </w:rPr>
                    <w:t>，该地区周围无自然保护区、风景名胜区、饮用水水源保护区等生态保护目标，</w:t>
                  </w:r>
                  <w:r>
                    <w:rPr>
                      <w:rFonts w:hint="eastAsia" w:cs="Times New Roman"/>
                      <w:color w:val="auto"/>
                      <w:sz w:val="21"/>
                      <w:szCs w:val="21"/>
                      <w:highlight w:val="none"/>
                      <w:lang w:val="en-US" w:eastAsia="zh-CN"/>
                    </w:rPr>
                    <w:t>不位于生态保护红线内，</w:t>
                  </w:r>
                  <w:r>
                    <w:rPr>
                      <w:rFonts w:hint="default" w:ascii="Times New Roman" w:hAnsi="Times New Roman" w:eastAsia="宋体" w:cs="Times New Roman"/>
                      <w:color w:val="auto"/>
                      <w:sz w:val="21"/>
                      <w:szCs w:val="21"/>
                      <w:highlight w:val="none"/>
                    </w:rPr>
                    <w:t>满足生态保护红线要求。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w:t>
                  </w:r>
                </w:p>
              </w:tc>
              <w:tc>
                <w:tcPr>
                  <w:tcW w:w="196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质量底线是国家和地方设置的大气、水和土壤环境质量目标，也是改善环境质量的基准线。项目环评应对照区域环境质量目标，深入分析预测项目建设对环境质量的影响，强化污染防治措施和污染物排放控制要求。</w:t>
                  </w:r>
                </w:p>
              </w:tc>
              <w:tc>
                <w:tcPr>
                  <w:tcW w:w="232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本项目所在区域环境空气质量</w:t>
                  </w:r>
                  <w:r>
                    <w:rPr>
                      <w:rFonts w:hint="eastAsia" w:cs="Times New Roman"/>
                      <w:color w:val="auto"/>
                      <w:sz w:val="21"/>
                      <w:szCs w:val="21"/>
                      <w:highlight w:val="none"/>
                      <w:lang w:val="en-US" w:eastAsia="zh-CN"/>
                    </w:rPr>
                    <w:t>臭氧不</w:t>
                  </w:r>
                  <w:r>
                    <w:rPr>
                      <w:rFonts w:hint="default" w:ascii="Times New Roman" w:hAnsi="Times New Roman" w:eastAsia="宋体" w:cs="Times New Roman"/>
                      <w:color w:val="auto"/>
                      <w:sz w:val="21"/>
                      <w:szCs w:val="21"/>
                      <w:highlight w:val="none"/>
                    </w:rPr>
                    <w:t>达标，经过国家和社会各界的共同努力，环境空气质量可以得到改善，长期以来可以达标，项目所在区域声环境质量、水环境质量能够满足相应的标准要求，</w:t>
                  </w:r>
                  <w:r>
                    <w:rPr>
                      <w:rFonts w:hint="eastAsia" w:cs="Times New Roman"/>
                      <w:color w:val="auto"/>
                      <w:sz w:val="21"/>
                      <w:szCs w:val="21"/>
                      <w:highlight w:val="none"/>
                      <w:lang w:val="en-US" w:eastAsia="zh-CN"/>
                    </w:rPr>
                    <w:t>本项目废气主要为喷漆房产生的非甲烷总烃，经处理后达标排放，不新增生活污水的排放，固体废物妥善处置，</w:t>
                  </w:r>
                  <w:r>
                    <w:rPr>
                      <w:rFonts w:hint="default" w:ascii="Times New Roman" w:hAnsi="Times New Roman" w:eastAsia="宋体" w:cs="Times New Roman"/>
                      <w:color w:val="auto"/>
                      <w:sz w:val="21"/>
                      <w:szCs w:val="21"/>
                      <w:highlight w:val="none"/>
                    </w:rPr>
                    <w:t>对周围环境的影响不大，符合环境质量底线要求。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w:t>
                  </w:r>
                </w:p>
              </w:tc>
              <w:tc>
                <w:tcPr>
                  <w:tcW w:w="196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资源利用上线是各地区能源、水、土地等资源消耗不得突破的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天花板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32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技术改造</w:t>
                  </w:r>
                  <w:r>
                    <w:rPr>
                      <w:rFonts w:hint="default" w:ascii="Times New Roman" w:hAnsi="Times New Roman" w:eastAsia="宋体" w:cs="Times New Roman"/>
                      <w:color w:val="auto"/>
                      <w:sz w:val="21"/>
                      <w:szCs w:val="21"/>
                      <w:highlight w:val="none"/>
                      <w:lang w:eastAsia="zh-CN"/>
                    </w:rPr>
                    <w:t>项目</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不</w:t>
                  </w:r>
                  <w:r>
                    <w:rPr>
                      <w:rFonts w:hint="default" w:ascii="Times New Roman" w:hAnsi="Times New Roman" w:eastAsia="宋体" w:cs="Times New Roman"/>
                      <w:color w:val="auto"/>
                      <w:sz w:val="21"/>
                      <w:szCs w:val="21"/>
                      <w:highlight w:val="none"/>
                      <w:lang w:val="en-US" w:eastAsia="zh-CN"/>
                    </w:rPr>
                    <w:t>新</w:t>
                  </w:r>
                  <w:r>
                    <w:rPr>
                      <w:rFonts w:hint="default" w:ascii="Times New Roman" w:hAnsi="Times New Roman" w:eastAsia="宋体" w:cs="Times New Roman"/>
                      <w:color w:val="auto"/>
                      <w:sz w:val="21"/>
                      <w:szCs w:val="21"/>
                      <w:highlight w:val="none"/>
                    </w:rPr>
                    <w:t>增新</w:t>
                  </w:r>
                  <w:r>
                    <w:rPr>
                      <w:rFonts w:hint="default" w:ascii="Times New Roman" w:hAnsi="Times New Roman" w:eastAsia="宋体" w:cs="Times New Roman"/>
                      <w:color w:val="auto"/>
                      <w:sz w:val="21"/>
                      <w:szCs w:val="21"/>
                      <w:highlight w:val="none"/>
                      <w:lang w:val="en-US" w:eastAsia="zh-CN"/>
                    </w:rPr>
                    <w:t>鲜</w:t>
                  </w:r>
                  <w:r>
                    <w:rPr>
                      <w:rFonts w:hint="default" w:ascii="Times New Roman" w:hAnsi="Times New Roman" w:eastAsia="宋体" w:cs="Times New Roman"/>
                      <w:color w:val="auto"/>
                      <w:sz w:val="21"/>
                      <w:szCs w:val="21"/>
                      <w:highlight w:val="none"/>
                    </w:rPr>
                    <w:t>水用量、</w:t>
                  </w:r>
                  <w:r>
                    <w:rPr>
                      <w:rFonts w:hint="eastAsia" w:cs="Times New Roman"/>
                      <w:color w:val="auto"/>
                      <w:sz w:val="21"/>
                      <w:szCs w:val="21"/>
                      <w:highlight w:val="none"/>
                      <w:lang w:val="en-US" w:eastAsia="zh-CN"/>
                    </w:rPr>
                    <w:t>新增用电量较小，</w:t>
                  </w:r>
                  <w:r>
                    <w:rPr>
                      <w:rFonts w:hint="default" w:ascii="Times New Roman" w:hAnsi="Times New Roman" w:eastAsia="宋体" w:cs="Times New Roman"/>
                      <w:color w:val="auto"/>
                      <w:sz w:val="21"/>
                      <w:szCs w:val="21"/>
                      <w:highlight w:val="none"/>
                    </w:rPr>
                    <w:t>能源需求结构及数量，符合资源利用上线要求。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环境准入负面清单</w:t>
                  </w:r>
                </w:p>
              </w:tc>
              <w:tc>
                <w:tcPr>
                  <w:tcW w:w="1963" w:type="pct"/>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328" w:type="pct"/>
                  <w:noWrap w:val="0"/>
                  <w:vAlign w:val="center"/>
                </w:tcPr>
                <w:p>
                  <w:pPr>
                    <w:pStyle w:val="53"/>
                    <w:keepNext w:val="0"/>
                    <w:keepLines w:val="0"/>
                    <w:pageBreakBefore w:val="0"/>
                    <w:widowControl w:val="0"/>
                    <w:kinsoku/>
                    <w:wordWrap/>
                    <w:overflowPunct/>
                    <w:topLinePunct w:val="0"/>
                    <w:bidi w:val="0"/>
                    <w:adjustRightInd w:val="0"/>
                    <w:snapToGrid w:val="0"/>
                    <w:spacing w:line="240" w:lineRule="auto"/>
                    <w:ind w:firstLine="420" w:firstLineChars="200"/>
                    <w:jc w:val="left"/>
                    <w:textAlignment w:val="auto"/>
                    <w:rPr>
                      <w:rFonts w:hint="default" w:ascii="Times New Roman" w:hAnsi="Times New Roman" w:eastAsia="宋体" w:cs="Times New Roman"/>
                      <w:b w:val="0"/>
                      <w:snapToGrid w:val="0"/>
                      <w:color w:val="auto"/>
                      <w:spacing w:val="0"/>
                      <w:w w:val="100"/>
                      <w:sz w:val="21"/>
                      <w:szCs w:val="21"/>
                      <w:highlight w:val="none"/>
                    </w:rPr>
                  </w:pPr>
                  <w:r>
                    <w:rPr>
                      <w:rFonts w:hint="default" w:ascii="Times New Roman" w:hAnsi="Times New Roman" w:eastAsia="宋体" w:cs="Times New Roman"/>
                      <w:b w:val="0"/>
                      <w:snapToGrid w:val="0"/>
                      <w:color w:val="auto"/>
                      <w:spacing w:val="0"/>
                      <w:w w:val="100"/>
                      <w:sz w:val="21"/>
                      <w:szCs w:val="21"/>
                      <w:highlight w:val="none"/>
                    </w:rPr>
                    <w:t>本项目不属于《市场准入负面清单（</w:t>
                  </w:r>
                  <w:r>
                    <w:rPr>
                      <w:rFonts w:hint="default" w:ascii="Times New Roman" w:hAnsi="Times New Roman" w:eastAsia="宋体" w:cs="Times New Roman"/>
                      <w:b w:val="0"/>
                      <w:snapToGrid w:val="0"/>
                      <w:color w:val="auto"/>
                      <w:spacing w:val="0"/>
                      <w:w w:val="100"/>
                      <w:sz w:val="21"/>
                      <w:szCs w:val="21"/>
                      <w:highlight w:val="none"/>
                      <w:lang w:val="en-US" w:eastAsia="zh-CN"/>
                    </w:rPr>
                    <w:t>2020</w:t>
                  </w:r>
                  <w:r>
                    <w:rPr>
                      <w:rFonts w:hint="default" w:ascii="Times New Roman" w:hAnsi="Times New Roman" w:eastAsia="宋体" w:cs="Times New Roman"/>
                      <w:b w:val="0"/>
                      <w:snapToGrid w:val="0"/>
                      <w:color w:val="auto"/>
                      <w:spacing w:val="0"/>
                      <w:w w:val="100"/>
                      <w:sz w:val="21"/>
                      <w:szCs w:val="21"/>
                      <w:highlight w:val="none"/>
                    </w:rPr>
                    <w:t>年版）》、《河北省禁止投资的产业目录》、《秦皇岛市</w:t>
                  </w:r>
                  <w:r>
                    <w:rPr>
                      <w:rFonts w:hint="default" w:ascii="Times New Roman" w:hAnsi="Times New Roman" w:eastAsia="宋体" w:cs="Times New Roman"/>
                      <w:b w:val="0"/>
                      <w:snapToGrid w:val="0"/>
                      <w:color w:val="auto"/>
                      <w:spacing w:val="0"/>
                      <w:w w:val="100"/>
                      <w:sz w:val="21"/>
                      <w:szCs w:val="21"/>
                      <w:highlight w:val="none"/>
                      <w:lang w:eastAsia="zh-CN"/>
                    </w:rPr>
                    <w:t>限</w:t>
                  </w:r>
                  <w:r>
                    <w:rPr>
                      <w:rFonts w:hint="default" w:ascii="Times New Roman" w:hAnsi="Times New Roman" w:eastAsia="宋体" w:cs="Times New Roman"/>
                      <w:b w:val="0"/>
                      <w:snapToGrid w:val="0"/>
                      <w:color w:val="auto"/>
                      <w:spacing w:val="0"/>
                      <w:w w:val="100"/>
                      <w:sz w:val="21"/>
                      <w:szCs w:val="21"/>
                      <w:highlight w:val="none"/>
                      <w:lang w:val="en-US" w:eastAsia="zh-CN"/>
                    </w:rPr>
                    <w:t>制</w:t>
                  </w:r>
                  <w:r>
                    <w:rPr>
                      <w:rFonts w:hint="default" w:ascii="Times New Roman" w:hAnsi="Times New Roman" w:eastAsia="宋体" w:cs="Times New Roman"/>
                      <w:b w:val="0"/>
                      <w:snapToGrid w:val="0"/>
                      <w:color w:val="auto"/>
                      <w:spacing w:val="0"/>
                      <w:w w:val="100"/>
                      <w:sz w:val="21"/>
                      <w:szCs w:val="21"/>
                      <w:highlight w:val="none"/>
                    </w:rPr>
                    <w:t>和禁止投资的产业目录（2020年修订版）》中的</w:t>
                  </w:r>
                  <w:r>
                    <w:rPr>
                      <w:rFonts w:hint="default" w:ascii="Times New Roman" w:hAnsi="Times New Roman" w:eastAsia="宋体" w:cs="Times New Roman"/>
                      <w:b w:val="0"/>
                      <w:snapToGrid w:val="0"/>
                      <w:color w:val="auto"/>
                      <w:spacing w:val="0"/>
                      <w:w w:val="100"/>
                      <w:sz w:val="21"/>
                      <w:szCs w:val="21"/>
                      <w:highlight w:val="none"/>
                      <w:lang w:eastAsia="zh-CN"/>
                    </w:rPr>
                    <w:t>限</w:t>
                  </w:r>
                  <w:r>
                    <w:rPr>
                      <w:rFonts w:hint="default" w:ascii="Times New Roman" w:hAnsi="Times New Roman" w:eastAsia="宋体" w:cs="Times New Roman"/>
                      <w:b w:val="0"/>
                      <w:snapToGrid w:val="0"/>
                      <w:color w:val="auto"/>
                      <w:spacing w:val="0"/>
                      <w:w w:val="100"/>
                      <w:sz w:val="21"/>
                      <w:szCs w:val="21"/>
                      <w:highlight w:val="none"/>
                      <w:lang w:val="en-US" w:eastAsia="zh-CN"/>
                    </w:rPr>
                    <w:t>制</w:t>
                  </w:r>
                  <w:r>
                    <w:rPr>
                      <w:rFonts w:hint="default" w:ascii="Times New Roman" w:hAnsi="Times New Roman" w:eastAsia="宋体" w:cs="Times New Roman"/>
                      <w:b w:val="0"/>
                      <w:snapToGrid w:val="0"/>
                      <w:color w:val="auto"/>
                      <w:spacing w:val="0"/>
                      <w:w w:val="100"/>
                      <w:sz w:val="21"/>
                      <w:szCs w:val="21"/>
                      <w:highlight w:val="none"/>
                    </w:rPr>
                    <w:t>类和淘汰类项目，不在环境准入负面清单之列。</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bl>
          <w:p>
            <w:pPr>
              <w:pStyle w:val="40"/>
              <w:widowControl w:val="0"/>
              <w:numPr>
                <w:ilvl w:val="0"/>
                <w:numId w:val="0"/>
              </w:numPr>
              <w:adjustRightInd w:val="0"/>
              <w:spacing w:line="360" w:lineRule="auto"/>
              <w:jc w:val="both"/>
              <w:rPr>
                <w:rFonts w:hint="eastAsia" w:ascii="Times New Roman" w:hAnsi="Times New Roman" w:eastAsia="宋体" w:cs="Times New Roman"/>
                <w:color w:val="auto"/>
                <w:highlight w:val="none"/>
                <w:lang w:eastAsia="zh-CN"/>
              </w:rPr>
            </w:pPr>
          </w:p>
          <w:p>
            <w:pPr>
              <w:pStyle w:val="40"/>
              <w:widowControl w:val="0"/>
              <w:numPr>
                <w:ilvl w:val="0"/>
                <w:numId w:val="0"/>
              </w:numPr>
              <w:adjustRightInd w:val="0"/>
              <w:spacing w:line="360" w:lineRule="auto"/>
              <w:jc w:val="both"/>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5104130" cy="6383655"/>
                  <wp:effectExtent l="0" t="0" r="1270" b="17145"/>
                  <wp:docPr id="7" name="图片 7" descr="166969146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9691463607"/>
                          <pic:cNvPicPr>
                            <a:picLocks noChangeAspect="1"/>
                          </pic:cNvPicPr>
                        </pic:nvPicPr>
                        <pic:blipFill>
                          <a:blip r:embed="rId11"/>
                          <a:stretch>
                            <a:fillRect/>
                          </a:stretch>
                        </pic:blipFill>
                        <pic:spPr>
                          <a:xfrm>
                            <a:off x="0" y="0"/>
                            <a:ext cx="5104130" cy="6383655"/>
                          </a:xfrm>
                          <a:prstGeom prst="rect">
                            <a:avLst/>
                          </a:prstGeom>
                        </pic:spPr>
                      </pic:pic>
                    </a:graphicData>
                  </a:graphic>
                </wp:inline>
              </w:drawing>
            </w:r>
          </w:p>
          <w:p>
            <w:pPr>
              <w:pStyle w:val="51"/>
              <w:pageBreakBefore w:val="0"/>
              <w:widowControl w:val="0"/>
              <w:kinsoku/>
              <w:wordWrap/>
              <w:topLinePunct w:val="0"/>
              <w:bidi w:val="0"/>
              <w:spacing w:line="240" w:lineRule="auto"/>
              <w:textAlignment w:val="auto"/>
              <w:rPr>
                <w:rFonts w:hint="default" w:ascii="Times New Roman" w:hAnsi="Times New Roman" w:cs="Times New Roman"/>
                <w:color w:val="auto"/>
                <w:sz w:val="21"/>
                <w:szCs w:val="16"/>
                <w:highlight w:val="none"/>
                <w:lang w:val="en-US" w:eastAsia="zh-CN"/>
              </w:rPr>
            </w:pPr>
            <w:r>
              <w:rPr>
                <w:rFonts w:hint="default" w:ascii="Times New Roman" w:hAnsi="Times New Roman" w:cs="Times New Roman"/>
                <w:color w:val="auto"/>
                <w:sz w:val="21"/>
                <w:szCs w:val="16"/>
                <w:highlight w:val="none"/>
                <w:lang w:val="en-US" w:eastAsia="zh-CN"/>
              </w:rPr>
              <w:t>图</w:t>
            </w:r>
            <w:r>
              <w:rPr>
                <w:rFonts w:hint="eastAsia" w:cs="Times New Roman"/>
                <w:color w:val="auto"/>
                <w:sz w:val="21"/>
                <w:szCs w:val="16"/>
                <w:highlight w:val="none"/>
                <w:lang w:val="en-US" w:eastAsia="zh-CN"/>
              </w:rPr>
              <w:t>1-</w:t>
            </w:r>
            <w:r>
              <w:rPr>
                <w:rFonts w:hint="default" w:ascii="Times New Roman" w:hAnsi="Times New Roman" w:cs="Times New Roman"/>
                <w:color w:val="auto"/>
                <w:sz w:val="21"/>
                <w:szCs w:val="16"/>
                <w:highlight w:val="none"/>
                <w:lang w:val="en-US" w:eastAsia="zh-CN"/>
              </w:rPr>
              <w:t>1  本项目与生态保护红线位置关系</w:t>
            </w:r>
          </w:p>
          <w:p>
            <w:pPr>
              <w:autoSpaceDE w:val="0"/>
              <w:autoSpaceDN w:val="0"/>
              <w:adjustRightInd w:val="0"/>
              <w:snapToGrid w:val="0"/>
              <w:spacing w:line="360" w:lineRule="auto"/>
              <w:ind w:firstLine="480" w:firstLineChars="200"/>
              <w:rPr>
                <w:rFonts w:hint="default" w:ascii="Times New Roman" w:hAnsi="Times New Roman" w:cs="Times New Roman"/>
                <w:snapToGrid w:val="0"/>
                <w:color w:val="auto"/>
                <w:sz w:val="24"/>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snapToGrid w:val="0"/>
                <w:color w:val="auto"/>
                <w:sz w:val="24"/>
                <w:highlight w:val="none"/>
              </w:rPr>
              <w:t>本项目位于</w:t>
            </w:r>
            <w:r>
              <w:rPr>
                <w:rFonts w:hint="default" w:ascii="Times New Roman" w:hAnsi="Times New Roman" w:eastAsia="宋体" w:cs="Times New Roman"/>
                <w:color w:val="auto"/>
                <w:sz w:val="24"/>
                <w:szCs w:val="24"/>
                <w:highlight w:val="none"/>
                <w:lang w:val="en-US" w:eastAsia="zh-CN"/>
              </w:rPr>
              <w:t>秦皇岛市</w:t>
            </w:r>
            <w:r>
              <w:rPr>
                <w:rFonts w:hint="default" w:ascii="Times New Roman" w:hAnsi="Times New Roman" w:cs="Times New Roman"/>
                <w:color w:val="auto"/>
                <w:sz w:val="24"/>
                <w:szCs w:val="24"/>
                <w:highlight w:val="none"/>
                <w:lang w:val="en-US" w:eastAsia="zh-CN"/>
              </w:rPr>
              <w:t>抚宁区</w:t>
            </w:r>
            <w:r>
              <w:rPr>
                <w:rFonts w:hint="default" w:ascii="Times New Roman" w:hAnsi="Times New Roman" w:eastAsia="宋体" w:cs="Times New Roman"/>
                <w:color w:val="auto"/>
                <w:highlight w:val="none"/>
                <w:lang w:val="en-US" w:eastAsia="zh-CN"/>
              </w:rPr>
              <w:t>秦皇岛联安机械科技有限公司院内</w:t>
            </w:r>
            <w:r>
              <w:rPr>
                <w:rFonts w:hint="default" w:ascii="Times New Roman" w:hAnsi="Times New Roman" w:cs="Times New Roman"/>
                <w:snapToGrid w:val="0"/>
                <w:color w:val="auto"/>
                <w:sz w:val="24"/>
                <w:highlight w:val="none"/>
              </w:rPr>
              <w:t>，按照《秦皇岛市人民政府关于秦皇岛市"三线一单"生态环境分区管控的实施意见》（秦政字【2021】6号）文件中规定本项目属于重点管控区；</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default" w:ascii="Times New Roman" w:hAnsi="Times New Roman" w:eastAsia="宋体" w:cs="Times New Roman"/>
                <w:color w:val="auto"/>
                <w:sz w:val="21"/>
                <w:szCs w:val="16"/>
                <w:highlight w:val="none"/>
                <w:lang w:val="en-US" w:eastAsia="zh-CN"/>
              </w:rPr>
              <w:t>表</w:t>
            </w:r>
            <w:r>
              <w:rPr>
                <w:rFonts w:hint="eastAsia" w:ascii="Times New Roman" w:hAnsi="Times New Roman" w:eastAsia="宋体" w:cs="Times New Roman"/>
                <w:color w:val="auto"/>
                <w:sz w:val="21"/>
                <w:szCs w:val="16"/>
                <w:highlight w:val="none"/>
                <w:lang w:val="en-US" w:eastAsia="zh-CN"/>
              </w:rPr>
              <w:t>1-</w:t>
            </w:r>
            <w:r>
              <w:rPr>
                <w:rFonts w:hint="default" w:ascii="Times New Roman" w:hAnsi="Times New Roman" w:eastAsia="宋体" w:cs="Times New Roman"/>
                <w:color w:val="auto"/>
                <w:sz w:val="21"/>
                <w:szCs w:val="16"/>
                <w:highlight w:val="none"/>
                <w:lang w:val="en-US" w:eastAsia="zh-CN"/>
              </w:rPr>
              <w:t>3 本项目与秦皇岛市人民政府关于秦皇岛市"三线一单"生态环境分区管控的实施意见关系一览表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96"/>
              <w:gridCol w:w="5137"/>
              <w:gridCol w:w="1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color w:val="auto"/>
                      <w:sz w:val="21"/>
                      <w:szCs w:val="21"/>
                      <w:highlight w:val="none"/>
                    </w:rPr>
                    <w:t>序号</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文件</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相关内容</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1</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总体准入要求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满足空间布局约束、污染物排放管控、环境风险防控、资源开发利用；</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2</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生态环境空间</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满足生态保护红线总体要求：禁止建设开发活动，允许建设开发活动；自然保护区空间布局约束：禁止开</w:t>
                  </w:r>
                  <w:r>
                    <w:rPr>
                      <w:rFonts w:hint="eastAsia"/>
                      <w:color w:val="auto"/>
                      <w:sz w:val="21"/>
                      <w:szCs w:val="21"/>
                      <w:highlight w:val="none"/>
                    </w:rPr>
                    <w:t>发</w:t>
                  </w:r>
                  <w:r>
                    <w:rPr>
                      <w:color w:val="auto"/>
                      <w:sz w:val="21"/>
                      <w:szCs w:val="21"/>
                      <w:highlight w:val="none"/>
                    </w:rPr>
                    <w:t>建设活动的要求，限制开发建设活动的要求；风景名胜区空间布局约束：禁止开发建设活动的要求，限制开发建设活动的要求；森林公园空间布局约束：禁止开发建设活动的要求，限制开发建设活动的要求；湿地公园空间布局约束：禁止开发建设活动的要求，限制开发建设活动的要求；地质公园空间布局约束：禁止开发建设活动的要求，限制开发建设活动的要求；一般生态空间总体要求：空间布局；水源涵养、水土保持、防风固沙、生物多样性保护、水土流失、土地沙化、河湖滨岸带空间布局约束要求。</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项目不占用生态保护红线、自然保护区、风景名胜区、森林公园、湿地公园等生态环境敏感区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3</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大气环境总体管控要求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满足空间布局约束；</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1.</w:t>
                  </w:r>
                  <w:r>
                    <w:rPr>
                      <w:color w:val="auto"/>
                      <w:sz w:val="21"/>
                      <w:szCs w:val="21"/>
                      <w:highlight w:val="none"/>
                    </w:rPr>
                    <w:t xml:space="preserve">污染物排放管控：对于国家或地方排放标准中已规定大气污染物特别排放限值的行业以及锅炉，新受理环评的建设项目执行大气污染物特别排放限值； </w:t>
                  </w:r>
                  <w:r>
                    <w:rPr>
                      <w:rFonts w:hint="eastAsia"/>
                      <w:color w:val="auto"/>
                      <w:sz w:val="21"/>
                      <w:szCs w:val="21"/>
                      <w:highlight w:val="none"/>
                      <w:lang w:val="en-US" w:eastAsia="zh-CN"/>
                    </w:rPr>
                    <w:t>2.加强挥发性有机物管控和深度治理。对标行业先进水平，完成对石化、化工、涂装、印刷等重点行业开展挥发性有机物深度治理。加强对市涉挥发性有机物排放企业的监督管理，通过分表计电等方式，对有组织排放和无组织排放源进行全方位管控。组织行业专家对全市所有涉挥发性有机物排放企业编制“一厂一策”清单报告，并按要求限期整改，规范企业挥发性有机物在线监测设备或超标报警装置的安装使用和数据联网，对于排气量大于20000立方米/小时的重点企业全部安装在线监控装置，推进VOCs在线监测监管平台建立工作</w:t>
                  </w:r>
                  <w:r>
                    <w:rPr>
                      <w:rFonts w:hint="eastAsia"/>
                      <w:color w:val="auto"/>
                      <w:sz w:val="21"/>
                      <w:szCs w:val="21"/>
                      <w:highlight w:val="none"/>
                      <w:lang w:eastAsia="zh-CN"/>
                    </w:rPr>
                    <w:t>；</w:t>
                  </w:r>
                  <w:r>
                    <w:rPr>
                      <w:rFonts w:hint="eastAsia"/>
                      <w:color w:val="auto"/>
                      <w:sz w:val="21"/>
                      <w:szCs w:val="21"/>
                      <w:highlight w:val="none"/>
                      <w:lang w:val="en-US" w:eastAsia="zh-CN"/>
                    </w:rPr>
                    <w:t>3.参照《低挥发性有机化合物含量涂料产品技术要求》（GB/T38597-2020），开展低挥发性有机物含量涂料推广替代试点工作，加快推进党政机关单位定点印刷企业率先使用水性油墨、大豆油墨等低VOCs含量油墨和胶黏剂；</w:t>
                  </w:r>
                </w:p>
              </w:tc>
              <w:tc>
                <w:tcPr>
                  <w:tcW w:w="819" w:type="pct"/>
                  <w:noWrap w:val="0"/>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auto"/>
                    <w:jc w:val="both"/>
                    <w:textAlignment w:val="auto"/>
                    <w:rPr>
                      <w:rFonts w:hint="default"/>
                      <w:color w:val="auto"/>
                      <w:sz w:val="21"/>
                      <w:szCs w:val="21"/>
                      <w:highlight w:val="none"/>
                      <w:lang w:val="en-US" w:eastAsia="zh-CN"/>
                    </w:rPr>
                  </w:pPr>
                  <w:r>
                    <w:rPr>
                      <w:rFonts w:hint="eastAsia"/>
                      <w:color w:val="auto"/>
                      <w:sz w:val="21"/>
                      <w:szCs w:val="21"/>
                      <w:highlight w:val="none"/>
                      <w:lang w:val="en-US" w:eastAsia="zh-CN"/>
                    </w:rPr>
                    <w:t>1.本项目不涉及锅炉；非甲烷总烃执行特别排放限制；2.本项目废气治理设施采用“分表计电”，本项目建设完成后厂界安装超标报警装置并在排气筒安装在线监测设备；3.根据企业提供的油漆监测报告，并对比《低挥发性有机化合物含量涂料产品技术要求》（GB/T38597-2020）限值要求，本项目使用油漆为低VOCs油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4</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地表水环境总体管控要求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空间布局约束：对上一年度水体不能达到目标要求或未完成水污染物总量减排任务的区域暂停审批新增排放水污染物的建设项目；</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污染物排放管控：</w:t>
                  </w:r>
                  <w:r>
                    <w:rPr>
                      <w:rFonts w:hint="eastAsia"/>
                      <w:color w:val="auto"/>
                      <w:sz w:val="21"/>
                      <w:szCs w:val="21"/>
                      <w:highlight w:val="none"/>
                    </w:rPr>
                    <w:t>1.</w:t>
                  </w:r>
                  <w:r>
                    <w:rPr>
                      <w:color w:val="auto"/>
                      <w:sz w:val="21"/>
                      <w:szCs w:val="21"/>
                      <w:highlight w:val="none"/>
                    </w:rPr>
                    <w:t>严格控制高污染、高耗水行业新增产能；2.实施总氮排放总量控制。满足环境风险防控。</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本项目无新增用水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5</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近岸海域环境总体管控要求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满足重要种质资源保护区、重要滨海旅游区、海洋 保护区、沙源保护海域、港口航运区、工业与城镇用海、农渔业区、保留区要求。</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6</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土壤及地下水风险防控总体管控要求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满足空间布局约束、污染排放管控、环境风险防控、水资源量和强度要求和管控要求。</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rPr>
                  </w:pPr>
                  <w:r>
                    <w:rPr>
                      <w:rFonts w:hint="eastAsia"/>
                      <w:color w:val="auto"/>
                      <w:sz w:val="21"/>
                      <w:szCs w:val="21"/>
                      <w:highlight w:val="none"/>
                      <w:lang w:val="en-US" w:eastAsia="zh-CN"/>
                    </w:rPr>
                    <w:t>项目施工期及运营期不新增废污水外排，固体废物采取妥善处理，不会对土壤及地下水环境造成影响。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7</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资源利用总体管控要求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满足水资源总量和强度要求和管控要求；能源总量和强度要求和管控要求；土地资源管控要求；岸线 资源利用上线和管控要求。</w:t>
                  </w:r>
                </w:p>
              </w:tc>
              <w:tc>
                <w:tcPr>
                  <w:tcW w:w="819"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项目运营期无新增用水，主要为电能，消耗量较少，不会突破当地电力资源上限，本次建设位于现有车间内部，不新增占地。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2"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rFonts w:hint="eastAsia"/>
                      <w:color w:val="auto"/>
                      <w:sz w:val="21"/>
                      <w:szCs w:val="21"/>
                      <w:highlight w:val="none"/>
                    </w:rPr>
                    <w:t>8</w:t>
                  </w:r>
                </w:p>
              </w:tc>
              <w:tc>
                <w:tcPr>
                  <w:tcW w:w="558"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产业布局总体管控要求</w:t>
                  </w:r>
                </w:p>
              </w:tc>
              <w:tc>
                <w:tcPr>
                  <w:tcW w:w="3200" w:type="pct"/>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产业总体布局要求：1.禁止新建国家《产业结构调整指导目录》中限制类、淘汰类产业项目，《市场准入负面清单》中禁止准入类及《河北省禁止投资的产业目 录》、《河北省新增限制和淘汰类产业目录（2015年版）》、《秦皇岛市限制和禁止投资的产业目录》（2020年修订版）中的产业项目。 2.禁止建设《环境保护综合名录（2017年版）》中“高污染、高风险”产品加工项目。严格控制生态脆弱或环境敏感地区建设“两高”行业项目。 3.严禁钢铁、焦化、水泥、平板玻璃、电解铝、有色、电石、铁合金、陶瓷等新增产能项目建设，鼓励建设大型超临界和超临界机组，重点行业新（改、扩）建项目严格执行产能置换、煤炭、污染物倍量削减替代办法。 4.推动钢铁、石化、化工等传统高耗能行业转型升级，同时优先淘汰高碳落后产能，严格控制高碳高耗能行业新增产能，利用秦皇岛区位优势，积极发展战略性新兴产业，加快推动现代服务业、高新技术产业和先进制造业发展。5.上一年度环境空气质量年均浓度不达标、水环境质量未达到要求的区县，相关污染物应按照建设项目所需替代的主要污染物排放总量指标的2倍进行削减替代（燃煤发电机组大气污染物排放浓度基本达到燃气轮机组排放限值的除外）；PM</w:t>
                  </w:r>
                  <w:r>
                    <w:rPr>
                      <w:color w:val="auto"/>
                      <w:sz w:val="21"/>
                      <w:szCs w:val="21"/>
                      <w:highlight w:val="none"/>
                      <w:vertAlign w:val="subscript"/>
                    </w:rPr>
                    <w:t>2.5</w:t>
                  </w:r>
                  <w:r>
                    <w:rPr>
                      <w:color w:val="auto"/>
                      <w:sz w:val="21"/>
                      <w:szCs w:val="21"/>
                      <w:highlight w:val="none"/>
                    </w:rPr>
                    <w:t>年均浓度不达标的区县，二氧化硫、氮氧化物、烟粉尘、挥发性有机物四项污染物均需进行2倍削减替代（燃煤发电机组大气污染物排放浓度基本达到燃气轮机组排放限值的除外）。 6.以钢铁、水泥、平板玻璃、焦化、化工、制药等行业为重点，加快城市建成区重污染企业搬迁改造或关闭退出，具备条件的钢铁、水泥、平板玻璃、焦化、化工、制药、陶瓷、铸造等重污染企业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7.禁止在居民区、学校、医疗和养老机构等周边新建有色金属冶炼、焦化等行业企业。严格控制在优先保护类耕地集中区域新建有色金属冶炼、石油加工、化工、焦化、电镀、制革、制药、铅酸蓄电池行业企业。</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r>
                    <w:rPr>
                      <w:color w:val="auto"/>
                      <w:sz w:val="21"/>
                      <w:szCs w:val="21"/>
                      <w:highlight w:val="none"/>
                    </w:rPr>
                    <w:t>项目入园准入要求：1.县级以下原则不再建设新的园区，造纸、焦化、氮肥、有色金属、印染、原料药制造、皮革、农药、电镀、钢铁、石灰、平板玻璃、石化、化工等高污染工业项目必须入园进区， 其他工业项目原则上也不在园区外布局。 2.加强园区规划及环评时效性。现有市县级工业区在遵从规划、规划环评及跟踪评价的要求前提下，严格遵循河北省、秦皇岛市对应环境管控单元生态环境准入要求。 3.对于以“园区”名义存在的工业大院或工业小区（无规划及环评）内的“散乱污”企业，严格整治标准，限期整治；对严重污染环境的企业，坚决依法依规处置到位。4.推进现有企业向依法合规设立、环保设施齐全、符合规划环评要求的工业集聚区集中，明确工业企业入园时间表；确因不具备入园条件需原地保留的工业企业，明确保留条件，其中直排环境企业排放废水应达到排入水体功能区标准。</w:t>
                  </w:r>
                </w:p>
              </w:tc>
              <w:tc>
                <w:tcPr>
                  <w:tcW w:w="8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rPr>
                  </w:pPr>
                  <w:r>
                    <w:rPr>
                      <w:rFonts w:hint="eastAsia"/>
                      <w:color w:val="auto"/>
                      <w:sz w:val="21"/>
                      <w:szCs w:val="21"/>
                      <w:highlight w:val="none"/>
                    </w:rPr>
                    <w:t>项目</w:t>
                  </w:r>
                  <w:r>
                    <w:rPr>
                      <w:rFonts w:hint="eastAsia"/>
                      <w:color w:val="auto"/>
                      <w:sz w:val="21"/>
                      <w:szCs w:val="21"/>
                      <w:highlight w:val="none"/>
                      <w:lang w:val="en-US" w:eastAsia="zh-CN"/>
                    </w:rPr>
                    <w:t>不属于</w:t>
                  </w:r>
                  <w:r>
                    <w:rPr>
                      <w:color w:val="auto"/>
                      <w:sz w:val="21"/>
                      <w:szCs w:val="21"/>
                      <w:highlight w:val="none"/>
                    </w:rPr>
                    <w:t>《产业结构调整指导目录》中限制类、淘汰类产业项目</w:t>
                  </w:r>
                  <w:r>
                    <w:rPr>
                      <w:rFonts w:hint="eastAsia"/>
                      <w:color w:val="auto"/>
                      <w:sz w:val="21"/>
                      <w:szCs w:val="21"/>
                      <w:highlight w:val="none"/>
                      <w:lang w:eastAsia="zh-CN"/>
                    </w:rPr>
                    <w:t>；</w:t>
                  </w:r>
                  <w:r>
                    <w:rPr>
                      <w:rFonts w:hint="eastAsia"/>
                      <w:color w:val="auto"/>
                      <w:sz w:val="21"/>
                      <w:szCs w:val="21"/>
                      <w:highlight w:val="none"/>
                      <w:lang w:val="en-US" w:eastAsia="zh-CN"/>
                    </w:rPr>
                    <w:t>不属于</w:t>
                  </w:r>
                  <w:r>
                    <w:rPr>
                      <w:color w:val="auto"/>
                      <w:sz w:val="21"/>
                      <w:szCs w:val="21"/>
                      <w:highlight w:val="none"/>
                    </w:rPr>
                    <w:t>《市场准入负面清单》中禁止准入类及《河北省禁止投资的产业目录》、《河北省新增限制和淘汰类产业目录（2015年版）》、《秦皇岛市限制和禁止投资的产业目录》（2020年修订版）中的产业项目</w:t>
                  </w:r>
                  <w:r>
                    <w:rPr>
                      <w:rFonts w:hint="eastAsia"/>
                      <w:color w:val="auto"/>
                      <w:sz w:val="21"/>
                      <w:szCs w:val="21"/>
                      <w:highlight w:val="none"/>
                      <w:lang w:eastAsia="zh-CN"/>
                    </w:rPr>
                    <w:t>；</w:t>
                  </w:r>
                  <w:r>
                    <w:rPr>
                      <w:rFonts w:hint="eastAsia"/>
                      <w:color w:val="auto"/>
                      <w:sz w:val="21"/>
                      <w:szCs w:val="21"/>
                      <w:highlight w:val="none"/>
                      <w:lang w:val="en-US" w:eastAsia="zh-CN"/>
                    </w:rPr>
                    <w:t>不属于《</w:t>
                  </w:r>
                  <w:r>
                    <w:rPr>
                      <w:color w:val="auto"/>
                      <w:sz w:val="21"/>
                      <w:szCs w:val="21"/>
                      <w:highlight w:val="none"/>
                    </w:rPr>
                    <w:t>环境保护综合名录</w:t>
                  </w:r>
                  <w:r>
                    <w:rPr>
                      <w:rFonts w:hint="eastAsia"/>
                      <w:color w:val="auto"/>
                      <w:sz w:val="21"/>
                      <w:szCs w:val="21"/>
                      <w:highlight w:val="none"/>
                      <w:lang w:val="en-US" w:eastAsia="zh-CN"/>
                    </w:rPr>
                    <w:t>》（2022版）中“高污染、高风险”类项目。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color w:val="auto"/>
                      <w:sz w:val="21"/>
                      <w:szCs w:val="21"/>
                      <w:highlight w:val="none"/>
                      <w:lang w:eastAsia="zh-CN"/>
                    </w:rPr>
                  </w:pPr>
                  <w:r>
                    <w:rPr>
                      <w:rFonts w:hint="eastAsia"/>
                      <w:color w:val="auto"/>
                      <w:sz w:val="21"/>
                      <w:szCs w:val="21"/>
                      <w:highlight w:val="none"/>
                    </w:rPr>
                    <w:t>满足产业布局总体管控要求</w:t>
                  </w:r>
                  <w:r>
                    <w:rPr>
                      <w:rFonts w:hint="eastAsia"/>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本项目位于产业园区内，根据园区符合性分析章节可知，本项目满足园区准入要求，符合产业定位</w:t>
                  </w:r>
                  <w:r>
                    <w:rPr>
                      <w:rFonts w:hint="eastAsia"/>
                      <w:color w:val="auto"/>
                      <w:sz w:val="21"/>
                      <w:szCs w:val="21"/>
                      <w:highlight w:val="none"/>
                      <w:lang w:eastAsia="zh-CN"/>
                    </w:rPr>
                    <w:t>。</w:t>
                  </w:r>
                </w:p>
              </w:tc>
            </w:tr>
          </w:tbl>
          <w:p>
            <w:pPr>
              <w:rPr>
                <w:rFonts w:hint="default" w:ascii="Times New Roman" w:hAnsi="Times New Roman" w:eastAsia="宋体" w:cs="Times New Roman"/>
                <w:color w:val="auto"/>
                <w:sz w:val="21"/>
                <w:szCs w:val="16"/>
                <w:highlight w:val="none"/>
                <w:lang w:val="en-US" w:eastAsia="zh-CN"/>
              </w:rPr>
            </w:pPr>
          </w:p>
          <w:p>
            <w:pPr>
              <w:pStyle w:val="51"/>
              <w:rPr>
                <w:rFonts w:ascii="Times New Roman" w:hAnsi="Times New Roman"/>
                <w:color w:val="auto"/>
                <w:sz w:val="21"/>
                <w:szCs w:val="13"/>
                <w:highlight w:val="none"/>
              </w:rPr>
            </w:pPr>
            <w:r>
              <w:rPr>
                <w:rFonts w:ascii="Times New Roman" w:hAnsi="Times New Roman"/>
                <w:color w:val="auto"/>
                <w:sz w:val="21"/>
                <w:szCs w:val="13"/>
                <w:highlight w:val="none"/>
              </w:rPr>
              <w:t>表</w:t>
            </w:r>
            <w:r>
              <w:rPr>
                <w:rFonts w:hint="eastAsia" w:ascii="Times New Roman" w:hAnsi="Times New Roman"/>
                <w:color w:val="auto"/>
                <w:sz w:val="21"/>
                <w:szCs w:val="13"/>
                <w:highlight w:val="none"/>
              </w:rPr>
              <w:t>1-</w:t>
            </w:r>
            <w:r>
              <w:rPr>
                <w:rFonts w:hint="eastAsia"/>
                <w:color w:val="auto"/>
                <w:sz w:val="21"/>
                <w:szCs w:val="13"/>
                <w:highlight w:val="none"/>
                <w:lang w:val="en-US" w:eastAsia="zh-CN"/>
              </w:rPr>
              <w:t>4</w:t>
            </w:r>
            <w:r>
              <w:rPr>
                <w:rFonts w:ascii="Times New Roman" w:hAnsi="Times New Roman"/>
                <w:color w:val="auto"/>
                <w:sz w:val="21"/>
                <w:szCs w:val="13"/>
                <w:highlight w:val="none"/>
              </w:rPr>
              <w:t xml:space="preserve">  本项目与《实施意见》</w:t>
            </w:r>
            <w:r>
              <w:rPr>
                <w:rFonts w:hint="eastAsia" w:ascii="Times New Roman" w:hAnsi="Times New Roman"/>
                <w:color w:val="auto"/>
                <w:sz w:val="21"/>
                <w:szCs w:val="13"/>
                <w:highlight w:val="none"/>
              </w:rPr>
              <w:t>中重点管控单元</w:t>
            </w:r>
            <w:r>
              <w:rPr>
                <w:rFonts w:ascii="Times New Roman" w:hAnsi="Times New Roman"/>
                <w:color w:val="auto"/>
                <w:sz w:val="21"/>
                <w:szCs w:val="13"/>
                <w:highlight w:val="none"/>
              </w:rPr>
              <w:t>准入清单关系一览表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872"/>
              <w:gridCol w:w="983"/>
              <w:gridCol w:w="284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单元类别</w:t>
                  </w:r>
                </w:p>
              </w:tc>
              <w:tc>
                <w:tcPr>
                  <w:tcW w:w="543"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环境要素类别</w:t>
                  </w: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维度</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准入要求</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vMerge w:val="restar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重点管控区  抚宁镇（ZH13030620058）</w:t>
                  </w:r>
                </w:p>
              </w:tc>
              <w:tc>
                <w:tcPr>
                  <w:tcW w:w="543" w:type="pct"/>
                  <w:vMerge w:val="restar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大气环境高排放重点管控区、水环境城镇生活重点管控区、抚宁经济开发区、地下水风险重点管控区</w:t>
                  </w: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空间布局约束</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园区距离抚宁区城区较近，新建项目应在环评中论证对城区大气环境质量的影响。2、在卫生防护距离内不适宜新建居民区、医院科研、学校等环境敏感点。3、开发区接纳的退城进区的项目需符合开发区的产业定位和产业布局，清洁生产水平较搬迁前必须提高，应满足二级水平要求。4、高新技术产业片区和军民融合产业区多为一类工业用地，不得发展对环境影响较大的建设项目。5、禁止新建和技改金属表面处理及热加工处理项目及皮毛及皮革鞣制加工项目。</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本项目为技改项目，废气经治理后达标排放，对城区影响较小；2、本项目新建非甲烷总烃排气筒500m范围内不涉及环境敏感点；3、不涉及；4、不涉及；5、本项目新建喷漆房主要为部分生产配件喷漆及产品补漆，油漆用量较少，项目建设后不会降低区域环境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污染物排放管控</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严格落实规划环评及其批复文件制定的环保措施。2、对VOCs排放集中的工业园区和产业聚集区，探索建立废气处理、排放监测、平台监控、运营维护一体的第三方治理模式。3、涉VOCs排放工业企业污染物排放应达到《工业企业挥发性有机物排放控制标准》（DB13/2322-2016）及《挥发性有机物无组织排放控制标准》（GB37822-2019）相关排放要求。4、开发区内锅炉污染物排放应达到《锅炉大气污染物排放标准》（DB13/5161-2020）要求。</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本项目符合园区总体规划；2、本项目建设完成后安装有机废气在线加测设施及超标报警装置；3、本项目有机废气经治理后排放可满足《工业企业挥发性有机物排放控制标准》（DB13/2322-2016）及《挥发性有机物无组织排放控制标准》（GB37822-2019）相关排放要求；4、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环境风险防控</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严格落实规划环评及其批复文件制定的环境风险防范措施。2、开发区及入区企业需组织编制《环境风险应急预案》，成立应急组织机构、的定期开展应急演练，提高区域环境风险防能力。3、建立有效的事故风向防范体系，使开发区建设和环境保护协调发展。4、禁止建设存在重大环境安全隐患的工业项目。5、确定地下水污染来源和路径，进行污染风险评估。</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本项目符合园区总体规划；2、企业已编制《突发风险应急预案》，本次技改完成后，对应急预案进行修订，并重新备案；3、已建立有效的事故风险防范体系；4、不属于；5、本项目依托现有危废间，现有危废间已通过环保验收，防腐防渗满足建设要求，不会对地下水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资源利用效率</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1、中水回用率≥30%。3、园区工业水重复利用率≥75%。</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本项目不涉及生产用水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713" w:type="pct"/>
                  <w:vMerge w:val="restar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rPr>
                  </w:pPr>
                  <w:r>
                    <w:rPr>
                      <w:rFonts w:hint="eastAsia"/>
                      <w:color w:val="auto"/>
                      <w:sz w:val="21"/>
                      <w:szCs w:val="21"/>
                      <w:highlight w:val="none"/>
                      <w:lang w:val="en-US" w:eastAsia="zh-CN"/>
                    </w:rPr>
                    <w:t>重点管控区  抚宁镇（ZH13030620060）</w:t>
                  </w:r>
                </w:p>
              </w:tc>
              <w:tc>
                <w:tcPr>
                  <w:tcW w:w="543" w:type="pct"/>
                  <w:vMerge w:val="restar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大气环境受体敏感重点管控区、地下水风险重点管控区</w:t>
                  </w: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空间布局约束</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对违反资源环境法律法规、规划，污染环境、破坏生态、乱采滥挖的露天矿山，依法予以关闭。2、新建涉水工业项目须入园进区；全面摸底排查园区外涉水工业企业，确定入园时间表:确因不具备入园条件需原地保留涉水工业企业，须明确保留条件，实施尾水深度治理，排放废水主要污染物浓度必须达到受纳水体环境功能区标准，否则一律关停取缔。3、禁止建设生产和使用高 VOCS含量的溶剂型涂料、油墨、胶粘剂等项目。</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1、不涉及；2、本项目为技改，无新增废水；3、.根据企业提供的油漆监测报告，并对比《低挥发性有机化合物含量涂料产品技术要求》（GB/T38597-2020）限值要求，本项目使用油漆为低VOCs油漆。。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污染物排放管控</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color w:val="auto"/>
                      <w:sz w:val="21"/>
                      <w:szCs w:val="21"/>
                      <w:highlight w:val="none"/>
                    </w:rPr>
                  </w:pPr>
                  <w:r>
                    <w:rPr>
                      <w:rFonts w:hint="eastAsia"/>
                      <w:color w:val="auto"/>
                      <w:sz w:val="21"/>
                      <w:szCs w:val="21"/>
                      <w:highlight w:val="none"/>
                    </w:rPr>
                    <w:t>1、城市和县城建成区禁止新建 35 蒸吨/小时及以下生物质锅炉，35 蒸吨/小时以上的生物质锅炉要达到超低排放标准。2、涉VOCS 企业全面完成整治任务，实现稳定达标排放。安装在线监测或超标报警装置。3、塑料行业执行《合成树脂工业污染物排放标准》(GB31572-2015、《企业发性有机物排放控制标准》(DB13/2322-2016)及</w:t>
                  </w:r>
                  <w:r>
                    <w:rPr>
                      <w:rFonts w:hint="eastAsia"/>
                      <w:color w:val="auto"/>
                      <w:sz w:val="21"/>
                      <w:szCs w:val="21"/>
                      <w:highlight w:val="none"/>
                      <w:lang w:val="en-US" w:eastAsia="zh-CN"/>
                    </w:rPr>
                    <w:t xml:space="preserve">    </w:t>
                  </w:r>
                  <w:r>
                    <w:rPr>
                      <w:rFonts w:hint="eastAsia"/>
                      <w:color w:val="auto"/>
                      <w:sz w:val="21"/>
                      <w:szCs w:val="21"/>
                      <w:highlight w:val="none"/>
                    </w:rPr>
                    <w:t>《挥发性有机物无组织排放控制标准》 (GB37822-2019)相关排放要求。4、铁矿采选执行《铁矿采选工业污染物排放标准》(GB28661-2012)。5、包装装潢及其他印刷执行《工业企业挥发性有机物排放控制标准》(DB13/2322-2016。6、涂料行业执行《涂料、油及胶粘剂工业大气污染物排放标准》(GB37824-2019)。</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1、不涉及；2、本项目有机废气经治理后达标排放，新增</w:t>
                  </w:r>
                  <w:r>
                    <w:rPr>
                      <w:rFonts w:hint="eastAsia"/>
                      <w:color w:val="auto"/>
                      <w:sz w:val="21"/>
                      <w:szCs w:val="21"/>
                      <w:highlight w:val="none"/>
                    </w:rPr>
                    <w:t>安装在线监测或超标报警装置</w:t>
                  </w:r>
                  <w:r>
                    <w:rPr>
                      <w:rFonts w:hint="eastAsia"/>
                      <w:color w:val="auto"/>
                      <w:sz w:val="21"/>
                      <w:szCs w:val="21"/>
                      <w:highlight w:val="none"/>
                      <w:lang w:eastAsia="zh-CN"/>
                    </w:rPr>
                    <w:t>；</w:t>
                  </w:r>
                  <w:r>
                    <w:rPr>
                      <w:rFonts w:hint="eastAsia"/>
                      <w:color w:val="auto"/>
                      <w:sz w:val="21"/>
                      <w:szCs w:val="21"/>
                      <w:highlight w:val="none"/>
                      <w:lang w:val="en-US" w:eastAsia="zh-CN"/>
                    </w:rPr>
                    <w:t>3、不涉及；4、不涉及；5、本项目仅涉及涂料的使用，不涉及涂料的制造。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环境风险防控</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color w:val="auto"/>
                      <w:sz w:val="21"/>
                      <w:szCs w:val="21"/>
                      <w:highlight w:val="none"/>
                    </w:rPr>
                  </w:pPr>
                  <w:r>
                    <w:rPr>
                      <w:rFonts w:hint="eastAsia"/>
                      <w:color w:val="auto"/>
                      <w:sz w:val="21"/>
                      <w:szCs w:val="21"/>
                      <w:highlight w:val="none"/>
                    </w:rPr>
                    <w:t>1、加大矿山地质环境保护与治理恢复力度，新建和生产矿山严格按照审批通过的开发利用方案和矿山地质环境治理恢复方案，边开采、边治理、边恢复，加快推进责任主体灭失矿山</w:t>
                  </w:r>
                  <w:r>
                    <w:rPr>
                      <w:rFonts w:hint="eastAsia"/>
                      <w:color w:val="auto"/>
                      <w:sz w:val="21"/>
                      <w:szCs w:val="21"/>
                      <w:highlight w:val="none"/>
                      <w:lang w:val="en-US" w:eastAsia="zh-CN"/>
                    </w:rPr>
                    <w:t xml:space="preserve"> </w:t>
                  </w:r>
                  <w:r>
                    <w:rPr>
                      <w:rFonts w:hint="eastAsia"/>
                      <w:color w:val="auto"/>
                      <w:sz w:val="21"/>
                      <w:szCs w:val="21"/>
                      <w:highlight w:val="none"/>
                    </w:rPr>
                    <w:t>迹地综合治理。加强尾矿库安全监管，有重点监管尾矿库的企业要开展环境风险评估，完善污染治理设施，储备应急装备、物资。2、确定地下水污染来源和路径，进行污染风险评估。</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1、不涉及；2、本项目依托现有危废间，现有危废间已通过环保验收，防腐防渗满足建设要求，不会对地下水造成影响。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71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color w:val="auto"/>
                      <w:sz w:val="21"/>
                      <w:szCs w:val="21"/>
                      <w:highlight w:val="none"/>
                      <w:lang w:val="en-US" w:eastAsia="zh-CN"/>
                    </w:rPr>
                  </w:pPr>
                </w:p>
              </w:tc>
              <w:tc>
                <w:tcPr>
                  <w:tcW w:w="543" w:type="pct"/>
                  <w:vMerge w:val="continue"/>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61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资源利用效率</w:t>
                  </w:r>
                </w:p>
              </w:tc>
              <w:tc>
                <w:tcPr>
                  <w:tcW w:w="1769"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color w:val="auto"/>
                      <w:sz w:val="21"/>
                      <w:szCs w:val="21"/>
                      <w:highlight w:val="none"/>
                    </w:rPr>
                  </w:pPr>
                  <w:r>
                    <w:rPr>
                      <w:rFonts w:hint="eastAsia"/>
                      <w:color w:val="auto"/>
                      <w:sz w:val="21"/>
                      <w:szCs w:val="21"/>
                      <w:highlight w:val="none"/>
                    </w:rPr>
                    <w:t>1、淘汰集中供热管网覆盖范围内的散煤。2、推动实施尾矿提取有价组分和建筑原材料替代、粉煤灰高附加值利用、工业副产石膏高附加值利用等重点工程，逐步扩大利用规模。</w:t>
                  </w:r>
                </w:p>
              </w:tc>
              <w:tc>
                <w:tcPr>
                  <w:tcW w:w="1362" w:type="pct"/>
                  <w:noWrap w:val="0"/>
                  <w:vAlign w:val="center"/>
                </w:tcPr>
                <w:p>
                  <w:pPr>
                    <w:pStyle w:val="6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不涉及</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eastAsia="宋体"/>
                <w:color w:val="auto"/>
                <w:highlight w:val="none"/>
                <w:lang w:val="en-US" w:eastAsia="zh-CN"/>
              </w:rPr>
            </w:pPr>
            <w:r>
              <w:rPr>
                <w:rFonts w:hint="eastAsia"/>
                <w:color w:val="auto"/>
                <w:highlight w:val="none"/>
                <w:lang w:val="en-US" w:eastAsia="zh-CN"/>
              </w:rPr>
              <w:t>根据上表分析，本项目符合《实施意见》中的相关要求。</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Cs/>
                <w:color w:val="auto"/>
                <w:sz w:val="24"/>
                <w:szCs w:val="24"/>
                <w:highlight w:val="none"/>
                <w:lang w:val="en-US" w:eastAsia="zh-CN"/>
              </w:rPr>
            </w:pPr>
            <w:r>
              <w:rPr>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2526665</wp:posOffset>
                      </wp:positionH>
                      <wp:positionV relativeFrom="paragraph">
                        <wp:posOffset>3128010</wp:posOffset>
                      </wp:positionV>
                      <wp:extent cx="878840" cy="285115"/>
                      <wp:effectExtent l="12700" t="12700" r="22860" b="140335"/>
                      <wp:wrapNone/>
                      <wp:docPr id="4" name="矩形标注 4"/>
                      <wp:cNvGraphicFramePr/>
                      <a:graphic xmlns:a="http://schemas.openxmlformats.org/drawingml/2006/main">
                        <a:graphicData uri="http://schemas.microsoft.com/office/word/2010/wordprocessingShape">
                          <wps:wsp>
                            <wps:cNvSpPr/>
                            <wps:spPr>
                              <a:xfrm>
                                <a:off x="4326255" y="5526405"/>
                                <a:ext cx="878840" cy="285115"/>
                              </a:xfrm>
                              <a:prstGeom prst="wedgeRectCallout">
                                <a:avLst>
                                  <a:gd name="adj1" fmla="val -32285"/>
                                  <a:gd name="adj2" fmla="val 9463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8.95pt;margin-top:246.3pt;height:22.45pt;width:69.2pt;z-index:251663360;v-text-anchor:middle;mso-width-relative:page;mso-height-relative:page;" filled="f" stroked="t" coordsize="21600,21600" o:gfxdata="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le1azbAAAACwEAAA8AAAAAAAAAAQAgAAAAIgAAAGRycy9kb3ducmV2&#10;LnhtbFBLAQIUABQAAAAIAIdO4kAVI1MwpAIAAC4FAAAOAAAAAAAAAAEAIAAAACoBAABkcnMvZTJv&#10;RG9jLnhtbFBLBQYAAAAABgAGAFkBAABABgAAAAA=&#10;" adj="3826,31241">
                      <v:fill on="f" focussize="0,0"/>
                      <v:stroke weight="2pt" color="#000000 [3213]" joinstyle="round"/>
                      <v:imagedata o:title=""/>
                      <o:lock v:ext="edit" aspectratio="f"/>
                      <v:textbox>
                        <w:txbxContent>
                          <w:p>
                            <w:pPr>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企业位置</w:t>
                            </w:r>
                          </w:p>
                        </w:txbxContent>
                      </v:textbox>
                    </v:shape>
                  </w:pict>
                </mc:Fallback>
              </mc:AlternateContent>
            </w:r>
            <w:r>
              <w:rPr>
                <w:color w:val="auto"/>
                <w:highlight w:val="none"/>
              </w:rPr>
              <w:drawing>
                <wp:inline distT="0" distB="0" distL="114300" distR="114300">
                  <wp:extent cx="4944110" cy="6598920"/>
                  <wp:effectExtent l="0" t="0" r="8890" b="11430"/>
                  <wp:docPr id="1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2"/>
                          <pic:cNvPicPr>
                            <a:picLocks noChangeAspect="1"/>
                          </pic:cNvPicPr>
                        </pic:nvPicPr>
                        <pic:blipFill>
                          <a:blip r:embed="rId12"/>
                          <a:stretch>
                            <a:fillRect/>
                          </a:stretch>
                        </pic:blipFill>
                        <pic:spPr>
                          <a:xfrm>
                            <a:off x="0" y="0"/>
                            <a:ext cx="4944110" cy="6598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5、其他文件符合性</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表1-</w:t>
            </w:r>
            <w:r>
              <w:rPr>
                <w:rFonts w:hint="eastAsia" w:cs="Times New Roman"/>
                <w:color w:val="auto"/>
                <w:sz w:val="21"/>
                <w:szCs w:val="16"/>
                <w:highlight w:val="none"/>
                <w:lang w:val="en-US" w:eastAsia="zh-CN"/>
              </w:rPr>
              <w:t>5</w:t>
            </w:r>
            <w:r>
              <w:rPr>
                <w:rFonts w:hint="eastAsia" w:ascii="Times New Roman" w:hAnsi="Times New Roman" w:eastAsia="宋体" w:cs="Times New Roman"/>
                <w:color w:val="auto"/>
                <w:sz w:val="21"/>
                <w:szCs w:val="16"/>
                <w:highlight w:val="none"/>
                <w:lang w:val="en-US" w:eastAsia="zh-CN"/>
              </w:rPr>
              <w:t xml:space="preserve">  项目与其他文件符合性分析</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981"/>
              <w:gridCol w:w="181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文件名称</w:t>
                  </w:r>
                </w:p>
              </w:tc>
              <w:tc>
                <w:tcPr>
                  <w:tcW w:w="2480"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文件内容</w:t>
                  </w:r>
                </w:p>
              </w:tc>
              <w:tc>
                <w:tcPr>
                  <w:tcW w:w="1129"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《挥发性有机物无组织排放控制标准》（GB37822-2019）</w:t>
                  </w:r>
                </w:p>
              </w:tc>
              <w:tc>
                <w:tcPr>
                  <w:tcW w:w="2480" w:type="pct"/>
                  <w:vAlign w:val="center"/>
                </w:tcPr>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VOCs物料应储存于密闭容器、包装袋、储罐、储库、料仓中。</w:t>
                  </w:r>
                </w:p>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盛装VOCs物料的容器或包装袋应存放于室内，或存放于设置有雨棚、遮阳和防渗设施的专用场地。盛装VOCs物料的容器或包装袋应在非使用状态时应加盖、封口，保持密闭。</w:t>
                  </w:r>
                </w:p>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液态VOCs物料应采用密闭管道运输。采用非管道运输方式转移液态VOCs物料时，应采用密闭容器、罐车。</w:t>
                  </w:r>
                </w:p>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液态VOCs物料应采用密闭管道输送方式或采用高位槽（罐）、桶泵等给料方式密闭投加。无法密闭投加的，应在密闭空间内操作，或进行局部气体收集，废气应排至VOCs废气收集处理系统。</w:t>
                  </w:r>
                </w:p>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通风生产设备、操作工位、车间厂房等应在符合安全生产、职业卫生相关的前提下，根据行业作业规程与标准、工业建筑及洁净厂房通风设计规范等的要求，采用合理的通风量。</w:t>
                  </w:r>
                </w:p>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6.企业应按照有关法律、《环境监测管理办法》和HJ819的规定，建立企业监测制度，制定监测方案，对污染物排放状况及周边环境质量的影响开展自行监测，保存原始检测记录，并公布检测结果。</w:t>
                  </w:r>
                </w:p>
              </w:tc>
              <w:tc>
                <w:tcPr>
                  <w:tcW w:w="1129" w:type="pct"/>
                  <w:vAlign w:val="center"/>
                </w:tcPr>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1.所有原料未使用时均密封于桶内</w:t>
                  </w:r>
                  <w:r>
                    <w:rPr>
                      <w:rFonts w:hint="eastAsia" w:ascii="Times New Roman" w:hAnsi="Times New Roman" w:cs="Times New Roman"/>
                      <w:color w:val="auto"/>
                      <w:sz w:val="21"/>
                      <w:szCs w:val="21"/>
                      <w:highlight w:val="none"/>
                      <w:lang w:val="en-US" w:eastAsia="zh-CN"/>
                    </w:rPr>
                    <w:t>；</w:t>
                  </w:r>
                </w:p>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2.包装桶存放于室内</w:t>
                  </w:r>
                  <w:r>
                    <w:rPr>
                      <w:rFonts w:hint="eastAsia" w:ascii="Times New Roman" w:hAnsi="Times New Roman" w:cs="Times New Roman"/>
                      <w:color w:val="auto"/>
                      <w:sz w:val="21"/>
                      <w:szCs w:val="21"/>
                      <w:highlight w:val="none"/>
                      <w:lang w:val="en-US" w:eastAsia="zh-CN"/>
                    </w:rPr>
                    <w:t>；</w:t>
                  </w:r>
                </w:p>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本项目使用油漆量较少，且存放在车间内，使用时采用人工转运；</w:t>
                  </w:r>
                </w:p>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cs="Times New Roman"/>
                      <w:color w:val="auto"/>
                      <w:sz w:val="21"/>
                      <w:szCs w:val="21"/>
                      <w:highlight w:val="none"/>
                      <w:lang w:val="en-US" w:eastAsia="zh-CN"/>
                    </w:rPr>
                    <w:t>使用过程在密闭的喷漆放内进行，无组织废气通过管道输送至治理设施进行治理。</w:t>
                  </w:r>
                </w:p>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企业的通风生产设备、操作工位、车间厂房等应符合安全生产、职业卫生相关规定，并根据行业作业规程与标准、工业建筑及洁净厂房通风设计规范等的要求，合理通风。</w:t>
                  </w:r>
                </w:p>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6.企业按照监测计划进行监测。</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pct"/>
                  <w:vAlign w:val="center"/>
                </w:tcPr>
                <w:p>
                  <w:pPr>
                    <w:pStyle w:val="81"/>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《"十</w:t>
                  </w:r>
                  <w:r>
                    <w:rPr>
                      <w:rFonts w:hint="eastAsia" w:ascii="Times New Roman" w:hAnsi="Times New Roman" w:eastAsia="宋体" w:cs="Times New Roman"/>
                      <w:color w:val="auto"/>
                      <w:sz w:val="21"/>
                      <w:szCs w:val="21"/>
                      <w:highlight w:val="none"/>
                      <w:lang w:val="en-US" w:eastAsia="zh-CN"/>
                    </w:rPr>
                    <w:t>四</w:t>
                  </w:r>
                  <w:r>
                    <w:rPr>
                      <w:rFonts w:hint="default" w:ascii="Times New Roman" w:hAnsi="Times New Roman" w:eastAsia="宋体" w:cs="Times New Roman"/>
                      <w:color w:val="auto"/>
                      <w:sz w:val="21"/>
                      <w:szCs w:val="21"/>
                      <w:highlight w:val="none"/>
                      <w:lang w:val="en-US" w:eastAsia="zh-CN"/>
                    </w:rPr>
                    <w:t>五"挥发性有机物</w:t>
                  </w:r>
                  <w:r>
                    <w:rPr>
                      <w:rFonts w:hint="eastAsia" w:ascii="Times New Roman" w:hAnsi="Times New Roman" w:eastAsia="宋体" w:cs="Times New Roman"/>
                      <w:color w:val="auto"/>
                      <w:sz w:val="21"/>
                      <w:szCs w:val="21"/>
                      <w:highlight w:val="none"/>
                      <w:lang w:val="en-US" w:eastAsia="zh-CN"/>
                    </w:rPr>
                    <w:t>综合治理</w:t>
                  </w:r>
                  <w:r>
                    <w:rPr>
                      <w:rFonts w:hint="default" w:ascii="Times New Roman" w:hAnsi="Times New Roman" w:eastAsia="宋体" w:cs="Times New Roman"/>
                      <w:color w:val="auto"/>
                      <w:sz w:val="21"/>
                      <w:szCs w:val="21"/>
                      <w:highlight w:val="none"/>
                      <w:lang w:val="en-US" w:eastAsia="zh-CN"/>
                    </w:rPr>
                    <w:t>方案》</w:t>
                  </w:r>
                </w:p>
              </w:tc>
              <w:tc>
                <w:tcPr>
                  <w:tcW w:w="2480" w:type="pct"/>
                  <w:vAlign w:val="center"/>
                </w:tcPr>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坚持科学精准治污。紧盯VOCs治理重点领域和难点问题，按照"一地一策、一行一策、一园一策、一企一策"原则，科学施策、精准治理，做到问题精准、时间精准、区位精准、对象精准、措施精准，确保治理务实有效。</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2.坚持源头治理优先。树立绿色发展理念，强化源头治理，严格产业准入，大力推进生产和使用环节低VOCs含量原辅材料替代，切实从源头减少VOCs产生。</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3.坚持激励约束并举。建立健全低VOCs含量原辅材料源头替代的激励政策体系，推动行业绿色发展和企业转型升级；综合运用行政执法、排污许可等措施严格涉V0Cs行业环境监管。</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优化产业结构。引导石化、化工、工业涂装、包装印刷、合成革、化纤、纺织印染等重点行业合理布局，限制高VOCs排放化工类建设项目，禁止建设生产和使用VOCs含量限值不符合国家标准的涂料、油墨、胶粘剂、清洗剂等项目。贯彻落实《产业结构调整指导目录》《国家鼓励的有毒有害原料（产品）替代品目录》，依法依规淘汰涉VOCs排放工艺和装备，加大引导退出限制类工艺和装备力度，从源头减少涉VOCs污染物产生。</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5.上一年度环境空气质量达标的区域，对有化等行业的建设项目VOCs排放量实行等量削减；上一年度环境空气质量不达标的区域，对石化等行业的建设项目VOCs 排放量实行2倍量削减，直至达标后的下一年再修等量削减。</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6.大力推进低VOCs含量原辅材料的源头替代。</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在安全前提下，加强含VOCs物料全方位、全链条、全环节密闭管理，做好VOCs物料储存、转移和输送、设备与管线组件泄漏、敞开液面逸散以及工艺过程等无组织排放环节的管理。生产应优先采用密闭设备、在密闭空间中操作或采用全密闭集气罩收集方式，原则上应保持微负压状态，并根据相关规范合理设置通风量，采用局部集气的，距集气罩开口而最远处的VOCs无组织拌放位置控制风速应不低于0.3米/秒。对VOCs物料储罐和污水集输、储存、处理设施开展排查，督促企业按要求开展专项治理。</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升级改选治理设施，实施高效治理，建设适宜高效的治理设施，企业新建治理设施或对现有治理设施实施改造，应结合排放VOCs产生特征、生产工况等合理选择治理技术，对治理难度大、单一治理工艺难以稳定达标的，要采用多种技术的组合工艺。采用活性炭吸附技术的，吸附装置和活性炭应符合相关技术要求，并按要求足量添加、定期更换活性炭。组织开展使用光催化、光氧化、低温等离子、一次性活性炭或上述组合技术等VOCs治理设施排查，对达不到要求的，应当更换或升级改造，实现稳定达标排放。</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9.加强治理设施运行管理。</w:t>
                  </w:r>
                </w:p>
              </w:tc>
              <w:tc>
                <w:tcPr>
                  <w:tcW w:w="1129" w:type="pct"/>
                  <w:vAlign w:val="center"/>
                </w:tcPr>
                <w:p>
                  <w:pPr>
                    <w:pStyle w:val="81"/>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企业已编制“一厂一策”；</w:t>
                  </w:r>
                </w:p>
                <w:p>
                  <w:pPr>
                    <w:pStyle w:val="81"/>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2.本项目使用低VOCs原料；</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试运行和生产前按要求取得排污许可证。</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本项目不属于重点行业，未使用淘汰类工艺和装备。</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.所在区域为</w:t>
                  </w:r>
                  <w:r>
                    <w:rPr>
                      <w:rFonts w:hint="eastAsia" w:ascii="Times New Roman" w:eastAsia="宋体" w:cs="Times New Roman"/>
                      <w:color w:val="auto"/>
                      <w:sz w:val="21"/>
                      <w:szCs w:val="21"/>
                      <w:highlight w:val="none"/>
                      <w:lang w:val="en-US" w:eastAsia="zh-CN"/>
                    </w:rPr>
                    <w:t>不</w:t>
                  </w:r>
                  <w:r>
                    <w:rPr>
                      <w:rFonts w:hint="eastAsia" w:ascii="Times New Roman" w:hAnsi="Times New Roman" w:eastAsia="宋体" w:cs="Times New Roman"/>
                      <w:color w:val="auto"/>
                      <w:sz w:val="21"/>
                      <w:szCs w:val="21"/>
                      <w:highlight w:val="none"/>
                      <w:lang w:val="en-US" w:eastAsia="zh-CN"/>
                    </w:rPr>
                    <w:t>达标区域</w:t>
                  </w:r>
                  <w:r>
                    <w:rPr>
                      <w:rFonts w:hint="eastAsia" w:ascii="Times New Roman" w:eastAsia="宋体" w:cs="Times New Roman"/>
                      <w:color w:val="auto"/>
                      <w:sz w:val="21"/>
                      <w:szCs w:val="21"/>
                      <w:highlight w:val="none"/>
                      <w:lang w:val="en-US" w:eastAsia="zh-CN"/>
                    </w:rPr>
                    <w:t>，项目所涉及的废气已进行倍量削减</w:t>
                  </w:r>
                  <w:r>
                    <w:rPr>
                      <w:rFonts w:hint="eastAsia" w:ascii="Times New Roman" w:hAnsi="Times New Roman" w:eastAsia="宋体" w:cs="Times New Roman"/>
                      <w:color w:val="auto"/>
                      <w:sz w:val="21"/>
                      <w:szCs w:val="21"/>
                      <w:highlight w:val="none"/>
                      <w:lang w:val="en-US" w:eastAsia="zh-CN"/>
                    </w:rPr>
                    <w:t>。</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r>
                    <w:rPr>
                      <w:rFonts w:hint="eastAsia"/>
                      <w:color w:val="auto"/>
                      <w:sz w:val="21"/>
                      <w:szCs w:val="21"/>
                      <w:highlight w:val="none"/>
                      <w:lang w:val="en-US" w:eastAsia="zh-CN"/>
                    </w:rPr>
                    <w:t>.根据企业提供的油漆监测报告，并对比《低挥发性有机化合物含量涂料产品技术要求》（GB/T38597-2020）限值要求，本项目使用油漆为低VOCs油漆</w:t>
                  </w:r>
                  <w:r>
                    <w:rPr>
                      <w:rFonts w:hint="eastAsia" w:ascii="Times New Roman" w:hAnsi="Times New Roman" w:eastAsia="宋体" w:cs="Times New Roman"/>
                      <w:color w:val="auto"/>
                      <w:sz w:val="21"/>
                      <w:szCs w:val="21"/>
                      <w:highlight w:val="none"/>
                      <w:lang w:val="en-US" w:eastAsia="zh-CN"/>
                    </w:rPr>
                    <w:t>。</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.企业治理设施采用</w:t>
                  </w:r>
                  <w:r>
                    <w:rPr>
                      <w:rFonts w:hint="eastAsia" w:ascii="Times New Roman" w:hAnsi="Times New Roman" w:cs="Times New Roman"/>
                      <w:color w:val="auto"/>
                      <w:sz w:val="21"/>
                      <w:szCs w:val="21"/>
                      <w:highlight w:val="none"/>
                      <w:lang w:val="en-US" w:eastAsia="zh-CN"/>
                    </w:rPr>
                    <w:t>干式过滤箱</w:t>
                  </w:r>
                  <w:r>
                    <w:rPr>
                      <w:rFonts w:hint="eastAsia" w:ascii="Times New Roman" w:hAnsi="Times New Roman" w:eastAsia="宋体" w:cs="Times New Roman"/>
                      <w:color w:val="auto"/>
                      <w:sz w:val="21"/>
                      <w:szCs w:val="21"/>
                      <w:highlight w:val="none"/>
                      <w:lang w:val="en-US" w:eastAsia="zh-CN"/>
                    </w:rPr>
                    <w:t>吸附</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二级活性炭装置，</w:t>
                  </w:r>
                  <w:r>
                    <w:rPr>
                      <w:rFonts w:hint="eastAsia" w:ascii="Times New Roman" w:hAnsi="Times New Roman" w:cs="Times New Roman"/>
                      <w:color w:val="auto"/>
                      <w:sz w:val="21"/>
                      <w:szCs w:val="21"/>
                      <w:highlight w:val="none"/>
                      <w:lang w:val="en-US" w:eastAsia="zh-CN"/>
                    </w:rPr>
                    <w:t>治理效果较好，并定期对活性炭进行更换</w:t>
                  </w:r>
                  <w:r>
                    <w:rPr>
                      <w:rFonts w:hint="eastAsia" w:ascii="Times New Roman" w:hAnsi="Times New Roman" w:eastAsia="宋体" w:cs="Times New Roman"/>
                      <w:color w:val="auto"/>
                      <w:sz w:val="21"/>
                      <w:szCs w:val="21"/>
                      <w:highlight w:val="none"/>
                      <w:lang w:val="en-US" w:eastAsia="zh-CN"/>
                    </w:rPr>
                    <w:t>。</w:t>
                  </w:r>
                </w:p>
                <w:p>
                  <w:pPr>
                    <w:pStyle w:val="81"/>
                    <w:jc w:val="left"/>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r>
                    <w:rPr>
                      <w:rFonts w:hint="eastAsia" w:ascii="Times New Roman" w:hAnsi="Times New Roman" w:eastAsia="宋体" w:cs="Times New Roman"/>
                      <w:color w:val="auto"/>
                      <w:sz w:val="21"/>
                      <w:szCs w:val="21"/>
                      <w:highlight w:val="none"/>
                      <w:lang w:val="en-US" w:eastAsia="zh-CN"/>
                    </w:rPr>
                    <w:t>.在治理设施运行正常后开启生产设备；治理设施发生故障后立即停止相应生产。</w:t>
                  </w:r>
                </w:p>
              </w:tc>
              <w:tc>
                <w:tcPr>
                  <w:tcW w:w="617" w:type="pct"/>
                  <w:vAlign w:val="center"/>
                </w:tcPr>
                <w:p>
                  <w:pPr>
                    <w:pStyle w:val="81"/>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restar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《河北省生态环境保护“十四五”规划》（冀政字〔2022〕2号）</w:t>
                  </w:r>
                </w:p>
              </w:tc>
              <w:tc>
                <w:tcPr>
                  <w:tcW w:w="2480"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挥发性有机物（VOCs）综合治理工程。实施含挥发性有机物（VOCs）产品源头替代工程，到2025年，溶剂型工业涂料、溶剂型油墨使用比例分别下降20%、10%，溶剂型胶粘剂使用量下降20%。推进重点行业综合治理工程，针对石油化工、化学原料及化学品制造行业装卸、污水和工艺过程等环节废气，工业涂装行业电泳、喷涂、干燥等环节废气，医药行业生产环节废气，包装印刷行业印刷烘干废气，建设适宜高效挥发性有机物（VOCs）治理设施。</w:t>
                  </w:r>
                </w:p>
              </w:tc>
              <w:tc>
                <w:tcPr>
                  <w:tcW w:w="1129"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项目使用本项目使用低VOCs原料，</w:t>
                  </w:r>
                  <w:r>
                    <w:rPr>
                      <w:rFonts w:hint="eastAsia" w:ascii="Times New Roman" w:hAnsi="Times New Roman" w:eastAsia="宋体" w:cs="Times New Roman"/>
                      <w:color w:val="auto"/>
                      <w:sz w:val="21"/>
                      <w:szCs w:val="21"/>
                      <w:highlight w:val="none"/>
                      <w:lang w:val="en-US" w:eastAsia="zh-CN"/>
                    </w:rPr>
                    <w:t>有机废气经1套</w:t>
                  </w:r>
                  <w:r>
                    <w:rPr>
                      <w:rFonts w:hint="eastAsia" w:ascii="Times New Roman" w:hAnsi="Times New Roman" w:cs="Times New Roman"/>
                      <w:color w:val="auto"/>
                      <w:sz w:val="21"/>
                      <w:szCs w:val="21"/>
                      <w:highlight w:val="none"/>
                      <w:lang w:val="en-US" w:eastAsia="zh-CN"/>
                    </w:rPr>
                    <w:t>干式过滤器</w:t>
                  </w:r>
                  <w:r>
                    <w:rPr>
                      <w:rFonts w:hint="eastAsia" w:ascii="Times New Roman" w:hAnsi="Times New Roman" w:eastAsia="宋体" w:cs="Times New Roman"/>
                      <w:color w:val="auto"/>
                      <w:sz w:val="21"/>
                      <w:szCs w:val="21"/>
                      <w:highlight w:val="none"/>
                      <w:lang w:val="en-US" w:eastAsia="zh-CN"/>
                    </w:rPr>
                    <w:t>吸附装置+二级活性炭</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1根15m高排气筒处理</w:t>
                  </w:r>
                  <w:r>
                    <w:rPr>
                      <w:rFonts w:hint="eastAsia" w:ascii="Times New Roman" w:hAnsi="Times New Roman" w:eastAsia="宋体" w:cs="Times New Roman"/>
                      <w:color w:val="auto"/>
                      <w:sz w:val="21"/>
                      <w:szCs w:val="21"/>
                      <w:highlight w:val="none"/>
                      <w:lang w:val="en-US" w:eastAsia="zh-CN"/>
                    </w:rPr>
                    <w:t>后排放</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continue"/>
                  <w:vAlign w:val="center"/>
                </w:tcPr>
                <w:p>
                  <w:pPr>
                    <w:pStyle w:val="81"/>
                    <w:jc w:val="center"/>
                    <w:rPr>
                      <w:rFonts w:hint="eastAsia" w:ascii="Times New Roman" w:hAnsi="Times New Roman" w:eastAsia="宋体" w:cs="Times New Roman"/>
                      <w:color w:val="auto"/>
                      <w:sz w:val="21"/>
                      <w:szCs w:val="21"/>
                      <w:highlight w:val="none"/>
                      <w:lang w:val="en-US" w:eastAsia="zh-CN"/>
                    </w:rPr>
                  </w:pPr>
                </w:p>
              </w:tc>
              <w:tc>
                <w:tcPr>
                  <w:tcW w:w="2480" w:type="pct"/>
                  <w:vAlign w:val="center"/>
                </w:tcPr>
                <w:p>
                  <w:pPr>
                    <w:pStyle w:val="81"/>
                    <w:jc w:val="both"/>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深化重点行业挥发性有机物（VOCs）治理。以石化、化工、涂装、医药、包装印刷、油品储运销等行业领域为重点，安全高效推进挥发性有机物（VOCs）综合治理，实施原辅材料和产品源头替代、无组织排放和末端深度治理等提升改造工程。取消非必要的挥发性有机物（VOCs）废气排放系统旁路，必须保留的加强监管与治理。</w:t>
                  </w:r>
                </w:p>
              </w:tc>
              <w:tc>
                <w:tcPr>
                  <w:tcW w:w="1129"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本项目油漆包含水性漆及高固份油漆，根据企业提供的检测报告，本项目使用的为</w:t>
                  </w:r>
                  <w:r>
                    <w:rPr>
                      <w:rFonts w:hint="eastAsia"/>
                      <w:color w:val="auto"/>
                      <w:sz w:val="21"/>
                      <w:szCs w:val="21"/>
                      <w:highlight w:val="none"/>
                      <w:lang w:val="en-US" w:eastAsia="zh-CN"/>
                    </w:rPr>
                    <w:t>低VOCs油漆。</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restar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《秦皇岛市十四五规划》</w:t>
                  </w:r>
                  <w:r>
                    <w:rPr>
                      <w:rFonts w:hint="eastAsia" w:ascii="Times New Roman" w:hAnsi="Times New Roman" w:cs="Times New Roman"/>
                      <w:color w:val="auto"/>
                      <w:sz w:val="21"/>
                      <w:szCs w:val="21"/>
                      <w:highlight w:val="none"/>
                      <w:lang w:val="en-US" w:eastAsia="zh-CN"/>
                    </w:rPr>
                    <w:t>秦政字〔2022〕10号</w:t>
                  </w:r>
                </w:p>
              </w:tc>
              <w:tc>
                <w:tcPr>
                  <w:tcW w:w="2480"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立以“三线一单”为核心的全覆盖的生态环境分区管控体系。衔接国土空间规划分区和用途管制要求，将生态保护红线、环境质量底线、资源利用上线的硬约束落实到环境管控单元，建立差别化的生态环境准入清单。立足资源环境承载能力，优化重大基础设施、重大生产力和公共资源布局，充分发挥“三线一单”生态环境分区管控的刚性约束和政策引领作用，聚焦产业结构与能源结构调整，不断优化调整产业布局，强化“三线一单”生态环境分区管控成果在政策制定、环境准入、园区管理、执法监管等方面的应用；加强“三线一单”生态环境分区管控在生态环境源头预防制度体系中的基础性作用，加强对规划环评和项目环评的约束与指导。加快推动“三线一单”成果落地应用，实行“三线一单”动态评估和调整机制，形成健全的“三线一单”生态环境管控体系</w:t>
                  </w:r>
                </w:p>
              </w:tc>
              <w:tc>
                <w:tcPr>
                  <w:tcW w:w="1129"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本项目符合“三线一单”管控体系</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 w:type="pct"/>
                  <w:vMerge w:val="continue"/>
                </w:tcPr>
                <w:p>
                  <w:pPr>
                    <w:pStyle w:val="81"/>
                    <w:jc w:val="center"/>
                    <w:rPr>
                      <w:rFonts w:hint="default" w:ascii="Times New Roman" w:hAnsi="Times New Roman" w:eastAsia="宋体" w:cs="Times New Roman"/>
                      <w:color w:val="auto"/>
                      <w:sz w:val="21"/>
                      <w:szCs w:val="21"/>
                      <w:highlight w:val="none"/>
                      <w:lang w:val="en-US" w:eastAsia="zh-CN"/>
                    </w:rPr>
                  </w:pPr>
                </w:p>
              </w:tc>
              <w:tc>
                <w:tcPr>
                  <w:tcW w:w="2480"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深化工业VOCs</w:t>
                  </w:r>
                  <w:r>
                    <w:rPr>
                      <w:rFonts w:hint="default" w:ascii="Times New Roman" w:hAnsi="Times New Roman" w:eastAsia="宋体" w:cs="Times New Roman"/>
                      <w:color w:val="auto"/>
                      <w:sz w:val="21"/>
                      <w:szCs w:val="21"/>
                      <w:highlight w:val="none"/>
                      <w:lang w:val="en-US" w:eastAsia="zh-CN"/>
                    </w:rPr>
                    <w:t>治理。聚焦夏秋季臭氧污染，大力推进</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和氮氧化物协同减排。以石化、涂料、纺织印染、橡胶、医药、油品储运销等行业领域为重点，安全高效推进</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综合治理，实施原辅材料和产品源头替代工程。推进钢铁、水泥、电力、供热和玻璃等行业企业超低排放改造，重点区域钢铁、燃煤机组、燃煤锅炉实现超低排放。开展涉气产业集群排查及分类治理，推进企业升级改造和区域环境综合整治。对全市所有</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排放的工业企业逐企建立清单台账，编制“一厂一策”方案，提升企业</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治理工艺水平，淘汰</w:t>
                  </w:r>
                  <w:r>
                    <w:rPr>
                      <w:rFonts w:hint="eastAsia" w:ascii="Times New Roman" w:hAnsi="Times New Roman" w:eastAsia="宋体" w:cs="Times New Roman"/>
                      <w:color w:val="auto"/>
                      <w:sz w:val="21"/>
                      <w:szCs w:val="21"/>
                      <w:highlight w:val="none"/>
                      <w:lang w:val="en-US" w:eastAsia="zh-CN"/>
                    </w:rPr>
                    <w:t>UV</w:t>
                  </w:r>
                  <w:r>
                    <w:rPr>
                      <w:rFonts w:hint="default" w:ascii="Times New Roman" w:hAnsi="Times New Roman" w:eastAsia="宋体" w:cs="Times New Roman"/>
                      <w:color w:val="auto"/>
                      <w:sz w:val="21"/>
                      <w:szCs w:val="21"/>
                      <w:highlight w:val="none"/>
                      <w:lang w:val="en-US" w:eastAsia="zh-CN"/>
                    </w:rPr>
                    <w:t>光氧等低效治理设施。开展源头替代、工艺过程、无组织管控、末端治理全流程治理评估，完善</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节能环保产业区项目处理工艺。实现工业涂装、包装印刷、家具制造、建筑装饰等行业原辅材料源头替代，推广低（无）</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含量原辅材料和产品，减少卤化、芳香性溶剂等高</w:t>
                  </w:r>
                  <w:r>
                    <w:rPr>
                      <w:rFonts w:hint="eastAsia" w:ascii="Times New Roman" w:hAnsi="Times New Roman" w:eastAsia="宋体" w:cs="Times New Roman"/>
                      <w:color w:val="auto"/>
                      <w:sz w:val="21"/>
                      <w:szCs w:val="21"/>
                      <w:highlight w:val="none"/>
                      <w:lang w:val="en-US" w:eastAsia="zh-CN"/>
                    </w:rPr>
                    <w:t>VOCs</w:t>
                  </w:r>
                  <w:r>
                    <w:rPr>
                      <w:rFonts w:hint="default" w:ascii="Times New Roman" w:hAnsi="Times New Roman" w:eastAsia="宋体" w:cs="Times New Roman"/>
                      <w:color w:val="auto"/>
                      <w:sz w:val="21"/>
                      <w:szCs w:val="21"/>
                      <w:highlight w:val="none"/>
                      <w:lang w:val="en-US" w:eastAsia="zh-CN"/>
                    </w:rPr>
                    <w:t>含量原辅材料使用</w:t>
                  </w:r>
                </w:p>
              </w:tc>
              <w:tc>
                <w:tcPr>
                  <w:tcW w:w="1129" w:type="pct"/>
                  <w:vAlign w:val="center"/>
                </w:tcPr>
                <w:p>
                  <w:pPr>
                    <w:pStyle w:val="81"/>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编制</w:t>
                  </w:r>
                  <w:r>
                    <w:rPr>
                      <w:rFonts w:hint="eastAsia" w:ascii="Times New Roman" w:hAnsi="Times New Roman" w:eastAsia="宋体" w:cs="Times New Roman"/>
                      <w:color w:val="auto"/>
                      <w:sz w:val="21"/>
                      <w:szCs w:val="21"/>
                      <w:highlight w:val="none"/>
                      <w:lang w:val="en-US" w:eastAsia="zh-CN"/>
                    </w:rPr>
                    <w:t>VOCs一厂一策方案，有机废气采用1套</w:t>
                  </w:r>
                  <w:r>
                    <w:rPr>
                      <w:rFonts w:hint="eastAsia" w:ascii="Times New Roman" w:hAnsi="Times New Roman" w:cs="Times New Roman"/>
                      <w:color w:val="auto"/>
                      <w:sz w:val="21"/>
                      <w:szCs w:val="21"/>
                      <w:highlight w:val="none"/>
                      <w:lang w:val="en-US" w:eastAsia="zh-CN"/>
                    </w:rPr>
                    <w:t>干式过滤器</w:t>
                  </w:r>
                  <w:r>
                    <w:rPr>
                      <w:rFonts w:hint="eastAsia" w:ascii="Times New Roman" w:hAnsi="Times New Roman" w:eastAsia="宋体" w:cs="Times New Roman"/>
                      <w:color w:val="auto"/>
                      <w:sz w:val="21"/>
                      <w:szCs w:val="21"/>
                      <w:highlight w:val="none"/>
                      <w:lang w:val="en-US" w:eastAsia="zh-CN"/>
                    </w:rPr>
                    <w:t>吸附装置+二级活性炭</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1根15m高排气筒处理</w:t>
                  </w:r>
                  <w:r>
                    <w:rPr>
                      <w:rFonts w:hint="eastAsia" w:ascii="Times New Roman" w:hAnsi="Times New Roman" w:eastAsia="宋体" w:cs="Times New Roman"/>
                      <w:color w:val="auto"/>
                      <w:sz w:val="21"/>
                      <w:szCs w:val="21"/>
                      <w:highlight w:val="none"/>
                      <w:lang w:val="en-US" w:eastAsia="zh-CN"/>
                    </w:rPr>
                    <w:t>后排放；项目处于园区内，使用的VOCs原辅材料</w:t>
                  </w:r>
                  <w:r>
                    <w:rPr>
                      <w:rFonts w:hint="eastAsia" w:ascii="Times New Roman" w:hAnsi="Times New Roman" w:cs="Times New Roman"/>
                      <w:color w:val="auto"/>
                      <w:sz w:val="21"/>
                      <w:szCs w:val="21"/>
                      <w:highlight w:val="none"/>
                      <w:lang w:val="en-US" w:eastAsia="zh-CN"/>
                    </w:rPr>
                    <w:t>为低</w:t>
                  </w:r>
                  <w:r>
                    <w:rPr>
                      <w:rFonts w:hint="eastAsia" w:ascii="Times New Roman" w:hAnsi="Times New Roman" w:eastAsia="宋体" w:cs="Times New Roman"/>
                      <w:color w:val="auto"/>
                      <w:sz w:val="21"/>
                      <w:szCs w:val="21"/>
                      <w:highlight w:val="none"/>
                      <w:lang w:val="en-US" w:eastAsia="zh-CN"/>
                    </w:rPr>
                    <w:t>VOCs含量的原辅材料。</w:t>
                  </w:r>
                </w:p>
              </w:tc>
              <w:tc>
                <w:tcPr>
                  <w:tcW w:w="617" w:type="pct"/>
                  <w:vAlign w:val="center"/>
                </w:tcPr>
                <w:p>
                  <w:pPr>
                    <w:pStyle w:val="81"/>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bl>
          <w:p>
            <w:pPr>
              <w:pStyle w:val="50"/>
              <w:bidi w:val="0"/>
              <w:ind w:left="0" w:leftChars="0" w:firstLine="0" w:firstLineChars="0"/>
              <w:rPr>
                <w:rFonts w:hint="default" w:ascii="Times New Roman" w:hAnsi="Times New Roman" w:cs="Times New Roman"/>
                <w:color w:val="auto"/>
                <w:highlight w:val="none"/>
                <w:lang w:val="en-US" w:eastAsia="zh-CN"/>
              </w:rPr>
            </w:pPr>
          </w:p>
        </w:tc>
      </w:tr>
    </w:tbl>
    <w:p>
      <w:pPr>
        <w:spacing w:line="360" w:lineRule="auto"/>
        <w:outlineLvl w:val="0"/>
        <w:rPr>
          <w:rFonts w:hint="default" w:ascii="Times New Roman" w:hAnsi="Times New Roman" w:eastAsia="黑体" w:cs="Times New Roman"/>
          <w:color w:val="auto"/>
          <w:sz w:val="30"/>
          <w:highlight w:val="none"/>
        </w:rPr>
        <w:sectPr>
          <w:footerReference r:id="rId7" w:type="default"/>
          <w:pgSz w:w="11905" w:h="16838"/>
          <w:pgMar w:top="1440" w:right="1587" w:bottom="1440" w:left="1587" w:header="851" w:footer="850" w:gutter="0"/>
          <w:pgBorders>
            <w:top w:val="none" w:sz="0" w:space="0"/>
            <w:left w:val="none" w:sz="0" w:space="0"/>
            <w:bottom w:val="none" w:sz="0" w:space="0"/>
            <w:right w:val="none" w:sz="0" w:space="0"/>
          </w:pgBorders>
          <w:pgNumType w:fmt="decimal" w:start="1"/>
          <w:cols w:space="0" w:num="1"/>
          <w:rtlGutter w:val="0"/>
          <w:docGrid w:linePitch="312" w:charSpace="0"/>
        </w:sectPr>
      </w:pPr>
    </w:p>
    <w:p>
      <w:pPr>
        <w:pStyle w:val="1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二、建设项目工程分析</w:t>
      </w:r>
    </w:p>
    <w:tbl>
      <w:tblPr>
        <w:tblStyle w:val="3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2" w:hRule="atLeast"/>
          <w:jc w:val="center"/>
        </w:trPr>
        <w:tc>
          <w:tcPr>
            <w:tcW w:w="488" w:type="dxa"/>
            <w:noWrap w:val="0"/>
            <w:vAlign w:val="center"/>
          </w:tcPr>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27"/>
              <w:rPr>
                <w:rFonts w:hint="default"/>
                <w:color w:val="auto"/>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27"/>
              <w:rPr>
                <w:rFonts w:hint="default"/>
                <w:color w:val="auto"/>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rPr>
                <w:rFonts w:hint="default" w:ascii="Times New Roman" w:hAnsi="Times New Roman" w:eastAsia="宋体" w:cs="Times New Roman"/>
                <w:b/>
                <w:bCs/>
                <w:color w:val="auto"/>
                <w:kern w:val="0"/>
                <w:sz w:val="24"/>
                <w:szCs w:val="24"/>
                <w:highlight w:val="none"/>
              </w:rPr>
            </w:pPr>
          </w:p>
          <w:p>
            <w:pPr>
              <w:pStyle w:val="27"/>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p>
          <w:p>
            <w:pPr>
              <w:pageBreakBefore w:val="0"/>
              <w:widowControl w:val="0"/>
              <w:kinsoku/>
              <w:wordWrap/>
              <w:topLinePunct w:val="0"/>
              <w:autoSpaceDE w:val="0"/>
              <w:autoSpaceDN w:val="0"/>
              <w:bidi w:val="0"/>
              <w:adjustRightInd w:val="0"/>
              <w:snapToGrid w:val="0"/>
              <w:spacing w:line="312" w:lineRule="auto"/>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建设内容</w:t>
            </w:r>
          </w:p>
        </w:tc>
        <w:tc>
          <w:tcPr>
            <w:tcW w:w="8583" w:type="dxa"/>
            <w:noWrap w:val="0"/>
            <w:vAlign w:val="top"/>
          </w:tcPr>
          <w:p>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1、项目简介</w:t>
            </w:r>
          </w:p>
          <w:p>
            <w:pPr>
              <w:pStyle w:val="50"/>
              <w:bidi w:val="0"/>
              <w:rPr>
                <w:rFonts w:hint="default" w:eastAsia="宋体"/>
                <w:color w:val="auto"/>
                <w:sz w:val="24"/>
                <w:highlight w:val="none"/>
                <w:lang w:val="en-US" w:eastAsia="zh-CN"/>
              </w:rPr>
            </w:pPr>
            <w:r>
              <w:rPr>
                <w:rFonts w:hint="eastAsia" w:ascii="Times New Roman" w:hAnsi="Times New Roman" w:cs="Times New Roman"/>
                <w:color w:val="auto"/>
                <w:highlight w:val="none"/>
                <w:lang w:val="en-US" w:eastAsia="zh-CN"/>
              </w:rPr>
              <w:t>秦皇岛联安机械科技有限公司位于秦皇岛市抚宁区北部工业区北规一街南创业路东，主要经营范围为：液压机械设备的技术开发、液压机械设备及元件的制造和销售、货物和技术进出口。</w:t>
            </w:r>
          </w:p>
          <w:p>
            <w:pPr>
              <w:pStyle w:val="16"/>
              <w:spacing w:line="360" w:lineRule="auto"/>
              <w:ind w:firstLine="480" w:firstLineChars="200"/>
              <w:jc w:val="both"/>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2</w:t>
            </w:r>
            <w:r>
              <w:rPr>
                <w:color w:val="auto"/>
                <w:highlight w:val="none"/>
                <w:lang w:val="en-US" w:eastAsia="zh-CN"/>
              </w:rPr>
              <w:t>0</w:t>
            </w:r>
            <w:r>
              <w:rPr>
                <w:rFonts w:hint="eastAsia"/>
                <w:color w:val="auto"/>
                <w:highlight w:val="none"/>
                <w:lang w:val="en-US" w:eastAsia="zh-CN"/>
              </w:rPr>
              <w:t>19年5月，</w:t>
            </w:r>
            <w:r>
              <w:rPr>
                <w:rFonts w:hint="eastAsia" w:ascii="Times New Roman" w:hAnsi="Times New Roman" w:cs="Times New Roman"/>
                <w:color w:val="auto"/>
                <w:highlight w:val="none"/>
                <w:lang w:val="en-US" w:eastAsia="zh-CN"/>
              </w:rPr>
              <w:t>秦皇岛联安机械科技有限公司委托河北润宏环保科技有限公司编制完成了《秦皇岛联安机械科技有限公司关于特种机械设备项目环境影响报告表》，并于2019年6月6日通过秦皇岛市生态环境局审批，审批文号为：抚环审表[2019]-6-3号；</w:t>
            </w:r>
            <w:r>
              <w:rPr>
                <w:rFonts w:hint="eastAsia"/>
                <w:color w:val="auto"/>
                <w:highlight w:val="none"/>
                <w:lang w:val="en-US" w:eastAsia="zh-CN"/>
              </w:rPr>
              <w:t>2021年4月23日该单位取得固定污染源排污登记回执，其证书编号为91130300666598838H001Y，有效期限至2</w:t>
            </w:r>
            <w:r>
              <w:rPr>
                <w:color w:val="auto"/>
                <w:highlight w:val="none"/>
                <w:lang w:val="en-US" w:eastAsia="zh-CN"/>
              </w:rPr>
              <w:t>02</w:t>
            </w:r>
            <w:r>
              <w:rPr>
                <w:rFonts w:hint="eastAsia"/>
                <w:color w:val="auto"/>
                <w:highlight w:val="none"/>
                <w:lang w:val="en-US" w:eastAsia="zh-CN"/>
              </w:rPr>
              <w:t>6年4月22日；2021年6月编制《</w:t>
            </w:r>
            <w:r>
              <w:rPr>
                <w:rFonts w:hint="eastAsia" w:ascii="Times New Roman" w:hAnsi="Times New Roman" w:cs="Times New Roman"/>
                <w:color w:val="auto"/>
                <w:highlight w:val="none"/>
                <w:lang w:val="en-US" w:eastAsia="zh-CN"/>
              </w:rPr>
              <w:t>秦皇岛联安机械科技有限公司</w:t>
            </w:r>
            <w:r>
              <w:rPr>
                <w:rFonts w:hint="eastAsia"/>
                <w:color w:val="auto"/>
                <w:highlight w:val="none"/>
                <w:lang w:val="en-US" w:eastAsia="zh-CN"/>
              </w:rPr>
              <w:t>环境突发事件应急预案》，并于2020年6月17日在秦皇岛市生态环境局抚宁区分局进行备案，备案编号：130323-2021-018-L。2021年6月21日，完成环保验收。</w:t>
            </w:r>
          </w:p>
          <w:p>
            <w:pPr>
              <w:pStyle w:val="50"/>
              <w:bidi w:val="0"/>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lang w:val="en-US" w:eastAsia="zh-CN"/>
              </w:rPr>
              <w:t>随着</w:t>
            </w:r>
            <w:r>
              <w:rPr>
                <w:rFonts w:hint="eastAsia" w:ascii="Times New Roman" w:hAnsi="Times New Roman" w:cs="Times New Roman"/>
                <w:color w:val="auto"/>
                <w:highlight w:val="none"/>
                <w:lang w:val="en-US" w:eastAsia="zh-CN"/>
              </w:rPr>
              <w:t>市场的需求增加，公司对现有生产线进行升级，新购置普通车床、数控加工中心、焊机等设备并增加喷漆工序。新建喷漆房1座，购置有机废气治理设施，不接受其他公司喷漆委托，主要为联安机械生产使用的部分配件进行喷漆并对产品进行补漆。项目建设完成后，原低压铸造机产能由20台/年增加到25台/年</w:t>
            </w:r>
            <w:r>
              <w:rPr>
                <w:rFonts w:hint="eastAsia" w:cs="Times New Roman"/>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highlight w:val="none"/>
                <w:lang w:val="en-US" w:eastAsia="zh-CN"/>
              </w:rPr>
            </w:pPr>
            <w:r>
              <w:rPr>
                <w:rFonts w:hint="default"/>
                <w:color w:val="auto"/>
                <w:highlight w:val="none"/>
                <w:lang w:val="en-US" w:eastAsia="zh-CN"/>
              </w:rPr>
              <w:t>根据《中华人民共和国环境影响评价法》、《建设项目环境保护管理条例》、《建设项目环境影响评价分类管理名录》（2021年版 生态环境部第16号令），</w:t>
            </w:r>
            <w:r>
              <w:rPr>
                <w:rFonts w:hint="eastAsia"/>
                <w:color w:val="auto"/>
                <w:highlight w:val="none"/>
                <w:lang w:val="en-US" w:eastAsia="zh-CN"/>
              </w:rPr>
              <w:t>“三十二、专业设备制造业35”中“70、环保、邮政、设备公共服务及其他专用设备359”中“其他（仅分割、焊接、组装的除外；年用非溶剂型低VOCs含量涂料10吨以下的除外）”， 属于</w:t>
            </w:r>
            <w:r>
              <w:rPr>
                <w:rFonts w:hint="default"/>
                <w:color w:val="auto"/>
                <w:highlight w:val="none"/>
                <w:lang w:val="en-US" w:eastAsia="zh-CN"/>
              </w:rPr>
              <w:t>报告表类项目，</w:t>
            </w:r>
            <w:r>
              <w:rPr>
                <w:rFonts w:hint="eastAsia"/>
                <w:color w:val="auto"/>
                <w:highlight w:val="none"/>
                <w:lang w:val="en-US" w:eastAsia="zh-CN"/>
              </w:rPr>
              <w:t>需编制报告表</w:t>
            </w:r>
            <w:r>
              <w:rPr>
                <w:rFonts w:hint="default"/>
                <w:color w:val="auto"/>
                <w:highlight w:val="none"/>
                <w:lang w:val="en-US" w:eastAsia="zh-CN"/>
              </w:rPr>
              <w:t>。为此，秦皇岛联安机械科技有限公司委托我公司开展该项目的环境影响评价工作，评价单位接受委托后，根据国家有关环境影响评价工作的技术要求，结合工程和</w:t>
            </w:r>
            <w:bookmarkStart w:id="2" w:name="_GoBack"/>
            <w:bookmarkEnd w:id="2"/>
            <w:r>
              <w:rPr>
                <w:rFonts w:hint="default"/>
                <w:color w:val="auto"/>
                <w:highlight w:val="none"/>
                <w:lang w:val="en-US" w:eastAsia="zh-CN"/>
              </w:rPr>
              <w:t xml:space="preserve">项目所在地的特点，在现场踏勘、收集资料、并依据有关资料和同类工程分析、类比的基础上，编制完成该项目环境影响报告表。 </w:t>
            </w:r>
          </w:p>
          <w:p>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现有</w:t>
            </w:r>
            <w:r>
              <w:rPr>
                <w:rFonts w:hint="default" w:ascii="Times New Roman" w:hAnsi="Times New Roman" w:cs="Times New Roman"/>
                <w:color w:val="auto"/>
                <w:highlight w:val="none"/>
                <w:lang w:val="en-US" w:eastAsia="zh-CN"/>
              </w:rPr>
              <w:t xml:space="preserve">工程 </w:t>
            </w:r>
          </w:p>
          <w:p>
            <w:pPr>
              <w:pStyle w:val="14"/>
              <w:bidi w:val="0"/>
              <w:rPr>
                <w:rFonts w:hint="default"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 xml:space="preserve">2.1现有工程概况   </w:t>
            </w:r>
          </w:p>
          <w:p>
            <w:pPr>
              <w:pStyle w:val="14"/>
              <w:bidi w:val="0"/>
              <w:ind w:firstLine="480" w:firstLineChars="200"/>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（1）企业地理位置及周边关系</w:t>
            </w:r>
          </w:p>
          <w:p>
            <w:pPr>
              <w:bidi w:val="0"/>
              <w:ind w:firstLine="480" w:firstLineChars="200"/>
              <w:rPr>
                <w:rFonts w:hint="default" w:ascii="Times New Roman" w:hAnsi="Times New Roman" w:cs="Times New Roman"/>
                <w:b w:val="0"/>
                <w:color w:val="auto"/>
                <w:kern w:val="2"/>
                <w:sz w:val="24"/>
                <w:szCs w:val="24"/>
                <w:highlight w:val="none"/>
                <w:lang w:val="en-US" w:eastAsia="zh-CN" w:bidi="ar-SA"/>
              </w:rPr>
            </w:pPr>
            <w:r>
              <w:rPr>
                <w:rFonts w:hint="default" w:ascii="Times New Roman" w:hAnsi="Times New Roman" w:cs="Times New Roman"/>
                <w:b w:val="0"/>
                <w:color w:val="auto"/>
                <w:kern w:val="2"/>
                <w:sz w:val="24"/>
                <w:szCs w:val="24"/>
                <w:highlight w:val="none"/>
                <w:lang w:val="en-US" w:eastAsia="zh-CN" w:bidi="ar-SA"/>
              </w:rPr>
              <w:t>秦皇岛联安机械科技有限公司位于秦皇岛市抚宁区北规一街南创业路东，厂址地理位置中心坐标为北纬39°55′17.170″，东经119°13′53.830″。</w:t>
            </w:r>
            <w:r>
              <w:rPr>
                <w:rFonts w:hint="eastAsia" w:cs="Times New Roman"/>
                <w:b w:val="0"/>
                <w:color w:val="auto"/>
                <w:kern w:val="2"/>
                <w:sz w:val="24"/>
                <w:szCs w:val="24"/>
                <w:highlight w:val="none"/>
                <w:lang w:val="en-US" w:eastAsia="zh-CN" w:bidi="ar-SA"/>
              </w:rPr>
              <w:t>本公司占地已取得不动产权证，编号为：</w:t>
            </w:r>
            <w:r>
              <w:rPr>
                <w:rFonts w:hint="eastAsia" w:cs="Times New Roman"/>
                <w:b w:val="0"/>
                <w:color w:val="auto"/>
                <w:kern w:val="2"/>
                <w:sz w:val="24"/>
                <w:szCs w:val="24"/>
                <w:highlight w:val="none"/>
                <w:u w:val="single"/>
                <w:lang w:val="en-US" w:eastAsia="zh-CN" w:bidi="ar-SA"/>
              </w:rPr>
              <w:t>冀</w:t>
            </w:r>
            <w:r>
              <w:rPr>
                <w:rFonts w:hint="eastAsia" w:cs="Times New Roman"/>
                <w:b w:val="0"/>
                <w:color w:val="auto"/>
                <w:kern w:val="2"/>
                <w:sz w:val="24"/>
                <w:szCs w:val="24"/>
                <w:highlight w:val="none"/>
                <w:lang w:val="en-US" w:eastAsia="zh-CN" w:bidi="ar-SA"/>
              </w:rPr>
              <w:t>（2022）</w:t>
            </w:r>
            <w:r>
              <w:rPr>
                <w:rFonts w:hint="eastAsia" w:cs="Times New Roman"/>
                <w:b w:val="0"/>
                <w:color w:val="auto"/>
                <w:kern w:val="2"/>
                <w:sz w:val="24"/>
                <w:szCs w:val="24"/>
                <w:highlight w:val="none"/>
                <w:u w:val="single"/>
                <w:lang w:val="en-US" w:eastAsia="zh-CN" w:bidi="ar-SA"/>
              </w:rPr>
              <w:t>抚宁区</w:t>
            </w:r>
            <w:r>
              <w:rPr>
                <w:rFonts w:hint="eastAsia" w:cs="Times New Roman"/>
                <w:b w:val="0"/>
                <w:color w:val="auto"/>
                <w:kern w:val="2"/>
                <w:sz w:val="24"/>
                <w:szCs w:val="24"/>
                <w:highlight w:val="none"/>
                <w:lang w:val="en-US" w:eastAsia="zh-CN" w:bidi="ar-SA"/>
              </w:rPr>
              <w:t>不动产权第0002980号。</w:t>
            </w:r>
            <w:r>
              <w:rPr>
                <w:rFonts w:hint="default" w:ascii="Times New Roman" w:hAnsi="Times New Roman" w:cs="Times New Roman"/>
                <w:b w:val="0"/>
                <w:color w:val="auto"/>
                <w:kern w:val="2"/>
                <w:sz w:val="24"/>
                <w:szCs w:val="24"/>
                <w:highlight w:val="none"/>
                <w:lang w:val="en-US" w:eastAsia="zh-CN" w:bidi="ar-SA"/>
              </w:rPr>
              <w:t>厂区东</w:t>
            </w:r>
            <w:r>
              <w:rPr>
                <w:rFonts w:hint="eastAsia" w:ascii="Times New Roman" w:hAnsi="Times New Roman" w:cs="Times New Roman"/>
                <w:b w:val="0"/>
                <w:color w:val="auto"/>
                <w:kern w:val="2"/>
                <w:sz w:val="24"/>
                <w:szCs w:val="24"/>
                <w:highlight w:val="none"/>
                <w:lang w:val="en-US" w:eastAsia="zh-CN" w:bidi="ar-SA"/>
              </w:rPr>
              <w:t>侧为闲置空地、北侧隔道为空地、南侧为</w:t>
            </w:r>
            <w:r>
              <w:rPr>
                <w:rFonts w:hint="eastAsia" w:cs="Times New Roman"/>
                <w:b w:val="0"/>
                <w:color w:val="auto"/>
                <w:kern w:val="2"/>
                <w:sz w:val="24"/>
                <w:szCs w:val="24"/>
                <w:highlight w:val="none"/>
                <w:lang w:val="en-US" w:eastAsia="zh-CN" w:bidi="ar-SA"/>
              </w:rPr>
              <w:t>松浦工业炉有限公司</w:t>
            </w:r>
            <w:r>
              <w:rPr>
                <w:rFonts w:hint="eastAsia" w:ascii="Times New Roman" w:hAnsi="Times New Roman" w:cs="Times New Roman"/>
                <w:b w:val="0"/>
                <w:color w:val="auto"/>
                <w:kern w:val="2"/>
                <w:sz w:val="24"/>
                <w:szCs w:val="24"/>
                <w:highlight w:val="none"/>
                <w:lang w:val="en-US" w:eastAsia="zh-CN" w:bidi="ar-SA"/>
              </w:rPr>
              <w:t>、西侧为秦皇岛精工绿筑吉成科技有限公司。根据抚宁经济技术开发区总体规划图，本项目四周均为二类工业用地。</w:t>
            </w:r>
          </w:p>
          <w:p>
            <w:pPr>
              <w:numPr>
                <w:ilvl w:val="0"/>
                <w:numId w:val="0"/>
              </w:num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建设规模</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年生产弯管机100台、胶管扣压机50台、旋压扩口机30台、卡套预装机100台、窝缝机20台、低压铸造机20台，共计320</w:t>
            </w:r>
            <w:r>
              <w:rPr>
                <w:rFonts w:hint="eastAsia" w:cs="Times New Roman"/>
                <w:color w:val="auto"/>
                <w:highlight w:val="none"/>
                <w:lang w:val="en-US" w:eastAsia="zh-CN"/>
              </w:rPr>
              <w:t>台/年</w:t>
            </w:r>
            <w:r>
              <w:rPr>
                <w:rFonts w:hint="default" w:ascii="Times New Roman" w:hAnsi="Times New Roman" w:eastAsia="宋体" w:cs="Times New Roman"/>
                <w:color w:val="auto"/>
                <w:highlight w:val="none"/>
                <w:lang w:val="en-US" w:eastAsia="zh-CN"/>
              </w:rPr>
              <w:t>。</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）劳动定员及工作制度：工程劳动定员</w:t>
            </w:r>
            <w:r>
              <w:rPr>
                <w:rFonts w:hint="eastAsia" w:ascii="Times New Roman" w:hAnsi="Times New Roman" w:cs="Times New Roman"/>
                <w:color w:val="auto"/>
                <w:highlight w:val="none"/>
                <w:lang w:val="en-US" w:eastAsia="zh-CN"/>
              </w:rPr>
              <w:t>38</w:t>
            </w:r>
            <w:r>
              <w:rPr>
                <w:rFonts w:hint="default" w:ascii="Times New Roman" w:hAnsi="Times New Roman" w:cs="Times New Roman"/>
                <w:color w:val="auto"/>
                <w:highlight w:val="none"/>
                <w:lang w:val="en-US" w:eastAsia="zh-CN"/>
              </w:rPr>
              <w:t>人，</w:t>
            </w:r>
            <w:r>
              <w:rPr>
                <w:rFonts w:hint="default" w:ascii="Times New Roman" w:hAnsi="Times New Roman" w:cs="Times New Roman"/>
                <w:color w:val="auto"/>
                <w:highlight w:val="none"/>
              </w:rPr>
              <w:t>年生产</w:t>
            </w:r>
            <w:r>
              <w:rPr>
                <w:rFonts w:hint="eastAsia" w:ascii="Times New Roman" w:hAnsi="Times New Roman" w:cs="Times New Roman"/>
                <w:color w:val="auto"/>
                <w:highlight w:val="none"/>
                <w:lang w:val="en-US" w:eastAsia="zh-CN"/>
              </w:rPr>
              <w:t>330</w:t>
            </w:r>
            <w:r>
              <w:rPr>
                <w:rFonts w:hint="default" w:ascii="Times New Roman" w:hAnsi="Times New Roman" w:cs="Times New Roman"/>
                <w:color w:val="auto"/>
                <w:highlight w:val="none"/>
              </w:rPr>
              <w:t>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一班制，每班8小时。</w:t>
            </w:r>
          </w:p>
          <w:p>
            <w:pPr>
              <w:pStyle w:val="14"/>
              <w:bidi w:val="0"/>
              <w:rPr>
                <w:rFonts w:hint="default"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2.2</w:t>
            </w:r>
            <w:r>
              <w:rPr>
                <w:rFonts w:hint="default"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现有</w:t>
            </w:r>
            <w:r>
              <w:rPr>
                <w:rFonts w:hint="default" w:cs="Times New Roman"/>
                <w:b/>
                <w:bCs/>
                <w:color w:val="auto"/>
                <w:kern w:val="2"/>
                <w:sz w:val="24"/>
                <w:szCs w:val="24"/>
                <w:highlight w:val="none"/>
                <w:lang w:val="en-US" w:eastAsia="zh-CN" w:bidi="ar-SA"/>
              </w:rPr>
              <w:t>工程规模及工程内容</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b w:val="0"/>
                <w:color w:val="auto"/>
                <w:kern w:val="2"/>
                <w:sz w:val="24"/>
                <w:szCs w:val="24"/>
                <w:highlight w:val="none"/>
                <w:lang w:val="en-US" w:eastAsia="zh-CN" w:bidi="ar-SA"/>
              </w:rPr>
              <w:t>秦皇岛联安机械科技有限公司</w:t>
            </w:r>
            <w:r>
              <w:rPr>
                <w:rFonts w:hint="eastAsia" w:ascii="Times New Roman" w:hAnsi="Times New Roman" w:cs="Times New Roman"/>
                <w:color w:val="auto"/>
                <w:highlight w:val="none"/>
                <w:lang w:val="en-US" w:eastAsia="zh-CN"/>
              </w:rPr>
              <w:t>现有工程</w:t>
            </w:r>
            <w:r>
              <w:rPr>
                <w:rFonts w:hint="default" w:ascii="Times New Roman" w:hAnsi="Times New Roman" w:cs="Times New Roman"/>
                <w:color w:val="auto"/>
                <w:highlight w:val="none"/>
                <w:lang w:val="en-US" w:eastAsia="zh-CN"/>
              </w:rPr>
              <w:t>情况如下：</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default" w:ascii="Times New Roman" w:hAnsi="Times New Roman" w:eastAsia="宋体" w:cs="Times New Roman"/>
                <w:color w:val="auto"/>
                <w:sz w:val="21"/>
                <w:szCs w:val="16"/>
                <w:highlight w:val="none"/>
                <w:lang w:val="en-US" w:eastAsia="zh-CN"/>
              </w:rPr>
              <w:t>表2</w:t>
            </w:r>
            <w:r>
              <w:rPr>
                <w:rFonts w:hint="eastAsia" w:ascii="Times New Roman" w:hAnsi="Times New Roman" w:eastAsia="宋体" w:cs="Times New Roman"/>
                <w:color w:val="auto"/>
                <w:sz w:val="21"/>
                <w:szCs w:val="16"/>
                <w:highlight w:val="none"/>
                <w:lang w:val="en-US" w:eastAsia="zh-CN"/>
              </w:rPr>
              <w:t>-</w:t>
            </w:r>
            <w:r>
              <w:rPr>
                <w:rFonts w:hint="eastAsia" w:cs="Times New Roman"/>
                <w:color w:val="auto"/>
                <w:sz w:val="21"/>
                <w:szCs w:val="16"/>
                <w:highlight w:val="none"/>
                <w:lang w:val="en-US" w:eastAsia="zh-CN"/>
              </w:rPr>
              <w:t>1</w:t>
            </w:r>
            <w:r>
              <w:rPr>
                <w:rFonts w:hint="default" w:ascii="Times New Roman" w:hAnsi="Times New Roman" w:eastAsia="宋体" w:cs="Times New Roman"/>
                <w:color w:val="auto"/>
                <w:sz w:val="21"/>
                <w:szCs w:val="16"/>
                <w:highlight w:val="none"/>
                <w:lang w:val="en-US" w:eastAsia="zh-CN"/>
              </w:rPr>
              <w:t xml:space="preserve">  </w:t>
            </w:r>
            <w:r>
              <w:rPr>
                <w:rFonts w:hint="eastAsia" w:cs="Times New Roman"/>
                <w:color w:val="auto"/>
                <w:sz w:val="21"/>
                <w:szCs w:val="16"/>
                <w:highlight w:val="none"/>
                <w:lang w:val="en-US" w:eastAsia="zh-CN"/>
              </w:rPr>
              <w:t>现有工程</w:t>
            </w:r>
            <w:r>
              <w:rPr>
                <w:rFonts w:hint="default" w:ascii="Times New Roman" w:hAnsi="Times New Roman" w:eastAsia="宋体" w:cs="Times New Roman"/>
                <w:color w:val="auto"/>
                <w:sz w:val="21"/>
                <w:szCs w:val="16"/>
                <w:highlight w:val="none"/>
                <w:lang w:val="en-US" w:eastAsia="zh-CN"/>
              </w:rPr>
              <w:t>项目组成一览表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55"/>
              <w:gridCol w:w="1524"/>
              <w:gridCol w:w="5505"/>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工程分类</w:t>
                  </w: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原有工程</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w:t>
                  </w: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1#厂房</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lang w:val="en-US" w:eastAsia="zh-CN"/>
                    </w:rPr>
                    <w:t>1层，占地面积3476m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，建筑面积3476m</w:t>
                  </w:r>
                  <w:r>
                    <w:rPr>
                      <w:rFonts w:hint="eastAsia" w:ascii="Times New Roman" w:hAnsi="Times New Roman" w:cs="Times New Roman"/>
                      <w:color w:val="auto"/>
                      <w:highlight w:val="none"/>
                      <w:vertAlign w:val="superscript"/>
                      <w:lang w:val="en-US" w:eastAsia="zh-CN"/>
                    </w:rPr>
                    <w:t>2</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3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辅助工程</w:t>
                  </w: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办公室</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建筑面积为50m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，主要进行员工的办公，位于生产车间内</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供水</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项目用水由市政供水管网提供</w:t>
                  </w:r>
                </w:p>
              </w:tc>
              <w:tc>
                <w:tcPr>
                  <w:tcW w:w="433"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供热</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项目生产不设取暖，办公室供暖由单体空调</w:t>
                  </w:r>
                </w:p>
              </w:tc>
              <w:tc>
                <w:tcPr>
                  <w:tcW w:w="433"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104"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供电</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项目用电由秦皇岛市抚宁区电网提供</w:t>
                  </w:r>
                </w:p>
              </w:tc>
              <w:tc>
                <w:tcPr>
                  <w:tcW w:w="433"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88"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环保</w:t>
                  </w:r>
                  <w:r>
                    <w:rPr>
                      <w:rFonts w:hint="default" w:ascii="Times New Roman" w:hAnsi="Times New Roman" w:cs="Times New Roman"/>
                      <w:color w:val="auto"/>
                      <w:highlight w:val="none"/>
                    </w:rPr>
                    <w:t>工程</w:t>
                  </w:r>
                </w:p>
              </w:tc>
              <w:tc>
                <w:tcPr>
                  <w:tcW w:w="254"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w:t>
                  </w:r>
                </w:p>
              </w:tc>
              <w:tc>
                <w:tcPr>
                  <w:tcW w:w="85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焊接废气</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color w:val="auto"/>
                      <w:highlight w:val="none"/>
                    </w:rPr>
                    <w:t>本项目废气为焊接产生的焊烟，</w:t>
                  </w:r>
                  <w:r>
                    <w:rPr>
                      <w:rFonts w:hint="eastAsia"/>
                      <w:color w:val="auto"/>
                      <w:highlight w:val="none"/>
                      <w:lang w:val="en-US" w:eastAsia="zh-CN"/>
                    </w:rPr>
                    <w:t>2台</w:t>
                  </w:r>
                  <w:r>
                    <w:rPr>
                      <w:rFonts w:hint="eastAsia"/>
                      <w:color w:val="auto"/>
                      <w:highlight w:val="none"/>
                    </w:rPr>
                    <w:t>焊烟经过移动式焊烟净化器处理后无组织排放。</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254"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废水</w:t>
                  </w:r>
                </w:p>
              </w:tc>
              <w:tc>
                <w:tcPr>
                  <w:tcW w:w="85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生活污水</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厂区设</w:t>
                  </w:r>
                  <w:r>
                    <w:rPr>
                      <w:rFonts w:hint="eastAsia" w:ascii="Times New Roman" w:hAnsi="Times New Roman" w:cs="Times New Roman"/>
                      <w:color w:val="auto"/>
                      <w:highlight w:val="none"/>
                      <w:lang w:val="en-US" w:eastAsia="zh-CN"/>
                    </w:rPr>
                    <w:t>化粪池</w:t>
                  </w:r>
                  <w:r>
                    <w:rPr>
                      <w:rFonts w:hint="default" w:ascii="Times New Roman" w:hAnsi="Times New Roman" w:eastAsia="宋体" w:cs="Times New Roman"/>
                      <w:color w:val="auto"/>
                      <w:highlight w:val="none"/>
                      <w:lang w:val="en-US" w:eastAsia="zh-CN"/>
                    </w:rPr>
                    <w:t>，定期清掏</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254"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噪声</w:t>
                  </w:r>
                </w:p>
              </w:tc>
              <w:tc>
                <w:tcPr>
                  <w:tcW w:w="85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设备噪声</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选用低噪声设备，建筑隔声，距离衰减</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254"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固废</w:t>
                  </w:r>
                </w:p>
              </w:tc>
              <w:tc>
                <w:tcPr>
                  <w:tcW w:w="85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定点收集后委托</w:t>
                  </w:r>
                  <w:r>
                    <w:rPr>
                      <w:rFonts w:hint="default" w:ascii="Times New Roman" w:hAnsi="Times New Roman" w:eastAsia="宋体" w:cs="Times New Roman"/>
                      <w:b w:val="0"/>
                      <w:bCs w:val="0"/>
                      <w:color w:val="auto"/>
                      <w:highlight w:val="none"/>
                      <w:lang w:val="en-US" w:eastAsia="zh-CN"/>
                    </w:rPr>
                    <w:t>环卫</w:t>
                  </w:r>
                  <w:r>
                    <w:rPr>
                      <w:rFonts w:hint="default" w:ascii="Times New Roman" w:hAnsi="Times New Roman" w:eastAsia="宋体" w:cs="Times New Roman"/>
                      <w:color w:val="auto"/>
                      <w:highlight w:val="none"/>
                      <w:lang w:val="en-US" w:eastAsia="zh-CN"/>
                    </w:rPr>
                    <w:t>部门清运</w:t>
                  </w:r>
                </w:p>
              </w:tc>
              <w:tc>
                <w:tcPr>
                  <w:tcW w:w="433"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25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850"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边角料</w:t>
                  </w:r>
                  <w:r>
                    <w:rPr>
                      <w:rFonts w:hint="eastAsia" w:ascii="Times New Roman" w:hAnsi="Times New Roman" w:cs="Times New Roman"/>
                      <w:color w:val="auto"/>
                      <w:highlight w:val="none"/>
                      <w:lang w:val="en-US" w:eastAsia="zh-CN"/>
                    </w:rPr>
                    <w:t>、金属屑、废焊头</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除尘灰、</w:t>
                  </w:r>
                  <w:r>
                    <w:rPr>
                      <w:rFonts w:hint="default" w:ascii="Times New Roman" w:hAnsi="Times New Roman" w:eastAsia="宋体" w:cs="Times New Roman"/>
                      <w:color w:val="auto"/>
                      <w:highlight w:val="none"/>
                      <w:lang w:val="en-US" w:eastAsia="zh-CN"/>
                    </w:rPr>
                    <w:t>暂存固废暂存区，集中收集，统一外售</w:t>
                  </w:r>
                </w:p>
              </w:tc>
              <w:tc>
                <w:tcPr>
                  <w:tcW w:w="433"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388"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25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850"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废润滑油、废机油、废液压油及其包装物</w:t>
                  </w:r>
                </w:p>
              </w:tc>
              <w:tc>
                <w:tcPr>
                  <w:tcW w:w="3073"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暂存于危废暂存间内，定期由有资质单位运输处理</w:t>
                  </w:r>
                </w:p>
              </w:tc>
              <w:tc>
                <w:tcPr>
                  <w:tcW w:w="433"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3" w:type="pct"/>
                  <w:gridSpan w:val="3"/>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危废间</w:t>
                  </w:r>
                </w:p>
              </w:tc>
              <w:tc>
                <w:tcPr>
                  <w:tcW w:w="3073" w:type="pct"/>
                  <w:tcBorders>
                    <w:tl2br w:val="nil"/>
                    <w:tr2bl w:val="nil"/>
                  </w:tcBorders>
                  <w:noWrap w:val="0"/>
                  <w:vAlign w:val="center"/>
                </w:tcPr>
                <w:p>
                  <w:pPr>
                    <w:pStyle w:val="81"/>
                    <w:bidi w:val="0"/>
                    <w:spacing w:line="240" w:lineRule="auto"/>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面积10m</w:t>
                  </w:r>
                  <w:r>
                    <w:rPr>
                      <w:rFonts w:hint="default" w:ascii="Times New Roman" w:hAnsi="Times New Roman" w:eastAsia="宋体" w:cs="Times New Roman"/>
                      <w:color w:val="auto"/>
                      <w:highlight w:val="none"/>
                      <w:vertAlign w:val="superscript"/>
                      <w:lang w:val="en-US" w:eastAsia="zh-CN"/>
                    </w:rPr>
                    <w:t>2</w:t>
                  </w: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危险废物分类暂存，并配有防溢托盘，标识及管理制度张贴规范，已通过环保验收，满足相关防腐防渗要求。</w:t>
                  </w:r>
                </w:p>
              </w:tc>
              <w:tc>
                <w:tcPr>
                  <w:tcW w:w="433"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已验收</w:t>
                  </w:r>
                </w:p>
              </w:tc>
            </w:tr>
          </w:tbl>
          <w:p>
            <w:pPr>
              <w:pStyle w:val="50"/>
              <w:numPr>
                <w:ilvl w:val="0"/>
                <w:numId w:val="0"/>
              </w:numPr>
              <w:bidi w:val="0"/>
              <w:ind w:leftChars="0"/>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2.3</w:t>
            </w:r>
            <w:r>
              <w:rPr>
                <w:rFonts w:hint="eastAsia" w:ascii="Times New Roman" w:hAnsi="Times New Roman" w:eastAsia="宋体" w:cs="Times New Roman"/>
                <w:b/>
                <w:bCs/>
                <w:color w:val="auto"/>
                <w:kern w:val="2"/>
                <w:sz w:val="24"/>
                <w:szCs w:val="24"/>
                <w:highlight w:val="none"/>
                <w:lang w:val="en-US" w:eastAsia="zh-CN" w:bidi="ar-SA"/>
              </w:rPr>
              <w:t>、现有工程主要生产设备</w:t>
            </w:r>
          </w:p>
          <w:p>
            <w:pPr>
              <w:pStyle w:val="5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现有项目不涉及落后、淘汰</w:t>
            </w:r>
            <w:r>
              <w:rPr>
                <w:rFonts w:hint="default" w:ascii="Times New Roman" w:hAnsi="Times New Roman" w:cs="Times New Roman"/>
                <w:color w:val="auto"/>
                <w:highlight w:val="none"/>
                <w:lang w:val="en-US" w:eastAsia="zh-CN"/>
              </w:rPr>
              <w:t>生产设备</w:t>
            </w:r>
            <w:r>
              <w:rPr>
                <w:rFonts w:hint="eastAsia" w:ascii="Times New Roman" w:hAnsi="Times New Roman" w:cs="Times New Roman"/>
                <w:color w:val="auto"/>
                <w:highlight w:val="none"/>
                <w:lang w:val="en-US" w:eastAsia="zh-CN"/>
              </w:rPr>
              <w:t>，具体详见</w:t>
            </w:r>
            <w:r>
              <w:rPr>
                <w:rFonts w:hint="default" w:ascii="Times New Roman" w:hAnsi="Times New Roman" w:cs="Times New Roman"/>
                <w:color w:val="auto"/>
                <w:highlight w:val="none"/>
                <w:lang w:val="en-US" w:eastAsia="zh-CN"/>
              </w:rPr>
              <w:t>下表：</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p>
          <w:p>
            <w:pPr>
              <w:rPr>
                <w:rFonts w:hint="default"/>
                <w:color w:val="auto"/>
                <w:highlight w:val="none"/>
                <w:lang w:val="en-US" w:eastAsia="zh-CN"/>
              </w:rPr>
            </w:pP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default" w:ascii="Times New Roman" w:hAnsi="Times New Roman" w:eastAsia="宋体" w:cs="Times New Roman"/>
                <w:color w:val="auto"/>
                <w:sz w:val="21"/>
                <w:szCs w:val="16"/>
                <w:highlight w:val="none"/>
                <w:lang w:val="en-US" w:eastAsia="zh-CN"/>
              </w:rPr>
              <w:t>表</w:t>
            </w:r>
            <w:r>
              <w:rPr>
                <w:rFonts w:hint="eastAsia" w:ascii="Times New Roman" w:hAnsi="Times New Roman" w:eastAsia="宋体" w:cs="Times New Roman"/>
                <w:color w:val="auto"/>
                <w:sz w:val="21"/>
                <w:szCs w:val="16"/>
                <w:highlight w:val="none"/>
                <w:lang w:val="en-US" w:eastAsia="zh-CN"/>
              </w:rPr>
              <w:t>2-</w:t>
            </w:r>
            <w:r>
              <w:rPr>
                <w:rFonts w:hint="eastAsia" w:cs="Times New Roman"/>
                <w:color w:val="auto"/>
                <w:sz w:val="21"/>
                <w:szCs w:val="16"/>
                <w:highlight w:val="none"/>
                <w:lang w:val="en-US" w:eastAsia="zh-CN"/>
              </w:rPr>
              <w:t>2</w:t>
            </w:r>
            <w:r>
              <w:rPr>
                <w:rFonts w:hint="eastAsia" w:ascii="Times New Roman" w:hAnsi="Times New Roman" w:eastAsia="宋体" w:cs="Times New Roman"/>
                <w:color w:val="auto"/>
                <w:sz w:val="21"/>
                <w:szCs w:val="16"/>
                <w:highlight w:val="none"/>
                <w:lang w:val="en-US" w:eastAsia="zh-CN"/>
              </w:rPr>
              <w:t xml:space="preserve"> </w:t>
            </w:r>
            <w:r>
              <w:rPr>
                <w:rFonts w:hint="default" w:ascii="Times New Roman" w:hAnsi="Times New Roman" w:eastAsia="宋体" w:cs="Times New Roman"/>
                <w:color w:val="auto"/>
                <w:sz w:val="21"/>
                <w:szCs w:val="16"/>
                <w:highlight w:val="none"/>
                <w:lang w:val="en-US" w:eastAsia="zh-CN"/>
              </w:rPr>
              <w:t xml:space="preserve"> </w:t>
            </w:r>
            <w:r>
              <w:rPr>
                <w:rFonts w:hint="eastAsia" w:cs="Times New Roman"/>
                <w:color w:val="auto"/>
                <w:sz w:val="21"/>
                <w:szCs w:val="16"/>
                <w:highlight w:val="none"/>
                <w:lang w:val="en-US" w:eastAsia="zh-CN"/>
              </w:rPr>
              <w:t>现有工程</w:t>
            </w:r>
            <w:r>
              <w:rPr>
                <w:rFonts w:hint="default" w:ascii="Times New Roman" w:hAnsi="Times New Roman" w:eastAsia="宋体" w:cs="Times New Roman"/>
                <w:color w:val="auto"/>
                <w:sz w:val="21"/>
                <w:szCs w:val="16"/>
                <w:highlight w:val="none"/>
                <w:lang w:val="en-US" w:eastAsia="zh-CN"/>
              </w:rPr>
              <w:t>生产设备一览表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3953"/>
              <w:gridCol w:w="265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206"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型号</w:t>
                  </w:r>
                </w:p>
              </w:tc>
              <w:tc>
                <w:tcPr>
                  <w:tcW w:w="813"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数量</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206"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普通车床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CDE6140A</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2</w:t>
                  </w:r>
                </w:p>
              </w:tc>
              <w:tc>
                <w:tcPr>
                  <w:tcW w:w="2206"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普通车床</w:t>
                  </w:r>
                </w:p>
              </w:tc>
              <w:tc>
                <w:tcPr>
                  <w:tcW w:w="1484"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CY6250B1200</w:t>
                  </w:r>
                </w:p>
              </w:tc>
              <w:tc>
                <w:tcPr>
                  <w:tcW w:w="813"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3</w:t>
                  </w:r>
                </w:p>
              </w:tc>
              <w:tc>
                <w:tcPr>
                  <w:tcW w:w="2206"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万能升降台铣床</w:t>
                  </w:r>
                </w:p>
              </w:tc>
              <w:tc>
                <w:tcPr>
                  <w:tcW w:w="1484"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XA6132</w:t>
                  </w:r>
                </w:p>
              </w:tc>
              <w:tc>
                <w:tcPr>
                  <w:tcW w:w="813"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p>
              </w:tc>
              <w:tc>
                <w:tcPr>
                  <w:tcW w:w="2206"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炮塔铣床</w:t>
                  </w:r>
                </w:p>
              </w:tc>
              <w:tc>
                <w:tcPr>
                  <w:tcW w:w="1484"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4M</w:t>
                  </w:r>
                </w:p>
              </w:tc>
              <w:tc>
                <w:tcPr>
                  <w:tcW w:w="813"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5</w:t>
                  </w:r>
                </w:p>
              </w:tc>
              <w:tc>
                <w:tcPr>
                  <w:tcW w:w="2206"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卧式车床</w:t>
                  </w:r>
                </w:p>
              </w:tc>
              <w:tc>
                <w:tcPr>
                  <w:tcW w:w="1484"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CY6250B</w:t>
                  </w:r>
                </w:p>
              </w:tc>
              <w:tc>
                <w:tcPr>
                  <w:tcW w:w="813"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6</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带锯床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FS4230</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数控加工中心</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XK715D/11</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8</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数控车床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CAK5085ns   </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摇臂钻床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Z3050X16/1</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10</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卧轴距台平面磨床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M7130G</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11</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线切割机</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12</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氩弧焊</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WS-400</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13</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NBC350</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14</w:t>
                  </w:r>
                </w:p>
              </w:tc>
              <w:tc>
                <w:tcPr>
                  <w:tcW w:w="2206" w:type="pct"/>
                  <w:tcBorders>
                    <w:tl2br w:val="nil"/>
                    <w:tr2bl w:val="nil"/>
                  </w:tcBorders>
                  <w:noWrap w:val="0"/>
                  <w:vAlign w:val="center"/>
                </w:tcPr>
                <w:p>
                  <w:pPr>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KRII350</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15</w:t>
                  </w:r>
                </w:p>
              </w:tc>
              <w:tc>
                <w:tcPr>
                  <w:tcW w:w="2206" w:type="pct"/>
                  <w:tcBorders>
                    <w:tl2br w:val="nil"/>
                    <w:tr2bl w:val="nil"/>
                  </w:tcBorders>
                  <w:noWrap w:val="0"/>
                  <w:vAlign w:val="center"/>
                </w:tcPr>
                <w:p>
                  <w:pPr>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NBC500</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95" w:type="pct"/>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w:t>
                  </w:r>
                </w:p>
              </w:tc>
              <w:tc>
                <w:tcPr>
                  <w:tcW w:w="2206"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移动式焊烟净化器</w:t>
                  </w:r>
                </w:p>
              </w:tc>
              <w:tc>
                <w:tcPr>
                  <w:tcW w:w="1484"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移动式</w:t>
                  </w:r>
                </w:p>
              </w:tc>
              <w:tc>
                <w:tcPr>
                  <w:tcW w:w="813" w:type="pct"/>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r>
          </w:tbl>
          <w:p>
            <w:pPr>
              <w:pStyle w:val="50"/>
              <w:numPr>
                <w:ilvl w:val="0"/>
                <w:numId w:val="0"/>
              </w:numPr>
              <w:bidi w:val="0"/>
              <w:ind w:leftChars="0"/>
              <w:rPr>
                <w:rFonts w:hint="default"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2.4现有工程原辅材料</w:t>
            </w: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表2-</w:t>
            </w:r>
            <w:r>
              <w:rPr>
                <w:rFonts w:hint="eastAsia" w:cs="Times New Roman"/>
                <w:color w:val="auto"/>
                <w:sz w:val="21"/>
                <w:szCs w:val="16"/>
                <w:highlight w:val="none"/>
                <w:lang w:val="en-US" w:eastAsia="zh-CN"/>
              </w:rPr>
              <w:t>3</w:t>
            </w:r>
            <w:r>
              <w:rPr>
                <w:rFonts w:hint="default" w:ascii="Times New Roman" w:hAnsi="Times New Roman" w:eastAsia="宋体" w:cs="Times New Roman"/>
                <w:color w:val="auto"/>
                <w:sz w:val="21"/>
                <w:szCs w:val="16"/>
                <w:highlight w:val="none"/>
                <w:lang w:val="en-US" w:eastAsia="zh-CN"/>
              </w:rPr>
              <w:t xml:space="preserve">  </w:t>
            </w:r>
            <w:r>
              <w:rPr>
                <w:rFonts w:hint="eastAsia" w:cs="Times New Roman"/>
                <w:color w:val="auto"/>
                <w:sz w:val="21"/>
                <w:szCs w:val="16"/>
                <w:highlight w:val="none"/>
                <w:lang w:val="en-US" w:eastAsia="zh-CN"/>
              </w:rPr>
              <w:t>现有工程</w:t>
            </w:r>
            <w:r>
              <w:rPr>
                <w:rFonts w:hint="default" w:ascii="Times New Roman" w:hAnsi="Times New Roman" w:eastAsia="宋体" w:cs="Times New Roman"/>
                <w:color w:val="auto"/>
                <w:sz w:val="21"/>
                <w:szCs w:val="16"/>
                <w:highlight w:val="none"/>
                <w:lang w:val="en-US" w:eastAsia="zh-CN"/>
              </w:rPr>
              <w:t>主要原辅材料消耗一览表</w:t>
            </w:r>
          </w:p>
          <w:tbl>
            <w:tblPr>
              <w:tblStyle w:val="32"/>
              <w:tblW w:w="4992"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35"/>
              <w:gridCol w:w="1897"/>
              <w:gridCol w:w="1145"/>
              <w:gridCol w:w="1265"/>
              <w:gridCol w:w="2301"/>
              <w:gridCol w:w="14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2"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序号</w:t>
                  </w:r>
                </w:p>
              </w:tc>
              <w:tc>
                <w:tcPr>
                  <w:tcW w:w="1060"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名称</w:t>
                  </w:r>
                </w:p>
              </w:tc>
              <w:tc>
                <w:tcPr>
                  <w:tcW w:w="640"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单位</w:t>
                  </w:r>
                </w:p>
              </w:tc>
              <w:tc>
                <w:tcPr>
                  <w:tcW w:w="70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用量</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规格</w:t>
                  </w:r>
                </w:p>
              </w:tc>
              <w:tc>
                <w:tcPr>
                  <w:tcW w:w="83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贮存位置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钢板</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165</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厚度4.5-60mm</w:t>
                  </w:r>
                </w:p>
              </w:tc>
              <w:tc>
                <w:tcPr>
                  <w:tcW w:w="837" w:type="pct"/>
                  <w:vMerge w:val="restar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1号车间、库房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5"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圆钢</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Φ8-300</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3</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焊管</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60</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Φ25、40、89</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8"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4</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方管</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95</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40*40-200*200</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5"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5</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槽钢</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5#-16#</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6</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角钢</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7</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2.5#-6.3#</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7</w:t>
                  </w:r>
                </w:p>
              </w:tc>
              <w:tc>
                <w:tcPr>
                  <w:tcW w:w="1060"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H型钢</w:t>
                  </w:r>
                </w:p>
              </w:tc>
              <w:tc>
                <w:tcPr>
                  <w:tcW w:w="640"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1#-6#</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8</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热镀管</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1.5*2.5-42-2.5</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5"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9</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无铅焊条</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200</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2.0、2.5、3.2</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10</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润滑油</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150</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220kg/桶</w:t>
                  </w:r>
                </w:p>
              </w:tc>
              <w:tc>
                <w:tcPr>
                  <w:tcW w:w="837" w:type="pct"/>
                  <w:vMerge w:val="restar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1号生产车间、库房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11</w:t>
                  </w:r>
                </w:p>
              </w:tc>
              <w:tc>
                <w:tcPr>
                  <w:tcW w:w="106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机油</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25kg/桶</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12</w:t>
                  </w:r>
                </w:p>
              </w:tc>
              <w:tc>
                <w:tcPr>
                  <w:tcW w:w="1060"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液压油</w:t>
                  </w:r>
                </w:p>
              </w:tc>
              <w:tc>
                <w:tcPr>
                  <w:tcW w:w="640"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70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300</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220kg/桶</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13</w:t>
                  </w:r>
                </w:p>
              </w:tc>
              <w:tc>
                <w:tcPr>
                  <w:tcW w:w="1060"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乳化液</w:t>
                  </w:r>
                </w:p>
              </w:tc>
              <w:tc>
                <w:tcPr>
                  <w:tcW w:w="640"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70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128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15kg/桶</w:t>
                  </w:r>
                </w:p>
              </w:tc>
              <w:tc>
                <w:tcPr>
                  <w:tcW w:w="837"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1060" w:type="pct"/>
                  <w:tcBorders>
                    <w:tl2br w:val="nil"/>
                    <w:tr2bl w:val="nil"/>
                  </w:tcBorders>
                  <w:noWrap w:val="0"/>
                  <w:vAlign w:val="center"/>
                </w:tcPr>
                <w:p>
                  <w:pPr>
                    <w:spacing w:line="240" w:lineRule="auto"/>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混合气</w:t>
                  </w:r>
                </w:p>
              </w:tc>
              <w:tc>
                <w:tcPr>
                  <w:tcW w:w="640"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70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360</w:t>
                  </w:r>
                </w:p>
              </w:tc>
              <w:tc>
                <w:tcPr>
                  <w:tcW w:w="1286"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CO</w:t>
                  </w:r>
                  <w:r>
                    <w:rPr>
                      <w:rFonts w:hint="eastAsia" w:ascii="Times New Roman" w:hAnsi="Times New Roman" w:cs="Times New Roman" w:eastAsiaTheme="minorEastAsia"/>
                      <w:color w:val="auto"/>
                      <w:sz w:val="21"/>
                      <w:szCs w:val="21"/>
                      <w:highlight w:val="none"/>
                      <w:vertAlign w:val="subscript"/>
                      <w:lang w:val="en-US" w:eastAsia="zh-CN"/>
                    </w:rPr>
                    <w:t>2</w:t>
                  </w:r>
                  <w:r>
                    <w:rPr>
                      <w:rFonts w:hint="eastAsia" w:ascii="Times New Roman" w:hAnsi="Times New Roman" w:cs="Times New Roman" w:eastAsiaTheme="minorEastAsia"/>
                      <w:color w:val="auto"/>
                      <w:sz w:val="21"/>
                      <w:szCs w:val="21"/>
                      <w:highlight w:val="none"/>
                      <w:lang w:val="en-US" w:eastAsia="zh-CN"/>
                    </w:rPr>
                    <w:t>和氩气混合气</w:t>
                  </w:r>
                </w:p>
              </w:tc>
              <w:tc>
                <w:tcPr>
                  <w:tcW w:w="837" w:type="pct"/>
                  <w:vMerge w:val="restar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1号、生产车间、库房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15</w:t>
                  </w:r>
                </w:p>
              </w:tc>
              <w:tc>
                <w:tcPr>
                  <w:tcW w:w="1060" w:type="pct"/>
                  <w:tcBorders>
                    <w:tl2br w:val="nil"/>
                    <w:tr2bl w:val="nil"/>
                  </w:tcBorders>
                  <w:noWrap w:val="0"/>
                  <w:vAlign w:val="center"/>
                </w:tcPr>
                <w:p>
                  <w:pPr>
                    <w:spacing w:line="240" w:lineRule="auto"/>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氧气</w:t>
                  </w:r>
                </w:p>
              </w:tc>
              <w:tc>
                <w:tcPr>
                  <w:tcW w:w="640"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70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180</w:t>
                  </w:r>
                </w:p>
              </w:tc>
              <w:tc>
                <w:tcPr>
                  <w:tcW w:w="128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10Mp/瓶</w:t>
                  </w:r>
                </w:p>
              </w:tc>
              <w:tc>
                <w:tcPr>
                  <w:tcW w:w="837" w:type="pct"/>
                  <w:vMerge w:val="continue"/>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16</w:t>
                  </w:r>
                </w:p>
              </w:tc>
              <w:tc>
                <w:tcPr>
                  <w:tcW w:w="1060" w:type="pct"/>
                  <w:tcBorders>
                    <w:tl2br w:val="nil"/>
                    <w:tr2bl w:val="nil"/>
                  </w:tcBorders>
                  <w:noWrap w:val="0"/>
                  <w:vAlign w:val="center"/>
                </w:tcPr>
                <w:p>
                  <w:pPr>
                    <w:spacing w:line="240" w:lineRule="auto"/>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氩气</w:t>
                  </w:r>
                </w:p>
              </w:tc>
              <w:tc>
                <w:tcPr>
                  <w:tcW w:w="640"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70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128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10Mp/瓶</w:t>
                  </w:r>
                </w:p>
              </w:tc>
              <w:tc>
                <w:tcPr>
                  <w:tcW w:w="837" w:type="pct"/>
                  <w:vMerge w:val="continue"/>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6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17</w:t>
                  </w:r>
                </w:p>
              </w:tc>
              <w:tc>
                <w:tcPr>
                  <w:tcW w:w="1060" w:type="pct"/>
                  <w:tcBorders>
                    <w:tl2br w:val="nil"/>
                    <w:tr2bl w:val="nil"/>
                  </w:tcBorders>
                  <w:noWrap w:val="0"/>
                  <w:vAlign w:val="center"/>
                </w:tcPr>
                <w:p>
                  <w:pPr>
                    <w:spacing w:line="240" w:lineRule="auto"/>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丙烷</w:t>
                  </w:r>
                </w:p>
              </w:tc>
              <w:tc>
                <w:tcPr>
                  <w:tcW w:w="640"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70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c>
                <w:tcPr>
                  <w:tcW w:w="128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20kg</w:t>
                  </w:r>
                  <w:r>
                    <w:rPr>
                      <w:rFonts w:hint="eastAsia" w:ascii="Times New Roman" w:hAnsi="Times New Roman" w:cs="Times New Roman" w:eastAsiaTheme="minorEastAsia"/>
                      <w:color w:val="auto"/>
                      <w:sz w:val="21"/>
                      <w:szCs w:val="21"/>
                      <w:highlight w:val="none"/>
                      <w:lang w:val="en-US" w:eastAsia="zh-CN"/>
                    </w:rPr>
                    <w:t>/瓶</w:t>
                  </w:r>
                </w:p>
              </w:tc>
              <w:tc>
                <w:tcPr>
                  <w:tcW w:w="837" w:type="pct"/>
                  <w:vMerge w:val="continue"/>
                  <w:tcBorders>
                    <w:tl2br w:val="nil"/>
                    <w:tr2bl w:val="nil"/>
                  </w:tcBorders>
                  <w:noWrap w:val="0"/>
                  <w:vAlign w:val="center"/>
                </w:tcPr>
                <w:p>
                  <w:pPr>
                    <w:bidi w:val="0"/>
                    <w:spacing w:line="240" w:lineRule="auto"/>
                    <w:jc w:val="center"/>
                    <w:rPr>
                      <w:rFonts w:hint="eastAsia" w:cs="Times New Roman" w:eastAsiaTheme="minorEastAsia"/>
                      <w:color w:val="auto"/>
                      <w:sz w:val="21"/>
                      <w:szCs w:val="21"/>
                      <w:highlight w:val="none"/>
                      <w:lang w:val="en-US" w:eastAsia="zh-CN"/>
                    </w:rPr>
                  </w:pPr>
                </w:p>
              </w:tc>
            </w:tr>
          </w:tbl>
          <w:p>
            <w:pPr>
              <w:pStyle w:val="50"/>
              <w:numPr>
                <w:ilvl w:val="0"/>
                <w:numId w:val="0"/>
              </w:numPr>
              <w:bidi w:val="0"/>
              <w:ind w:leftChars="0"/>
              <w:rPr>
                <w:rFonts w:hint="default"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2.5、</w:t>
            </w:r>
            <w:r>
              <w:rPr>
                <w:rFonts w:hint="default" w:ascii="Times New Roman" w:hAnsi="Times New Roman" w:cs="Times New Roman"/>
                <w:b/>
                <w:bCs/>
                <w:color w:val="auto"/>
                <w:kern w:val="2"/>
                <w:sz w:val="24"/>
                <w:szCs w:val="24"/>
                <w:highlight w:val="none"/>
                <w:lang w:val="en-US" w:eastAsia="zh-CN" w:bidi="ar-SA"/>
              </w:rPr>
              <w:t>产品规模</w:t>
            </w:r>
          </w:p>
          <w:p>
            <w:pPr>
              <w:pStyle w:val="51"/>
              <w:pageBreakBefore w:val="0"/>
              <w:widowControl w:val="0"/>
              <w:kinsoku/>
              <w:wordWrap/>
              <w:topLinePunct w:val="0"/>
              <w:bidi w:val="0"/>
              <w:spacing w:line="240" w:lineRule="auto"/>
              <w:textAlignment w:val="auto"/>
              <w:rPr>
                <w:rFonts w:hint="eastAsia" w:ascii="Times New Roman" w:hAnsi="Times New Roman" w:eastAsia="宋体" w:cs="Times New Roman"/>
                <w:color w:val="auto"/>
                <w:sz w:val="21"/>
                <w:szCs w:val="16"/>
                <w:highlight w:val="none"/>
                <w:lang w:val="en-US" w:eastAsia="zh-CN"/>
              </w:rPr>
            </w:pPr>
          </w:p>
          <w:p>
            <w:pPr>
              <w:pStyle w:val="51"/>
              <w:pageBreakBefore w:val="0"/>
              <w:widowControl w:val="0"/>
              <w:kinsoku/>
              <w:wordWrap/>
              <w:topLinePunct w:val="0"/>
              <w:bidi w:val="0"/>
              <w:spacing w:line="240" w:lineRule="auto"/>
              <w:textAlignment w:val="auto"/>
              <w:rPr>
                <w:rFonts w:hint="eastAsia" w:ascii="Times New Roman" w:hAnsi="Times New Roman" w:eastAsia="宋体" w:cs="Times New Roman"/>
                <w:color w:val="auto"/>
                <w:sz w:val="21"/>
                <w:szCs w:val="16"/>
                <w:highlight w:val="none"/>
                <w:lang w:val="en-US" w:eastAsia="zh-CN"/>
              </w:rPr>
            </w:pPr>
          </w:p>
          <w:p>
            <w:pPr>
              <w:pStyle w:val="51"/>
              <w:pageBreakBefore w:val="0"/>
              <w:widowControl w:val="0"/>
              <w:kinsoku/>
              <w:wordWrap/>
              <w:topLinePunct w:val="0"/>
              <w:bidi w:val="0"/>
              <w:spacing w:line="240" w:lineRule="auto"/>
              <w:textAlignment w:val="auto"/>
              <w:rPr>
                <w:rFonts w:hint="eastAsia" w:ascii="Times New Roman" w:hAnsi="Times New Roman" w:eastAsia="宋体" w:cs="Times New Roman"/>
                <w:color w:val="auto"/>
                <w:sz w:val="21"/>
                <w:szCs w:val="16"/>
                <w:highlight w:val="none"/>
                <w:lang w:val="en-US" w:eastAsia="zh-CN"/>
              </w:rPr>
            </w:pPr>
          </w:p>
          <w:p>
            <w:pPr>
              <w:pStyle w:val="51"/>
              <w:pageBreakBefore w:val="0"/>
              <w:widowControl w:val="0"/>
              <w:kinsoku/>
              <w:wordWrap/>
              <w:topLinePunct w:val="0"/>
              <w:bidi w:val="0"/>
              <w:spacing w:line="240" w:lineRule="auto"/>
              <w:textAlignment w:val="auto"/>
              <w:rPr>
                <w:rFonts w:hint="default" w:ascii="Times New Roman" w:hAnsi="Times New Roman" w:eastAsia="宋体" w:cs="Times New Roman"/>
                <w:color w:val="auto"/>
                <w:sz w:val="21"/>
                <w:szCs w:val="16"/>
                <w:highlight w:val="none"/>
                <w:lang w:val="en-US" w:eastAsia="zh-CN"/>
              </w:rPr>
            </w:pPr>
            <w:r>
              <w:rPr>
                <w:rFonts w:hint="eastAsia" w:ascii="Times New Roman" w:hAnsi="Times New Roman" w:eastAsia="宋体" w:cs="Times New Roman"/>
                <w:color w:val="auto"/>
                <w:sz w:val="21"/>
                <w:szCs w:val="16"/>
                <w:highlight w:val="none"/>
                <w:lang w:val="en-US" w:eastAsia="zh-CN"/>
              </w:rPr>
              <w:t>表2-</w:t>
            </w:r>
            <w:r>
              <w:rPr>
                <w:rFonts w:hint="eastAsia" w:cs="Times New Roman"/>
                <w:color w:val="auto"/>
                <w:sz w:val="21"/>
                <w:szCs w:val="16"/>
                <w:highlight w:val="none"/>
                <w:lang w:val="en-US" w:eastAsia="zh-CN"/>
              </w:rPr>
              <w:t>4</w:t>
            </w:r>
            <w:r>
              <w:rPr>
                <w:rFonts w:hint="eastAsia" w:ascii="Times New Roman" w:hAnsi="Times New Roman" w:eastAsia="宋体" w:cs="Times New Roman"/>
                <w:color w:val="auto"/>
                <w:sz w:val="21"/>
                <w:szCs w:val="16"/>
                <w:highlight w:val="none"/>
                <w:lang w:val="en-US" w:eastAsia="zh-CN"/>
              </w:rPr>
              <w:t xml:space="preserve">  </w:t>
            </w:r>
            <w:r>
              <w:rPr>
                <w:rFonts w:hint="eastAsia" w:cs="Times New Roman"/>
                <w:color w:val="auto"/>
                <w:sz w:val="21"/>
                <w:szCs w:val="16"/>
                <w:highlight w:val="none"/>
                <w:lang w:val="en-US" w:eastAsia="zh-CN"/>
              </w:rPr>
              <w:t>现有工程</w:t>
            </w:r>
            <w:r>
              <w:rPr>
                <w:rFonts w:hint="eastAsia" w:ascii="Times New Roman" w:hAnsi="Times New Roman" w:eastAsia="宋体" w:cs="Times New Roman"/>
                <w:color w:val="auto"/>
                <w:sz w:val="21"/>
                <w:szCs w:val="16"/>
                <w:highlight w:val="none"/>
                <w:lang w:val="en-US" w:eastAsia="zh-CN"/>
              </w:rPr>
              <w:t>产品规模一览表</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55"/>
              <w:gridCol w:w="2750"/>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9"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产品名称</w:t>
                  </w:r>
                </w:p>
              </w:tc>
              <w:tc>
                <w:tcPr>
                  <w:tcW w:w="1535"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单位</w:t>
                  </w:r>
                </w:p>
              </w:tc>
              <w:tc>
                <w:tcPr>
                  <w:tcW w:w="1535"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弯管机</w:t>
                  </w:r>
                </w:p>
              </w:tc>
              <w:tc>
                <w:tcPr>
                  <w:tcW w:w="1535"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胶管扣压机</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旋压扩口机</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卡套预装机</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窝缝机</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低压铸造机</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台</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4" w:type="pct"/>
                  <w:gridSpan w:val="2"/>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合计</w:t>
                  </w:r>
                </w:p>
              </w:tc>
              <w:tc>
                <w:tcPr>
                  <w:tcW w:w="1535" w:type="pct"/>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320</w:t>
                  </w:r>
                </w:p>
              </w:tc>
            </w:tr>
          </w:tbl>
          <w:p>
            <w:pPr>
              <w:pStyle w:val="50"/>
              <w:numPr>
                <w:ilvl w:val="0"/>
                <w:numId w:val="0"/>
              </w:numPr>
              <w:bidi w:val="0"/>
              <w:ind w:leftChars="0"/>
              <w:rPr>
                <w:rFonts w:hint="default"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2.6</w:t>
            </w:r>
            <w:r>
              <w:rPr>
                <w:rFonts w:hint="default" w:ascii="Times New Roman" w:hAnsi="Times New Roman" w:cs="Times New Roman"/>
                <w:b/>
                <w:bCs/>
                <w:color w:val="auto"/>
                <w:kern w:val="2"/>
                <w:sz w:val="24"/>
                <w:szCs w:val="24"/>
                <w:highlight w:val="none"/>
                <w:lang w:val="en-US" w:eastAsia="zh-CN" w:bidi="ar-SA"/>
              </w:rPr>
              <w:t>水资源及能源消耗情况</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2.6.1给排水</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生活用水：生活用水量为</w:t>
            </w:r>
            <w:r>
              <w:rPr>
                <w:rFonts w:hint="eastAsia" w:ascii="Times New Roman" w:hAnsi="Times New Roman" w:cs="Times New Roman"/>
                <w:color w:val="auto"/>
                <w:highlight w:val="none"/>
                <w:lang w:val="en-US" w:eastAsia="zh-CN"/>
              </w:rPr>
              <w:t>1.52m³/d（501.6</w:t>
            </w:r>
            <w:r>
              <w:rPr>
                <w:rFonts w:hint="default" w:ascii="Times New Roman" w:hAnsi="Times New Roman" w:cs="Times New Roman"/>
                <w:color w:val="auto"/>
                <w:highlight w:val="none"/>
                <w:lang w:val="en-US" w:eastAsia="zh-CN"/>
              </w:rPr>
              <w:t>m³/a</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，生活污水产生量为</w:t>
            </w:r>
            <w:r>
              <w:rPr>
                <w:rFonts w:hint="eastAsia" w:ascii="Times New Roman" w:hAnsi="Times New Roman" w:cs="Times New Roman"/>
                <w:color w:val="auto"/>
                <w:highlight w:val="none"/>
                <w:lang w:val="en-US" w:eastAsia="zh-CN"/>
              </w:rPr>
              <w:t>1.216m³/d（401.3</w:t>
            </w:r>
            <w:r>
              <w:rPr>
                <w:rFonts w:hint="default" w:ascii="Times New Roman" w:hAnsi="Times New Roman" w:cs="Times New Roman"/>
                <w:color w:val="auto"/>
                <w:highlight w:val="none"/>
                <w:lang w:val="en-US" w:eastAsia="zh-CN"/>
              </w:rPr>
              <w:t>m³/a</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，厂区内设置</w:t>
            </w:r>
            <w:r>
              <w:rPr>
                <w:rFonts w:hint="eastAsia" w:ascii="Times New Roman" w:hAnsi="Times New Roman" w:cs="Times New Roman"/>
                <w:color w:val="auto"/>
                <w:highlight w:val="none"/>
                <w:lang w:val="en-US" w:eastAsia="zh-CN"/>
              </w:rPr>
              <w:t>化粪池</w:t>
            </w:r>
            <w:r>
              <w:rPr>
                <w:rFonts w:hint="default" w:ascii="Times New Roman" w:hAnsi="Times New Roman" w:cs="Times New Roman"/>
                <w:color w:val="auto"/>
                <w:highlight w:val="none"/>
                <w:lang w:val="en-US" w:eastAsia="zh-CN"/>
              </w:rPr>
              <w:t>，定期清掏，盥洗废水厂区泼洒抑尘</w:t>
            </w:r>
            <w:r>
              <w:rPr>
                <w:rFonts w:hint="eastAsia" w:ascii="Times New Roman" w:hAnsi="Times New Roman" w:cs="Times New Roman"/>
                <w:color w:val="auto"/>
                <w:highlight w:val="none"/>
                <w:lang w:val="en-US" w:eastAsia="zh-CN"/>
              </w:rPr>
              <w:t>。乳化液年使用量为75kg，乳化液与水的配比为1:10，故用水量为0.0023m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/d（0.75m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/a），全部消耗，不外排。</w:t>
            </w:r>
          </w:p>
          <w:p>
            <w:pPr>
              <w:pStyle w:val="50"/>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4359275" cy="2170430"/>
                  <wp:effectExtent l="0" t="0" r="3175" b="1270"/>
                  <wp:docPr id="2" name="图片 2" descr="未命名文件(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文件(26)"/>
                          <pic:cNvPicPr>
                            <a:picLocks noChangeAspect="1"/>
                          </pic:cNvPicPr>
                        </pic:nvPicPr>
                        <pic:blipFill>
                          <a:blip r:embed="rId13"/>
                          <a:stretch>
                            <a:fillRect/>
                          </a:stretch>
                        </pic:blipFill>
                        <pic:spPr>
                          <a:xfrm>
                            <a:off x="0" y="0"/>
                            <a:ext cx="4359275" cy="2170430"/>
                          </a:xfrm>
                          <a:prstGeom prst="rect">
                            <a:avLst/>
                          </a:prstGeom>
                        </pic:spPr>
                      </pic:pic>
                    </a:graphicData>
                  </a:graphic>
                </wp:inline>
              </w:drawing>
            </w:r>
          </w:p>
          <w:p>
            <w:pPr>
              <w:pStyle w:val="51"/>
              <w:bidi w:val="0"/>
              <w:rPr>
                <w:rFonts w:hint="default" w:ascii="Times New Roman" w:hAnsi="Times New Roman" w:eastAsia="宋体" w:cs="Times New Roman"/>
                <w:b/>
                <w:color w:val="auto"/>
                <w:kern w:val="21"/>
                <w:sz w:val="21"/>
                <w:szCs w:val="16"/>
                <w:highlight w:val="none"/>
                <w:lang w:val="en-US" w:eastAsia="zh-CN" w:bidi="ar-SA"/>
              </w:rPr>
            </w:pPr>
            <w:r>
              <w:rPr>
                <w:rFonts w:hint="eastAsia" w:ascii="Times New Roman" w:hAnsi="Times New Roman" w:eastAsia="宋体" w:cs="Times New Roman"/>
                <w:b/>
                <w:color w:val="auto"/>
                <w:kern w:val="21"/>
                <w:sz w:val="21"/>
                <w:szCs w:val="16"/>
                <w:highlight w:val="none"/>
                <w:lang w:val="en-US" w:eastAsia="zh-CN" w:bidi="ar-SA"/>
              </w:rPr>
              <w:t>图2-1  现有工程水平衡图  单位：m³/d</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2.6.2</w:t>
            </w:r>
            <w:r>
              <w:rPr>
                <w:rFonts w:hint="default" w:ascii="Times New Roman" w:hAnsi="Times New Roman" w:cs="Times New Roman"/>
                <w:color w:val="auto"/>
                <w:highlight w:val="none"/>
                <w:lang w:val="en-US" w:eastAsia="zh-CN"/>
              </w:rPr>
              <w:t>供电</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本项目用电</w:t>
            </w:r>
            <w:r>
              <w:rPr>
                <w:rFonts w:hint="eastAsia" w:ascii="Times New Roman" w:hAnsi="Times New Roman" w:cs="Times New Roman"/>
                <w:color w:val="auto"/>
                <w:highlight w:val="none"/>
                <w:lang w:val="en-US" w:eastAsia="zh-CN"/>
              </w:rPr>
              <w:t>10000kWh/a，由市政供电。</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2.6.3供</w:t>
            </w:r>
            <w:r>
              <w:rPr>
                <w:rFonts w:hint="default" w:ascii="Times New Roman" w:hAnsi="Times New Roman" w:cs="Times New Roman"/>
                <w:color w:val="auto"/>
                <w:highlight w:val="none"/>
                <w:lang w:val="en-US" w:eastAsia="zh-CN"/>
              </w:rPr>
              <w:t>热</w:t>
            </w:r>
          </w:p>
          <w:p>
            <w:pPr>
              <w:pStyle w:val="50"/>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冬季办公室用空调供热，生产车间不用热</w:t>
            </w:r>
            <w:r>
              <w:rPr>
                <w:rFonts w:hint="eastAsia" w:ascii="Times New Roman" w:hAnsi="Times New Roman" w:cs="Times New Roman"/>
                <w:color w:val="auto"/>
                <w:highlight w:val="none"/>
                <w:lang w:val="en-US" w:eastAsia="zh-CN"/>
              </w:rPr>
              <w:t>。</w:t>
            </w:r>
          </w:p>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2.7现有工程工艺流程</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1、切割（外协）</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项目购入原料后，首先进行切割，把原料按照要求的规格进行切割，由于场地限值，切割工艺由邻长秦皇岛优益重工科技有限公司代做。</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2、钻孔</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将切割好的原材料按照规格的要求进行打孔</w:t>
            </w:r>
            <w:r>
              <w:rPr>
                <w:rFonts w:hint="eastAsia" w:ascii="Times New Roman" w:hAnsi="Times New Roman" w:cs="Times New Roman"/>
                <w:color w:val="auto"/>
                <w:highlight w:val="none"/>
                <w:lang w:val="en-US" w:eastAsia="zh-CN"/>
              </w:rPr>
              <w:t>，打孔过程中乳化液、润滑油会飞溅到原材料上，使用抹布进行擦拭</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本项目钻孔过程中金属屑可能沾染乳化液，本项目设置过滤系统，将含乳化液的金属屑收集后放到过滤系统中，乳化液由下方收集口进入回收桶中循环使用，金属屑外售。</w:t>
            </w:r>
          </w:p>
          <w:p>
            <w:pPr>
              <w:pStyle w:val="50"/>
              <w:numPr>
                <w:ilvl w:val="0"/>
                <w:numId w:val="1"/>
              </w:numPr>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焊接</w:t>
            </w:r>
          </w:p>
          <w:p>
            <w:pPr>
              <w:pStyle w:val="50"/>
              <w:numPr>
                <w:ilvl w:val="0"/>
                <w:numId w:val="0"/>
              </w:numPr>
              <w:bidi w:val="0"/>
              <w:ind w:left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将钻孔完成后的元件按照规格要求进行焊接，形成产品的基本框架。</w:t>
            </w:r>
          </w:p>
          <w:p>
            <w:pPr>
              <w:pStyle w:val="50"/>
              <w:numPr>
                <w:ilvl w:val="0"/>
                <w:numId w:val="1"/>
              </w:numPr>
              <w:bidi w:val="0"/>
              <w:ind w:left="0" w:leftChars="0" w:firstLine="480" w:firstLineChars="20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组装</w:t>
            </w:r>
          </w:p>
          <w:p>
            <w:pPr>
              <w:pStyle w:val="50"/>
              <w:numPr>
                <w:ilvl w:val="0"/>
                <w:numId w:val="0"/>
              </w:numPr>
              <w:bidi w:val="0"/>
              <w:ind w:left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将焊接成型的基本框架和直接外后的标准件和电器件进行组装后，即为成品。</w:t>
            </w:r>
          </w:p>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drawing>
                <wp:inline distT="0" distB="0" distL="114300" distR="114300">
                  <wp:extent cx="5688965" cy="2703195"/>
                  <wp:effectExtent l="0" t="0" r="6985" b="1905"/>
                  <wp:docPr id="3" name="图片 3" descr="166996397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9963977883"/>
                          <pic:cNvPicPr>
                            <a:picLocks noChangeAspect="1"/>
                          </pic:cNvPicPr>
                        </pic:nvPicPr>
                        <pic:blipFill>
                          <a:blip r:embed="rId14"/>
                          <a:stretch>
                            <a:fillRect/>
                          </a:stretch>
                        </pic:blipFill>
                        <pic:spPr>
                          <a:xfrm>
                            <a:off x="0" y="0"/>
                            <a:ext cx="5688965" cy="2703195"/>
                          </a:xfrm>
                          <a:prstGeom prst="rect">
                            <a:avLst/>
                          </a:prstGeom>
                        </pic:spPr>
                      </pic:pic>
                    </a:graphicData>
                  </a:graphic>
                </wp:inline>
              </w:drawing>
            </w:r>
          </w:p>
          <w:p>
            <w:pPr>
              <w:pStyle w:val="50"/>
              <w:bidi w:val="0"/>
              <w:spacing w:line="240" w:lineRule="auto"/>
              <w:ind w:left="0" w:leftChars="0" w:firstLine="0" w:firstLineChars="0"/>
              <w:jc w:val="center"/>
              <w:rPr>
                <w:rFonts w:hint="eastAsia" w:ascii="Times New Roman" w:hAnsi="Times New Roman" w:eastAsia="宋体" w:cs="Times New Roman"/>
                <w:b/>
                <w:color w:val="auto"/>
                <w:kern w:val="21"/>
                <w:sz w:val="21"/>
                <w:szCs w:val="16"/>
                <w:highlight w:val="none"/>
                <w:lang w:val="en-US" w:eastAsia="zh-CN" w:bidi="ar-SA"/>
              </w:rPr>
            </w:pPr>
            <w:r>
              <w:rPr>
                <w:rFonts w:hint="eastAsia" w:ascii="Times New Roman" w:hAnsi="Times New Roman" w:eastAsia="宋体" w:cs="Times New Roman"/>
                <w:b/>
                <w:color w:val="auto"/>
                <w:kern w:val="21"/>
                <w:sz w:val="21"/>
                <w:szCs w:val="16"/>
                <w:highlight w:val="none"/>
                <w:lang w:val="en-US" w:eastAsia="zh-CN" w:bidi="ar-SA"/>
              </w:rPr>
              <w:t>图2-2  现有工艺流程及产排污节点图</w:t>
            </w:r>
          </w:p>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3、技改工程</w:t>
            </w:r>
          </w:p>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3.1技改工程概况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（1）项目名称：特种机械设备生产线技改项目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（2）建设单位：秦皇岛联安机械科技有限公司</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（3）建设性质：技改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（4）建设地点：本项目位</w:t>
            </w:r>
            <w:r>
              <w:rPr>
                <w:rFonts w:hint="default" w:ascii="Times New Roman" w:hAnsi="Times New Roman" w:cs="Times New Roman"/>
                <w:b w:val="0"/>
                <w:color w:val="auto"/>
                <w:kern w:val="2"/>
                <w:sz w:val="24"/>
                <w:szCs w:val="24"/>
                <w:highlight w:val="none"/>
                <w:lang w:val="en-US" w:eastAsia="zh-CN" w:bidi="ar-SA"/>
              </w:rPr>
              <w:t>于河北省秦皇岛市抚宁经济开发区北规一街南创业路东秦皇岛联安机械科技有限公司</w:t>
            </w:r>
            <w:r>
              <w:rPr>
                <w:rFonts w:hint="eastAsia" w:cs="Times New Roman"/>
                <w:b w:val="0"/>
                <w:color w:val="auto"/>
                <w:kern w:val="2"/>
                <w:sz w:val="24"/>
                <w:szCs w:val="24"/>
                <w:highlight w:val="none"/>
                <w:lang w:val="en-US" w:eastAsia="zh-CN" w:bidi="ar-SA"/>
              </w:rPr>
              <w:t>现有车间内</w:t>
            </w:r>
            <w:r>
              <w:rPr>
                <w:rFonts w:hint="default" w:ascii="Times New Roman" w:hAnsi="Times New Roman" w:cs="Times New Roman"/>
                <w:b w:val="0"/>
                <w:color w:val="auto"/>
                <w:kern w:val="2"/>
                <w:sz w:val="24"/>
                <w:szCs w:val="24"/>
                <w:highlight w:val="none"/>
                <w:lang w:val="en-US" w:eastAsia="zh-CN" w:bidi="ar-SA"/>
              </w:rPr>
              <w:t>，项目不新增用地，中心位置坐标为：北纬39°55′17.170″，东经119°13′53.830″</w:t>
            </w:r>
            <w:r>
              <w:rPr>
                <w:rFonts w:hint="eastAsia" w:cs="Times New Roman"/>
                <w:b w:val="0"/>
                <w:color w:val="auto"/>
                <w:kern w:val="2"/>
                <w:sz w:val="24"/>
                <w:szCs w:val="24"/>
                <w:highlight w:val="none"/>
                <w:lang w:val="en-US" w:eastAsia="zh-CN" w:bidi="ar-SA"/>
              </w:rPr>
              <w:t>。</w:t>
            </w:r>
            <w:r>
              <w:rPr>
                <w:rFonts w:hint="default" w:ascii="Times New Roman" w:hAnsi="Times New Roman" w:cs="Times New Roman"/>
                <w:b w:val="0"/>
                <w:color w:val="auto"/>
                <w:kern w:val="2"/>
                <w:sz w:val="24"/>
                <w:szCs w:val="24"/>
                <w:highlight w:val="none"/>
                <w:lang w:val="en-US" w:eastAsia="zh-CN" w:bidi="ar-SA"/>
              </w:rPr>
              <w:t>厂区东</w:t>
            </w:r>
            <w:r>
              <w:rPr>
                <w:rFonts w:hint="eastAsia" w:ascii="Times New Roman" w:hAnsi="Times New Roman" w:cs="Times New Roman"/>
                <w:b w:val="0"/>
                <w:color w:val="auto"/>
                <w:kern w:val="2"/>
                <w:sz w:val="24"/>
                <w:szCs w:val="24"/>
                <w:highlight w:val="none"/>
                <w:lang w:val="en-US" w:eastAsia="zh-CN" w:bidi="ar-SA"/>
              </w:rPr>
              <w:t>侧为闲置空地、北侧隔道为空地、南侧为</w:t>
            </w:r>
            <w:r>
              <w:rPr>
                <w:rFonts w:hint="eastAsia" w:cs="Times New Roman"/>
                <w:b w:val="0"/>
                <w:color w:val="auto"/>
                <w:kern w:val="2"/>
                <w:sz w:val="24"/>
                <w:szCs w:val="24"/>
                <w:highlight w:val="none"/>
                <w:lang w:val="en-US" w:eastAsia="zh-CN" w:bidi="ar-SA"/>
              </w:rPr>
              <w:t>松浦工业炉有限公司</w:t>
            </w:r>
            <w:r>
              <w:rPr>
                <w:rFonts w:hint="eastAsia" w:ascii="Times New Roman" w:hAnsi="Times New Roman" w:cs="Times New Roman"/>
                <w:b w:val="0"/>
                <w:color w:val="auto"/>
                <w:kern w:val="2"/>
                <w:sz w:val="24"/>
                <w:szCs w:val="24"/>
                <w:highlight w:val="none"/>
                <w:lang w:val="en-US" w:eastAsia="zh-CN" w:bidi="ar-SA"/>
              </w:rPr>
              <w:t>、西侧为秦皇岛精工绿筑吉成科技有限公司。</w:t>
            </w:r>
            <w:r>
              <w:rPr>
                <w:rFonts w:hint="eastAsia" w:cs="Times New Roman"/>
                <w:b w:val="0"/>
                <w:color w:val="auto"/>
                <w:kern w:val="2"/>
                <w:sz w:val="24"/>
                <w:szCs w:val="24"/>
                <w:highlight w:val="none"/>
                <w:lang w:val="en-US" w:eastAsia="zh-CN" w:bidi="ar-SA"/>
              </w:rPr>
              <w:t>本次新增喷漆房位于1号车间内，项目所在厂址周边关系示意图见附图2所示。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（5）建设内容：因生产需要对特种机械设备生产线进行技术改造，需要增加喷漆工序，工艺流程更改为：原料-外协切割-钻孔-焊接-喷漆-组装-成品，新建一座喷漆房，建筑面积29.316平方米 ,总排气量 15120立方米/小时。增加普通车床1台（CFW61100Q）、数控加工中心1台 （Vturn-22w）、数控车床2台（CAK6150D、CFK6163B）、摇臂钻床1台（Z3032K）、CO</w:t>
            </w:r>
            <w:r>
              <w:rPr>
                <w:rFonts w:hint="eastAsia" w:cs="Times New Roman"/>
                <w:b w:val="0"/>
                <w:color w:val="auto"/>
                <w:kern w:val="2"/>
                <w:sz w:val="24"/>
                <w:szCs w:val="24"/>
                <w:highlight w:val="none"/>
                <w:vertAlign w:val="subscript"/>
                <w:lang w:val="en-US" w:eastAsia="zh-CN" w:bidi="ar-SA"/>
              </w:rPr>
              <w:t>2</w:t>
            </w:r>
            <w:r>
              <w:rPr>
                <w:rFonts w:hint="eastAsia" w:cs="Times New Roman"/>
                <w:b w:val="0"/>
                <w:color w:val="auto"/>
                <w:kern w:val="2"/>
                <w:sz w:val="24"/>
                <w:szCs w:val="24"/>
                <w:highlight w:val="none"/>
                <w:lang w:val="en-US" w:eastAsia="zh-CN" w:bidi="ar-SA"/>
              </w:rPr>
              <w:t>保护焊机2台（KRII500）、电火花1台（EDM450）、卷圆机1台。项目建成后原低压铸造机产能由20台/年增加到25台/年，其他产品产能不变。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（6）工程投资：本项目总投资75万元，其中环保投资7万元，占总投资的0.93%。</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（7）劳动定员及工作制度：本次技改项目不新增劳动定员，从现有员工中抽调，年工作天数为330天，每天1班制，工作8小时。</w:t>
            </w:r>
          </w:p>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3.2工程规模及项目组成</w:t>
            </w:r>
          </w:p>
          <w:p>
            <w:pPr>
              <w:bidi w:val="0"/>
              <w:ind w:firstLine="480" w:firstLineChars="20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本次技改项目项目组成详见下表。</w:t>
            </w:r>
          </w:p>
          <w:p>
            <w:pPr>
              <w:pStyle w:val="51"/>
              <w:bidi w:val="0"/>
              <w:rPr>
                <w:rFonts w:hint="default" w:ascii="Times New Roman" w:hAnsi="Times New Roman" w:eastAsia="宋体" w:cs="Times New Roman"/>
                <w:b/>
                <w:color w:val="auto"/>
                <w:kern w:val="21"/>
                <w:sz w:val="21"/>
                <w:szCs w:val="16"/>
                <w:highlight w:val="none"/>
                <w:lang w:val="en-US" w:eastAsia="zh-CN" w:bidi="ar-SA"/>
              </w:rPr>
            </w:pPr>
            <w:r>
              <w:rPr>
                <w:rFonts w:hint="default" w:ascii="Times New Roman" w:hAnsi="Times New Roman" w:eastAsia="宋体" w:cs="Times New Roman"/>
                <w:b/>
                <w:color w:val="auto"/>
                <w:kern w:val="21"/>
                <w:sz w:val="21"/>
                <w:szCs w:val="16"/>
                <w:highlight w:val="none"/>
                <w:lang w:val="en-US" w:eastAsia="zh-CN" w:bidi="ar-SA"/>
              </w:rPr>
              <w:t>表2</w:t>
            </w:r>
            <w:r>
              <w:rPr>
                <w:rFonts w:hint="eastAsia" w:ascii="Times New Roman" w:hAnsi="Times New Roman" w:eastAsia="宋体" w:cs="Times New Roman"/>
                <w:b/>
                <w:color w:val="auto"/>
                <w:kern w:val="21"/>
                <w:sz w:val="21"/>
                <w:szCs w:val="16"/>
                <w:highlight w:val="none"/>
                <w:lang w:val="en-US" w:eastAsia="zh-CN" w:bidi="ar-SA"/>
              </w:rPr>
              <w:t>-</w:t>
            </w:r>
            <w:r>
              <w:rPr>
                <w:rFonts w:hint="eastAsia" w:cs="Times New Roman"/>
                <w:b/>
                <w:color w:val="auto"/>
                <w:kern w:val="21"/>
                <w:sz w:val="21"/>
                <w:szCs w:val="16"/>
                <w:highlight w:val="none"/>
                <w:lang w:val="en-US" w:eastAsia="zh-CN" w:bidi="ar-SA"/>
              </w:rPr>
              <w:t>5</w:t>
            </w:r>
            <w:r>
              <w:rPr>
                <w:rFonts w:hint="default" w:ascii="Times New Roman" w:hAnsi="Times New Roman" w:eastAsia="宋体" w:cs="Times New Roman"/>
                <w:b/>
                <w:color w:val="auto"/>
                <w:kern w:val="21"/>
                <w:sz w:val="21"/>
                <w:szCs w:val="16"/>
                <w:highlight w:val="none"/>
                <w:lang w:val="en-US" w:eastAsia="zh-CN" w:bidi="ar-SA"/>
              </w:rPr>
              <w:t xml:space="preserve">  项目组成一览表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661"/>
              <w:gridCol w:w="1913"/>
              <w:gridCol w:w="3726"/>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工程分类</w:t>
                  </w: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工程</w:t>
                  </w:r>
                  <w:r>
                    <w:rPr>
                      <w:rFonts w:hint="eastAsia" w:ascii="Times New Roman" w:hAnsi="Times New Roman" w:cs="Times New Roman"/>
                      <w:color w:val="auto"/>
                      <w:highlight w:val="none"/>
                      <w:lang w:val="en-US" w:eastAsia="zh-CN"/>
                    </w:rPr>
                    <w:t>情况</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94"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主体工程</w:t>
                  </w: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生产车间1</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1层，占地面积为3476m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，新增数控加工中心、数控车床等生产设备，本次新建的喷漆房位于此生产车间内</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新增部分生产设备并新建喷漆房1座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喷漆房</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建筑面积29.316m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，为密闭喷漆房，微负压，顶部设进风口，下部为出风口，风机风量为15120m</w:t>
                  </w:r>
                  <w:r>
                    <w:rPr>
                      <w:rFonts w:hint="eastAsia" w:ascii="Times New Roman" w:hAnsi="Times New Roman" w:cs="Times New Roman"/>
                      <w:color w:val="auto"/>
                      <w:highlight w:val="none"/>
                      <w:vertAlign w:val="superscript"/>
                      <w:lang w:val="en-US" w:eastAsia="zh-CN"/>
                    </w:rPr>
                    <w:t>3</w:t>
                  </w:r>
                  <w:r>
                    <w:rPr>
                      <w:rFonts w:hint="eastAsia" w:ascii="Times New Roman" w:hAnsi="Times New Roman" w:cs="Times New Roman"/>
                      <w:color w:val="auto"/>
                      <w:highlight w:val="none"/>
                      <w:lang w:val="en-US" w:eastAsia="zh-CN"/>
                    </w:rPr>
                    <w:t>/h，出风口废气经收集后进去新增有机废气治理设施内进行处理后经1根15m高排气筒排放（DA001）</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在现有1号车间内建设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辅助工程</w:t>
                  </w: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库房</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主要存放原辅材料，本次技改原辅材料增加量较少，库房可满足使用</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办公室</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员工的办公及休息</w:t>
                  </w:r>
                </w:p>
              </w:tc>
              <w:tc>
                <w:tcPr>
                  <w:tcW w:w="988"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危废暂存间</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依托，主要用于危险废物暂存</w:t>
                  </w:r>
                </w:p>
              </w:tc>
              <w:tc>
                <w:tcPr>
                  <w:tcW w:w="988" w:type="pct"/>
                  <w:vMerge w:val="continue"/>
                  <w:tcBorders>
                    <w:tl2br w:val="nil"/>
                    <w:tr2bl w:val="nil"/>
                  </w:tcBorders>
                  <w:noWrap w:val="0"/>
                  <w:vAlign w:val="center"/>
                </w:tcPr>
                <w:p>
                  <w:pPr>
                    <w:pStyle w:val="81"/>
                    <w:bidi w:val="0"/>
                    <w:spacing w:line="240" w:lineRule="auto"/>
                    <w:jc w:val="center"/>
                    <w:rPr>
                      <w:rFonts w:hint="eastAsia"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94"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公用工程</w:t>
                  </w: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供水</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市政供水管网</w:t>
                  </w:r>
                </w:p>
              </w:tc>
              <w:tc>
                <w:tcPr>
                  <w:tcW w:w="988"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供热</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车间</w:t>
                  </w:r>
                  <w:r>
                    <w:rPr>
                      <w:rFonts w:hint="eastAsia" w:ascii="Times New Roman" w:hAnsi="Times New Roman" w:cs="Times New Roman"/>
                      <w:color w:val="auto"/>
                      <w:highlight w:val="none"/>
                      <w:lang w:val="en-US" w:eastAsia="zh-CN"/>
                    </w:rPr>
                    <w:t>不需要供暖、</w:t>
                  </w:r>
                  <w:r>
                    <w:rPr>
                      <w:rFonts w:hint="default" w:ascii="Times New Roman" w:hAnsi="Times New Roman" w:eastAsia="宋体" w:cs="Times New Roman"/>
                      <w:color w:val="auto"/>
                      <w:highlight w:val="none"/>
                      <w:lang w:val="en-US" w:eastAsia="zh-CN"/>
                    </w:rPr>
                    <w:t>办公室空调供暖</w:t>
                  </w: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437" w:type="pct"/>
                  <w:gridSpan w:val="2"/>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供电</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依托</w:t>
                  </w:r>
                  <w:r>
                    <w:rPr>
                      <w:rFonts w:hint="eastAsia" w:ascii="Times New Roman" w:hAnsi="Times New Roman" w:cs="Times New Roman"/>
                      <w:color w:val="auto"/>
                      <w:highlight w:val="none"/>
                      <w:lang w:val="en-US" w:eastAsia="zh-CN"/>
                    </w:rPr>
                    <w:t>市政供电管网</w:t>
                  </w:r>
                </w:p>
              </w:tc>
              <w:tc>
                <w:tcPr>
                  <w:tcW w:w="988" w:type="pct"/>
                  <w:vMerge w:val="continue"/>
                  <w:tcBorders>
                    <w:tl2br w:val="nil"/>
                    <w:tr2bl w:val="nil"/>
                  </w:tcBorders>
                  <w:noWrap w:val="0"/>
                  <w:vAlign w:val="center"/>
                </w:tcPr>
                <w:p>
                  <w:pPr>
                    <w:pStyle w:val="81"/>
                    <w:bidi w:val="0"/>
                    <w:spacing w:line="240" w:lineRule="auto"/>
                    <w:jc w:val="center"/>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环保</w:t>
                  </w:r>
                  <w:r>
                    <w:rPr>
                      <w:rFonts w:hint="default" w:ascii="Times New Roman" w:hAnsi="Times New Roman" w:cs="Times New Roman"/>
                      <w:color w:val="auto"/>
                      <w:highlight w:val="none"/>
                    </w:rPr>
                    <w:t>工程</w:t>
                  </w:r>
                </w:p>
              </w:tc>
              <w:tc>
                <w:tcPr>
                  <w:tcW w:w="369"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w:t>
                  </w:r>
                </w:p>
              </w:tc>
              <w:tc>
                <w:tcPr>
                  <w:tcW w:w="106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喷漆废气（</w:t>
                  </w:r>
                  <w:r>
                    <w:rPr>
                      <w:rFonts w:hint="eastAsia" w:eastAsia="宋体" w:cs="Times New Roman"/>
                      <w:color w:val="auto"/>
                      <w:sz w:val="21"/>
                      <w:szCs w:val="21"/>
                      <w:highlight w:val="none"/>
                      <w:lang w:val="en-US" w:eastAsia="zh-CN"/>
                    </w:rPr>
                    <w:t>调漆、喷漆、晾干</w:t>
                  </w:r>
                  <w:r>
                    <w:rPr>
                      <w:rFonts w:hint="eastAsia" w:ascii="Times New Roman" w:hAnsi="Times New Roman" w:cs="Times New Roman"/>
                      <w:color w:val="auto"/>
                      <w:highlight w:val="none"/>
                      <w:lang w:val="en-US" w:eastAsia="zh-CN"/>
                    </w:rPr>
                    <w:t>）</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喷漆工序在微负压喷漆房内进行，废气经</w:t>
                  </w:r>
                  <w:r>
                    <w:rPr>
                      <w:rFonts w:hint="default" w:ascii="Times New Roman" w:hAnsi="Times New Roman" w:cs="Times New Roman"/>
                      <w:color w:val="auto"/>
                      <w:highlight w:val="none"/>
                      <w:lang w:val="en-US" w:eastAsia="zh-CN"/>
                    </w:rPr>
                    <w:t>干式过滤箱+二级活性炭吸附处理后由1根15m高排气筒排放</w:t>
                  </w:r>
                  <w:r>
                    <w:rPr>
                      <w:rFonts w:hint="eastAsia" w:ascii="Times New Roman" w:hAnsi="Times New Roman" w:cs="Times New Roman"/>
                      <w:color w:val="auto"/>
                      <w:highlight w:val="none"/>
                      <w:lang w:val="en-US" w:eastAsia="zh-CN"/>
                    </w:rPr>
                    <w:t>（DA001）</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焊接废气</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使用2台现有移动式焊烟净化器进行净化后车间内无组织排放</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369"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废水</w:t>
                  </w:r>
                </w:p>
              </w:tc>
              <w:tc>
                <w:tcPr>
                  <w:tcW w:w="106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生活污水</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厂区设</w:t>
                  </w:r>
                  <w:r>
                    <w:rPr>
                      <w:rFonts w:hint="eastAsia" w:ascii="Times New Roman" w:hAnsi="Times New Roman" w:cs="Times New Roman"/>
                      <w:color w:val="auto"/>
                      <w:highlight w:val="none"/>
                      <w:lang w:val="en-US" w:eastAsia="zh-CN"/>
                    </w:rPr>
                    <w:t>化粪池</w:t>
                  </w:r>
                  <w:r>
                    <w:rPr>
                      <w:rFonts w:hint="default" w:ascii="Times New Roman" w:hAnsi="Times New Roman" w:eastAsia="宋体" w:cs="Times New Roman"/>
                      <w:color w:val="auto"/>
                      <w:highlight w:val="none"/>
                      <w:lang w:val="en-US" w:eastAsia="zh-CN"/>
                    </w:rPr>
                    <w:t>，定期清掏</w:t>
                  </w:r>
                  <w:r>
                    <w:rPr>
                      <w:rFonts w:hint="eastAsia" w:ascii="Times New Roman" w:hAnsi="Times New Roman" w:cs="Times New Roman"/>
                      <w:color w:val="auto"/>
                      <w:highlight w:val="none"/>
                      <w:lang w:val="en-US" w:eastAsia="zh-CN"/>
                    </w:rPr>
                    <w:t>，本次不新增生活污水及生产废水的排放</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369"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噪声</w:t>
                  </w:r>
                </w:p>
              </w:tc>
              <w:tc>
                <w:tcPr>
                  <w:tcW w:w="106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设备噪声</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选用低噪声设备，建筑隔声，距离衰减</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新增部分设备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369" w:type="pct"/>
                  <w:vMerge w:val="restar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固废</w:t>
                  </w:r>
                </w:p>
              </w:tc>
              <w:tc>
                <w:tcPr>
                  <w:tcW w:w="1068" w:type="pct"/>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w:t>
                  </w:r>
                  <w:r>
                    <w:rPr>
                      <w:rFonts w:hint="eastAsia" w:ascii="Times New Roman" w:hAnsi="Times New Roman" w:cs="Times New Roman"/>
                      <w:color w:val="auto"/>
                      <w:highlight w:val="none"/>
                      <w:lang w:val="en-US" w:eastAsia="zh-CN"/>
                    </w:rPr>
                    <w:t>、废抹布</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定点收集后委托环卫部门清运</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边角料</w:t>
                  </w:r>
                  <w:r>
                    <w:rPr>
                      <w:rFonts w:hint="eastAsia" w:ascii="Times New Roman" w:hAnsi="Times New Roman" w:cs="Times New Roman"/>
                      <w:color w:val="auto"/>
                      <w:highlight w:val="none"/>
                      <w:lang w:val="en-US" w:eastAsia="zh-CN"/>
                    </w:rPr>
                    <w:t>、金属屑、废焊头、除尘灰</w:t>
                  </w:r>
                </w:p>
              </w:tc>
              <w:tc>
                <w:tcPr>
                  <w:tcW w:w="2080"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暂存固废暂存区，集中收集，统一外售</w:t>
                  </w:r>
                </w:p>
              </w:tc>
              <w:tc>
                <w:tcPr>
                  <w:tcW w:w="988" w:type="pc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废机油</w:t>
                  </w:r>
                </w:p>
              </w:tc>
              <w:tc>
                <w:tcPr>
                  <w:tcW w:w="2080" w:type="pct"/>
                  <w:vMerge w:val="restar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暂存于危废暂存间内，定期由有资质单位运输处理</w:t>
                  </w:r>
                </w:p>
              </w:tc>
              <w:tc>
                <w:tcPr>
                  <w:tcW w:w="988" w:type="pct"/>
                  <w:vMerge w:val="restart"/>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企业现有危废间面积为10m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，现有危废间满足技改后全厂使用（详见固体废物分析章节）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废润滑油</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废液压油</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废活性炭、废过滤棉</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废油桶</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漆渣</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漆桶</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4"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369" w:type="pct"/>
                  <w:vMerge w:val="continue"/>
                  <w:tcBorders>
                    <w:tl2br w:val="nil"/>
                    <w:tr2bl w:val="nil"/>
                  </w:tcBorders>
                  <w:noWrap w:val="0"/>
                  <w:vAlign w:val="center"/>
                </w:tcPr>
                <w:p>
                  <w:pPr>
                    <w:pStyle w:val="81"/>
                    <w:bidi w:val="0"/>
                    <w:spacing w:line="240" w:lineRule="auto"/>
                    <w:jc w:val="center"/>
                    <w:rPr>
                      <w:rFonts w:hint="default" w:ascii="Times New Roman" w:hAnsi="Times New Roman" w:cs="Times New Roman"/>
                      <w:color w:val="auto"/>
                      <w:highlight w:val="none"/>
                      <w:lang w:val="en-US" w:eastAsia="zh-CN"/>
                    </w:rPr>
                  </w:pPr>
                </w:p>
              </w:tc>
              <w:tc>
                <w:tcPr>
                  <w:tcW w:w="1068" w:type="pct"/>
                  <w:tcBorders>
                    <w:tl2br w:val="nil"/>
                    <w:tr2bl w:val="nil"/>
                  </w:tcBorders>
                  <w:noWrap w:val="0"/>
                  <w:vAlign w:val="center"/>
                </w:tcPr>
                <w:p>
                  <w:pPr>
                    <w:pStyle w:val="58"/>
                    <w:bidi w:val="0"/>
                    <w:spacing w:line="240" w:lineRule="auto"/>
                    <w:jc w:val="center"/>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废稀释剂桶</w:t>
                  </w:r>
                </w:p>
              </w:tc>
              <w:tc>
                <w:tcPr>
                  <w:tcW w:w="2080"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c>
                <w:tcPr>
                  <w:tcW w:w="988" w:type="pct"/>
                  <w:vMerge w:val="continue"/>
                  <w:tcBorders>
                    <w:tl2br w:val="nil"/>
                    <w:tr2bl w:val="nil"/>
                  </w:tcBorders>
                  <w:noWrap w:val="0"/>
                  <w:vAlign w:val="center"/>
                </w:tcPr>
                <w:p>
                  <w:pPr>
                    <w:pStyle w:val="81"/>
                    <w:bidi w:val="0"/>
                    <w:spacing w:line="240" w:lineRule="auto"/>
                    <w:jc w:val="center"/>
                    <w:rPr>
                      <w:rFonts w:hint="default" w:ascii="Times New Roman" w:hAnsi="Times New Roman" w:eastAsia="宋体" w:cs="Times New Roman"/>
                      <w:color w:val="auto"/>
                      <w:highlight w:val="none"/>
                      <w:lang w:val="en-US" w:eastAsia="zh-CN"/>
                    </w:rPr>
                  </w:pPr>
                </w:p>
              </w:tc>
            </w:tr>
          </w:tbl>
          <w:p>
            <w:pPr>
              <w:pStyle w:val="50"/>
              <w:numPr>
                <w:ilvl w:val="0"/>
                <w:numId w:val="0"/>
              </w:numPr>
              <w:bidi w:val="0"/>
              <w:ind w:leftChars="0"/>
              <w:rPr>
                <w:rFonts w:hint="default"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3.3产品方案情况</w:t>
            </w:r>
          </w:p>
          <w:p>
            <w:pPr>
              <w:pStyle w:val="51"/>
              <w:bidi w:val="0"/>
              <w:jc w:val="both"/>
              <w:rPr>
                <w:rFonts w:hint="default" w:ascii="Times New Roman" w:hAnsi="Times New Roman" w:eastAsia="宋体" w:cs="Times New Roman"/>
                <w:b w:val="0"/>
                <w:bCs w:val="0"/>
                <w:color w:val="auto"/>
                <w:kern w:val="21"/>
                <w:sz w:val="24"/>
                <w:szCs w:val="24"/>
                <w:highlight w:val="none"/>
                <w:lang w:val="en-US" w:eastAsia="zh-CN" w:bidi="ar-SA"/>
              </w:rPr>
            </w:pPr>
            <w:r>
              <w:rPr>
                <w:rFonts w:hint="eastAsia" w:cs="Times New Roman"/>
                <w:b w:val="0"/>
                <w:bCs w:val="0"/>
                <w:color w:val="auto"/>
                <w:kern w:val="21"/>
                <w:sz w:val="24"/>
                <w:szCs w:val="24"/>
                <w:highlight w:val="none"/>
                <w:lang w:val="en-US" w:eastAsia="zh-CN" w:bidi="ar-SA"/>
              </w:rPr>
              <w:t>本次技改完成后</w:t>
            </w:r>
            <w:r>
              <w:rPr>
                <w:rFonts w:hint="eastAsia" w:cs="Times New Roman"/>
                <w:b w:val="0"/>
                <w:bCs w:val="0"/>
                <w:color w:val="auto"/>
                <w:kern w:val="2"/>
                <w:sz w:val="24"/>
                <w:szCs w:val="24"/>
                <w:highlight w:val="none"/>
                <w:lang w:val="en-US" w:eastAsia="zh-CN" w:bidi="ar-SA"/>
              </w:rPr>
              <w:t>低压铸造机产能由20台/年增加到25台/年，其他产品产能不变。</w:t>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eastAsia" w:ascii="Times New Roman" w:hAnsi="Times New Roman" w:eastAsia="宋体" w:cs="Times New Roman"/>
                <w:b/>
                <w:color w:val="auto"/>
                <w:kern w:val="21"/>
                <w:sz w:val="24"/>
                <w:szCs w:val="20"/>
                <w:highlight w:val="none"/>
                <w:lang w:val="en-US" w:eastAsia="zh-CN" w:bidi="ar-SA"/>
              </w:rPr>
              <w:t>表2-</w:t>
            </w:r>
            <w:r>
              <w:rPr>
                <w:rFonts w:hint="eastAsia" w:cs="Times New Roman"/>
                <w:b/>
                <w:color w:val="auto"/>
                <w:kern w:val="21"/>
                <w:sz w:val="24"/>
                <w:szCs w:val="20"/>
                <w:highlight w:val="none"/>
                <w:lang w:val="en-US" w:eastAsia="zh-CN" w:bidi="ar-SA"/>
              </w:rPr>
              <w:t>6</w:t>
            </w:r>
            <w:r>
              <w:rPr>
                <w:rFonts w:hint="eastAsia" w:ascii="Times New Roman" w:hAnsi="Times New Roman" w:eastAsia="宋体" w:cs="Times New Roman"/>
                <w:b/>
                <w:color w:val="auto"/>
                <w:kern w:val="21"/>
                <w:sz w:val="24"/>
                <w:szCs w:val="20"/>
                <w:highlight w:val="none"/>
                <w:lang w:val="en-US" w:eastAsia="zh-CN" w:bidi="ar-SA"/>
              </w:rPr>
              <w:t xml:space="preserve">  </w:t>
            </w:r>
            <w:r>
              <w:rPr>
                <w:rFonts w:hint="eastAsia" w:cs="Times New Roman"/>
                <w:b/>
                <w:color w:val="auto"/>
                <w:kern w:val="21"/>
                <w:sz w:val="24"/>
                <w:szCs w:val="20"/>
                <w:highlight w:val="none"/>
                <w:lang w:val="en-US" w:eastAsia="zh-CN" w:bidi="ar-SA"/>
              </w:rPr>
              <w:t>建设完成后全厂</w:t>
            </w:r>
            <w:r>
              <w:rPr>
                <w:rFonts w:hint="eastAsia" w:ascii="Times New Roman" w:hAnsi="Times New Roman" w:eastAsia="宋体" w:cs="Times New Roman"/>
                <w:b/>
                <w:color w:val="auto"/>
                <w:kern w:val="21"/>
                <w:sz w:val="24"/>
                <w:szCs w:val="20"/>
                <w:highlight w:val="none"/>
                <w:lang w:val="en-US" w:eastAsia="zh-CN" w:bidi="ar-SA"/>
              </w:rPr>
              <w:t>产品方案一览表</w:t>
            </w:r>
            <w:r>
              <w:rPr>
                <w:rFonts w:hint="eastAsia" w:cs="Times New Roman"/>
                <w:b/>
                <w:color w:val="auto"/>
                <w:kern w:val="21"/>
                <w:sz w:val="24"/>
                <w:szCs w:val="20"/>
                <w:highlight w:val="none"/>
                <w:lang w:val="en-US" w:eastAsia="zh-CN" w:bidi="ar-SA"/>
              </w:rPr>
              <w:t xml:space="preserve">    单位：台</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691"/>
              <w:gridCol w:w="1569"/>
              <w:gridCol w:w="2420"/>
              <w:gridCol w:w="1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center"/>
                </w:tcPr>
                <w:p>
                  <w:pPr>
                    <w:spacing w:line="240" w:lineRule="auto"/>
                    <w:jc w:val="center"/>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eastAsiaTheme="minorEastAsia"/>
                      <w:color w:val="auto"/>
                      <w:sz w:val="21"/>
                      <w:szCs w:val="21"/>
                      <w:highlight w:val="none"/>
                      <w:lang w:val="en-US" w:eastAsia="zh-CN"/>
                    </w:rPr>
                    <w:t>产品名称</w:t>
                  </w:r>
                </w:p>
              </w:tc>
              <w:tc>
                <w:tcPr>
                  <w:tcW w:w="944" w:type="pct"/>
                  <w:vAlign w:val="center"/>
                </w:tcPr>
                <w:p>
                  <w:pPr>
                    <w:spacing w:line="240" w:lineRule="auto"/>
                    <w:jc w:val="center"/>
                    <w:rPr>
                      <w:rFonts w:hint="default" w:ascii="Times New Roman" w:hAnsi="Times New Roman" w:cs="Times New Roman"/>
                      <w:color w:val="auto"/>
                      <w:highlight w:val="none"/>
                      <w:vertAlign w:val="baseline"/>
                      <w:lang w:val="en-US" w:eastAsia="zh-CN"/>
                    </w:rPr>
                  </w:pPr>
                  <w:r>
                    <w:rPr>
                      <w:rFonts w:hint="eastAsia" w:cs="Times New Roman" w:eastAsiaTheme="minorEastAsia"/>
                      <w:color w:val="auto"/>
                      <w:sz w:val="21"/>
                      <w:szCs w:val="21"/>
                      <w:highlight w:val="none"/>
                      <w:lang w:val="en-US" w:eastAsia="zh-CN"/>
                    </w:rPr>
                    <w:t>现有工程</w:t>
                  </w:r>
                  <w:r>
                    <w:rPr>
                      <w:rFonts w:hint="eastAsia" w:ascii="Times New Roman" w:hAnsi="Times New Roman" w:cs="Times New Roman" w:eastAsiaTheme="minorEastAsia"/>
                      <w:color w:val="auto"/>
                      <w:sz w:val="21"/>
                      <w:szCs w:val="21"/>
                      <w:highlight w:val="none"/>
                      <w:lang w:val="en-US" w:eastAsia="zh-CN"/>
                    </w:rPr>
                    <w:t>年产量</w:t>
                  </w:r>
                </w:p>
              </w:tc>
              <w:tc>
                <w:tcPr>
                  <w:tcW w:w="8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本项目年产量</w:t>
                  </w:r>
                </w:p>
              </w:tc>
              <w:tc>
                <w:tcPr>
                  <w:tcW w:w="1351" w:type="pct"/>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技改完成后全厂产量</w:t>
                  </w:r>
                </w:p>
              </w:tc>
              <w:tc>
                <w:tcPr>
                  <w:tcW w:w="776" w:type="pct"/>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弯管机</w:t>
                  </w:r>
                </w:p>
              </w:tc>
              <w:tc>
                <w:tcPr>
                  <w:tcW w:w="944"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2420" w:type="dxa"/>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c>
                <w:tcPr>
                  <w:tcW w:w="7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胶管扣压机</w:t>
                  </w:r>
                </w:p>
              </w:tc>
              <w:tc>
                <w:tcPr>
                  <w:tcW w:w="944"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2420" w:type="dxa"/>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50</w:t>
                  </w:r>
                </w:p>
              </w:tc>
              <w:tc>
                <w:tcPr>
                  <w:tcW w:w="7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旋压扩口机</w:t>
                  </w:r>
                </w:p>
              </w:tc>
              <w:tc>
                <w:tcPr>
                  <w:tcW w:w="944"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2420" w:type="dxa"/>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w:t>
                  </w:r>
                </w:p>
              </w:tc>
              <w:tc>
                <w:tcPr>
                  <w:tcW w:w="7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卡套预装机</w:t>
                  </w:r>
                </w:p>
              </w:tc>
              <w:tc>
                <w:tcPr>
                  <w:tcW w:w="944"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2420" w:type="dxa"/>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100</w:t>
                  </w:r>
                </w:p>
              </w:tc>
              <w:tc>
                <w:tcPr>
                  <w:tcW w:w="7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窝缝机</w:t>
                  </w:r>
                </w:p>
              </w:tc>
              <w:tc>
                <w:tcPr>
                  <w:tcW w:w="944"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2420" w:type="dxa"/>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776" w:type="pct"/>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低压铸造机</w:t>
                  </w:r>
                </w:p>
              </w:tc>
              <w:tc>
                <w:tcPr>
                  <w:tcW w:w="944" w:type="pct"/>
                  <w:vAlign w:val="top"/>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w:t>
                  </w:r>
                </w:p>
              </w:tc>
              <w:tc>
                <w:tcPr>
                  <w:tcW w:w="876" w:type="pct"/>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2420" w:type="dxa"/>
                  <w:vAlign w:val="top"/>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25</w:t>
                  </w:r>
                </w:p>
              </w:tc>
              <w:tc>
                <w:tcPr>
                  <w:tcW w:w="776" w:type="pct"/>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w:t>
                  </w:r>
                </w:p>
              </w:tc>
            </w:tr>
          </w:tbl>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3.4生产设备情况</w:t>
            </w:r>
          </w:p>
          <w:p>
            <w:pPr>
              <w:pStyle w:val="50"/>
              <w:bidi w:val="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本次</w:t>
            </w:r>
            <w:r>
              <w:rPr>
                <w:rFonts w:hint="eastAsia" w:ascii="Times New Roman" w:hAnsi="Times New Roman" w:cs="Times New Roman"/>
                <w:color w:val="auto"/>
                <w:highlight w:val="none"/>
                <w:lang w:val="en-US" w:eastAsia="zh-CN"/>
              </w:rPr>
              <w:t>技改</w:t>
            </w:r>
            <w:r>
              <w:rPr>
                <w:rFonts w:hint="default" w:ascii="Times New Roman" w:hAnsi="Times New Roman" w:cs="Times New Roman"/>
                <w:color w:val="auto"/>
                <w:highlight w:val="none"/>
                <w:lang w:val="en-US" w:eastAsia="zh-CN"/>
              </w:rPr>
              <w:t>项目新增</w:t>
            </w:r>
            <w:r>
              <w:rPr>
                <w:rFonts w:hint="eastAsia" w:ascii="Times New Roman" w:hAnsi="Times New Roman" w:cs="Times New Roman"/>
                <w:color w:val="auto"/>
                <w:highlight w:val="none"/>
                <w:lang w:val="en-US" w:eastAsia="zh-CN"/>
              </w:rPr>
              <w:t>部分生产设备，现有工程设备中无落后、淘汰设备。</w:t>
            </w:r>
            <w:r>
              <w:rPr>
                <w:rFonts w:hint="default" w:ascii="Times New Roman" w:hAnsi="Times New Roman" w:cs="Times New Roman"/>
                <w:color w:val="auto"/>
                <w:highlight w:val="none"/>
                <w:lang w:val="en-US" w:eastAsia="zh-CN"/>
              </w:rPr>
              <w:t>生产设备一览表如下表：</w:t>
            </w:r>
            <w:r>
              <w:rPr>
                <w:rFonts w:hint="eastAsia" w:ascii="Times New Roman" w:hAnsi="Times New Roman" w:cs="Times New Roman"/>
                <w:color w:val="auto"/>
                <w:highlight w:val="none"/>
                <w:lang w:val="en-US" w:eastAsia="zh-CN"/>
              </w:rPr>
              <w:t>1</w:t>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default" w:ascii="Times New Roman" w:hAnsi="Times New Roman" w:eastAsia="宋体" w:cs="Times New Roman"/>
                <w:b/>
                <w:color w:val="auto"/>
                <w:kern w:val="21"/>
                <w:sz w:val="24"/>
                <w:szCs w:val="20"/>
                <w:highlight w:val="none"/>
                <w:lang w:val="en-US" w:eastAsia="zh-CN" w:bidi="ar-SA"/>
              </w:rPr>
              <w:t>表</w:t>
            </w:r>
            <w:r>
              <w:rPr>
                <w:rFonts w:hint="eastAsia" w:ascii="Times New Roman" w:hAnsi="Times New Roman" w:eastAsia="宋体" w:cs="Times New Roman"/>
                <w:b/>
                <w:color w:val="auto"/>
                <w:kern w:val="21"/>
                <w:sz w:val="24"/>
                <w:szCs w:val="20"/>
                <w:highlight w:val="none"/>
                <w:lang w:val="en-US" w:eastAsia="zh-CN" w:bidi="ar-SA"/>
              </w:rPr>
              <w:t>2-</w:t>
            </w:r>
            <w:r>
              <w:rPr>
                <w:rFonts w:hint="eastAsia" w:cs="Times New Roman"/>
                <w:b/>
                <w:color w:val="auto"/>
                <w:kern w:val="21"/>
                <w:sz w:val="24"/>
                <w:szCs w:val="20"/>
                <w:highlight w:val="none"/>
                <w:lang w:val="en-US" w:eastAsia="zh-CN" w:bidi="ar-SA"/>
              </w:rPr>
              <w:t>7</w:t>
            </w:r>
            <w:r>
              <w:rPr>
                <w:rFonts w:hint="default" w:ascii="Times New Roman" w:hAnsi="Times New Roman" w:eastAsia="宋体" w:cs="Times New Roman"/>
                <w:b/>
                <w:color w:val="auto"/>
                <w:kern w:val="21"/>
                <w:sz w:val="24"/>
                <w:szCs w:val="20"/>
                <w:highlight w:val="none"/>
                <w:lang w:val="en-US" w:eastAsia="zh-CN" w:bidi="ar-SA"/>
              </w:rPr>
              <w:t xml:space="preserve">  生产设备一览表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2201"/>
              <w:gridCol w:w="1492"/>
              <w:gridCol w:w="782"/>
              <w:gridCol w:w="1348"/>
              <w:gridCol w:w="793"/>
              <w:gridCol w:w="79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blHeader/>
                <w:jc w:val="center"/>
              </w:trPr>
              <w:tc>
                <w:tcPr>
                  <w:tcW w:w="619" w:type="dxa"/>
                  <w:vMerge w:val="restart"/>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序号</w:t>
                  </w:r>
                </w:p>
              </w:tc>
              <w:tc>
                <w:tcPr>
                  <w:tcW w:w="2431" w:type="dxa"/>
                  <w:vMerge w:val="restart"/>
                  <w:tcBorders>
                    <w:tl2br w:val="nil"/>
                    <w:tr2bl w:val="nil"/>
                  </w:tcBorders>
                  <w:noWrap w:val="0"/>
                  <w:vAlign w:val="center"/>
                </w:tcPr>
                <w:p>
                  <w:pPr>
                    <w:pStyle w:val="58"/>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2331" w:type="dxa"/>
                  <w:gridSpan w:val="2"/>
                  <w:tcBorders>
                    <w:tl2br w:val="nil"/>
                    <w:tr2bl w:val="nil"/>
                  </w:tcBorders>
                  <w:noWrap w:val="0"/>
                  <w:vAlign w:val="center"/>
                </w:tcPr>
                <w:p>
                  <w:pPr>
                    <w:pStyle w:val="58"/>
                    <w:bidi w:val="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现有</w:t>
                  </w:r>
                  <w:r>
                    <w:rPr>
                      <w:rFonts w:hint="eastAsia" w:ascii="Times New Roman" w:hAnsi="Times New Roman" w:cs="Times New Roman"/>
                      <w:color w:val="auto"/>
                      <w:highlight w:val="none"/>
                      <w:lang w:val="en-US" w:eastAsia="zh-CN"/>
                    </w:rPr>
                    <w:t>工程</w:t>
                  </w:r>
                </w:p>
              </w:tc>
              <w:tc>
                <w:tcPr>
                  <w:tcW w:w="1689" w:type="dxa"/>
                  <w:gridSpan w:val="2"/>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技改工程</w:t>
                  </w:r>
                </w:p>
              </w:tc>
              <w:tc>
                <w:tcPr>
                  <w:tcW w:w="851" w:type="dxa"/>
                  <w:vMerge w:val="restart"/>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全厂</w:t>
                  </w:r>
                </w:p>
                <w:p>
                  <w:pPr>
                    <w:pStyle w:val="5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数量</w:t>
                  </w:r>
                </w:p>
              </w:tc>
              <w:tc>
                <w:tcPr>
                  <w:tcW w:w="1034" w:type="dxa"/>
                  <w:vMerge w:val="restart"/>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技改</w:t>
                  </w:r>
                  <w:r>
                    <w:rPr>
                      <w:rFonts w:hint="default" w:ascii="Times New Roman" w:hAnsi="Times New Roman" w:cs="Times New Roman"/>
                      <w:color w:val="auto"/>
                      <w:highlight w:val="none"/>
                      <w:lang w:val="en-US" w:eastAsia="zh-CN"/>
                    </w:rPr>
                    <w:t>前后变化情况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619" w:type="dxa"/>
                  <w:vMerge w:val="continue"/>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p>
              </w:tc>
              <w:tc>
                <w:tcPr>
                  <w:tcW w:w="2431" w:type="dxa"/>
                  <w:vMerge w:val="continue"/>
                  <w:tcBorders>
                    <w:tl2br w:val="nil"/>
                    <w:tr2bl w:val="nil"/>
                  </w:tcBorders>
                  <w:noWrap w:val="0"/>
                  <w:vAlign w:val="center"/>
                </w:tcPr>
                <w:p>
                  <w:pPr>
                    <w:pStyle w:val="58"/>
                    <w:bidi w:val="0"/>
                    <w:rPr>
                      <w:rFonts w:hint="default" w:ascii="Times New Roman" w:hAnsi="Times New Roman" w:cs="Times New Roman"/>
                      <w:color w:val="auto"/>
                      <w:highlight w:val="none"/>
                    </w:rPr>
                  </w:pPr>
                </w:p>
              </w:tc>
              <w:tc>
                <w:tcPr>
                  <w:tcW w:w="1493" w:type="dxa"/>
                  <w:tcBorders>
                    <w:tl2br w:val="nil"/>
                    <w:tr2bl w:val="nil"/>
                  </w:tcBorders>
                  <w:noWrap w:val="0"/>
                  <w:vAlign w:val="center"/>
                </w:tcPr>
                <w:p>
                  <w:pPr>
                    <w:pStyle w:val="58"/>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型号</w:t>
                  </w:r>
                </w:p>
              </w:tc>
              <w:tc>
                <w:tcPr>
                  <w:tcW w:w="838"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数量</w:t>
                  </w:r>
                </w:p>
              </w:tc>
              <w:tc>
                <w:tcPr>
                  <w:tcW w:w="838"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型号</w:t>
                  </w:r>
                </w:p>
              </w:tc>
              <w:tc>
                <w:tcPr>
                  <w:tcW w:w="851"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数量</w:t>
                  </w:r>
                </w:p>
              </w:tc>
              <w:tc>
                <w:tcPr>
                  <w:tcW w:w="851" w:type="dxa"/>
                  <w:vMerge w:val="continue"/>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p>
              </w:tc>
              <w:tc>
                <w:tcPr>
                  <w:tcW w:w="1034" w:type="dxa"/>
                  <w:vMerge w:val="continue"/>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c>
                <w:tcPr>
                  <w:tcW w:w="2431" w:type="dxa"/>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普通车床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CDE6140A</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2</w:t>
                  </w:r>
                </w:p>
              </w:tc>
              <w:tc>
                <w:tcPr>
                  <w:tcW w:w="2431" w:type="dxa"/>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普通车床</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CFW61100Q</w:t>
                  </w:r>
                </w:p>
              </w:tc>
              <w:tc>
                <w:tcPr>
                  <w:tcW w:w="851"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3</w:t>
                  </w:r>
                </w:p>
              </w:tc>
              <w:tc>
                <w:tcPr>
                  <w:tcW w:w="2431"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普通车床</w:t>
                  </w:r>
                </w:p>
              </w:tc>
              <w:tc>
                <w:tcPr>
                  <w:tcW w:w="1493"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CY6250B1200</w:t>
                  </w:r>
                </w:p>
              </w:tc>
              <w:tc>
                <w:tcPr>
                  <w:tcW w:w="838"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4</w:t>
                  </w:r>
                </w:p>
              </w:tc>
              <w:tc>
                <w:tcPr>
                  <w:tcW w:w="2431"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万能升降台铣床</w:t>
                  </w:r>
                </w:p>
              </w:tc>
              <w:tc>
                <w:tcPr>
                  <w:tcW w:w="1493"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XA6132</w:t>
                  </w:r>
                </w:p>
              </w:tc>
              <w:tc>
                <w:tcPr>
                  <w:tcW w:w="838"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5</w:t>
                  </w:r>
                </w:p>
              </w:tc>
              <w:tc>
                <w:tcPr>
                  <w:tcW w:w="2431"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炮塔铣床</w:t>
                  </w:r>
                </w:p>
              </w:tc>
              <w:tc>
                <w:tcPr>
                  <w:tcW w:w="1493"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4M</w:t>
                  </w:r>
                </w:p>
              </w:tc>
              <w:tc>
                <w:tcPr>
                  <w:tcW w:w="838"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highlight w:val="none"/>
                      <w:lang w:val="en-US" w:eastAsia="zh-CN"/>
                    </w:rPr>
                    <w:t>6</w:t>
                  </w:r>
                </w:p>
              </w:tc>
              <w:tc>
                <w:tcPr>
                  <w:tcW w:w="2431"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卧式车床</w:t>
                  </w:r>
                </w:p>
              </w:tc>
              <w:tc>
                <w:tcPr>
                  <w:tcW w:w="1493"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CY6250B</w:t>
                  </w:r>
                </w:p>
              </w:tc>
              <w:tc>
                <w:tcPr>
                  <w:tcW w:w="838"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7</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带锯床</w:t>
                  </w:r>
                </w:p>
              </w:tc>
              <w:tc>
                <w:tcPr>
                  <w:tcW w:w="1493"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FS4230</w:t>
                  </w:r>
                </w:p>
              </w:tc>
              <w:tc>
                <w:tcPr>
                  <w:tcW w:w="838" w:type="dxa"/>
                  <w:tcBorders>
                    <w:tl2br w:val="nil"/>
                    <w:tr2bl w:val="nil"/>
                  </w:tcBorders>
                  <w:noWrap w:val="0"/>
                  <w:vAlign w:val="center"/>
                </w:tcPr>
                <w:p>
                  <w:pPr>
                    <w:pStyle w:val="58"/>
                    <w:bidi w:val="0"/>
                    <w:spacing w:line="240" w:lineRule="auto"/>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8</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数控加工中心</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XK715D/11</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9</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数控加工中心</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(Vturn-22w)</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10</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数控车床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CAK6150D</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11</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数控车床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CFK6163B</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12</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数控车床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CAK5085ns   </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13</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摇臂钻床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Z3050X16/1</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eastAsia"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14</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摇臂钻床</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Z3032K</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15</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卧轴距台平面磨床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M7130G</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16</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线切割机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17</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氩弧焊</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WS-400</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18</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NBC350</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19</w:t>
                  </w:r>
                </w:p>
              </w:tc>
              <w:tc>
                <w:tcPr>
                  <w:tcW w:w="2431" w:type="dxa"/>
                  <w:tcBorders>
                    <w:tl2br w:val="nil"/>
                    <w:tr2bl w:val="nil"/>
                  </w:tcBorders>
                  <w:noWrap w:val="0"/>
                  <w:vAlign w:val="center"/>
                </w:tcPr>
                <w:p>
                  <w:pPr>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KRII350</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20</w:t>
                  </w:r>
                </w:p>
              </w:tc>
              <w:tc>
                <w:tcPr>
                  <w:tcW w:w="2431" w:type="dxa"/>
                  <w:tcBorders>
                    <w:tl2br w:val="nil"/>
                    <w:tr2bl w:val="nil"/>
                  </w:tcBorders>
                  <w:noWrap w:val="0"/>
                  <w:vAlign w:val="center"/>
                </w:tcPr>
                <w:p>
                  <w:pPr>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NBC500</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21</w:t>
                  </w:r>
                </w:p>
              </w:tc>
              <w:tc>
                <w:tcPr>
                  <w:tcW w:w="2431" w:type="dxa"/>
                  <w:tcBorders>
                    <w:tl2br w:val="nil"/>
                    <w:tr2bl w:val="nil"/>
                  </w:tcBorders>
                  <w:noWrap w:val="0"/>
                  <w:vAlign w:val="center"/>
                </w:tcPr>
                <w:p>
                  <w:pPr>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CO</w:t>
                  </w:r>
                  <w:r>
                    <w:rPr>
                      <w:rFonts w:hint="eastAsia" w:ascii="Times New Roman" w:hAnsi="Times New Roman" w:cs="Times New Roman"/>
                      <w:color w:val="auto"/>
                      <w:sz w:val="21"/>
                      <w:highlight w:val="none"/>
                      <w:vertAlign w:val="subscript"/>
                      <w:lang w:val="en-US" w:eastAsia="zh-CN"/>
                    </w:rPr>
                    <w:t>2</w:t>
                  </w:r>
                  <w:r>
                    <w:rPr>
                      <w:rFonts w:hint="eastAsia" w:ascii="Times New Roman" w:hAnsi="Times New Roman" w:cs="Times New Roman"/>
                      <w:color w:val="auto"/>
                      <w:sz w:val="21"/>
                      <w:highlight w:val="none"/>
                      <w:lang w:val="en-US" w:eastAsia="zh-CN"/>
                    </w:rPr>
                    <w:t>保护焊机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KRII500</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22</w:t>
                  </w:r>
                </w:p>
              </w:tc>
              <w:tc>
                <w:tcPr>
                  <w:tcW w:w="2431"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电火花机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EDM450</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23</w:t>
                  </w:r>
                </w:p>
              </w:tc>
              <w:tc>
                <w:tcPr>
                  <w:tcW w:w="2431" w:type="dxa"/>
                  <w:tcBorders>
                    <w:tl2br w:val="nil"/>
                    <w:tr2bl w:val="nil"/>
                  </w:tcBorders>
                  <w:noWrap w:val="0"/>
                  <w:vAlign w:val="center"/>
                </w:tcPr>
                <w:p>
                  <w:pPr>
                    <w:bidi w:val="0"/>
                    <w:spacing w:line="240" w:lineRule="auto"/>
                    <w:jc w:val="center"/>
                    <w:rPr>
                      <w:rFonts w:hint="default" w:cs="Times New Roman"/>
                      <w:color w:val="auto"/>
                      <w:sz w:val="21"/>
                      <w:highlight w:val="none"/>
                      <w:lang w:val="en-US" w:eastAsia="zh-CN"/>
                    </w:rPr>
                  </w:pPr>
                  <w:r>
                    <w:rPr>
                      <w:rFonts w:hint="eastAsia" w:cs="Times New Roman"/>
                      <w:color w:val="auto"/>
                      <w:sz w:val="21"/>
                      <w:highlight w:val="none"/>
                      <w:lang w:val="en-US" w:eastAsia="zh-CN"/>
                    </w:rPr>
                    <w:t>卷圆机</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24</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移动式焊烟净化器</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移动式</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 xml:space="preserve">0     </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2</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25</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有机废气治理设施</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二级活性炭+干式过滤箱</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1套</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26</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喷漆设备</w:t>
                  </w:r>
                </w:p>
              </w:tc>
              <w:tc>
                <w:tcPr>
                  <w:tcW w:w="1493"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喷枪</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eastAsia="宋体" w:cs="Times New Roman"/>
                      <w:color w:val="auto"/>
                      <w:sz w:val="21"/>
                      <w:highlight w:val="none"/>
                      <w:lang w:val="en-US" w:eastAsia="zh-CN"/>
                    </w:rPr>
                  </w:pPr>
                  <w:r>
                    <w:rPr>
                      <w:rFonts w:hint="eastAsia" w:ascii="Times New Roman" w:hAnsi="Times New Roman" w:cs="Times New Roman"/>
                      <w:color w:val="auto"/>
                      <w:highlight w:val="none"/>
                      <w:lang w:val="en-US" w:eastAsia="zh-CN"/>
                    </w:rPr>
                    <w:t>27</w:t>
                  </w:r>
                </w:p>
              </w:tc>
              <w:tc>
                <w:tcPr>
                  <w:tcW w:w="2431" w:type="dxa"/>
                  <w:tcBorders>
                    <w:tl2br w:val="nil"/>
                    <w:tr2bl w:val="nil"/>
                  </w:tcBorders>
                  <w:noWrap w:val="0"/>
                  <w:vAlign w:val="center"/>
                </w:tcPr>
                <w:p>
                  <w:pPr>
                    <w:pStyle w:val="58"/>
                    <w:bidi w:val="0"/>
                    <w:spacing w:line="240" w:lineRule="auto"/>
                    <w:jc w:val="center"/>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VOCs在线报警装置</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619" w:type="dxa"/>
                  <w:tcBorders>
                    <w:tl2br w:val="nil"/>
                    <w:tr2bl w:val="nil"/>
                  </w:tcBorders>
                  <w:noWrap w:val="0"/>
                  <w:vAlign w:val="center"/>
                </w:tcPr>
                <w:p>
                  <w:pPr>
                    <w:pStyle w:val="58"/>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28</w:t>
                  </w:r>
                </w:p>
              </w:tc>
              <w:tc>
                <w:tcPr>
                  <w:tcW w:w="2431" w:type="dxa"/>
                  <w:tcBorders>
                    <w:tl2br w:val="nil"/>
                    <w:tr2bl w:val="nil"/>
                  </w:tcBorders>
                  <w:noWrap w:val="0"/>
                  <w:vAlign w:val="center"/>
                </w:tcPr>
                <w:p>
                  <w:pPr>
                    <w:pStyle w:val="58"/>
                    <w:bidi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VOCs厂界监测器</w:t>
                  </w:r>
                </w:p>
              </w:tc>
              <w:tc>
                <w:tcPr>
                  <w:tcW w:w="1493"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38" w:type="dxa"/>
                  <w:tcBorders>
                    <w:tl2br w:val="nil"/>
                    <w:tr2bl w:val="nil"/>
                  </w:tcBorders>
                  <w:noWrap w:val="0"/>
                  <w:vAlign w:val="center"/>
                </w:tcPr>
                <w:p>
                  <w:pPr>
                    <w:pStyle w:val="58"/>
                    <w:bidi w:val="0"/>
                    <w:spacing w:line="240" w:lineRule="auto"/>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0</w:t>
                  </w:r>
                </w:p>
              </w:tc>
              <w:tc>
                <w:tcPr>
                  <w:tcW w:w="838" w:type="dxa"/>
                  <w:tcBorders>
                    <w:tl2br w:val="nil"/>
                    <w:tr2bl w:val="nil"/>
                  </w:tcBorders>
                  <w:noWrap w:val="0"/>
                  <w:vAlign w:val="center"/>
                </w:tcPr>
                <w:p>
                  <w:pPr>
                    <w:pStyle w:val="58"/>
                    <w:bidi w:val="0"/>
                    <w:rPr>
                      <w:rFonts w:hint="default"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851" w:type="dxa"/>
                  <w:tcBorders>
                    <w:tl2br w:val="nil"/>
                    <w:tr2bl w:val="nil"/>
                  </w:tcBorders>
                  <w:noWrap w:val="0"/>
                  <w:vAlign w:val="center"/>
                </w:tcPr>
                <w:p>
                  <w:pPr>
                    <w:pStyle w:val="58"/>
                    <w:bidi w:val="0"/>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w:t>
                  </w:r>
                </w:p>
              </w:tc>
              <w:tc>
                <w:tcPr>
                  <w:tcW w:w="1034" w:type="dxa"/>
                  <w:tcBorders>
                    <w:tl2br w:val="nil"/>
                    <w:tr2bl w:val="nil"/>
                  </w:tcBorders>
                  <w:noWrap w:val="0"/>
                  <w:vAlign w:val="center"/>
                </w:tcPr>
                <w:p>
                  <w:pPr>
                    <w:pStyle w:val="58"/>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w:t>
                  </w:r>
                </w:p>
              </w:tc>
            </w:tr>
          </w:tbl>
          <w:p>
            <w:pPr>
              <w:pStyle w:val="50"/>
              <w:numPr>
                <w:ilvl w:val="0"/>
                <w:numId w:val="0"/>
              </w:numPr>
              <w:bidi w:val="0"/>
              <w:ind w:leftChars="0"/>
              <w:rPr>
                <w:rFonts w:hint="eastAsia" w:ascii="Times New Roman" w:hAnsi="Times New Roman" w:cs="Times New Roman"/>
                <w:b/>
                <w:bCs/>
                <w:color w:val="auto"/>
                <w:kern w:val="2"/>
                <w:sz w:val="24"/>
                <w:szCs w:val="24"/>
                <w:highlight w:val="none"/>
                <w:lang w:val="en-US" w:eastAsia="zh-CN" w:bidi="ar-SA"/>
              </w:rPr>
            </w:pPr>
            <w:r>
              <w:rPr>
                <w:rFonts w:hint="eastAsia" w:ascii="Times New Roman" w:hAnsi="Times New Roman" w:cs="Times New Roman"/>
                <w:b/>
                <w:bCs/>
                <w:color w:val="auto"/>
                <w:kern w:val="2"/>
                <w:sz w:val="24"/>
                <w:szCs w:val="24"/>
                <w:highlight w:val="none"/>
                <w:lang w:val="en-US" w:eastAsia="zh-CN" w:bidi="ar-SA"/>
              </w:rPr>
              <w:t>3.5原辅材料情况</w:t>
            </w:r>
          </w:p>
          <w:p>
            <w:pPr>
              <w:ind w:firstLine="480" w:firstLineChars="200"/>
              <w:rPr>
                <w:rFonts w:hint="default" w:ascii="Times New Roman" w:hAnsi="Times New Roman" w:eastAsia="宋体" w:cs="Times New Roman"/>
                <w:b/>
                <w:color w:val="auto"/>
                <w:kern w:val="21"/>
                <w:sz w:val="24"/>
                <w:szCs w:val="20"/>
                <w:highlight w:val="none"/>
                <w:lang w:val="en-US" w:eastAsia="zh-CN" w:bidi="ar-SA"/>
              </w:rPr>
            </w:pPr>
            <w:r>
              <w:rPr>
                <w:rFonts w:hint="eastAsia" w:cs="Times New Roman"/>
                <w:color w:val="auto"/>
                <w:highlight w:val="none"/>
                <w:lang w:val="en-US" w:eastAsia="zh-CN"/>
              </w:rPr>
              <w:t>本次技改项目原辅材料用量及技改后全厂原辅料用量详见下表。</w:t>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default" w:ascii="Times New Roman" w:hAnsi="Times New Roman" w:eastAsia="宋体" w:cs="Times New Roman"/>
                <w:b/>
                <w:color w:val="auto"/>
                <w:kern w:val="21"/>
                <w:sz w:val="24"/>
                <w:szCs w:val="20"/>
                <w:highlight w:val="none"/>
                <w:lang w:val="en-US" w:eastAsia="zh-CN" w:bidi="ar-SA"/>
              </w:rPr>
              <w:t>表</w:t>
            </w:r>
            <w:r>
              <w:rPr>
                <w:rFonts w:hint="eastAsia" w:ascii="Times New Roman" w:hAnsi="Times New Roman" w:eastAsia="宋体" w:cs="Times New Roman"/>
                <w:b/>
                <w:color w:val="auto"/>
                <w:kern w:val="21"/>
                <w:sz w:val="24"/>
                <w:szCs w:val="20"/>
                <w:highlight w:val="none"/>
                <w:lang w:val="en-US" w:eastAsia="zh-CN" w:bidi="ar-SA"/>
              </w:rPr>
              <w:t>2-</w:t>
            </w:r>
            <w:r>
              <w:rPr>
                <w:rFonts w:hint="eastAsia" w:cs="Times New Roman"/>
                <w:b/>
                <w:color w:val="auto"/>
                <w:kern w:val="21"/>
                <w:sz w:val="24"/>
                <w:szCs w:val="20"/>
                <w:highlight w:val="none"/>
                <w:lang w:val="en-US" w:eastAsia="zh-CN" w:bidi="ar-SA"/>
              </w:rPr>
              <w:t>8</w:t>
            </w:r>
            <w:r>
              <w:rPr>
                <w:rFonts w:hint="default" w:ascii="Times New Roman" w:hAnsi="Times New Roman" w:eastAsia="宋体" w:cs="Times New Roman"/>
                <w:b/>
                <w:color w:val="auto"/>
                <w:kern w:val="21"/>
                <w:sz w:val="24"/>
                <w:szCs w:val="20"/>
                <w:highlight w:val="none"/>
                <w:lang w:val="en-US" w:eastAsia="zh-CN" w:bidi="ar-SA"/>
              </w:rPr>
              <w:t xml:space="preserve">  主要原辅材料消耗一览表</w:t>
            </w:r>
          </w:p>
          <w:tbl>
            <w:tblPr>
              <w:tblStyle w:val="32"/>
              <w:tblW w:w="497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26"/>
              <w:gridCol w:w="646"/>
              <w:gridCol w:w="762"/>
              <w:gridCol w:w="952"/>
              <w:gridCol w:w="1064"/>
              <w:gridCol w:w="744"/>
              <w:gridCol w:w="918"/>
              <w:gridCol w:w="948"/>
              <w:gridCol w:w="903"/>
              <w:gridCol w:w="1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2"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序号</w:t>
                  </w:r>
                </w:p>
              </w:tc>
              <w:tc>
                <w:tcPr>
                  <w:tcW w:w="362"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名称</w:t>
                  </w:r>
                </w:p>
              </w:tc>
              <w:tc>
                <w:tcPr>
                  <w:tcW w:w="427"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单位</w:t>
                  </w:r>
                </w:p>
              </w:tc>
              <w:tc>
                <w:tcPr>
                  <w:tcW w:w="533"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现有环评批复用量</w:t>
                  </w:r>
                </w:p>
              </w:tc>
              <w:tc>
                <w:tcPr>
                  <w:tcW w:w="59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现有工程满负荷生产使用量</w:t>
                  </w:r>
                </w:p>
              </w:tc>
              <w:tc>
                <w:tcPr>
                  <w:tcW w:w="417"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本次</w:t>
                  </w:r>
                  <w:r>
                    <w:rPr>
                      <w:rFonts w:hint="eastAsia" w:ascii="Times New Roman" w:hAnsi="Times New Roman" w:cs="Times New Roman"/>
                      <w:color w:val="auto"/>
                      <w:highlight w:val="none"/>
                      <w:lang w:val="en-US" w:eastAsia="zh-CN"/>
                    </w:rPr>
                    <w:t>技改</w:t>
                  </w:r>
                  <w:r>
                    <w:rPr>
                      <w:rFonts w:hint="eastAsia" w:ascii="Times New Roman" w:hAnsi="Times New Roman" w:cs="Times New Roman" w:eastAsiaTheme="minorEastAsia"/>
                      <w:color w:val="auto"/>
                      <w:sz w:val="21"/>
                      <w:szCs w:val="21"/>
                      <w:highlight w:val="none"/>
                      <w:lang w:val="en-US" w:eastAsia="zh-CN"/>
                    </w:rPr>
                    <w:t>用量</w:t>
                  </w:r>
                </w:p>
              </w:tc>
              <w:tc>
                <w:tcPr>
                  <w:tcW w:w="514" w:type="pct"/>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本次技改增加量</w:t>
                  </w:r>
                </w:p>
              </w:tc>
              <w:tc>
                <w:tcPr>
                  <w:tcW w:w="531"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highlight w:val="none"/>
                      <w:lang w:val="en-US" w:eastAsia="zh-CN"/>
                    </w:rPr>
                    <w:t>技改</w:t>
                  </w:r>
                  <w:r>
                    <w:rPr>
                      <w:rFonts w:hint="eastAsia" w:ascii="Times New Roman" w:hAnsi="Times New Roman" w:cs="Times New Roman" w:eastAsiaTheme="minorEastAsia"/>
                      <w:color w:val="auto"/>
                      <w:sz w:val="21"/>
                      <w:szCs w:val="21"/>
                      <w:highlight w:val="none"/>
                      <w:lang w:val="en-US" w:eastAsia="zh-CN"/>
                    </w:rPr>
                    <w:t>完成后全厂用量</w:t>
                  </w:r>
                </w:p>
              </w:tc>
              <w:tc>
                <w:tcPr>
                  <w:tcW w:w="506"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贮存位置</w:t>
                  </w:r>
                </w:p>
              </w:tc>
              <w:tc>
                <w:tcPr>
                  <w:tcW w:w="869"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1</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钢板</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165</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r>
                    <w:rPr>
                      <w:rFonts w:hint="eastAsia" w:cs="Times New Roman"/>
                      <w:color w:val="auto"/>
                      <w:sz w:val="21"/>
                      <w:szCs w:val="21"/>
                      <w:highlight w:val="none"/>
                      <w:lang w:val="en-US" w:eastAsia="zh-CN"/>
                    </w:rPr>
                    <w:t>35</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43</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r>
                    <w:rPr>
                      <w:rFonts w:hint="eastAsia" w:cs="Times New Roman"/>
                      <w:color w:val="auto"/>
                      <w:sz w:val="21"/>
                      <w:szCs w:val="21"/>
                      <w:highlight w:val="none"/>
                      <w:lang w:val="en-US" w:eastAsia="zh-CN"/>
                    </w:rPr>
                    <w:t>13</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178</w:t>
                  </w:r>
                </w:p>
              </w:tc>
              <w:tc>
                <w:tcPr>
                  <w:tcW w:w="50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p>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厚度4.5-60mm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5"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圆钢</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25</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r>
                    <w:rPr>
                      <w:rFonts w:hint="eastAsia" w:cs="Times New Roman"/>
                      <w:color w:val="auto"/>
                      <w:sz w:val="21"/>
                      <w:szCs w:val="21"/>
                      <w:highlight w:val="none"/>
                      <w:lang w:val="en-US" w:eastAsia="zh-CN"/>
                    </w:rPr>
                    <w:t>5</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50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p>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Φ8-300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3</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焊管</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55</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10</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r>
                    <w:rPr>
                      <w:rFonts w:hint="eastAsia" w:cs="Times New Roman"/>
                      <w:color w:val="auto"/>
                      <w:sz w:val="21"/>
                      <w:szCs w:val="21"/>
                      <w:highlight w:val="none"/>
                      <w:lang w:val="en-US" w:eastAsia="zh-CN"/>
                    </w:rPr>
                    <w:t>5</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65</w:t>
                  </w:r>
                </w:p>
              </w:tc>
              <w:tc>
                <w:tcPr>
                  <w:tcW w:w="50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p>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Φ25、40、89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8"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4</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方管</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95</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88</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7</w:t>
                  </w:r>
                </w:p>
              </w:tc>
              <w:tc>
                <w:tcPr>
                  <w:tcW w:w="514"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2"/>
                      <w:sz w:val="21"/>
                      <w:szCs w:val="21"/>
                      <w:highlight w:val="none"/>
                      <w:lang w:val="en-US" w:eastAsia="zh-CN" w:bidi="ar-SA"/>
                    </w:rPr>
                    <w:t>95</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40*40-200*200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5</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槽钢</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5#-16#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6</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角钢</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7</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8</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7</w:t>
                  </w:r>
                </w:p>
              </w:tc>
              <w:tc>
                <w:tcPr>
                  <w:tcW w:w="362"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H型钢</w:t>
                  </w:r>
                </w:p>
              </w:tc>
              <w:tc>
                <w:tcPr>
                  <w:tcW w:w="427"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r>
                    <w:rPr>
                      <w:rFonts w:hint="eastAsia" w:cs="Times New Roman"/>
                      <w:color w:val="auto"/>
                      <w:sz w:val="21"/>
                      <w:szCs w:val="21"/>
                      <w:highlight w:val="none"/>
                      <w:lang w:val="en-US" w:eastAsia="zh-CN"/>
                    </w:rPr>
                    <w:t>.2</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3.2</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8</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热镀管</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14"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2"/>
                      <w:sz w:val="21"/>
                      <w:szCs w:val="21"/>
                      <w:highlight w:val="none"/>
                      <w:lang w:val="en-US" w:eastAsia="zh-CN" w:bidi="ar-SA"/>
                    </w:rPr>
                    <w:t>2</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1.5*2.5-42-2.5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9</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焊条</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200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197</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w:t>
                  </w:r>
                </w:p>
              </w:tc>
              <w:tc>
                <w:tcPr>
                  <w:tcW w:w="514"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2"/>
                      <w:sz w:val="21"/>
                      <w:szCs w:val="21"/>
                      <w:highlight w:val="none"/>
                      <w:lang w:val="en-US" w:eastAsia="zh-CN" w:bidi="ar-SA"/>
                    </w:rPr>
                    <w:t>200</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2.0mm、2.5mm、3.2mm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10</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润滑油</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149</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150</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220kg/桶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11</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机油</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34</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12</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液压油</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Kg/年</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298</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300</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220kg/桶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13</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乳化液</w:t>
                  </w:r>
                </w:p>
              </w:tc>
              <w:tc>
                <w:tcPr>
                  <w:tcW w:w="42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kg/a</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74</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75</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库房车间</w:t>
                  </w:r>
                </w:p>
              </w:tc>
              <w:tc>
                <w:tcPr>
                  <w:tcW w:w="869"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15kg/桶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14</w:t>
                  </w:r>
                </w:p>
              </w:tc>
              <w:tc>
                <w:tcPr>
                  <w:tcW w:w="362" w:type="pct"/>
                  <w:tcBorders>
                    <w:tl2br w:val="nil"/>
                    <w:tr2bl w:val="nil"/>
                  </w:tcBorders>
                  <w:noWrap w:val="0"/>
                  <w:vAlign w:val="center"/>
                </w:tcPr>
                <w:p>
                  <w:pPr>
                    <w:spacing w:line="240" w:lineRule="auto"/>
                    <w:jc w:val="center"/>
                    <w:rPr>
                      <w:rFonts w:hint="eastAsia"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混合气</w:t>
                  </w:r>
                </w:p>
              </w:tc>
              <w:tc>
                <w:tcPr>
                  <w:tcW w:w="42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358</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360</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CO</w:t>
                  </w:r>
                  <w:r>
                    <w:rPr>
                      <w:rFonts w:hint="eastAsia" w:ascii="Times New Roman" w:hAnsi="Times New Roman" w:cs="Times New Roman" w:eastAsiaTheme="minorEastAsia"/>
                      <w:color w:val="auto"/>
                      <w:sz w:val="21"/>
                      <w:szCs w:val="21"/>
                      <w:highlight w:val="none"/>
                      <w:vertAlign w:val="subscript"/>
                      <w:lang w:val="en-US" w:eastAsia="zh-CN"/>
                    </w:rPr>
                    <w:t>2</w:t>
                  </w:r>
                  <w:r>
                    <w:rPr>
                      <w:rFonts w:hint="eastAsia" w:ascii="Times New Roman" w:hAnsi="Times New Roman" w:cs="Times New Roman" w:eastAsiaTheme="minorEastAsia"/>
                      <w:color w:val="auto"/>
                      <w:sz w:val="21"/>
                      <w:szCs w:val="21"/>
                      <w:highlight w:val="none"/>
                      <w:lang w:val="en-US" w:eastAsia="zh-CN"/>
                    </w:rPr>
                    <w:t>和氩气混合气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15</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氧气</w:t>
                  </w:r>
                </w:p>
              </w:tc>
              <w:tc>
                <w:tcPr>
                  <w:tcW w:w="42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179</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180</w:t>
                  </w:r>
                </w:p>
              </w:tc>
              <w:tc>
                <w:tcPr>
                  <w:tcW w:w="506" w:type="pct"/>
                  <w:tcBorders>
                    <w:tl2br w:val="nil"/>
                    <w:tr2bl w:val="nil"/>
                  </w:tcBorders>
                  <w:noWrap w:val="0"/>
                  <w:vAlign w:val="center"/>
                </w:tcPr>
                <w:p>
                  <w:pPr>
                    <w:bidi w:val="0"/>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10Mp/瓶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16</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氩气</w:t>
                  </w:r>
                </w:p>
              </w:tc>
              <w:tc>
                <w:tcPr>
                  <w:tcW w:w="42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11</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12</w:t>
                  </w:r>
                </w:p>
              </w:tc>
              <w:tc>
                <w:tcPr>
                  <w:tcW w:w="50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10Mp/瓶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17</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丙烷</w:t>
                  </w:r>
                </w:p>
              </w:tc>
              <w:tc>
                <w:tcPr>
                  <w:tcW w:w="42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瓶/年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5</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31"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6</w:t>
                  </w:r>
                </w:p>
              </w:tc>
              <w:tc>
                <w:tcPr>
                  <w:tcW w:w="506" w:type="pct"/>
                  <w:tcBorders>
                    <w:tl2br w:val="nil"/>
                    <w:tr2bl w:val="nil"/>
                  </w:tcBorders>
                  <w:noWrap w:val="0"/>
                  <w:vAlign w:val="center"/>
                </w:tcPr>
                <w:p>
                  <w:pPr>
                    <w:bidi w:val="0"/>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r>
                    <w:rPr>
                      <w:rFonts w:hint="eastAsia" w:cs="Times New Roman" w:eastAsiaTheme="minorEastAsia"/>
                      <w:color w:val="auto"/>
                      <w:sz w:val="21"/>
                      <w:szCs w:val="21"/>
                      <w:highlight w:val="none"/>
                      <w:lang w:val="en-US" w:eastAsia="zh-CN"/>
                    </w:rPr>
                    <w:t>车间</w:t>
                  </w:r>
                </w:p>
              </w:tc>
              <w:tc>
                <w:tcPr>
                  <w:tcW w:w="869" w:type="pct"/>
                  <w:tcBorders>
                    <w:tl2br w:val="nil"/>
                    <w:tr2bl w:val="nil"/>
                  </w:tcBorders>
                  <w:noWrap w:val="0"/>
                  <w:vAlign w:val="center"/>
                </w:tcPr>
                <w:p>
                  <w:pPr>
                    <w:bidi w:val="0"/>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20kg</w:t>
                  </w:r>
                  <w:r>
                    <w:rPr>
                      <w:rFonts w:hint="eastAsia" w:ascii="Times New Roman" w:hAnsi="Times New Roman" w:cs="Times New Roman" w:eastAsiaTheme="minorEastAsia"/>
                      <w:color w:val="auto"/>
                      <w:sz w:val="21"/>
                      <w:szCs w:val="21"/>
                      <w:highlight w:val="none"/>
                      <w:lang w:val="en-US" w:eastAsia="zh-CN"/>
                    </w:rPr>
                    <w:t>/瓶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38"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18</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活性炭</w:t>
                  </w:r>
                </w:p>
              </w:tc>
              <w:tc>
                <w:tcPr>
                  <w:tcW w:w="427"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w:t>
                  </w:r>
                </w:p>
              </w:tc>
              <w:tc>
                <w:tcPr>
                  <w:tcW w:w="531" w:type="pct"/>
                  <w:tcBorders>
                    <w:tl2br w:val="nil"/>
                    <w:tr2bl w:val="nil"/>
                  </w:tcBorders>
                  <w:noWrap w:val="0"/>
                  <w:vAlign w:val="center"/>
                </w:tcPr>
                <w:p>
                  <w:pPr>
                    <w:spacing w:line="240" w:lineRule="auto"/>
                    <w:jc w:val="center"/>
                    <w:rPr>
                      <w:rFonts w:hint="eastAsia"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9</w:t>
                  </w:r>
                </w:p>
              </w:tc>
              <w:tc>
                <w:tcPr>
                  <w:tcW w:w="506" w:type="pct"/>
                  <w:vMerge w:val="restar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新增</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环保设备厂家供应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2"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19</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过滤棉</w:t>
                  </w:r>
                </w:p>
              </w:tc>
              <w:tc>
                <w:tcPr>
                  <w:tcW w:w="42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吨/年</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1</w:t>
                  </w:r>
                </w:p>
              </w:tc>
              <w:tc>
                <w:tcPr>
                  <w:tcW w:w="506" w:type="pct"/>
                  <w:vMerge w:val="continue"/>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环保设备厂家供应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1"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20</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高固份油漆（醇酸树脂漆）</w:t>
                  </w:r>
                </w:p>
              </w:tc>
              <w:tc>
                <w:tcPr>
                  <w:tcW w:w="42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t/a</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0.4</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+0.4</w:t>
                  </w:r>
                </w:p>
              </w:tc>
              <w:tc>
                <w:tcPr>
                  <w:tcW w:w="531" w:type="pct"/>
                  <w:tcBorders>
                    <w:tl2br w:val="nil"/>
                    <w:tr2bl w:val="nil"/>
                  </w:tcBorders>
                  <w:noWrap w:val="0"/>
                  <w:vAlign w:val="center"/>
                </w:tcPr>
                <w:p>
                  <w:pPr>
                    <w:spacing w:line="240" w:lineRule="auto"/>
                    <w:jc w:val="center"/>
                    <w:rPr>
                      <w:rFonts w:hint="eastAsia"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0.4</w:t>
                  </w:r>
                </w:p>
              </w:tc>
              <w:tc>
                <w:tcPr>
                  <w:tcW w:w="506" w:type="pct"/>
                  <w:vMerge w:val="restar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库房</w:t>
                  </w: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71"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21</w:t>
                  </w:r>
                </w:p>
              </w:tc>
              <w:tc>
                <w:tcPr>
                  <w:tcW w:w="362"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水性漆（水性丙烯酸漆）</w:t>
                  </w:r>
                </w:p>
              </w:tc>
              <w:tc>
                <w:tcPr>
                  <w:tcW w:w="42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t/a</w:t>
                  </w:r>
                </w:p>
              </w:tc>
              <w:tc>
                <w:tcPr>
                  <w:tcW w:w="533"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17"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0.85</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+0.85</w:t>
                  </w:r>
                </w:p>
              </w:tc>
              <w:tc>
                <w:tcPr>
                  <w:tcW w:w="531"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0.85</w:t>
                  </w:r>
                </w:p>
              </w:tc>
              <w:tc>
                <w:tcPr>
                  <w:tcW w:w="506" w:type="pct"/>
                  <w:vMerge w:val="continue"/>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p>
              </w:tc>
              <w:tc>
                <w:tcPr>
                  <w:tcW w:w="869"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25kg/桶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8" w:hRule="atLeast"/>
                <w:jc w:val="center"/>
              </w:trPr>
              <w:tc>
                <w:tcPr>
                  <w:tcW w:w="238" w:type="pct"/>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22</w:t>
                  </w:r>
                </w:p>
              </w:tc>
              <w:tc>
                <w:tcPr>
                  <w:tcW w:w="362"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稀释剂</w:t>
                  </w:r>
                </w:p>
              </w:tc>
              <w:tc>
                <w:tcPr>
                  <w:tcW w:w="42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t/a</w:t>
                  </w:r>
                </w:p>
              </w:tc>
              <w:tc>
                <w:tcPr>
                  <w:tcW w:w="533"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w:t>
                  </w:r>
                </w:p>
              </w:tc>
              <w:tc>
                <w:tcPr>
                  <w:tcW w:w="596" w:type="pct"/>
                  <w:tcBorders>
                    <w:tl2br w:val="nil"/>
                    <w:tr2bl w:val="nil"/>
                  </w:tcBorders>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w:t>
                  </w:r>
                </w:p>
              </w:tc>
              <w:tc>
                <w:tcPr>
                  <w:tcW w:w="417"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0.05</w:t>
                  </w:r>
                </w:p>
              </w:tc>
              <w:tc>
                <w:tcPr>
                  <w:tcW w:w="514" w:type="pct"/>
                  <w:tcBorders>
                    <w:tl2br w:val="nil"/>
                    <w:tr2bl w:val="nil"/>
                  </w:tcBorders>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+0.05</w:t>
                  </w:r>
                </w:p>
              </w:tc>
              <w:tc>
                <w:tcPr>
                  <w:tcW w:w="531" w:type="pct"/>
                  <w:tcBorders>
                    <w:tl2br w:val="nil"/>
                    <w:tr2bl w:val="nil"/>
                  </w:tcBorders>
                  <w:noWrap w:val="0"/>
                  <w:vAlign w:val="center"/>
                </w:tcPr>
                <w:p>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eastAsiaTheme="minorEastAsia"/>
                      <w:color w:val="auto"/>
                      <w:sz w:val="21"/>
                      <w:szCs w:val="21"/>
                      <w:highlight w:val="none"/>
                      <w:lang w:val="en-US" w:eastAsia="zh-CN"/>
                    </w:rPr>
                    <w:t>0.05</w:t>
                  </w:r>
                </w:p>
              </w:tc>
              <w:tc>
                <w:tcPr>
                  <w:tcW w:w="506" w:type="pct"/>
                  <w:vMerge w:val="continue"/>
                  <w:tcBorders>
                    <w:tl2br w:val="nil"/>
                    <w:tr2bl w:val="nil"/>
                  </w:tcBorders>
                  <w:noWrap w:val="0"/>
                  <w:vAlign w:val="center"/>
                </w:tcPr>
                <w:p>
                  <w:pPr>
                    <w:pStyle w:val="81"/>
                    <w:bidi w:val="0"/>
                    <w:spacing w:line="240" w:lineRule="auto"/>
                    <w:rPr>
                      <w:rFonts w:hint="default" w:ascii="Times New Roman" w:hAnsi="Times New Roman" w:cs="Times New Roman" w:eastAsiaTheme="minorEastAsia"/>
                      <w:color w:val="auto"/>
                      <w:kern w:val="0"/>
                      <w:sz w:val="21"/>
                      <w:szCs w:val="21"/>
                      <w:highlight w:val="none"/>
                      <w:lang w:val="en-US" w:eastAsia="zh-CN" w:bidi="ar-SA"/>
                    </w:rPr>
                  </w:pPr>
                </w:p>
              </w:tc>
              <w:tc>
                <w:tcPr>
                  <w:tcW w:w="869" w:type="pct"/>
                  <w:tcBorders>
                    <w:tl2br w:val="nil"/>
                    <w:tr2bl w:val="nil"/>
                  </w:tcBorders>
                  <w:noWrap w:val="0"/>
                  <w:vAlign w:val="center"/>
                </w:tcPr>
                <w:p>
                  <w:pPr>
                    <w:pStyle w:val="81"/>
                    <w:bidi w:val="0"/>
                    <w:spacing w:line="240" w:lineRule="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10kg/桶（本项目使用高固份油漆需稀释剂较少）</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注：</w:t>
            </w:r>
            <w:r>
              <w:rPr>
                <w:rFonts w:hint="eastAsia" w:cs="Times New Roman"/>
                <w:color w:val="auto"/>
                <w:kern w:val="0"/>
                <w:sz w:val="21"/>
                <w:szCs w:val="21"/>
                <w:highlight w:val="none"/>
                <w:lang w:val="en-US" w:eastAsia="zh-CN" w:bidi="ar-SA"/>
              </w:rPr>
              <w:t>根据企业提供的检测报告，</w:t>
            </w:r>
            <w:r>
              <w:rPr>
                <w:rFonts w:hint="eastAsia" w:ascii="Times New Roman" w:hAnsi="Times New Roman" w:eastAsia="宋体" w:cs="Times New Roman"/>
                <w:color w:val="auto"/>
                <w:kern w:val="0"/>
                <w:sz w:val="21"/>
                <w:szCs w:val="21"/>
                <w:highlight w:val="none"/>
                <w:lang w:val="en-US" w:eastAsia="zh-CN" w:bidi="ar-SA"/>
              </w:rPr>
              <w:t>本项目所用</w:t>
            </w:r>
            <w:r>
              <w:rPr>
                <w:rFonts w:hint="eastAsia" w:cs="Times New Roman"/>
                <w:color w:val="auto"/>
                <w:kern w:val="0"/>
                <w:sz w:val="21"/>
                <w:szCs w:val="21"/>
                <w:highlight w:val="none"/>
                <w:lang w:val="en-US" w:eastAsia="zh-CN" w:bidi="ar-SA"/>
              </w:rPr>
              <w:t>高固份油漆</w:t>
            </w:r>
            <w:r>
              <w:rPr>
                <w:rFonts w:hint="eastAsia" w:ascii="Times New Roman" w:hAnsi="Times New Roman" w:eastAsia="宋体" w:cs="Times New Roman"/>
                <w:color w:val="auto"/>
                <w:kern w:val="0"/>
                <w:sz w:val="21"/>
                <w:szCs w:val="21"/>
                <w:highlight w:val="none"/>
                <w:lang w:val="en-US" w:eastAsia="zh-CN" w:bidi="ar-SA"/>
              </w:rPr>
              <w:t>（醇酸树脂漆</w:t>
            </w:r>
            <w:r>
              <w:rPr>
                <w:rFonts w:hint="eastAsia" w:cs="Times New Roman"/>
                <w:color w:val="auto"/>
                <w:kern w:val="0"/>
                <w:sz w:val="21"/>
                <w:szCs w:val="21"/>
                <w:highlight w:val="none"/>
                <w:lang w:val="en-US" w:eastAsia="zh-CN" w:bidi="ar-SA"/>
              </w:rPr>
              <w:t>检测报告</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w:t>
            </w:r>
            <w:r>
              <w:rPr>
                <w:rFonts w:hint="eastAsia" w:eastAsia="宋体" w:cs="Times New Roman"/>
                <w:color w:val="auto"/>
                <w:kern w:val="0"/>
                <w:sz w:val="21"/>
                <w:szCs w:val="21"/>
                <w:highlight w:val="none"/>
                <w:lang w:val="en-US" w:eastAsia="zh-CN" w:bidi="ar-SA"/>
              </w:rPr>
              <w:t>挥发性有机化合物</w:t>
            </w:r>
            <w:r>
              <w:rPr>
                <w:rFonts w:hint="eastAsia" w:cs="Times New Roman"/>
                <w:color w:val="auto"/>
                <w:kern w:val="0"/>
                <w:sz w:val="21"/>
                <w:szCs w:val="21"/>
                <w:highlight w:val="none"/>
                <w:lang w:val="en-US" w:eastAsia="zh-CN" w:bidi="ar-SA"/>
              </w:rPr>
              <w:t>（VOC）</w:t>
            </w:r>
            <w:r>
              <w:rPr>
                <w:rFonts w:hint="eastAsia" w:ascii="Times New Roman" w:hAnsi="Times New Roman" w:eastAsia="宋体" w:cs="Times New Roman"/>
                <w:color w:val="auto"/>
                <w:kern w:val="0"/>
                <w:sz w:val="21"/>
                <w:szCs w:val="21"/>
                <w:highlight w:val="none"/>
                <w:lang w:val="en-US" w:eastAsia="zh-CN" w:bidi="ar-SA"/>
              </w:rPr>
              <w:t>含量为</w:t>
            </w:r>
            <w:r>
              <w:rPr>
                <w:rFonts w:hint="eastAsia" w:cs="Times New Roman"/>
                <w:color w:val="auto"/>
                <w:kern w:val="0"/>
                <w:sz w:val="21"/>
                <w:szCs w:val="21"/>
                <w:highlight w:val="none"/>
                <w:lang w:val="en-US" w:eastAsia="zh-CN" w:bidi="ar-SA"/>
              </w:rPr>
              <w:t>59</w:t>
            </w:r>
            <w:r>
              <w:rPr>
                <w:rFonts w:hint="eastAsia" w:ascii="Times New Roman" w:hAnsi="Times New Roman" w:eastAsia="宋体" w:cs="Times New Roman"/>
                <w:color w:val="auto"/>
                <w:kern w:val="0"/>
                <w:sz w:val="21"/>
                <w:szCs w:val="21"/>
                <w:highlight w:val="none"/>
                <w:lang w:val="en-US" w:eastAsia="zh-CN" w:bidi="ar-SA"/>
              </w:rPr>
              <w:t>g/L</w:t>
            </w:r>
            <w:r>
              <w:rPr>
                <w:rFonts w:hint="eastAsia" w:eastAsia="宋体"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根据《低挥发性有机化合物含量涂料产品技术要求》（ GBT 38597-2020）</w:t>
            </w:r>
            <w:r>
              <w:rPr>
                <w:rFonts w:hint="eastAsia" w:cs="Times New Roman"/>
                <w:color w:val="auto"/>
                <w:kern w:val="0"/>
                <w:sz w:val="21"/>
                <w:szCs w:val="21"/>
                <w:highlight w:val="none"/>
                <w:lang w:val="en-US" w:eastAsia="zh-CN" w:bidi="ar-SA"/>
              </w:rPr>
              <w:t>表2溶剂型涂料中VOC含量的要求，工业防护涂料类型机械设备涂料（含零部件涂料），面漆限值为</w:t>
            </w:r>
            <w:r>
              <w:rPr>
                <w:rFonts w:hint="eastAsia" w:eastAsia="宋体" w:cs="Times New Roman"/>
                <w:color w:val="auto"/>
                <w:kern w:val="0"/>
                <w:sz w:val="21"/>
                <w:szCs w:val="21"/>
                <w:highlight w:val="none"/>
                <w:lang w:val="en-US" w:eastAsia="zh-CN" w:bidi="ar-SA"/>
              </w:rPr>
              <w:t>4</w:t>
            </w:r>
            <w:r>
              <w:rPr>
                <w:rFonts w:hint="eastAsia" w:cs="Times New Roman"/>
                <w:color w:val="auto"/>
                <w:kern w:val="0"/>
                <w:sz w:val="21"/>
                <w:szCs w:val="21"/>
                <w:highlight w:val="none"/>
                <w:lang w:val="en-US" w:eastAsia="zh-CN" w:bidi="ar-SA"/>
              </w:rPr>
              <w:t>80</w:t>
            </w:r>
            <w:r>
              <w:rPr>
                <w:rFonts w:hint="eastAsia" w:eastAsia="宋体" w:cs="Times New Roman"/>
                <w:color w:val="auto"/>
                <w:kern w:val="0"/>
                <w:sz w:val="21"/>
                <w:szCs w:val="21"/>
                <w:highlight w:val="none"/>
                <w:lang w:val="en-US" w:eastAsia="zh-CN" w:bidi="ar-SA"/>
              </w:rPr>
              <w:t>g/L，</w:t>
            </w:r>
            <w:r>
              <w:rPr>
                <w:rFonts w:hint="eastAsia" w:cs="Times New Roman"/>
                <w:color w:val="auto"/>
                <w:kern w:val="0"/>
                <w:sz w:val="21"/>
                <w:szCs w:val="21"/>
                <w:highlight w:val="none"/>
                <w:lang w:val="en-US" w:eastAsia="zh-CN" w:bidi="ar-SA"/>
              </w:rPr>
              <w:t>本项目使用油漆</w:t>
            </w:r>
            <w:r>
              <w:rPr>
                <w:rFonts w:hint="eastAsia" w:eastAsia="宋体" w:cs="Times New Roman"/>
                <w:color w:val="auto"/>
                <w:kern w:val="0"/>
                <w:sz w:val="21"/>
                <w:szCs w:val="21"/>
                <w:highlight w:val="none"/>
                <w:lang w:val="en-US" w:eastAsia="zh-CN" w:bidi="ar-SA"/>
              </w:rPr>
              <w:t>挥发性有机化合物</w:t>
            </w:r>
            <w:r>
              <w:rPr>
                <w:rFonts w:hint="eastAsia" w:cs="Times New Roman"/>
                <w:color w:val="auto"/>
                <w:kern w:val="0"/>
                <w:sz w:val="21"/>
                <w:szCs w:val="21"/>
                <w:highlight w:val="none"/>
                <w:lang w:val="en-US" w:eastAsia="zh-CN" w:bidi="ar-SA"/>
              </w:rPr>
              <w:t>（VOC）</w:t>
            </w:r>
            <w:r>
              <w:rPr>
                <w:rFonts w:hint="eastAsia" w:ascii="Times New Roman" w:hAnsi="Times New Roman" w:eastAsia="宋体" w:cs="Times New Roman"/>
                <w:color w:val="auto"/>
                <w:kern w:val="0"/>
                <w:sz w:val="21"/>
                <w:szCs w:val="21"/>
                <w:highlight w:val="none"/>
                <w:lang w:val="en-US" w:eastAsia="zh-CN" w:bidi="ar-SA"/>
              </w:rPr>
              <w:t>含量</w:t>
            </w:r>
            <w:r>
              <w:rPr>
                <w:rFonts w:hint="eastAsia" w:cs="Times New Roman"/>
                <w:color w:val="auto"/>
                <w:kern w:val="0"/>
                <w:sz w:val="21"/>
                <w:szCs w:val="21"/>
                <w:highlight w:val="none"/>
                <w:lang w:val="en-US" w:eastAsia="zh-CN" w:bidi="ar-SA"/>
              </w:rPr>
              <w:t>小于文件中限值，</w:t>
            </w:r>
            <w:r>
              <w:rPr>
                <w:rFonts w:hint="eastAsia" w:ascii="Times New Roman" w:hAnsi="Times New Roman" w:eastAsia="宋体" w:cs="Times New Roman"/>
                <w:color w:val="auto"/>
                <w:kern w:val="0"/>
                <w:sz w:val="21"/>
                <w:szCs w:val="21"/>
                <w:highlight w:val="none"/>
                <w:lang w:val="en-US" w:eastAsia="zh-CN" w:bidi="ar-SA"/>
              </w:rPr>
              <w:t>符合技术规范涂层要求</w:t>
            </w:r>
            <w:r>
              <w:rPr>
                <w:rFonts w:hint="eastAsia" w:cs="Times New Roman"/>
                <w:color w:val="auto"/>
                <w:kern w:val="0"/>
                <w:sz w:val="21"/>
                <w:szCs w:val="21"/>
                <w:highlight w:val="none"/>
                <w:lang w:val="en-US" w:eastAsia="zh-CN" w:bidi="ar-SA"/>
              </w:rPr>
              <w:t>，属于低VOCs漆</w:t>
            </w:r>
            <w:r>
              <w:rPr>
                <w:rFonts w:hint="eastAsia" w:ascii="Times New Roman" w:hAnsi="Times New Roman" w:eastAsia="宋体" w:cs="Times New Roman"/>
                <w:color w:val="auto"/>
                <w:kern w:val="0"/>
                <w:sz w:val="21"/>
                <w:szCs w:val="21"/>
                <w:highlight w:val="none"/>
                <w:lang w:val="en-US" w:eastAsia="zh-CN" w:bidi="ar-SA"/>
              </w:rPr>
              <w:t>。</w:t>
            </w:r>
            <w:r>
              <w:rPr>
                <w:rFonts w:hint="eastAsia" w:cs="Times New Roman"/>
                <w:color w:val="auto"/>
                <w:kern w:val="0"/>
                <w:sz w:val="21"/>
                <w:szCs w:val="21"/>
                <w:highlight w:val="none"/>
                <w:lang w:val="en-US" w:eastAsia="zh-CN" w:bidi="ar-SA"/>
              </w:rPr>
              <w:t>根据成分报告，醇酸树脂含量为50%-60%、200#溶剂油含量为8-12%、颜料含量为10-20%、其他成分（不含苯系物，不产生甲苯、二甲苯）。</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水性漆</w:t>
            </w:r>
            <w:r>
              <w:rPr>
                <w:rFonts w:hint="eastAsia" w:cs="Times New Roman"/>
                <w:color w:val="auto"/>
                <w:kern w:val="0"/>
                <w:sz w:val="21"/>
                <w:szCs w:val="21"/>
                <w:highlight w:val="none"/>
                <w:lang w:val="en-US" w:eastAsia="zh-CN" w:bidi="ar-SA"/>
              </w:rPr>
              <w:t>（</w:t>
            </w:r>
            <w:r>
              <w:rPr>
                <w:rFonts w:hint="eastAsia" w:cs="Times New Roman" w:eastAsiaTheme="minorEastAsia"/>
                <w:color w:val="auto"/>
                <w:kern w:val="2"/>
                <w:sz w:val="21"/>
                <w:szCs w:val="21"/>
                <w:highlight w:val="none"/>
                <w:lang w:val="en-US" w:eastAsia="zh-CN" w:bidi="ar-SA"/>
              </w:rPr>
              <w:t>水性丙烯酸漆检测报告</w:t>
            </w:r>
            <w:r>
              <w:rPr>
                <w:rFonts w:hint="eastAsia" w:cs="Times New Roman"/>
                <w:color w:val="auto"/>
                <w:kern w:val="0"/>
                <w:sz w:val="21"/>
                <w:szCs w:val="21"/>
                <w:highlight w:val="none"/>
                <w:lang w:val="en-US" w:eastAsia="zh-CN" w:bidi="ar-SA"/>
              </w:rPr>
              <w:t>）</w:t>
            </w:r>
            <w:r>
              <w:rPr>
                <w:rFonts w:hint="eastAsia" w:ascii="Times New Roman" w:hAnsi="Times New Roman" w:eastAsia="宋体" w:cs="Times New Roman"/>
                <w:color w:val="auto"/>
                <w:kern w:val="0"/>
                <w:sz w:val="21"/>
                <w:szCs w:val="21"/>
                <w:highlight w:val="none"/>
                <w:lang w:val="en-US" w:eastAsia="zh-CN" w:bidi="ar-SA"/>
              </w:rPr>
              <w:t>主要成分为固体水性丙烯酸树脂、硫酸钡、钛白粉、红等，助剂、去离子水、丙烯酸乳液；</w:t>
            </w:r>
            <w:r>
              <w:rPr>
                <w:rFonts w:hint="eastAsia" w:eastAsia="宋体" w:cs="Times New Roman"/>
                <w:color w:val="auto"/>
                <w:kern w:val="0"/>
                <w:sz w:val="21"/>
                <w:szCs w:val="21"/>
                <w:highlight w:val="none"/>
                <w:lang w:val="en-US" w:eastAsia="zh-CN" w:bidi="ar-SA"/>
              </w:rPr>
              <w:t>挥发性有机化合物</w:t>
            </w:r>
            <w:r>
              <w:rPr>
                <w:rFonts w:hint="eastAsia" w:cs="Times New Roman"/>
                <w:color w:val="auto"/>
                <w:kern w:val="0"/>
                <w:sz w:val="21"/>
                <w:szCs w:val="21"/>
                <w:highlight w:val="none"/>
                <w:lang w:val="en-US" w:eastAsia="zh-CN" w:bidi="ar-SA"/>
              </w:rPr>
              <w:t>（VOC）</w:t>
            </w:r>
            <w:r>
              <w:rPr>
                <w:rFonts w:hint="eastAsia" w:ascii="Times New Roman" w:hAnsi="Times New Roman" w:eastAsia="宋体" w:cs="Times New Roman"/>
                <w:color w:val="auto"/>
                <w:kern w:val="0"/>
                <w:sz w:val="21"/>
                <w:szCs w:val="21"/>
                <w:highlight w:val="none"/>
                <w:lang w:val="en-US" w:eastAsia="zh-CN" w:bidi="ar-SA"/>
              </w:rPr>
              <w:t>含量</w:t>
            </w:r>
            <w:r>
              <w:rPr>
                <w:rFonts w:hint="eastAsia" w:ascii="Times New Roman" w:hAnsi="Times New Roman" w:cs="Times New Roman"/>
                <w:color w:val="auto"/>
                <w:kern w:val="0"/>
                <w:sz w:val="21"/>
                <w:szCs w:val="21"/>
                <w:highlight w:val="none"/>
                <w:lang w:val="en-US" w:eastAsia="zh-CN" w:bidi="ar-SA"/>
              </w:rPr>
              <w:t>为7g/L，</w:t>
            </w:r>
            <w:r>
              <w:rPr>
                <w:rFonts w:hint="eastAsia" w:ascii="Times New Roman" w:hAnsi="Times New Roman" w:eastAsia="宋体" w:cs="Times New Roman"/>
                <w:color w:val="auto"/>
                <w:kern w:val="0"/>
                <w:sz w:val="21"/>
                <w:szCs w:val="21"/>
                <w:highlight w:val="none"/>
                <w:lang w:val="en-US" w:eastAsia="zh-CN" w:bidi="ar-SA"/>
              </w:rPr>
              <w:t>根据《低挥发性有机化合物含量涂料产品技术要求》（ GBT 38597-2020）</w:t>
            </w:r>
            <w:r>
              <w:rPr>
                <w:rFonts w:hint="eastAsia" w:cs="Times New Roman"/>
                <w:color w:val="auto"/>
                <w:kern w:val="0"/>
                <w:sz w:val="21"/>
                <w:szCs w:val="21"/>
                <w:highlight w:val="none"/>
                <w:lang w:val="en-US" w:eastAsia="zh-CN" w:bidi="ar-SA"/>
              </w:rPr>
              <w:t>表1水性涂料中VOC含量的要求，工业防护涂料类型机械设备涂料（含零部件涂料），面漆限值为300</w:t>
            </w:r>
            <w:r>
              <w:rPr>
                <w:rFonts w:hint="eastAsia" w:eastAsia="宋体" w:cs="Times New Roman"/>
                <w:color w:val="auto"/>
                <w:kern w:val="0"/>
                <w:sz w:val="21"/>
                <w:szCs w:val="21"/>
                <w:highlight w:val="none"/>
                <w:lang w:val="en-US" w:eastAsia="zh-CN" w:bidi="ar-SA"/>
              </w:rPr>
              <w:t>g/L，</w:t>
            </w:r>
            <w:r>
              <w:rPr>
                <w:rFonts w:hint="eastAsia" w:cs="Times New Roman"/>
                <w:color w:val="auto"/>
                <w:kern w:val="0"/>
                <w:sz w:val="21"/>
                <w:szCs w:val="21"/>
                <w:highlight w:val="none"/>
                <w:lang w:val="en-US" w:eastAsia="zh-CN" w:bidi="ar-SA"/>
              </w:rPr>
              <w:t>本项目使用油漆</w:t>
            </w:r>
            <w:r>
              <w:rPr>
                <w:rFonts w:hint="eastAsia" w:eastAsia="宋体" w:cs="Times New Roman"/>
                <w:color w:val="auto"/>
                <w:kern w:val="0"/>
                <w:sz w:val="21"/>
                <w:szCs w:val="21"/>
                <w:highlight w:val="none"/>
                <w:lang w:val="en-US" w:eastAsia="zh-CN" w:bidi="ar-SA"/>
              </w:rPr>
              <w:t>挥发性有机化合物</w:t>
            </w:r>
            <w:r>
              <w:rPr>
                <w:rFonts w:hint="eastAsia" w:cs="Times New Roman"/>
                <w:color w:val="auto"/>
                <w:kern w:val="0"/>
                <w:sz w:val="21"/>
                <w:szCs w:val="21"/>
                <w:highlight w:val="none"/>
                <w:lang w:val="en-US" w:eastAsia="zh-CN" w:bidi="ar-SA"/>
              </w:rPr>
              <w:t>（VOC）</w:t>
            </w:r>
            <w:r>
              <w:rPr>
                <w:rFonts w:hint="eastAsia" w:ascii="Times New Roman" w:hAnsi="Times New Roman" w:eastAsia="宋体" w:cs="Times New Roman"/>
                <w:color w:val="auto"/>
                <w:kern w:val="0"/>
                <w:sz w:val="21"/>
                <w:szCs w:val="21"/>
                <w:highlight w:val="none"/>
                <w:lang w:val="en-US" w:eastAsia="zh-CN" w:bidi="ar-SA"/>
              </w:rPr>
              <w:t>含量</w:t>
            </w:r>
            <w:r>
              <w:rPr>
                <w:rFonts w:hint="eastAsia" w:cs="Times New Roman"/>
                <w:color w:val="auto"/>
                <w:kern w:val="0"/>
                <w:sz w:val="21"/>
                <w:szCs w:val="21"/>
                <w:highlight w:val="none"/>
                <w:lang w:val="en-US" w:eastAsia="zh-CN" w:bidi="ar-SA"/>
              </w:rPr>
              <w:t>小于文件中限值，</w:t>
            </w:r>
            <w:r>
              <w:rPr>
                <w:rFonts w:hint="eastAsia" w:ascii="Times New Roman" w:hAnsi="Times New Roman" w:eastAsia="宋体" w:cs="Times New Roman"/>
                <w:color w:val="auto"/>
                <w:kern w:val="0"/>
                <w:sz w:val="21"/>
                <w:szCs w:val="21"/>
                <w:highlight w:val="none"/>
                <w:lang w:val="en-US" w:eastAsia="zh-CN" w:bidi="ar-SA"/>
              </w:rPr>
              <w:t>符合技术规范涂层要求</w:t>
            </w:r>
            <w:r>
              <w:rPr>
                <w:rFonts w:hint="eastAsia" w:cs="Times New Roman"/>
                <w:color w:val="auto"/>
                <w:kern w:val="0"/>
                <w:sz w:val="21"/>
                <w:szCs w:val="21"/>
                <w:highlight w:val="none"/>
                <w:lang w:val="en-US" w:eastAsia="zh-CN" w:bidi="ar-SA"/>
              </w:rPr>
              <w:t>，属于低VOCs漆</w:t>
            </w:r>
            <w:r>
              <w:rPr>
                <w:rFonts w:hint="eastAsia" w:ascii="Times New Roman" w:hAnsi="Times New Roman" w:eastAsia="宋体" w:cs="Times New Roman"/>
                <w:color w:val="auto"/>
                <w:kern w:val="0"/>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contextualSpacing/>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稀释剂主要成分为改性固化剂、石油</w:t>
            </w:r>
            <w:r>
              <w:rPr>
                <w:rFonts w:hint="eastAsia" w:cs="Times New Roman"/>
                <w:color w:val="auto"/>
                <w:kern w:val="0"/>
                <w:sz w:val="21"/>
                <w:szCs w:val="21"/>
                <w:highlight w:val="none"/>
                <w:lang w:val="en-US" w:eastAsia="zh-CN" w:bidi="ar-SA"/>
              </w:rPr>
              <w:t>（不含苯系物，不产生甲苯、二甲苯）</w:t>
            </w:r>
            <w:r>
              <w:rPr>
                <w:rFonts w:hint="eastAsia" w:eastAsia="宋体" w:cs="Times New Roman"/>
                <w:color w:val="auto"/>
                <w:kern w:val="0"/>
                <w:sz w:val="21"/>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表2-10  本项目使用漆与《低挥发性有机化合物含量涂料产品技术要求》文件中</w:t>
            </w:r>
          </w:p>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VOC含量符合性分析一览表</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3"/>
              <w:gridCol w:w="2344"/>
              <w:gridCol w:w="2411"/>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本项目使用漆类型</w:t>
                  </w:r>
                </w:p>
              </w:tc>
              <w:tc>
                <w:tcPr>
                  <w:tcW w:w="1308"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检测报告中非甲烷总烃含量</w:t>
                  </w:r>
                </w:p>
              </w:tc>
              <w:tc>
                <w:tcPr>
                  <w:tcW w:w="1345"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文件要求限制</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SA"/>
                    </w:rPr>
                    <w:t>水性漆</w:t>
                  </w:r>
                  <w:r>
                    <w:rPr>
                      <w:rFonts w:hint="eastAsia" w:cs="Times New Roman"/>
                      <w:color w:val="auto"/>
                      <w:kern w:val="0"/>
                      <w:sz w:val="21"/>
                      <w:szCs w:val="21"/>
                      <w:highlight w:val="none"/>
                      <w:lang w:val="en-US" w:eastAsia="zh-CN" w:bidi="ar-SA"/>
                    </w:rPr>
                    <w:t>（</w:t>
                  </w:r>
                  <w:r>
                    <w:rPr>
                      <w:rFonts w:hint="eastAsia" w:cs="Times New Roman" w:eastAsiaTheme="minorEastAsia"/>
                      <w:color w:val="auto"/>
                      <w:kern w:val="2"/>
                      <w:sz w:val="21"/>
                      <w:szCs w:val="21"/>
                      <w:highlight w:val="none"/>
                      <w:lang w:val="en-US" w:eastAsia="zh-CN" w:bidi="ar-SA"/>
                    </w:rPr>
                    <w:t>水性丙烯酸漆）</w:t>
                  </w:r>
                </w:p>
              </w:tc>
              <w:tc>
                <w:tcPr>
                  <w:tcW w:w="1308"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7g/L（面漆）</w:t>
                  </w:r>
                </w:p>
              </w:tc>
              <w:tc>
                <w:tcPr>
                  <w:tcW w:w="1345"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highlight w:val="none"/>
                      <w:lang w:val="en-US" w:eastAsia="zh-CN" w:bidi="ar-SA"/>
                    </w:rPr>
                    <w:t>300</w:t>
                  </w:r>
                  <w:r>
                    <w:rPr>
                      <w:rFonts w:hint="eastAsia" w:eastAsia="宋体" w:cs="Times New Roman"/>
                      <w:color w:val="auto"/>
                      <w:kern w:val="0"/>
                      <w:sz w:val="21"/>
                      <w:szCs w:val="21"/>
                      <w:highlight w:val="none"/>
                      <w:lang w:val="en-US" w:eastAsia="zh-CN" w:bidi="ar-SA"/>
                    </w:rPr>
                    <w:t>g/L</w:t>
                  </w:r>
                  <w:r>
                    <w:rPr>
                      <w:rFonts w:hint="eastAsia" w:cs="Times New Roman"/>
                      <w:color w:val="auto"/>
                      <w:kern w:val="0"/>
                      <w:sz w:val="21"/>
                      <w:szCs w:val="21"/>
                      <w:highlight w:val="none"/>
                      <w:lang w:val="en-US" w:eastAsia="zh-CN" w:bidi="ar-SA"/>
                    </w:rPr>
                    <w:t>（面漆）</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highlight w:val="none"/>
                      <w:lang w:val="en-US" w:eastAsia="zh-CN" w:bidi="ar-SA"/>
                    </w:rPr>
                    <w:t>高固份油漆</w:t>
                  </w:r>
                  <w:r>
                    <w:rPr>
                      <w:rFonts w:hint="eastAsia" w:ascii="Times New Roman" w:hAnsi="Times New Roman" w:eastAsia="宋体" w:cs="Times New Roman"/>
                      <w:color w:val="auto"/>
                      <w:kern w:val="0"/>
                      <w:sz w:val="21"/>
                      <w:szCs w:val="21"/>
                      <w:highlight w:val="none"/>
                      <w:lang w:val="en-US" w:eastAsia="zh-CN" w:bidi="ar-SA"/>
                    </w:rPr>
                    <w:t>（醇酸树脂漆</w:t>
                  </w:r>
                  <w:r>
                    <w:rPr>
                      <w:rFonts w:hint="eastAsia" w:cs="Times New Roman"/>
                      <w:color w:val="auto"/>
                      <w:kern w:val="0"/>
                      <w:sz w:val="21"/>
                      <w:szCs w:val="21"/>
                      <w:highlight w:val="none"/>
                      <w:lang w:val="en-US" w:eastAsia="zh-CN" w:bidi="ar-SA"/>
                    </w:rPr>
                    <w:t>）</w:t>
                  </w:r>
                </w:p>
              </w:tc>
              <w:tc>
                <w:tcPr>
                  <w:tcW w:w="1308"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59g/L（单组分、面漆）</w:t>
                  </w:r>
                </w:p>
              </w:tc>
              <w:tc>
                <w:tcPr>
                  <w:tcW w:w="1345"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480</w:t>
                  </w:r>
                  <w:r>
                    <w:rPr>
                      <w:rFonts w:hint="eastAsia" w:eastAsia="宋体" w:cs="Times New Roman"/>
                      <w:color w:val="auto"/>
                      <w:kern w:val="0"/>
                      <w:sz w:val="21"/>
                      <w:szCs w:val="21"/>
                      <w:highlight w:val="none"/>
                      <w:lang w:val="en-US" w:eastAsia="zh-CN" w:bidi="ar-SA"/>
                    </w:rPr>
                    <w:t>g/L</w:t>
                  </w:r>
                  <w:r>
                    <w:rPr>
                      <w:rFonts w:hint="eastAsia" w:cs="Times New Roman"/>
                      <w:color w:val="auto"/>
                      <w:kern w:val="0"/>
                      <w:sz w:val="21"/>
                      <w:szCs w:val="21"/>
                      <w:highlight w:val="none"/>
                      <w:lang w:val="en-US" w:eastAsia="zh-CN" w:bidi="ar-SA"/>
                    </w:rPr>
                    <w:t>（单组分、面漆）</w:t>
                  </w:r>
                </w:p>
              </w:tc>
              <w:tc>
                <w:tcPr>
                  <w:tcW w:w="897" w:type="pct"/>
                  <w:vAlign w:val="center"/>
                </w:tcPr>
                <w:p>
                  <w:pPr>
                    <w:keepNext w:val="0"/>
                    <w:keepLines w:val="0"/>
                    <w:pageBreakBefore w:val="0"/>
                    <w:widowControl w:val="0"/>
                    <w:kinsoku/>
                    <w:wordWrap/>
                    <w:overflowPunct/>
                    <w:topLinePunct w:val="0"/>
                    <w:autoSpaceDE/>
                    <w:autoSpaceDN/>
                    <w:bidi w:val="0"/>
                    <w:adjustRightInd/>
                    <w:snapToGrid w:val="0"/>
                    <w:spacing w:line="240" w:lineRule="auto"/>
                    <w:contextualSpacing/>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由以上分析可知，本项目使用高固份油漆（醇酸树脂漆）、水性漆（水性丙烯酸漆）均为低VOCs漆，满足国家及地方政策要求。</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contextualSpacing/>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eastAsia="宋体" w:cs="Times New Roman"/>
                <w:color w:val="auto"/>
                <w:highlight w:val="none"/>
                <w:lang w:val="en-US" w:eastAsia="zh-CN"/>
              </w:rPr>
              <w:t>油漆</w:t>
            </w:r>
            <w:r>
              <w:rPr>
                <w:rFonts w:hint="default" w:ascii="Times New Roman" w:hAnsi="Times New Roman" w:eastAsia="宋体" w:cs="Times New Roman"/>
                <w:color w:val="auto"/>
                <w:highlight w:val="none"/>
                <w:lang w:val="en-US" w:eastAsia="zh-CN"/>
              </w:rPr>
              <w:t>物料平衡见</w:t>
            </w:r>
            <w:r>
              <w:rPr>
                <w:rFonts w:hint="eastAsia" w:ascii="Times New Roman" w:hAnsi="Times New Roman" w:eastAsia="宋体" w:cs="Times New Roman"/>
                <w:color w:val="auto"/>
                <w:highlight w:val="none"/>
                <w:lang w:val="en-US" w:eastAsia="zh-CN"/>
              </w:rPr>
              <w:t>下</w:t>
            </w:r>
            <w:r>
              <w:rPr>
                <w:rFonts w:hint="default" w:ascii="Times New Roman" w:hAnsi="Times New Roman" w:eastAsia="宋体" w:cs="Times New Roman"/>
                <w:color w:val="auto"/>
                <w:highlight w:val="none"/>
                <w:lang w:val="en-US" w:eastAsia="zh-CN"/>
              </w:rPr>
              <w:t>表</w:t>
            </w:r>
            <w:r>
              <w:rPr>
                <w:rFonts w:hint="eastAsia" w:ascii="Times New Roman" w:hAnsi="Times New Roman" w:eastAsia="宋体" w:cs="Times New Roman"/>
                <w:color w:val="auto"/>
                <w:highlight w:val="none"/>
                <w:lang w:val="en-US" w:eastAsia="zh-CN"/>
              </w:rPr>
              <w:t>。</w:t>
            </w:r>
          </w:p>
          <w:p>
            <w:pPr>
              <w:pStyle w:val="51"/>
              <w:keepNext/>
              <w:keepLines/>
              <w:pageBreakBefore w:val="0"/>
              <w:widowControl w:val="0"/>
              <w:kinsoku/>
              <w:wordWrap/>
              <w:overflowPunct/>
              <w:topLinePunct w:val="0"/>
              <w:autoSpaceDE w:val="0"/>
              <w:autoSpaceDN w:val="0"/>
              <w:bidi w:val="0"/>
              <w:adjustRightInd w:val="0"/>
              <w:snapToGrid/>
              <w:ind w:firstLine="0"/>
              <w:textAlignment w:val="auto"/>
              <w:rPr>
                <w:rFonts w:hint="default" w:ascii="Times New Roman" w:hAnsi="Times New Roman" w:eastAsia="宋体"/>
                <w:b/>
                <w:bCs/>
                <w:color w:val="auto"/>
                <w:sz w:val="24"/>
                <w:szCs w:val="21"/>
                <w:highlight w:val="none"/>
                <w:lang w:val="en-US" w:eastAsia="zh-CN"/>
              </w:rPr>
            </w:pPr>
            <w:r>
              <w:rPr>
                <w:rFonts w:hint="default" w:ascii="Times New Roman" w:hAnsi="Times New Roman" w:cs="Times New Roman"/>
                <w:color w:val="auto"/>
                <w:sz w:val="24"/>
                <w:szCs w:val="16"/>
                <w:highlight w:val="none"/>
              </w:rPr>
              <w:t>表</w:t>
            </w:r>
            <w:r>
              <w:rPr>
                <w:rFonts w:hint="eastAsia" w:cs="Times New Roman"/>
                <w:color w:val="auto"/>
                <w:sz w:val="24"/>
                <w:szCs w:val="16"/>
                <w:highlight w:val="none"/>
                <w:lang w:val="en-US" w:eastAsia="zh-CN"/>
              </w:rPr>
              <w:t>2-10</w:t>
            </w:r>
            <w:r>
              <w:rPr>
                <w:rFonts w:hint="default" w:ascii="Times New Roman" w:hAnsi="Times New Roman" w:cs="Times New Roman"/>
                <w:color w:val="auto"/>
                <w:sz w:val="24"/>
                <w:szCs w:val="16"/>
                <w:highlight w:val="none"/>
                <w:lang w:val="en-US" w:eastAsia="zh-CN"/>
              </w:rPr>
              <w:t xml:space="preserve"> </w:t>
            </w:r>
            <w:r>
              <w:rPr>
                <w:rFonts w:hint="eastAsia" w:ascii="Times New Roman" w:hAnsi="Times New Roman"/>
                <w:b/>
                <w:bCs/>
                <w:color w:val="auto"/>
                <w:sz w:val="24"/>
                <w:szCs w:val="21"/>
                <w:highlight w:val="none"/>
              </w:rPr>
              <w:t>本</w:t>
            </w:r>
            <w:r>
              <w:rPr>
                <w:rFonts w:ascii="Times New Roman" w:hAnsi="Times New Roman"/>
                <w:b/>
                <w:bCs/>
                <w:color w:val="auto"/>
                <w:sz w:val="24"/>
                <w:szCs w:val="21"/>
                <w:highlight w:val="none"/>
              </w:rPr>
              <w:t>工程</w:t>
            </w:r>
            <w:r>
              <w:rPr>
                <w:rFonts w:hint="eastAsia" w:ascii="Times New Roman" w:hAnsi="Times New Roman" w:cs="Times New Roman"/>
                <w:b/>
                <w:bCs/>
                <w:color w:val="auto"/>
                <w:sz w:val="24"/>
                <w:szCs w:val="21"/>
                <w:highlight w:val="none"/>
                <w:lang w:eastAsia="zh-CN"/>
              </w:rPr>
              <w:t>漆</w:t>
            </w:r>
            <w:r>
              <w:rPr>
                <w:rFonts w:hint="eastAsia" w:ascii="Times New Roman" w:hAnsi="Times New Roman"/>
                <w:b/>
                <w:bCs/>
                <w:color w:val="auto"/>
                <w:sz w:val="24"/>
                <w:szCs w:val="21"/>
                <w:highlight w:val="none"/>
              </w:rPr>
              <w:t>平衡一览表</w:t>
            </w:r>
            <w:r>
              <w:rPr>
                <w:rFonts w:hint="eastAsia"/>
                <w:b/>
                <w:bCs/>
                <w:color w:val="auto"/>
                <w:sz w:val="24"/>
                <w:szCs w:val="21"/>
                <w:highlight w:val="none"/>
                <w:lang w:val="en-US" w:eastAsia="zh-CN"/>
              </w:rPr>
              <w:t xml:space="preserve">   单位t/a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337"/>
              <w:gridCol w:w="3123"/>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exact"/>
                <w:jc w:val="center"/>
              </w:trPr>
              <w:tc>
                <w:tcPr>
                  <w:tcW w:w="3243" w:type="dxa"/>
                  <w:gridSpan w:val="2"/>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输入项</w:t>
                  </w:r>
                </w:p>
              </w:tc>
              <w:tc>
                <w:tcPr>
                  <w:tcW w:w="5703" w:type="dxa"/>
                  <w:gridSpan w:val="2"/>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输出项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油漆</w:t>
                  </w: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1.25</w:t>
                  </w: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油漆（钢材附着）</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稀释剂</w:t>
                  </w: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color w:val="auto"/>
                      <w:spacing w:val="0"/>
                      <w:position w:val="0"/>
                      <w:sz w:val="21"/>
                      <w:szCs w:val="21"/>
                      <w:highlight w:val="none"/>
                      <w:lang w:val="en-US" w:eastAsia="zh-CN"/>
                    </w:rPr>
                    <w:t>0.</w:t>
                  </w:r>
                  <w:r>
                    <w:rPr>
                      <w:rFonts w:hint="eastAsia" w:cs="Times New Roman"/>
                      <w:color w:val="auto"/>
                      <w:spacing w:val="0"/>
                      <w:position w:val="0"/>
                      <w:sz w:val="21"/>
                      <w:szCs w:val="21"/>
                      <w:highlight w:val="none"/>
                      <w:lang w:val="en-US" w:eastAsia="zh-CN"/>
                    </w:rPr>
                    <w:t>05</w:t>
                  </w: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漆渣</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颗粒物（有组织排放）</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颗粒物（无组织排放）</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吸附棉+二级活性炭吸附</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3118" w:type="dxa"/>
                  <w:noWrap w:val="0"/>
                  <w:vAlign w:val="center"/>
                </w:tcPr>
                <w:p>
                  <w:pPr>
                    <w:spacing w:line="240" w:lineRule="auto"/>
                    <w:ind w:firstLine="0" w:firstLineChars="0"/>
                    <w:jc w:val="center"/>
                    <w:rPr>
                      <w:rFonts w:hint="default" w:ascii="Times New Roman" w:hAnsi="Times New Roman" w:eastAsia="宋体" w:cs="Times New Roman"/>
                      <w:color w:val="auto"/>
                      <w:spacing w:val="0"/>
                      <w:position w:val="0"/>
                      <w:sz w:val="21"/>
                      <w:szCs w:val="21"/>
                      <w:highlight w:val="none"/>
                    </w:rPr>
                  </w:pPr>
                  <w:r>
                    <w:rPr>
                      <w:rFonts w:hint="eastAsia"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rPr>
                    <w:t>有组织排放</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p>
              </w:tc>
              <w:tc>
                <w:tcPr>
                  <w:tcW w:w="3118" w:type="dxa"/>
                  <w:noWrap w:val="0"/>
                  <w:vAlign w:val="center"/>
                </w:tcPr>
                <w:p>
                  <w:pPr>
                    <w:spacing w:line="240" w:lineRule="auto"/>
                    <w:ind w:firstLine="0" w:firstLineChars="0"/>
                    <w:jc w:val="center"/>
                    <w:rPr>
                      <w:rFonts w:hint="default" w:ascii="Times New Roman" w:hAnsi="Times New Roman" w:eastAsia="宋体" w:cs="Times New Roman"/>
                      <w:color w:val="auto"/>
                      <w:spacing w:val="0"/>
                      <w:position w:val="0"/>
                      <w:sz w:val="21"/>
                      <w:szCs w:val="21"/>
                      <w:highlight w:val="none"/>
                      <w:lang w:eastAsia="zh-CN"/>
                    </w:rPr>
                  </w:pPr>
                  <w:r>
                    <w:rPr>
                      <w:rFonts w:hint="eastAsia" w:eastAsia="宋体" w:cs="Times New Roman"/>
                      <w:color w:val="auto"/>
                      <w:sz w:val="21"/>
                      <w:szCs w:val="21"/>
                      <w:highlight w:val="none"/>
                      <w:lang w:val="en-US" w:eastAsia="zh-CN"/>
                    </w:rPr>
                    <w:t>非甲烷总烃</w:t>
                  </w:r>
                  <w:r>
                    <w:rPr>
                      <w:rFonts w:hint="default" w:ascii="Times New Roman" w:hAnsi="Times New Roman" w:eastAsia="宋体" w:cs="Times New Roman"/>
                      <w:color w:val="auto"/>
                      <w:sz w:val="21"/>
                      <w:szCs w:val="21"/>
                      <w:highlight w:val="none"/>
                      <w:lang w:eastAsia="zh-CN"/>
                    </w:rPr>
                    <w:t>无组织排放量</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0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合计</w:t>
                  </w:r>
                </w:p>
              </w:tc>
              <w:tc>
                <w:tcPr>
                  <w:tcW w:w="133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pacing w:val="0"/>
                      <w:position w:val="0"/>
                      <w:sz w:val="21"/>
                      <w:szCs w:val="21"/>
                      <w:highlight w:val="none"/>
                      <w:lang w:val="en-US" w:eastAsia="zh-CN"/>
                    </w:rPr>
                    <w:t>1.3</w:t>
                  </w:r>
                </w:p>
              </w:tc>
              <w:tc>
                <w:tcPr>
                  <w:tcW w:w="3118"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合计</w:t>
                  </w:r>
                </w:p>
              </w:tc>
              <w:tc>
                <w:tcPr>
                  <w:tcW w:w="2585"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eastAsia="宋体" w:cs="Times New Roman"/>
                      <w:color w:val="auto"/>
                      <w:spacing w:val="0"/>
                      <w:position w:val="0"/>
                      <w:sz w:val="21"/>
                      <w:szCs w:val="21"/>
                      <w:highlight w:val="none"/>
                      <w:lang w:val="en-US" w:eastAsia="zh-CN"/>
                    </w:rPr>
                    <w:t>1.</w:t>
                  </w:r>
                  <w:r>
                    <w:rPr>
                      <w:rFonts w:hint="eastAsia" w:cs="Times New Roman"/>
                      <w:color w:val="auto"/>
                      <w:spacing w:val="0"/>
                      <w:position w:val="0"/>
                      <w:sz w:val="21"/>
                      <w:szCs w:val="21"/>
                      <w:highlight w:val="none"/>
                      <w:lang w:val="en-US" w:eastAsia="zh-CN"/>
                    </w:rPr>
                    <w:t>3</w:t>
                  </w:r>
                </w:p>
              </w:tc>
            </w:tr>
          </w:tbl>
          <w:p>
            <w:pPr>
              <w:pStyle w:val="11"/>
              <w:bidi w:val="0"/>
              <w:spacing w:line="240" w:lineRule="auto"/>
              <w:jc w:val="center"/>
              <w:rPr>
                <w:rFonts w:hint="eastAsia" w:cs="Times New Roman"/>
                <w:color w:val="auto"/>
                <w:highlight w:val="none"/>
                <w:lang w:val="en-US" w:eastAsia="zh-CN"/>
              </w:rPr>
            </w:pPr>
          </w:p>
          <w:p>
            <w:pPr>
              <w:pStyle w:val="11"/>
              <w:bidi w:val="0"/>
              <w:spacing w:line="240" w:lineRule="auto"/>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表2-11  物料衡算一览表     单位t/a</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1"/>
              <w:gridCol w:w="1337"/>
              <w:gridCol w:w="3123"/>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248" w:type="dxa"/>
                  <w:gridSpan w:val="2"/>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输入项</w:t>
                  </w:r>
                </w:p>
              </w:tc>
              <w:tc>
                <w:tcPr>
                  <w:tcW w:w="5712" w:type="dxa"/>
                  <w:gridSpan w:val="2"/>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输出项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eastAsiaTheme="minorEastAsia"/>
                      <w:color w:val="auto"/>
                      <w:sz w:val="21"/>
                      <w:szCs w:val="21"/>
                      <w:highlight w:val="none"/>
                      <w:lang w:val="en-US" w:eastAsia="zh-CN"/>
                    </w:rPr>
                    <w:t>钢板</w:t>
                  </w:r>
                </w:p>
              </w:tc>
              <w:tc>
                <w:tcPr>
                  <w:tcW w:w="1337"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szCs w:val="21"/>
                      <w:highlight w:val="none"/>
                      <w:lang w:val="en-US" w:eastAsia="zh-CN"/>
                    </w:rPr>
                    <w:t>43.117</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低压铸造机</w:t>
                  </w:r>
                  <w:r>
                    <w:rPr>
                      <w:rFonts w:hint="eastAsia" w:ascii="Times New Roman" w:hAnsi="Times New Roman" w:cs="Times New Roman"/>
                      <w:color w:val="auto"/>
                      <w:spacing w:val="0"/>
                      <w:position w:val="0"/>
                      <w:sz w:val="21"/>
                      <w:szCs w:val="21"/>
                      <w:highlight w:val="none"/>
                      <w:lang w:val="en-US" w:eastAsia="zh-CN"/>
                    </w:rPr>
                    <w:t>（15t/台）</w:t>
                  </w: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eastAsiaTheme="minorEastAsia"/>
                      <w:color w:val="auto"/>
                      <w:sz w:val="21"/>
                      <w:szCs w:val="21"/>
                      <w:highlight w:val="none"/>
                      <w:lang w:val="en-US" w:eastAsia="zh-CN"/>
                    </w:rPr>
                    <w:t>圆钢</w:t>
                  </w:r>
                </w:p>
              </w:tc>
              <w:tc>
                <w:tcPr>
                  <w:tcW w:w="1337"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szCs w:val="21"/>
                      <w:highlight w:val="none"/>
                      <w:lang w:val="en-US" w:eastAsia="zh-CN"/>
                    </w:rPr>
                    <w:t>10</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废边角料、</w:t>
                  </w:r>
                  <w:r>
                    <w:rPr>
                      <w:rFonts w:hint="eastAsia" w:cs="Times New Roman"/>
                      <w:color w:val="auto"/>
                      <w:spacing w:val="0"/>
                      <w:position w:val="0"/>
                      <w:sz w:val="21"/>
                      <w:szCs w:val="21"/>
                      <w:highlight w:val="none"/>
                      <w:lang w:val="en-US" w:eastAsia="zh-CN"/>
                    </w:rPr>
                    <w:t>金属屑</w:t>
                  </w:r>
                  <w:r>
                    <w:rPr>
                      <w:rFonts w:hint="eastAsia" w:ascii="Times New Roman" w:hAnsi="Times New Roman" w:cs="Times New Roman"/>
                      <w:color w:val="auto"/>
                      <w:spacing w:val="0"/>
                      <w:position w:val="0"/>
                      <w:sz w:val="21"/>
                      <w:szCs w:val="21"/>
                      <w:highlight w:val="none"/>
                      <w:lang w:val="en-US" w:eastAsia="zh-CN"/>
                    </w:rPr>
                    <w:t>、废焊头</w:t>
                  </w: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0.0</w:t>
                  </w:r>
                  <w:r>
                    <w:rPr>
                      <w:rFonts w:hint="eastAsia" w:cs="Times New Roman"/>
                      <w:color w:val="auto"/>
                      <w:spacing w:val="0"/>
                      <w:position w:val="0"/>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eastAsiaTheme="minorEastAsia"/>
                      <w:color w:val="auto"/>
                      <w:sz w:val="21"/>
                      <w:szCs w:val="21"/>
                      <w:highlight w:val="none"/>
                      <w:lang w:val="en-US" w:eastAsia="zh-CN"/>
                    </w:rPr>
                    <w:t>焊管</w:t>
                  </w:r>
                </w:p>
              </w:tc>
              <w:tc>
                <w:tcPr>
                  <w:tcW w:w="1337"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szCs w:val="21"/>
                      <w:highlight w:val="none"/>
                      <w:lang w:val="en-US" w:eastAsia="zh-CN"/>
                    </w:rPr>
                    <w:t>10</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position w:val="0"/>
                      <w:sz w:val="21"/>
                      <w:szCs w:val="21"/>
                      <w:highlight w:val="none"/>
                      <w:lang w:val="en-US" w:eastAsia="zh-CN"/>
                    </w:rPr>
                    <w:t>无组织颗粒物</w:t>
                  </w: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cs="Times New Roman"/>
                      <w:color w:val="auto"/>
                      <w:spacing w:val="0"/>
                      <w:position w:val="0"/>
                      <w:sz w:val="21"/>
                      <w:szCs w:val="21"/>
                      <w:highlight w:val="none"/>
                      <w:lang w:val="en-US" w:eastAsia="zh-CN"/>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eastAsiaTheme="minorEastAsia"/>
                      <w:color w:val="auto"/>
                      <w:kern w:val="2"/>
                      <w:sz w:val="21"/>
                      <w:szCs w:val="21"/>
                      <w:highlight w:val="none"/>
                      <w:lang w:val="en-US" w:eastAsia="zh-CN" w:bidi="ar-SA"/>
                    </w:rPr>
                    <w:t>方管</w:t>
                  </w:r>
                </w:p>
              </w:tc>
              <w:tc>
                <w:tcPr>
                  <w:tcW w:w="1337"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cs="Times New Roman"/>
                      <w:color w:val="auto"/>
                      <w:sz w:val="21"/>
                      <w:szCs w:val="21"/>
                      <w:highlight w:val="none"/>
                      <w:lang w:val="en-US" w:eastAsia="zh-CN"/>
                    </w:rPr>
                    <w:t>7</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position w:val="0"/>
                      <w:sz w:val="21"/>
                      <w:szCs w:val="21"/>
                      <w:highlight w:val="none"/>
                      <w:lang w:val="en-US" w:eastAsia="zh-CN"/>
                    </w:rPr>
                    <w:t>除尘灰</w:t>
                  </w: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r>
                    <w:rPr>
                      <w:rFonts w:hint="eastAsia" w:ascii="Times New Roman" w:hAnsi="Times New Roman" w:cs="Times New Roman"/>
                      <w:color w:val="auto"/>
                      <w:spacing w:val="0"/>
                      <w:position w:val="0"/>
                      <w:sz w:val="21"/>
                      <w:szCs w:val="21"/>
                      <w:highlight w:val="none"/>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焊条</w:t>
                  </w:r>
                </w:p>
              </w:tc>
              <w:tc>
                <w:tcPr>
                  <w:tcW w:w="1337"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3</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kern w:val="0"/>
                      <w:positio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spacing w:line="240" w:lineRule="auto"/>
                    <w:jc w:val="center"/>
                    <w:rPr>
                      <w:rFonts w:hint="default" w:ascii="Times New Roman" w:hAnsi="Times New Roman" w:eastAsia="宋体" w:cs="Times New Roman"/>
                      <w:color w:val="auto"/>
                      <w:spacing w:val="0"/>
                      <w:position w:val="0"/>
                      <w:sz w:val="21"/>
                      <w:szCs w:val="21"/>
                      <w:highlight w:val="none"/>
                    </w:rPr>
                  </w:pPr>
                  <w:r>
                    <w:rPr>
                      <w:rFonts w:hint="eastAsia" w:cs="Times New Roman" w:eastAsiaTheme="minorEastAsia"/>
                      <w:color w:val="auto"/>
                      <w:kern w:val="2"/>
                      <w:sz w:val="21"/>
                      <w:szCs w:val="21"/>
                      <w:highlight w:val="none"/>
                      <w:lang w:val="en-US" w:eastAsia="zh-CN" w:bidi="ar-SA"/>
                    </w:rPr>
                    <w:t>角钢</w:t>
                  </w:r>
                </w:p>
              </w:tc>
              <w:tc>
                <w:tcPr>
                  <w:tcW w:w="1337" w:type="dxa"/>
                  <w:noWrap w:val="0"/>
                  <w:vAlign w:val="center"/>
                </w:tcPr>
                <w:p>
                  <w:pPr>
                    <w:pStyle w:val="2"/>
                    <w:spacing w:after="0" w:line="240" w:lineRule="auto"/>
                    <w:ind w:left="0" w:leftChars="0" w:firstLine="0" w:firstLineChars="0"/>
                    <w:jc w:val="center"/>
                    <w:rPr>
                      <w:rFonts w:hint="eastAsia"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1</w:t>
                  </w:r>
                </w:p>
              </w:tc>
              <w:tc>
                <w:tcPr>
                  <w:tcW w:w="3123" w:type="dxa"/>
                  <w:noWrap w:val="0"/>
                  <w:vAlign w:val="center"/>
                </w:tcPr>
                <w:p>
                  <w:pPr>
                    <w:spacing w:line="240" w:lineRule="auto"/>
                    <w:ind w:firstLine="0" w:firstLineChars="0"/>
                    <w:jc w:val="center"/>
                    <w:rPr>
                      <w:rFonts w:hint="default" w:ascii="Times New Roman" w:hAnsi="Times New Roman" w:eastAsia="宋体" w:cs="Times New Roman"/>
                      <w:color w:val="auto"/>
                      <w:spacing w:val="0"/>
                      <w:position w:val="0"/>
                      <w:sz w:val="21"/>
                      <w:szCs w:val="21"/>
                      <w:highlight w:val="none"/>
                    </w:rPr>
                  </w:pP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exact"/>
                <w:jc w:val="center"/>
              </w:trPr>
              <w:tc>
                <w:tcPr>
                  <w:tcW w:w="1911" w:type="dxa"/>
                  <w:noWrap w:val="0"/>
                  <w:vAlign w:val="center"/>
                </w:tcPr>
                <w:p>
                  <w:pPr>
                    <w:spacing w:line="240" w:lineRule="auto"/>
                    <w:jc w:val="center"/>
                    <w:rPr>
                      <w:rFonts w:hint="default" w:cs="Times New Roman" w:eastAsiaTheme="minorEastAsia"/>
                      <w:color w:val="auto"/>
                      <w:kern w:val="2"/>
                      <w:sz w:val="21"/>
                      <w:szCs w:val="21"/>
                      <w:highlight w:val="none"/>
                      <w:lang w:val="en-US" w:eastAsia="zh-CN" w:bidi="ar-SA"/>
                    </w:rPr>
                  </w:pPr>
                  <w:r>
                    <w:rPr>
                      <w:rFonts w:hint="eastAsia" w:cs="Times New Roman" w:eastAsiaTheme="minorEastAsia"/>
                      <w:color w:val="auto"/>
                      <w:kern w:val="2"/>
                      <w:sz w:val="21"/>
                      <w:szCs w:val="21"/>
                      <w:highlight w:val="none"/>
                      <w:lang w:val="en-US" w:eastAsia="zh-CN" w:bidi="ar-SA"/>
                    </w:rPr>
                    <w:t>槽钢</w:t>
                  </w:r>
                </w:p>
              </w:tc>
              <w:tc>
                <w:tcPr>
                  <w:tcW w:w="1337"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1</w:t>
                  </w:r>
                </w:p>
              </w:tc>
              <w:tc>
                <w:tcPr>
                  <w:tcW w:w="3123" w:type="dxa"/>
                  <w:noWrap w:val="0"/>
                  <w:vAlign w:val="center"/>
                </w:tcPr>
                <w:p>
                  <w:pPr>
                    <w:spacing w:line="240" w:lineRule="auto"/>
                    <w:ind w:firstLine="0" w:firstLineChars="0"/>
                    <w:jc w:val="center"/>
                    <w:rPr>
                      <w:rFonts w:hint="default" w:ascii="Times New Roman" w:hAnsi="Times New Roman" w:eastAsia="宋体" w:cs="Times New Roman"/>
                      <w:color w:val="auto"/>
                      <w:spacing w:val="0"/>
                      <w:position w:val="0"/>
                      <w:sz w:val="21"/>
                      <w:szCs w:val="21"/>
                      <w:highlight w:val="none"/>
                    </w:rPr>
                  </w:pP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cs="Times New Roman"/>
                      <w:color w:val="auto"/>
                      <w:spacing w:val="0"/>
                      <w:positio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11"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rPr>
                  </w:pPr>
                  <w:r>
                    <w:rPr>
                      <w:rFonts w:hint="default" w:ascii="Times New Roman" w:hAnsi="Times New Roman" w:eastAsia="宋体" w:cs="Times New Roman"/>
                      <w:color w:val="auto"/>
                      <w:spacing w:val="0"/>
                      <w:position w:val="0"/>
                      <w:sz w:val="21"/>
                      <w:szCs w:val="21"/>
                      <w:highlight w:val="none"/>
                    </w:rPr>
                    <w:t>合计</w:t>
                  </w:r>
                </w:p>
              </w:tc>
              <w:tc>
                <w:tcPr>
                  <w:tcW w:w="1337"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75.</w:t>
                  </w:r>
                  <w:r>
                    <w:rPr>
                      <w:rFonts w:hint="eastAsia" w:cs="Times New Roman"/>
                      <w:color w:val="auto"/>
                      <w:spacing w:val="0"/>
                      <w:position w:val="0"/>
                      <w:sz w:val="21"/>
                      <w:szCs w:val="21"/>
                      <w:highlight w:val="none"/>
                      <w:lang w:val="en-US" w:eastAsia="zh-CN"/>
                    </w:rPr>
                    <w:t>117</w:t>
                  </w:r>
                </w:p>
              </w:tc>
              <w:tc>
                <w:tcPr>
                  <w:tcW w:w="3123"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default" w:ascii="Times New Roman" w:hAnsi="Times New Roman" w:eastAsia="宋体" w:cs="Times New Roman"/>
                      <w:color w:val="auto"/>
                      <w:spacing w:val="0"/>
                      <w:position w:val="0"/>
                      <w:sz w:val="21"/>
                      <w:szCs w:val="21"/>
                      <w:highlight w:val="none"/>
                      <w:lang w:val="en-US" w:eastAsia="zh-CN"/>
                    </w:rPr>
                    <w:t>合计</w:t>
                  </w:r>
                </w:p>
              </w:tc>
              <w:tc>
                <w:tcPr>
                  <w:tcW w:w="2589" w:type="dxa"/>
                  <w:noWrap w:val="0"/>
                  <w:vAlign w:val="center"/>
                </w:tcPr>
                <w:p>
                  <w:pPr>
                    <w:pStyle w:val="2"/>
                    <w:spacing w:after="0" w:line="240" w:lineRule="auto"/>
                    <w:ind w:left="0" w:leftChars="0" w:firstLine="0" w:firstLineChars="0"/>
                    <w:jc w:val="center"/>
                    <w:rPr>
                      <w:rFonts w:hint="default" w:ascii="Times New Roman" w:hAnsi="Times New Roman" w:eastAsia="宋体" w:cs="Times New Roman"/>
                      <w:color w:val="auto"/>
                      <w:spacing w:val="0"/>
                      <w:position w:val="0"/>
                      <w:sz w:val="21"/>
                      <w:szCs w:val="21"/>
                      <w:highlight w:val="none"/>
                      <w:lang w:val="en-US" w:eastAsia="zh-CN"/>
                    </w:rPr>
                  </w:pPr>
                  <w:r>
                    <w:rPr>
                      <w:rFonts w:hint="eastAsia" w:ascii="Times New Roman" w:hAnsi="Times New Roman" w:cs="Times New Roman"/>
                      <w:color w:val="auto"/>
                      <w:spacing w:val="0"/>
                      <w:position w:val="0"/>
                      <w:sz w:val="21"/>
                      <w:szCs w:val="21"/>
                      <w:highlight w:val="none"/>
                      <w:lang w:val="en-US" w:eastAsia="zh-CN"/>
                    </w:rPr>
                    <w:t>75.</w:t>
                  </w:r>
                  <w:r>
                    <w:rPr>
                      <w:rFonts w:hint="eastAsia" w:cs="Times New Roman"/>
                      <w:color w:val="auto"/>
                      <w:spacing w:val="0"/>
                      <w:position w:val="0"/>
                      <w:sz w:val="21"/>
                      <w:szCs w:val="21"/>
                      <w:highlight w:val="none"/>
                      <w:lang w:val="en-US" w:eastAsia="zh-CN"/>
                    </w:rPr>
                    <w:t>117</w:t>
                  </w:r>
                </w:p>
              </w:tc>
            </w:tr>
          </w:tbl>
          <w:p>
            <w:pPr>
              <w:pStyle w:val="11"/>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3.6能源消耗情况</w:t>
            </w:r>
          </w:p>
          <w:p>
            <w:pPr>
              <w:pStyle w:val="10"/>
              <w:bidi w:val="0"/>
              <w:ind w:firstLine="480" w:firstLineChars="200"/>
              <w:rPr>
                <w:rFonts w:hint="default" w:ascii="Times New Roman" w:hAnsi="Times New Roman" w:cs="Times New Roman"/>
                <w:b w:val="0"/>
                <w:bCs w:val="0"/>
                <w:color w:val="auto"/>
                <w:sz w:val="24"/>
                <w:szCs w:val="28"/>
                <w:highlight w:val="none"/>
                <w:lang w:val="en-US" w:eastAsia="zh-CN"/>
              </w:rPr>
            </w:pPr>
            <w:r>
              <w:rPr>
                <w:rFonts w:hint="eastAsia" w:ascii="Times New Roman" w:hAnsi="Times New Roman" w:cs="Times New Roman"/>
                <w:b w:val="0"/>
                <w:bCs w:val="0"/>
                <w:color w:val="auto"/>
                <w:sz w:val="24"/>
                <w:szCs w:val="28"/>
                <w:highlight w:val="none"/>
                <w:lang w:val="en-US" w:eastAsia="zh-CN"/>
              </w:rPr>
              <w:t>3.6.1</w:t>
            </w:r>
            <w:r>
              <w:rPr>
                <w:rFonts w:hint="default" w:ascii="Times New Roman" w:hAnsi="Times New Roman" w:cs="Times New Roman"/>
                <w:b w:val="0"/>
                <w:bCs w:val="0"/>
                <w:color w:val="auto"/>
                <w:sz w:val="24"/>
                <w:szCs w:val="28"/>
                <w:highlight w:val="none"/>
                <w:lang w:val="en-US" w:eastAsia="zh-CN"/>
              </w:rPr>
              <w:t xml:space="preserve"> 给排水</w:t>
            </w:r>
          </w:p>
          <w:p>
            <w:pPr>
              <w:pStyle w:val="10"/>
              <w:bidi w:val="0"/>
              <w:ind w:firstLine="480" w:firstLineChars="200"/>
              <w:rPr>
                <w:rFonts w:hint="default" w:ascii="Times New Roman" w:hAnsi="Times New Roman" w:cs="Times New Roman"/>
                <w:b w:val="0"/>
                <w:bCs w:val="0"/>
                <w:color w:val="auto"/>
                <w:sz w:val="24"/>
                <w:szCs w:val="28"/>
                <w:highlight w:val="none"/>
                <w:lang w:val="en-US" w:eastAsia="zh-CN"/>
              </w:rPr>
            </w:pPr>
            <w:r>
              <w:rPr>
                <w:rFonts w:hint="default" w:ascii="Times New Roman" w:hAnsi="Times New Roman" w:cs="Times New Roman"/>
                <w:b w:val="0"/>
                <w:bCs w:val="0"/>
                <w:color w:val="auto"/>
                <w:sz w:val="24"/>
                <w:szCs w:val="28"/>
                <w:highlight w:val="none"/>
                <w:lang w:val="en-US" w:eastAsia="zh-CN"/>
              </w:rPr>
              <w:t>本次</w:t>
            </w:r>
            <w:r>
              <w:rPr>
                <w:rFonts w:hint="eastAsia" w:cs="Times New Roman"/>
                <w:b w:val="0"/>
                <w:bCs w:val="0"/>
                <w:color w:val="auto"/>
                <w:sz w:val="24"/>
                <w:szCs w:val="28"/>
                <w:highlight w:val="none"/>
                <w:lang w:val="en-US" w:eastAsia="zh-CN"/>
              </w:rPr>
              <w:t>技改</w:t>
            </w:r>
            <w:r>
              <w:rPr>
                <w:rFonts w:hint="default" w:ascii="Times New Roman" w:hAnsi="Times New Roman" w:cs="Times New Roman"/>
                <w:b w:val="0"/>
                <w:bCs w:val="0"/>
                <w:color w:val="auto"/>
                <w:sz w:val="24"/>
                <w:szCs w:val="28"/>
                <w:highlight w:val="none"/>
                <w:lang w:val="en-US" w:eastAsia="zh-CN"/>
              </w:rPr>
              <w:t>项目生活用水无变化，</w:t>
            </w:r>
            <w:r>
              <w:rPr>
                <w:rFonts w:hint="eastAsia" w:cs="Times New Roman"/>
                <w:b w:val="0"/>
                <w:bCs w:val="0"/>
                <w:color w:val="auto"/>
                <w:sz w:val="24"/>
                <w:szCs w:val="28"/>
                <w:highlight w:val="none"/>
                <w:lang w:val="en-US" w:eastAsia="zh-CN"/>
              </w:rPr>
              <w:t>生产不新增用水</w:t>
            </w:r>
            <w:r>
              <w:rPr>
                <w:rFonts w:hint="default" w:ascii="Times New Roman" w:hAnsi="Times New Roman" w:cs="Times New Roman"/>
                <w:b w:val="0"/>
                <w:bCs w:val="0"/>
                <w:color w:val="auto"/>
                <w:sz w:val="24"/>
                <w:szCs w:val="28"/>
                <w:highlight w:val="none"/>
                <w:lang w:val="en-US" w:eastAsia="zh-CN"/>
              </w:rPr>
              <w:t>。</w:t>
            </w:r>
          </w:p>
          <w:p>
            <w:pPr>
              <w:pStyle w:val="10"/>
              <w:bidi w:val="0"/>
              <w:jc w:val="center"/>
              <w:rPr>
                <w:rFonts w:hint="eastAsia" w:cs="Times New Roman"/>
                <w:b w:val="0"/>
                <w:bCs w:val="0"/>
                <w:color w:val="auto"/>
                <w:sz w:val="24"/>
                <w:szCs w:val="28"/>
                <w:highlight w:val="none"/>
                <w:lang w:val="en-US" w:eastAsia="zh-CN"/>
              </w:rPr>
            </w:pPr>
            <w:r>
              <w:rPr>
                <w:rFonts w:hint="eastAsia" w:cs="Times New Roman"/>
                <w:b w:val="0"/>
                <w:bCs w:val="0"/>
                <w:color w:val="auto"/>
                <w:sz w:val="24"/>
                <w:szCs w:val="28"/>
                <w:highlight w:val="none"/>
                <w:lang w:val="en-US" w:eastAsia="zh-CN"/>
              </w:rPr>
              <w:drawing>
                <wp:inline distT="0" distB="0" distL="114300" distR="114300">
                  <wp:extent cx="5156200" cy="2566670"/>
                  <wp:effectExtent l="0" t="0" r="6350" b="5080"/>
                  <wp:docPr id="5" name="图片 5" descr="未命名文件(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文件(26)"/>
                          <pic:cNvPicPr>
                            <a:picLocks noChangeAspect="1"/>
                          </pic:cNvPicPr>
                        </pic:nvPicPr>
                        <pic:blipFill>
                          <a:blip r:embed="rId13"/>
                          <a:stretch>
                            <a:fillRect/>
                          </a:stretch>
                        </pic:blipFill>
                        <pic:spPr>
                          <a:xfrm>
                            <a:off x="0" y="0"/>
                            <a:ext cx="5156200" cy="2566670"/>
                          </a:xfrm>
                          <a:prstGeom prst="rect">
                            <a:avLst/>
                          </a:prstGeom>
                        </pic:spPr>
                      </pic:pic>
                    </a:graphicData>
                  </a:graphic>
                </wp:inline>
              </w:drawing>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eastAsia" w:ascii="Times New Roman" w:hAnsi="Times New Roman" w:eastAsia="宋体" w:cs="Times New Roman"/>
                <w:b/>
                <w:color w:val="auto"/>
                <w:kern w:val="21"/>
                <w:sz w:val="24"/>
                <w:szCs w:val="20"/>
                <w:highlight w:val="none"/>
                <w:lang w:val="en-US" w:eastAsia="zh-CN" w:bidi="ar-SA"/>
              </w:rPr>
              <w:t xml:space="preserve">图2-3  </w:t>
            </w:r>
            <w:r>
              <w:rPr>
                <w:rFonts w:hint="eastAsia" w:cs="Times New Roman"/>
                <w:b/>
                <w:color w:val="auto"/>
                <w:kern w:val="21"/>
                <w:sz w:val="24"/>
                <w:szCs w:val="20"/>
                <w:highlight w:val="none"/>
                <w:lang w:val="en-US" w:eastAsia="zh-CN" w:bidi="ar-SA"/>
              </w:rPr>
              <w:t>技改完成后</w:t>
            </w:r>
            <w:r>
              <w:rPr>
                <w:rFonts w:hint="eastAsia" w:ascii="Times New Roman" w:hAnsi="Times New Roman" w:eastAsia="宋体" w:cs="Times New Roman"/>
                <w:b/>
                <w:color w:val="auto"/>
                <w:kern w:val="21"/>
                <w:sz w:val="24"/>
                <w:szCs w:val="20"/>
                <w:highlight w:val="none"/>
                <w:lang w:val="en-US" w:eastAsia="zh-CN" w:bidi="ar-SA"/>
              </w:rPr>
              <w:t>全厂水平衡图  单位：m³/d</w:t>
            </w:r>
            <w:r>
              <w:rPr>
                <w:rFonts w:hint="eastAsia" w:cs="Times New Roman"/>
                <w:b/>
                <w:color w:val="auto"/>
                <w:kern w:val="21"/>
                <w:sz w:val="24"/>
                <w:szCs w:val="20"/>
                <w:highlight w:val="none"/>
                <w:lang w:val="en-US" w:eastAsia="zh-CN" w:bidi="ar-SA"/>
              </w:rPr>
              <w:t xml:space="preserve"> </w:t>
            </w:r>
          </w:p>
          <w:p>
            <w:pPr>
              <w:pStyle w:val="10"/>
              <w:bidi w:val="0"/>
              <w:ind w:firstLine="480" w:firstLineChars="200"/>
              <w:rPr>
                <w:rFonts w:hint="default" w:ascii="Times New Roman" w:hAnsi="Times New Roman" w:cs="Times New Roman"/>
                <w:b w:val="0"/>
                <w:bCs w:val="0"/>
                <w:color w:val="auto"/>
                <w:sz w:val="24"/>
                <w:szCs w:val="28"/>
                <w:highlight w:val="none"/>
                <w:lang w:val="en-US" w:eastAsia="zh-CN"/>
              </w:rPr>
            </w:pPr>
            <w:r>
              <w:rPr>
                <w:rFonts w:hint="eastAsia" w:ascii="Times New Roman" w:hAnsi="Times New Roman" w:cs="Times New Roman"/>
                <w:b w:val="0"/>
                <w:bCs w:val="0"/>
                <w:color w:val="auto"/>
                <w:sz w:val="24"/>
                <w:szCs w:val="28"/>
                <w:highlight w:val="none"/>
                <w:lang w:val="en-US" w:eastAsia="zh-CN"/>
              </w:rPr>
              <w:t>3.6.2</w:t>
            </w:r>
            <w:r>
              <w:rPr>
                <w:rFonts w:hint="default" w:ascii="Times New Roman" w:hAnsi="Times New Roman" w:cs="Times New Roman"/>
                <w:b w:val="0"/>
                <w:bCs w:val="0"/>
                <w:color w:val="auto"/>
                <w:sz w:val="24"/>
                <w:szCs w:val="28"/>
                <w:highlight w:val="none"/>
                <w:lang w:val="en-US" w:eastAsia="zh-CN"/>
              </w:rPr>
              <w:t>供电</w:t>
            </w:r>
          </w:p>
          <w:p>
            <w:pPr>
              <w:pStyle w:val="10"/>
              <w:bidi w:val="0"/>
              <w:ind w:firstLine="480" w:firstLineChars="200"/>
              <w:rPr>
                <w:rFonts w:hint="eastAsia" w:ascii="Times New Roman" w:hAnsi="Times New Roman" w:cs="Times New Roman"/>
                <w:b w:val="0"/>
                <w:bCs w:val="0"/>
                <w:color w:val="auto"/>
                <w:sz w:val="24"/>
                <w:szCs w:val="28"/>
                <w:highlight w:val="none"/>
                <w:lang w:val="en-US" w:eastAsia="zh-CN"/>
              </w:rPr>
            </w:pPr>
            <w:r>
              <w:rPr>
                <w:rFonts w:hint="default" w:ascii="Times New Roman" w:hAnsi="Times New Roman" w:cs="Times New Roman"/>
                <w:b w:val="0"/>
                <w:bCs w:val="0"/>
                <w:color w:val="auto"/>
                <w:sz w:val="24"/>
                <w:szCs w:val="28"/>
                <w:highlight w:val="none"/>
                <w:lang w:val="en-US" w:eastAsia="zh-CN"/>
              </w:rPr>
              <w:t>本项目用电由</w:t>
            </w:r>
            <w:r>
              <w:rPr>
                <w:rFonts w:hint="eastAsia" w:cs="Times New Roman"/>
                <w:b w:val="0"/>
                <w:bCs w:val="0"/>
                <w:color w:val="auto"/>
                <w:sz w:val="24"/>
                <w:szCs w:val="28"/>
                <w:highlight w:val="none"/>
                <w:lang w:val="en-US" w:eastAsia="zh-CN"/>
              </w:rPr>
              <w:t>抚宁区</w:t>
            </w:r>
            <w:r>
              <w:rPr>
                <w:rFonts w:hint="default" w:ascii="Times New Roman" w:hAnsi="Times New Roman" w:cs="Times New Roman"/>
                <w:b w:val="0"/>
                <w:bCs w:val="0"/>
                <w:color w:val="auto"/>
                <w:sz w:val="24"/>
                <w:szCs w:val="28"/>
                <w:highlight w:val="none"/>
                <w:lang w:val="en-US" w:eastAsia="zh-CN"/>
              </w:rPr>
              <w:t>下庄乡电网提供</w:t>
            </w:r>
            <w:r>
              <w:rPr>
                <w:rFonts w:hint="eastAsia" w:ascii="Times New Roman" w:hAnsi="Times New Roman" w:cs="Times New Roman"/>
                <w:b w:val="0"/>
                <w:bCs w:val="0"/>
                <w:color w:val="auto"/>
                <w:sz w:val="24"/>
                <w:szCs w:val="28"/>
                <w:highlight w:val="none"/>
                <w:lang w:val="en-US" w:eastAsia="zh-CN"/>
              </w:rPr>
              <w:t>，</w:t>
            </w:r>
            <w:r>
              <w:rPr>
                <w:rFonts w:hint="eastAsia" w:cs="Times New Roman"/>
                <w:b w:val="0"/>
                <w:bCs w:val="0"/>
                <w:color w:val="auto"/>
                <w:sz w:val="24"/>
                <w:szCs w:val="28"/>
                <w:highlight w:val="none"/>
                <w:lang w:val="en-US" w:eastAsia="zh-CN"/>
              </w:rPr>
              <w:t>技改</w:t>
            </w:r>
            <w:r>
              <w:rPr>
                <w:rFonts w:hint="default" w:ascii="Times New Roman" w:hAnsi="Times New Roman" w:cs="Times New Roman"/>
                <w:b w:val="0"/>
                <w:bCs w:val="0"/>
                <w:color w:val="auto"/>
                <w:sz w:val="24"/>
                <w:szCs w:val="28"/>
                <w:highlight w:val="none"/>
                <w:lang w:val="en-US" w:eastAsia="zh-CN"/>
              </w:rPr>
              <w:t>项目新增年用电量为</w:t>
            </w:r>
            <w:r>
              <w:rPr>
                <w:rFonts w:hint="eastAsia" w:cs="Times New Roman"/>
                <w:b w:val="0"/>
                <w:bCs w:val="0"/>
                <w:color w:val="auto"/>
                <w:sz w:val="24"/>
                <w:szCs w:val="28"/>
                <w:highlight w:val="none"/>
                <w:lang w:val="en-US" w:eastAsia="zh-CN"/>
              </w:rPr>
              <w:t>2000</w:t>
            </w:r>
            <w:r>
              <w:rPr>
                <w:rFonts w:hint="default" w:ascii="Times New Roman" w:hAnsi="Times New Roman" w:cs="Times New Roman"/>
                <w:b w:val="0"/>
                <w:bCs w:val="0"/>
                <w:color w:val="auto"/>
                <w:sz w:val="24"/>
                <w:szCs w:val="28"/>
                <w:highlight w:val="none"/>
                <w:lang w:val="en-US" w:eastAsia="zh-CN"/>
              </w:rPr>
              <w:t>kwh，</w:t>
            </w:r>
            <w:r>
              <w:rPr>
                <w:rFonts w:hint="eastAsia" w:cs="Times New Roman"/>
                <w:b w:val="0"/>
                <w:bCs w:val="0"/>
                <w:color w:val="auto"/>
                <w:sz w:val="24"/>
                <w:szCs w:val="28"/>
                <w:highlight w:val="none"/>
                <w:lang w:val="en-US" w:eastAsia="zh-CN"/>
              </w:rPr>
              <w:t>项目建成后全厂</w:t>
            </w:r>
            <w:r>
              <w:rPr>
                <w:rFonts w:hint="default" w:ascii="Times New Roman" w:hAnsi="Times New Roman" w:cs="Times New Roman"/>
                <w:b w:val="0"/>
                <w:bCs w:val="0"/>
                <w:color w:val="auto"/>
                <w:sz w:val="24"/>
                <w:szCs w:val="28"/>
                <w:highlight w:val="none"/>
                <w:lang w:val="en-US" w:eastAsia="zh-CN"/>
              </w:rPr>
              <w:t>总用电量为</w:t>
            </w:r>
            <w:r>
              <w:rPr>
                <w:rFonts w:hint="eastAsia" w:cs="Times New Roman"/>
                <w:b w:val="0"/>
                <w:bCs w:val="0"/>
                <w:color w:val="auto"/>
                <w:sz w:val="24"/>
                <w:szCs w:val="28"/>
                <w:highlight w:val="none"/>
                <w:lang w:val="en-US" w:eastAsia="zh-CN"/>
              </w:rPr>
              <w:t>12000</w:t>
            </w:r>
            <w:r>
              <w:rPr>
                <w:rFonts w:hint="default" w:ascii="Times New Roman" w:hAnsi="Times New Roman" w:cs="Times New Roman"/>
                <w:b w:val="0"/>
                <w:bCs w:val="0"/>
                <w:color w:val="auto"/>
                <w:sz w:val="24"/>
                <w:szCs w:val="28"/>
                <w:highlight w:val="none"/>
                <w:lang w:val="en-US" w:eastAsia="zh-CN"/>
              </w:rPr>
              <w:t>kwh，</w:t>
            </w:r>
            <w:r>
              <w:rPr>
                <w:rFonts w:hint="eastAsia" w:cs="Times New Roman"/>
                <w:b w:val="0"/>
                <w:bCs w:val="0"/>
                <w:color w:val="auto"/>
                <w:sz w:val="24"/>
                <w:szCs w:val="28"/>
                <w:highlight w:val="none"/>
                <w:lang w:val="en-US" w:eastAsia="zh-CN"/>
              </w:rPr>
              <w:t>现有市政供电可</w:t>
            </w:r>
            <w:r>
              <w:rPr>
                <w:rFonts w:hint="default" w:ascii="Times New Roman" w:hAnsi="Times New Roman" w:cs="Times New Roman"/>
                <w:b w:val="0"/>
                <w:bCs w:val="0"/>
                <w:color w:val="auto"/>
                <w:sz w:val="24"/>
                <w:szCs w:val="28"/>
                <w:highlight w:val="none"/>
                <w:lang w:val="en-US" w:eastAsia="zh-CN"/>
              </w:rPr>
              <w:t>满足用电需求</w:t>
            </w:r>
            <w:r>
              <w:rPr>
                <w:rFonts w:hint="eastAsia" w:ascii="Times New Roman" w:hAnsi="Times New Roman" w:cs="Times New Roman"/>
                <w:b w:val="0"/>
                <w:bCs w:val="0"/>
                <w:color w:val="auto"/>
                <w:sz w:val="24"/>
                <w:szCs w:val="28"/>
                <w:highlight w:val="none"/>
                <w:lang w:val="en-US" w:eastAsia="zh-CN"/>
              </w:rPr>
              <w:t>。</w:t>
            </w:r>
          </w:p>
          <w:p>
            <w:pPr>
              <w:pStyle w:val="10"/>
              <w:bidi w:val="0"/>
              <w:ind w:firstLine="480" w:firstLineChars="200"/>
              <w:rPr>
                <w:rFonts w:hint="default" w:ascii="Times New Roman" w:hAnsi="Times New Roman" w:cs="Times New Roman"/>
                <w:b w:val="0"/>
                <w:bCs w:val="0"/>
                <w:color w:val="auto"/>
                <w:sz w:val="24"/>
                <w:szCs w:val="28"/>
                <w:highlight w:val="none"/>
                <w:lang w:val="en-US" w:eastAsia="zh-CN"/>
              </w:rPr>
            </w:pPr>
            <w:r>
              <w:rPr>
                <w:rFonts w:hint="eastAsia" w:ascii="Times New Roman" w:hAnsi="Times New Roman" w:cs="Times New Roman"/>
                <w:b w:val="0"/>
                <w:bCs w:val="0"/>
                <w:color w:val="auto"/>
                <w:sz w:val="24"/>
                <w:szCs w:val="28"/>
                <w:highlight w:val="none"/>
                <w:lang w:val="en-US" w:eastAsia="zh-CN"/>
              </w:rPr>
              <w:t>3.6.3</w:t>
            </w:r>
            <w:r>
              <w:rPr>
                <w:rFonts w:hint="default" w:ascii="Times New Roman" w:hAnsi="Times New Roman" w:cs="Times New Roman"/>
                <w:b w:val="0"/>
                <w:bCs w:val="0"/>
                <w:color w:val="auto"/>
                <w:sz w:val="24"/>
                <w:szCs w:val="28"/>
                <w:highlight w:val="none"/>
                <w:lang w:val="en-US" w:eastAsia="zh-CN"/>
              </w:rPr>
              <w:t>供热</w:t>
            </w:r>
          </w:p>
          <w:p>
            <w:pPr>
              <w:pStyle w:val="10"/>
              <w:bidi w:val="0"/>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 w:val="24"/>
                <w:szCs w:val="28"/>
                <w:highlight w:val="none"/>
                <w:lang w:val="en-US" w:eastAsia="zh-CN"/>
              </w:rPr>
              <w:t>冬季办公室</w:t>
            </w:r>
            <w:r>
              <w:rPr>
                <w:rFonts w:hint="eastAsia" w:cs="Times New Roman"/>
                <w:b w:val="0"/>
                <w:bCs w:val="0"/>
                <w:color w:val="auto"/>
                <w:sz w:val="24"/>
                <w:szCs w:val="28"/>
                <w:highlight w:val="none"/>
                <w:lang w:val="en-US" w:eastAsia="zh-CN"/>
              </w:rPr>
              <w:t>采用空调供热</w:t>
            </w:r>
            <w:r>
              <w:rPr>
                <w:rFonts w:hint="default" w:ascii="Times New Roman" w:hAnsi="Times New Roman" w:cs="Times New Roman"/>
                <w:b w:val="0"/>
                <w:bCs w:val="0"/>
                <w:color w:val="auto"/>
                <w:sz w:val="24"/>
                <w:szCs w:val="28"/>
                <w:highlight w:val="none"/>
                <w:lang w:val="en-US" w:eastAsia="zh-CN"/>
              </w:rPr>
              <w:t>，</w:t>
            </w:r>
            <w:r>
              <w:rPr>
                <w:rFonts w:hint="eastAsia" w:cs="Times New Roman"/>
                <w:b w:val="0"/>
                <w:bCs w:val="0"/>
                <w:color w:val="auto"/>
                <w:sz w:val="24"/>
                <w:szCs w:val="28"/>
                <w:highlight w:val="none"/>
                <w:lang w:val="en-US" w:eastAsia="zh-CN"/>
              </w:rPr>
              <w:t>生产车间不设取暖。</w:t>
            </w:r>
          </w:p>
        </w:tc>
      </w:tr>
    </w:tbl>
    <w:p>
      <w:pPr>
        <w:pStyle w:val="11"/>
        <w:bidi w:val="0"/>
        <w:rPr>
          <w:rFonts w:hint="default" w:ascii="Times New Roman" w:hAnsi="Times New Roman" w:cs="Times New Roman"/>
          <w:color w:val="auto"/>
          <w:highlight w:val="none"/>
          <w:vertAlign w:val="baseline"/>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6" w:hRule="atLeast"/>
          <w:jc w:val="center"/>
        </w:trPr>
        <w:tc>
          <w:tcPr>
            <w:tcW w:w="485" w:type="dxa"/>
            <w:noWrap w:val="0"/>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工艺流程和产排污环节</w:t>
            </w:r>
          </w:p>
        </w:tc>
        <w:tc>
          <w:tcPr>
            <w:tcW w:w="8586" w:type="dxa"/>
            <w:noWrap w:val="0"/>
            <w:vAlign w:val="center"/>
          </w:tcPr>
          <w:p>
            <w:pPr>
              <w:pStyle w:val="50"/>
              <w:bidi w:val="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1、施工期工艺流程：</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本项目在现有车间内新建彩钢喷漆房1座，无需土建工程，仅为喷漆房安装以及设备调试，施工期较短，施工影响随施工期结束而结束。</w:t>
            </w:r>
          </w:p>
          <w:p>
            <w:pPr>
              <w:pStyle w:val="50"/>
              <w:bidi w:val="0"/>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2、运营期工艺流程：</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主要工艺环节说明：</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本次技改项目新增喷漆工艺，其余不变。</w:t>
            </w:r>
          </w:p>
          <w:p>
            <w:pPr>
              <w:pStyle w:val="50"/>
              <w:bidi w:val="0"/>
              <w:ind w:left="0" w:leftChars="0"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312410" cy="1806575"/>
                  <wp:effectExtent l="0" t="0" r="2540" b="3175"/>
                  <wp:docPr id="9" name="图片 9" descr="联安机械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联安机械工艺流程图"/>
                          <pic:cNvPicPr>
                            <a:picLocks noChangeAspect="1"/>
                          </pic:cNvPicPr>
                        </pic:nvPicPr>
                        <pic:blipFill>
                          <a:blip r:embed="rId15"/>
                          <a:stretch>
                            <a:fillRect/>
                          </a:stretch>
                        </pic:blipFill>
                        <pic:spPr>
                          <a:xfrm>
                            <a:off x="0" y="0"/>
                            <a:ext cx="5312410" cy="1806575"/>
                          </a:xfrm>
                          <a:prstGeom prst="rect">
                            <a:avLst/>
                          </a:prstGeom>
                        </pic:spPr>
                      </pic:pic>
                    </a:graphicData>
                  </a:graphic>
                </wp:inline>
              </w:drawing>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default" w:ascii="Times New Roman" w:hAnsi="Times New Roman" w:eastAsia="宋体" w:cs="Times New Roman"/>
                <w:b/>
                <w:color w:val="auto"/>
                <w:kern w:val="21"/>
                <w:sz w:val="24"/>
                <w:szCs w:val="20"/>
                <w:highlight w:val="none"/>
                <w:lang w:val="en-US" w:eastAsia="zh-CN" w:bidi="ar-SA"/>
              </w:rPr>
              <w:t xml:space="preserve">图2-4 工艺流程及排污节点图 </w:t>
            </w:r>
            <w:r>
              <w:rPr>
                <w:rFonts w:hint="default" w:ascii="Times New Roman" w:hAnsi="Times New Roman" w:cs="Times New Roman"/>
                <w:b/>
                <w:color w:val="auto"/>
                <w:kern w:val="21"/>
                <w:sz w:val="24"/>
                <w:szCs w:val="20"/>
                <w:highlight w:val="none"/>
                <w:lang w:val="en-US" w:eastAsia="zh-CN" w:bidi="ar-SA"/>
              </w:rPr>
              <w:t>（</w:t>
            </w:r>
            <w:r>
              <w:rPr>
                <w:rFonts w:hint="default" w:ascii="Times New Roman" w:hAnsi="Times New Roman" w:eastAsia="宋体" w:cs="Times New Roman"/>
                <w:b/>
                <w:color w:val="auto"/>
                <w:kern w:val="21"/>
                <w:sz w:val="24"/>
                <w:szCs w:val="20"/>
                <w:highlight w:val="none"/>
                <w:lang w:val="en-US" w:eastAsia="zh-CN" w:bidi="ar-SA"/>
              </w:rPr>
              <w:t>虚线框内为本次</w:t>
            </w:r>
            <w:r>
              <w:rPr>
                <w:rFonts w:hint="default" w:ascii="Times New Roman" w:hAnsi="Times New Roman" w:cs="Times New Roman"/>
                <w:color w:val="auto"/>
                <w:sz w:val="24"/>
                <w:szCs w:val="16"/>
                <w:highlight w:val="none"/>
                <w:lang w:val="en-US" w:eastAsia="zh-CN"/>
              </w:rPr>
              <w:t>技改</w:t>
            </w:r>
            <w:r>
              <w:rPr>
                <w:rFonts w:hint="default" w:ascii="Times New Roman" w:hAnsi="Times New Roman" w:cs="Times New Roman"/>
                <w:b/>
                <w:color w:val="auto"/>
                <w:kern w:val="21"/>
                <w:sz w:val="24"/>
                <w:szCs w:val="20"/>
                <w:highlight w:val="none"/>
                <w:lang w:val="en-US" w:eastAsia="zh-CN" w:bidi="ar-SA"/>
              </w:rPr>
              <w:t>新增工序）</w:t>
            </w:r>
          </w:p>
          <w:p>
            <w:pPr>
              <w:pStyle w:val="51"/>
              <w:pageBreakBefore w:val="0"/>
              <w:widowControl w:val="0"/>
              <w:kinsoku/>
              <w:wordWrap/>
              <w:overflowPunct/>
              <w:topLinePunct w:val="0"/>
              <w:bidi w:val="0"/>
              <w:adjustRightInd w:val="0"/>
              <w:snapToGrid/>
              <w:spacing w:line="360" w:lineRule="auto"/>
              <w:ind w:left="0" w:firstLine="480" w:firstLineChars="200"/>
              <w:jc w:val="both"/>
              <w:textAlignment w:val="auto"/>
              <w:rPr>
                <w:rFonts w:hint="default" w:ascii="Times New Roman" w:hAnsi="Times New Roman" w:cs="Times New Roman"/>
                <w:color w:val="auto"/>
                <w:sz w:val="28"/>
                <w:szCs w:val="18"/>
                <w:highlight w:val="none"/>
                <w:lang w:eastAsia="zh-CN"/>
              </w:rPr>
            </w:pPr>
            <w:r>
              <w:rPr>
                <w:rFonts w:hint="default" w:ascii="Times New Roman" w:hAnsi="Times New Roman" w:cs="Times New Roman"/>
                <w:color w:val="auto"/>
                <w:sz w:val="24"/>
                <w:szCs w:val="16"/>
                <w:highlight w:val="none"/>
                <w:lang w:val="en-US" w:eastAsia="zh-CN"/>
              </w:rPr>
              <w:t>3、</w:t>
            </w:r>
            <w:r>
              <w:rPr>
                <w:rFonts w:hint="default" w:ascii="Times New Roman" w:hAnsi="Times New Roman" w:cs="Times New Roman"/>
                <w:color w:val="auto"/>
                <w:sz w:val="24"/>
                <w:szCs w:val="16"/>
                <w:highlight w:val="none"/>
                <w:lang w:eastAsia="zh-CN"/>
              </w:rPr>
              <w:t>工艺简</w:t>
            </w:r>
            <w:r>
              <w:rPr>
                <w:rFonts w:hint="default" w:ascii="Times New Roman" w:hAnsi="Times New Roman" w:cs="Times New Roman"/>
                <w:color w:val="auto"/>
                <w:sz w:val="24"/>
                <w:szCs w:val="24"/>
                <w:highlight w:val="none"/>
                <w:lang w:eastAsia="zh-CN"/>
              </w:rPr>
              <w:t>介：</w:t>
            </w:r>
          </w:p>
          <w:p>
            <w:pPr>
              <w:pStyle w:val="50"/>
              <w:pageBreakBefore w:val="0"/>
              <w:widowControl w:val="0"/>
              <w:kinsoku/>
              <w:wordWrap/>
              <w:overflowPunct/>
              <w:topLinePunct w:val="0"/>
              <w:bidi w:val="0"/>
              <w:adjustRightInd w:val="0"/>
              <w:snapToGrid/>
              <w:spacing w:line="360" w:lineRule="auto"/>
              <w:ind w:left="0"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（1）切割（外委）</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购入原料需要进行切割，由于场地限制，切割工艺委托邻厂秦皇岛优益重工科技有限公司代做。切割完成后由代做公司负责运至本公司生产车间内。</w:t>
            </w:r>
          </w:p>
          <w:p>
            <w:pPr>
              <w:pStyle w:val="50"/>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本工序由其他公司代做，工序产生的污染物不在本环评评价范围内。</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（2）钻孔</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将切割好的原材料按照规格的要求进行打孔</w:t>
            </w:r>
            <w:r>
              <w:rPr>
                <w:rFonts w:hint="eastAsia" w:ascii="Times New Roman" w:hAnsi="Times New Roman" w:cs="Times New Roman"/>
                <w:color w:val="auto"/>
                <w:highlight w:val="none"/>
                <w:lang w:val="en-US" w:eastAsia="zh-CN"/>
              </w:rPr>
              <w:t>，打孔过程中乳化液、润滑油会飞溅到原材料上，使用抹布进行擦拭</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本项目钻孔过程中金属屑可能沾染乳化液，本项目设置过滤系统，将含乳化液的金属屑收集后放到过滤系统中，乳化液由下方收集口进入回收桶中循环使用，金属屑外售。</w:t>
            </w:r>
          </w:p>
          <w:p>
            <w:pPr>
              <w:pStyle w:val="50"/>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本工序污染物主要为设备产生的噪声、金属屑、</w:t>
            </w:r>
            <w:r>
              <w:rPr>
                <w:rFonts w:hint="eastAsia" w:ascii="Times New Roman" w:hAnsi="Times New Roman" w:cs="Times New Roman"/>
                <w:b/>
                <w:bCs/>
                <w:color w:val="auto"/>
                <w:highlight w:val="none"/>
                <w:lang w:val="en-US" w:eastAsia="zh-CN"/>
              </w:rPr>
              <w:t>废抹布</w:t>
            </w:r>
            <w:r>
              <w:rPr>
                <w:rFonts w:hint="default" w:ascii="Times New Roman" w:hAnsi="Times New Roman" w:cs="Times New Roman"/>
                <w:b/>
                <w:bCs/>
                <w:color w:val="auto"/>
                <w:highlight w:val="none"/>
                <w:lang w:val="en-US" w:eastAsia="zh-CN"/>
              </w:rPr>
              <w:t>。</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焊接</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将钻孔完成后的原料按照规格进行焊接，形成产品的基本框架。</w:t>
            </w:r>
          </w:p>
          <w:p>
            <w:pPr>
              <w:pStyle w:val="50"/>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本工序污染物主要为焊接噪声、焊接产生的废气以及废焊头。</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喷漆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color w:val="auto"/>
                <w:kern w:val="2"/>
                <w:sz w:val="24"/>
                <w:szCs w:val="21"/>
                <w:highlight w:val="none"/>
                <w:lang w:val="en-US" w:eastAsia="zh-CN" w:bidi="ar-SA"/>
              </w:rPr>
              <w:t>调漆：在密闭喷漆房内手工调漆，调漆</w:t>
            </w:r>
            <w:r>
              <w:rPr>
                <w:rFonts w:hint="default" w:ascii="Times New Roman" w:hAnsi="Times New Roman" w:cs="Times New Roman"/>
                <w:b w:val="0"/>
                <w:bCs/>
                <w:color w:val="auto"/>
                <w:kern w:val="2"/>
                <w:sz w:val="24"/>
                <w:szCs w:val="21"/>
                <w:highlight w:val="none"/>
                <w:lang w:val="en-US" w:eastAsia="zh-CN" w:bidi="ar-SA"/>
              </w:rPr>
              <w:t>工序仅为</w:t>
            </w:r>
            <w:r>
              <w:rPr>
                <w:rFonts w:hint="eastAsia" w:ascii="Times New Roman" w:hAnsi="Times New Roman" w:cs="Times New Roman"/>
                <w:b w:val="0"/>
                <w:bCs/>
                <w:color w:val="auto"/>
                <w:kern w:val="2"/>
                <w:sz w:val="24"/>
                <w:szCs w:val="21"/>
                <w:highlight w:val="none"/>
                <w:lang w:val="en-US" w:eastAsia="zh-CN" w:bidi="ar-SA"/>
              </w:rPr>
              <w:t>高固份油漆</w:t>
            </w:r>
            <w:r>
              <w:rPr>
                <w:rFonts w:hint="default" w:ascii="Times New Roman" w:hAnsi="Times New Roman" w:eastAsia="宋体" w:cs="Times New Roman"/>
                <w:b w:val="0"/>
                <w:bCs/>
                <w:color w:val="auto"/>
                <w:kern w:val="2"/>
                <w:sz w:val="24"/>
                <w:szCs w:val="21"/>
                <w:highlight w:val="none"/>
                <w:lang w:val="en-US" w:eastAsia="zh-CN" w:bidi="ar-SA"/>
              </w:rPr>
              <w:t>及稀释剂进行混合。调漆时间</w:t>
            </w:r>
            <w:r>
              <w:rPr>
                <w:rFonts w:hint="eastAsia" w:ascii="Times New Roman" w:hAnsi="Times New Roman" w:cs="Times New Roman"/>
                <w:b w:val="0"/>
                <w:bCs/>
                <w:color w:val="auto"/>
                <w:kern w:val="2"/>
                <w:sz w:val="24"/>
                <w:szCs w:val="21"/>
                <w:highlight w:val="none"/>
                <w:lang w:val="en-US" w:eastAsia="zh-CN" w:bidi="ar-SA"/>
              </w:rPr>
              <w:t>按照</w:t>
            </w:r>
            <w:r>
              <w:rPr>
                <w:rFonts w:hint="default" w:ascii="Times New Roman" w:hAnsi="Times New Roman" w:eastAsia="宋体" w:cs="Times New Roman"/>
                <w:b w:val="0"/>
                <w:bCs/>
                <w:color w:val="auto"/>
                <w:kern w:val="2"/>
                <w:sz w:val="24"/>
                <w:szCs w:val="21"/>
                <w:highlight w:val="none"/>
                <w:lang w:val="en-US" w:eastAsia="zh-CN" w:bidi="ar-SA"/>
              </w:rPr>
              <w:t>每天</w:t>
            </w:r>
            <w:r>
              <w:rPr>
                <w:rFonts w:hint="eastAsia" w:ascii="Times New Roman" w:hAnsi="Times New Roman" w:cs="Times New Roman"/>
                <w:b w:val="0"/>
                <w:bCs/>
                <w:color w:val="auto"/>
                <w:kern w:val="2"/>
                <w:sz w:val="24"/>
                <w:szCs w:val="21"/>
                <w:highlight w:val="none"/>
                <w:lang w:val="en-US" w:eastAsia="zh-CN" w:bidi="ar-SA"/>
              </w:rPr>
              <w:t>10</w:t>
            </w:r>
            <w:r>
              <w:rPr>
                <w:rFonts w:hint="default" w:ascii="Times New Roman" w:hAnsi="Times New Roman" w:eastAsia="宋体" w:cs="Times New Roman"/>
                <w:b w:val="0"/>
                <w:bCs/>
                <w:color w:val="auto"/>
                <w:kern w:val="2"/>
                <w:sz w:val="24"/>
                <w:szCs w:val="21"/>
                <w:highlight w:val="none"/>
                <w:lang w:val="en-US" w:eastAsia="zh-CN" w:bidi="ar-SA"/>
              </w:rPr>
              <w:t>min</w:t>
            </w:r>
            <w:r>
              <w:rPr>
                <w:rFonts w:hint="eastAsia" w:ascii="Times New Roman" w:hAnsi="Times New Roman" w:cs="Times New Roman"/>
                <w:b w:val="0"/>
                <w:bCs/>
                <w:color w:val="auto"/>
                <w:kern w:val="2"/>
                <w:sz w:val="24"/>
                <w:szCs w:val="21"/>
                <w:highlight w:val="none"/>
                <w:lang w:val="en-US" w:eastAsia="zh-CN" w:bidi="ar-SA"/>
              </w:rPr>
              <w:t>进行计算</w:t>
            </w:r>
            <w:r>
              <w:rPr>
                <w:rFonts w:hint="default" w:ascii="Times New Roman" w:hAnsi="Times New Roman" w:eastAsia="宋体" w:cs="Times New Roman"/>
                <w:b w:val="0"/>
                <w:bCs/>
                <w:color w:val="auto"/>
                <w:kern w:val="2"/>
                <w:sz w:val="24"/>
                <w:szCs w:val="21"/>
                <w:highlight w:val="none"/>
                <w:lang w:val="en-US" w:eastAsia="zh-CN" w:bidi="ar-SA"/>
              </w:rPr>
              <w:t>。</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喷漆：在微负压密闭的喷漆房内进行，人工使用喷枪对基本框架及元件进行喷漆，</w:t>
            </w:r>
            <w:r>
              <w:rPr>
                <w:rFonts w:hint="default" w:ascii="Times New Roman" w:hAnsi="Times New Roman" w:eastAsia="宋体" w:cs="Times New Roman"/>
                <w:b w:val="0"/>
                <w:bCs/>
                <w:color w:val="auto"/>
                <w:kern w:val="2"/>
                <w:sz w:val="24"/>
                <w:szCs w:val="21"/>
                <w:highlight w:val="none"/>
                <w:lang w:val="en-US" w:eastAsia="zh-CN" w:bidi="ar-SA"/>
              </w:rPr>
              <w:t>喷漆时间每天最多</w:t>
            </w:r>
            <w:r>
              <w:rPr>
                <w:rFonts w:hint="eastAsia" w:ascii="Times New Roman" w:hAnsi="Times New Roman" w:cs="Times New Roman"/>
                <w:b w:val="0"/>
                <w:bCs/>
                <w:color w:val="auto"/>
                <w:kern w:val="2"/>
                <w:sz w:val="24"/>
                <w:szCs w:val="21"/>
                <w:highlight w:val="none"/>
                <w:lang w:val="en-US" w:eastAsia="zh-CN" w:bidi="ar-SA"/>
              </w:rPr>
              <w:t>1</w:t>
            </w:r>
            <w:r>
              <w:rPr>
                <w:rFonts w:hint="default" w:ascii="Times New Roman" w:hAnsi="Times New Roman" w:eastAsia="宋体" w:cs="Times New Roman"/>
                <w:b w:val="0"/>
                <w:bCs/>
                <w:color w:val="auto"/>
                <w:kern w:val="2"/>
                <w:sz w:val="24"/>
                <w:szCs w:val="21"/>
                <w:highlight w:val="none"/>
                <w:lang w:val="en-US" w:eastAsia="zh-CN" w:bidi="ar-SA"/>
              </w:rPr>
              <w:t>h，产生的漆渣、废漆桶暂存于危废间内，定期交由有资质单位进行处置。</w:t>
            </w:r>
          </w:p>
          <w:p>
            <w:pPr>
              <w:adjustRightInd w:val="0"/>
              <w:snapToGrid w:val="0"/>
              <w:spacing w:line="360" w:lineRule="auto"/>
              <w:ind w:firstLine="480"/>
              <w:rPr>
                <w:rFonts w:hint="default" w:ascii="Times New Roman" w:hAnsi="Times New Roman" w:eastAsia="宋体" w:cs="Times New Roman"/>
                <w:b w:val="0"/>
                <w:bCs/>
                <w:color w:val="auto"/>
                <w:kern w:val="2"/>
                <w:sz w:val="24"/>
                <w:szCs w:val="21"/>
                <w:highlight w:val="none"/>
                <w:lang w:val="en-US" w:eastAsia="zh-CN" w:bidi="ar-SA"/>
              </w:rPr>
            </w:pPr>
            <w:r>
              <w:rPr>
                <w:rFonts w:hint="default" w:ascii="Times New Roman" w:hAnsi="Times New Roman" w:eastAsia="宋体" w:cs="Times New Roman"/>
                <w:b w:val="0"/>
                <w:bCs/>
                <w:color w:val="auto"/>
                <w:kern w:val="2"/>
                <w:sz w:val="24"/>
                <w:szCs w:val="21"/>
                <w:highlight w:val="none"/>
                <w:lang w:val="en-US" w:eastAsia="zh-CN" w:bidi="ar-SA"/>
              </w:rPr>
              <w:t>晾干：喷漆结束后在喷漆房内晾干，</w:t>
            </w:r>
            <w:r>
              <w:rPr>
                <w:rFonts w:hint="default" w:ascii="Times New Roman" w:hAnsi="Times New Roman" w:cs="Times New Roman"/>
                <w:b w:val="0"/>
                <w:bCs/>
                <w:color w:val="auto"/>
                <w:kern w:val="2"/>
                <w:sz w:val="24"/>
                <w:szCs w:val="21"/>
                <w:highlight w:val="none"/>
                <w:lang w:val="en-US" w:eastAsia="zh-CN" w:bidi="ar-SA"/>
              </w:rPr>
              <w:t>为自然晾干，不涉及加热，</w:t>
            </w:r>
            <w:r>
              <w:rPr>
                <w:rFonts w:hint="default" w:ascii="Times New Roman" w:hAnsi="Times New Roman" w:eastAsia="宋体" w:cs="Times New Roman"/>
                <w:b w:val="0"/>
                <w:bCs/>
                <w:color w:val="auto"/>
                <w:kern w:val="2"/>
                <w:sz w:val="24"/>
                <w:szCs w:val="21"/>
                <w:highlight w:val="none"/>
                <w:lang w:val="en-US" w:eastAsia="zh-CN" w:bidi="ar-SA"/>
              </w:rPr>
              <w:t>晾干时间为每天</w:t>
            </w:r>
            <w:r>
              <w:rPr>
                <w:rFonts w:hint="eastAsia" w:cs="Times New Roman"/>
                <w:b w:val="0"/>
                <w:bCs/>
                <w:color w:val="auto"/>
                <w:kern w:val="2"/>
                <w:sz w:val="24"/>
                <w:szCs w:val="21"/>
                <w:highlight w:val="none"/>
                <w:lang w:val="en-US" w:eastAsia="zh-CN" w:bidi="ar-SA"/>
              </w:rPr>
              <w:t>2</w:t>
            </w:r>
            <w:r>
              <w:rPr>
                <w:rFonts w:hint="default" w:ascii="Times New Roman" w:hAnsi="Times New Roman" w:eastAsia="宋体" w:cs="Times New Roman"/>
                <w:b w:val="0"/>
                <w:bCs/>
                <w:color w:val="auto"/>
                <w:kern w:val="2"/>
                <w:sz w:val="24"/>
                <w:szCs w:val="21"/>
                <w:highlight w:val="none"/>
                <w:lang w:val="en-US" w:eastAsia="zh-CN" w:bidi="ar-SA"/>
              </w:rPr>
              <w:t>h</w:t>
            </w:r>
            <w:r>
              <w:rPr>
                <w:rFonts w:hint="eastAsia" w:cs="Times New Roman"/>
                <w:b w:val="0"/>
                <w:bCs/>
                <w:color w:val="auto"/>
                <w:kern w:val="2"/>
                <w:sz w:val="24"/>
                <w:szCs w:val="21"/>
                <w:highlight w:val="none"/>
                <w:lang w:val="en-US" w:eastAsia="zh-CN" w:bidi="ar-SA"/>
              </w:rPr>
              <w:t>50min</w:t>
            </w:r>
            <w:r>
              <w:rPr>
                <w:rFonts w:hint="default" w:ascii="Times New Roman" w:hAnsi="Times New Roman" w:eastAsia="宋体" w:cs="Times New Roman"/>
                <w:b w:val="0"/>
                <w:bCs/>
                <w:color w:val="auto"/>
                <w:kern w:val="2"/>
                <w:sz w:val="24"/>
                <w:szCs w:val="21"/>
                <w:highlight w:val="none"/>
                <w:lang w:val="en-US" w:eastAsia="zh-CN" w:bidi="ar-SA"/>
              </w:rPr>
              <w:t>。</w:t>
            </w:r>
          </w:p>
          <w:p>
            <w:pPr>
              <w:adjustRightInd w:val="0"/>
              <w:snapToGrid w:val="0"/>
              <w:spacing w:line="360" w:lineRule="auto"/>
              <w:ind w:firstLine="480"/>
              <w:rPr>
                <w:rFonts w:hint="default" w:ascii="Times New Roman" w:hAnsi="Times New Roman" w:eastAsia="宋体" w:cs="Times New Roman"/>
                <w:b w:val="0"/>
                <w:bCs/>
                <w:color w:val="auto"/>
                <w:kern w:val="2"/>
                <w:sz w:val="24"/>
                <w:szCs w:val="21"/>
                <w:highlight w:val="none"/>
                <w:lang w:val="en-US" w:eastAsia="zh-CN" w:bidi="ar-SA"/>
              </w:rPr>
            </w:pPr>
            <w:r>
              <w:rPr>
                <w:rFonts w:hint="default" w:ascii="Times New Roman" w:hAnsi="Times New Roman" w:cs="Times New Roman"/>
                <w:b w:val="0"/>
                <w:bCs/>
                <w:color w:val="auto"/>
                <w:kern w:val="2"/>
                <w:sz w:val="24"/>
                <w:szCs w:val="21"/>
                <w:highlight w:val="none"/>
                <w:lang w:val="en-US" w:eastAsia="zh-CN" w:bidi="ar-SA"/>
              </w:rPr>
              <w:t>本项目喷漆房为微负压密封设计，喷漆房内产生的废气经下方风口进入</w:t>
            </w:r>
            <w:r>
              <w:rPr>
                <w:rFonts w:hint="default" w:ascii="Times New Roman" w:hAnsi="Times New Roman" w:eastAsia="宋体" w:cs="Times New Roman"/>
                <w:b w:val="0"/>
                <w:bCs/>
                <w:color w:val="auto"/>
                <w:kern w:val="2"/>
                <w:sz w:val="24"/>
                <w:szCs w:val="21"/>
                <w:highlight w:val="none"/>
                <w:lang w:val="en-US" w:eastAsia="zh-CN" w:bidi="ar-SA"/>
              </w:rPr>
              <w:t>干式过滤器</w:t>
            </w:r>
            <w:r>
              <w:rPr>
                <w:rFonts w:hint="default" w:ascii="Times New Roman" w:hAnsi="Times New Roman" w:cs="Times New Roman"/>
                <w:b w:val="0"/>
                <w:bCs/>
                <w:color w:val="auto"/>
                <w:kern w:val="2"/>
                <w:sz w:val="24"/>
                <w:szCs w:val="21"/>
                <w:highlight w:val="none"/>
                <w:lang w:val="en-US" w:eastAsia="zh-CN" w:bidi="ar-SA"/>
              </w:rPr>
              <w:t>+</w:t>
            </w:r>
            <w:r>
              <w:rPr>
                <w:rFonts w:hint="default" w:ascii="Times New Roman" w:hAnsi="Times New Roman" w:eastAsia="宋体" w:cs="Times New Roman"/>
                <w:b w:val="0"/>
                <w:bCs/>
                <w:color w:val="auto"/>
                <w:kern w:val="2"/>
                <w:sz w:val="24"/>
                <w:szCs w:val="21"/>
                <w:highlight w:val="none"/>
                <w:lang w:val="en-US" w:eastAsia="zh-CN" w:bidi="ar-SA"/>
              </w:rPr>
              <w:t>二级活性炭</w:t>
            </w:r>
            <w:r>
              <w:rPr>
                <w:rFonts w:hint="default" w:ascii="Times New Roman" w:hAnsi="Times New Roman" w:cs="Times New Roman"/>
                <w:b w:val="0"/>
                <w:bCs/>
                <w:color w:val="auto"/>
                <w:kern w:val="2"/>
                <w:sz w:val="24"/>
                <w:szCs w:val="21"/>
                <w:highlight w:val="none"/>
                <w:lang w:val="en-US" w:eastAsia="zh-CN" w:bidi="ar-SA"/>
              </w:rPr>
              <w:t>治理后</w:t>
            </w:r>
            <w:r>
              <w:rPr>
                <w:rFonts w:hint="default" w:ascii="Times New Roman" w:hAnsi="Times New Roman" w:eastAsia="宋体" w:cs="Times New Roman"/>
                <w:b w:val="0"/>
                <w:bCs/>
                <w:color w:val="auto"/>
                <w:kern w:val="2"/>
                <w:sz w:val="24"/>
                <w:szCs w:val="21"/>
                <w:highlight w:val="none"/>
                <w:lang w:val="en-US" w:eastAsia="zh-CN" w:bidi="ar-SA"/>
              </w:rPr>
              <w:t>由1根15m高排气筒排放。</w:t>
            </w:r>
          </w:p>
          <w:p>
            <w:pPr>
              <w:pStyle w:val="50"/>
              <w:bidi w:val="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本工序污染物主要为喷漆废气、噪声以及废漆桶、漆渣、稀释剂桶、废气治理设施产生的固体废物。</w:t>
            </w:r>
          </w:p>
          <w:p>
            <w:pPr>
              <w:pStyle w:val="50"/>
              <w:bidi w:val="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组装</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将喷漆完成后的基本框架和直接外购的标准件、电器件进行组装后，即为成品。本项目排污节点详见下表详。</w:t>
            </w:r>
          </w:p>
          <w:p>
            <w:pPr>
              <w:pStyle w:val="50"/>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表2-12   技改项目排污节点一览表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
              <w:gridCol w:w="601"/>
              <w:gridCol w:w="1132"/>
              <w:gridCol w:w="2099"/>
              <w:gridCol w:w="4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类别</w:t>
                  </w:r>
                </w:p>
              </w:tc>
              <w:tc>
                <w:tcPr>
                  <w:tcW w:w="103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工序</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污染物</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废气</w:t>
                  </w:r>
                </w:p>
              </w:tc>
              <w:tc>
                <w:tcPr>
                  <w:tcW w:w="1036" w:type="pct"/>
                  <w:gridSpan w:val="2"/>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调漆、晾干</w:t>
                  </w:r>
                </w:p>
              </w:tc>
              <w:tc>
                <w:tcPr>
                  <w:tcW w:w="1255" w:type="pct"/>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c>
                <w:tcPr>
                  <w:tcW w:w="246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在</w:t>
                  </w:r>
                  <w:r>
                    <w:rPr>
                      <w:rFonts w:hint="eastAsia"/>
                      <w:color w:val="auto"/>
                      <w:sz w:val="21"/>
                      <w:szCs w:val="21"/>
                      <w:highlight w:val="none"/>
                      <w:lang w:val="en-US" w:eastAsia="zh-CN"/>
                    </w:rPr>
                    <w:t>微负压</w:t>
                  </w:r>
                  <w:r>
                    <w:rPr>
                      <w:rFonts w:hint="eastAsia" w:ascii="Times New Roman" w:hAnsi="Times New Roman"/>
                      <w:color w:val="auto"/>
                      <w:sz w:val="21"/>
                      <w:szCs w:val="21"/>
                      <w:highlight w:val="none"/>
                      <w:lang w:val="en-US" w:eastAsia="zh-CN"/>
                    </w:rPr>
                    <w:t>密闭喷漆房中进行，有机废气经</w:t>
                  </w:r>
                  <w:r>
                    <w:rPr>
                      <w:rFonts w:hint="eastAsia"/>
                      <w:color w:val="auto"/>
                      <w:sz w:val="21"/>
                      <w:szCs w:val="21"/>
                      <w:highlight w:val="none"/>
                      <w:lang w:val="en-US" w:eastAsia="zh-CN"/>
                    </w:rPr>
                    <w:t>干式过滤器+2级活性炭治理后</w:t>
                  </w:r>
                  <w:r>
                    <w:rPr>
                      <w:rFonts w:hint="eastAsia" w:ascii="Times New Roman" w:hAnsi="Times New Roman"/>
                      <w:color w:val="auto"/>
                      <w:sz w:val="21"/>
                      <w:szCs w:val="21"/>
                      <w:highlight w:val="none"/>
                      <w:lang w:val="en-US" w:eastAsia="zh-CN"/>
                    </w:rPr>
                    <w:t>经1根15m高排气筒排放</w:t>
                  </w:r>
                  <w:r>
                    <w:rPr>
                      <w:rFonts w:hint="eastAsia"/>
                      <w:color w:val="auto"/>
                      <w:sz w:val="21"/>
                      <w:szCs w:val="21"/>
                      <w:highlight w:val="none"/>
                      <w:lang w:val="en-US" w:eastAsia="zh-CN"/>
                    </w:rPr>
                    <w:t>（DA001）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rPr>
                  </w:pPr>
                </w:p>
              </w:tc>
              <w:tc>
                <w:tcPr>
                  <w:tcW w:w="1036" w:type="pct"/>
                  <w:gridSpan w:val="2"/>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w:t>
                  </w:r>
                </w:p>
              </w:tc>
              <w:tc>
                <w:tcPr>
                  <w:tcW w:w="1255" w:type="pct"/>
                  <w:noWrap w:val="0"/>
                  <w:vAlign w:val="center"/>
                </w:tcPr>
                <w:p>
                  <w:pPr>
                    <w:pStyle w:val="81"/>
                    <w:keepNext w:val="0"/>
                    <w:keepLines w:val="0"/>
                    <w:pageBreakBefore w:val="0"/>
                    <w:widowControl w:val="0"/>
                    <w:kinsoku/>
                    <w:wordWrap/>
                    <w:overflowPunct/>
                    <w:topLinePunct w:val="0"/>
                    <w:autoSpaceDE/>
                    <w:autoSpaceDN/>
                    <w:bidi w:val="0"/>
                    <w:adjustRightInd w:val="0"/>
                    <w:snapToGrid w:val="0"/>
                    <w:spacing w:beforeLines="0" w:afterLines="0" w:line="240" w:lineRule="auto"/>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非甲烷总烃、颗粒物</w:t>
                  </w:r>
                </w:p>
              </w:tc>
              <w:tc>
                <w:tcPr>
                  <w:tcW w:w="246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rPr>
                  </w:pPr>
                </w:p>
              </w:tc>
              <w:tc>
                <w:tcPr>
                  <w:tcW w:w="103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焊接</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焊接废气</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焊接产生的废气利用现有</w:t>
                  </w:r>
                  <w:r>
                    <w:rPr>
                      <w:rFonts w:hint="eastAsia"/>
                      <w:color w:val="auto"/>
                      <w:sz w:val="21"/>
                      <w:szCs w:val="21"/>
                      <w:highlight w:val="none"/>
                      <w:lang w:val="en-US" w:eastAsia="zh-CN"/>
                    </w:rPr>
                    <w:t>2台</w:t>
                  </w:r>
                  <w:r>
                    <w:rPr>
                      <w:rFonts w:hint="eastAsia" w:ascii="Times New Roman" w:hAnsi="Times New Roman"/>
                      <w:color w:val="auto"/>
                      <w:sz w:val="21"/>
                      <w:szCs w:val="21"/>
                      <w:highlight w:val="none"/>
                      <w:lang w:val="en-US" w:eastAsia="zh-CN"/>
                    </w:rPr>
                    <w:t>移动式焊烟净化器处理后车间内无组织排放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4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噪声</w:t>
                  </w:r>
                </w:p>
              </w:tc>
              <w:tc>
                <w:tcPr>
                  <w:tcW w:w="103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kern w:val="0"/>
                      <w:sz w:val="21"/>
                      <w:szCs w:val="21"/>
                      <w:highlight w:val="none"/>
                      <w:lang w:val="en-US" w:eastAsia="zh-CN"/>
                    </w:rPr>
                  </w:pPr>
                  <w:r>
                    <w:rPr>
                      <w:rFonts w:hint="eastAsia"/>
                      <w:color w:val="auto"/>
                      <w:kern w:val="0"/>
                      <w:sz w:val="21"/>
                      <w:szCs w:val="21"/>
                      <w:highlight w:val="none"/>
                      <w:lang w:val="en-US" w:eastAsia="zh-CN"/>
                    </w:rPr>
                    <w:t>车床、焊机、风机等</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L</w:t>
                  </w:r>
                  <w:r>
                    <w:rPr>
                      <w:rFonts w:ascii="Times New Roman" w:hAnsi="Times New Roman"/>
                      <w:color w:val="auto"/>
                      <w:sz w:val="21"/>
                      <w:szCs w:val="21"/>
                      <w:highlight w:val="none"/>
                      <w:vertAlign w:val="subscript"/>
                    </w:rPr>
                    <w:t>eq</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减震基础+厂房隔声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固体废物</w:t>
                  </w:r>
                </w:p>
              </w:tc>
              <w:tc>
                <w:tcPr>
                  <w:tcW w:w="3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一般固体废物</w:t>
                  </w:r>
                </w:p>
              </w:tc>
              <w:tc>
                <w:tcPr>
                  <w:tcW w:w="6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焊接、钻孔</w:t>
                  </w:r>
                  <w:r>
                    <w:rPr>
                      <w:rFonts w:hint="eastAsia"/>
                      <w:color w:val="auto"/>
                      <w:sz w:val="21"/>
                      <w:szCs w:val="21"/>
                      <w:highlight w:val="none"/>
                      <w:lang w:val="en-US" w:eastAsia="zh-CN"/>
                    </w:rPr>
                    <w:t>、除尘</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rPr>
                  </w:pPr>
                  <w:r>
                    <w:rPr>
                      <w:rFonts w:hint="eastAsia" w:ascii="Times New Roman" w:hAnsi="Times New Roman"/>
                      <w:color w:val="auto"/>
                      <w:sz w:val="21"/>
                      <w:szCs w:val="21"/>
                      <w:highlight w:val="none"/>
                      <w:lang w:val="en-US" w:eastAsia="zh-CN"/>
                    </w:rPr>
                    <w:t>废焊头、金属屑、边角料</w:t>
                  </w:r>
                  <w:r>
                    <w:rPr>
                      <w:rFonts w:hint="eastAsia"/>
                      <w:color w:val="auto"/>
                      <w:sz w:val="21"/>
                      <w:szCs w:val="21"/>
                      <w:highlight w:val="none"/>
                      <w:lang w:val="en-US" w:eastAsia="zh-CN"/>
                    </w:rPr>
                    <w:t>、除尘灰</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rPr>
                  </w:pPr>
                  <w:r>
                    <w:rPr>
                      <w:rFonts w:hint="eastAsia"/>
                      <w:color w:val="auto"/>
                      <w:sz w:val="21"/>
                      <w:szCs w:val="21"/>
                      <w:highlight w:val="none"/>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c>
                <w:tcPr>
                  <w:tcW w:w="3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olor w:val="auto"/>
                      <w:sz w:val="21"/>
                      <w:szCs w:val="21"/>
                      <w:highlight w:val="none"/>
                      <w:lang w:val="en-US" w:eastAsia="zh-CN"/>
                    </w:rPr>
                  </w:pPr>
                </w:p>
              </w:tc>
              <w:tc>
                <w:tcPr>
                  <w:tcW w:w="6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钻孔</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废抹布</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根据《国家危险废物名录》附录：危险废物豁免清单中的要求，废弃含油抹布的危险废物类别/代码为900-041-49，混入生活垃圾，全过程不按危险废物管理。故本项目含油废抹布与生活垃圾一起交由环卫部门处置。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c>
                <w:tcPr>
                  <w:tcW w:w="3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c>
                <w:tcPr>
                  <w:tcW w:w="6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职工生活</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生活垃圾</w:t>
                  </w:r>
                </w:p>
              </w:tc>
              <w:tc>
                <w:tcPr>
                  <w:tcW w:w="246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收集后交环卫部门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c>
                <w:tcPr>
                  <w:tcW w:w="35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危险废物</w:t>
                  </w:r>
                </w:p>
              </w:tc>
              <w:tc>
                <w:tcPr>
                  <w:tcW w:w="6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喷漆</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废活性炭、废过滤棉、废漆桶</w:t>
                  </w:r>
                  <w:r>
                    <w:rPr>
                      <w:rFonts w:hint="eastAsia"/>
                      <w:color w:val="auto"/>
                      <w:sz w:val="21"/>
                      <w:szCs w:val="21"/>
                      <w:highlight w:val="none"/>
                      <w:lang w:val="en-US" w:eastAsia="zh-CN"/>
                    </w:rPr>
                    <w:t>、漆渣、废稀料桶</w:t>
                  </w:r>
                </w:p>
              </w:tc>
              <w:tc>
                <w:tcPr>
                  <w:tcW w:w="246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暂存</w:t>
                  </w:r>
                  <w:r>
                    <w:rPr>
                      <w:rFonts w:hint="eastAsia" w:ascii="Times New Roman" w:hAnsi="Times New Roman"/>
                      <w:color w:val="auto"/>
                      <w:sz w:val="21"/>
                      <w:szCs w:val="21"/>
                      <w:highlight w:val="none"/>
                      <w:lang w:val="en-US" w:eastAsia="zh-CN"/>
                    </w:rPr>
                    <w:t>现有</w:t>
                  </w:r>
                  <w:r>
                    <w:rPr>
                      <w:rFonts w:ascii="Times New Roman" w:hAnsi="Times New Roman"/>
                      <w:color w:val="auto"/>
                      <w:sz w:val="21"/>
                      <w:szCs w:val="21"/>
                      <w:highlight w:val="none"/>
                    </w:rPr>
                    <w:t>危废间内，定期交资质单位进行处理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45"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c>
                <w:tcPr>
                  <w:tcW w:w="359"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olor w:val="auto"/>
                      <w:sz w:val="21"/>
                      <w:szCs w:val="21"/>
                      <w:highlight w:val="none"/>
                      <w:lang w:val="en-US" w:eastAsia="zh-CN"/>
                    </w:rPr>
                  </w:pPr>
                </w:p>
              </w:tc>
              <w:tc>
                <w:tcPr>
                  <w:tcW w:w="67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生产工序</w:t>
                  </w:r>
                </w:p>
              </w:tc>
              <w:tc>
                <w:tcPr>
                  <w:tcW w:w="125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废液压油、废润滑油</w:t>
                  </w:r>
                  <w:r>
                    <w:rPr>
                      <w:rFonts w:hint="eastAsia"/>
                      <w:color w:val="auto"/>
                      <w:sz w:val="21"/>
                      <w:szCs w:val="21"/>
                      <w:highlight w:val="none"/>
                      <w:lang w:val="en-US" w:eastAsia="zh-CN"/>
                    </w:rPr>
                    <w:t>、</w:t>
                  </w:r>
                  <w:r>
                    <w:rPr>
                      <w:rFonts w:hint="eastAsia" w:ascii="Times New Roman" w:hAnsi="Times New Roman"/>
                      <w:color w:val="auto"/>
                      <w:sz w:val="21"/>
                      <w:szCs w:val="21"/>
                      <w:highlight w:val="none"/>
                      <w:lang w:val="en-US" w:eastAsia="zh-CN"/>
                    </w:rPr>
                    <w:t>废机油及废油桶</w:t>
                  </w:r>
                </w:p>
              </w:tc>
              <w:tc>
                <w:tcPr>
                  <w:tcW w:w="246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p>
              </w:tc>
            </w:tr>
          </w:tbl>
          <w:p>
            <w:pPr>
              <w:pStyle w:val="50"/>
              <w:bidi w:val="0"/>
              <w:ind w:left="0" w:leftChars="0" w:firstLine="0" w:firstLineChars="0"/>
              <w:rPr>
                <w:rFonts w:hint="default" w:ascii="Times New Roman" w:hAnsi="Times New Roman"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5" w:type="dxa"/>
            <w:noWrap w:val="0"/>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与项目有关的原有环境污染问题</w:t>
            </w:r>
          </w:p>
        </w:tc>
        <w:tc>
          <w:tcPr>
            <w:tcW w:w="8586" w:type="dxa"/>
            <w:noWrap w:val="0"/>
            <w:vAlign w:val="center"/>
          </w:tcPr>
          <w:p>
            <w:pPr>
              <w:pStyle w:val="10"/>
              <w:bidi w:val="0"/>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1 企业已有的环保手续</w:t>
            </w:r>
          </w:p>
          <w:p>
            <w:pPr>
              <w:pStyle w:val="16"/>
              <w:spacing w:line="360" w:lineRule="auto"/>
              <w:ind w:firstLine="480" w:firstLineChars="200"/>
              <w:jc w:val="both"/>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highlight w:val="none"/>
                <w:lang w:val="en-US" w:eastAsia="zh-CN"/>
              </w:rPr>
              <w:t>秦皇岛联安机械科技有限公司</w:t>
            </w:r>
            <w:r>
              <w:rPr>
                <w:rFonts w:hint="eastAsia"/>
                <w:color w:val="auto"/>
                <w:highlight w:val="none"/>
                <w:lang w:val="en-US" w:eastAsia="zh-CN"/>
              </w:rPr>
              <w:t>2</w:t>
            </w:r>
            <w:r>
              <w:rPr>
                <w:color w:val="auto"/>
                <w:highlight w:val="none"/>
                <w:lang w:val="en-US" w:eastAsia="zh-CN"/>
              </w:rPr>
              <w:t>0</w:t>
            </w:r>
            <w:r>
              <w:rPr>
                <w:rFonts w:hint="eastAsia"/>
                <w:color w:val="auto"/>
                <w:highlight w:val="none"/>
                <w:lang w:val="en-US" w:eastAsia="zh-CN"/>
              </w:rPr>
              <w:t>19年5月</w:t>
            </w:r>
            <w:r>
              <w:rPr>
                <w:rFonts w:hint="eastAsia" w:ascii="Times New Roman" w:hAnsi="Times New Roman" w:cs="Times New Roman"/>
                <w:color w:val="auto"/>
                <w:highlight w:val="none"/>
                <w:lang w:val="en-US" w:eastAsia="zh-CN"/>
              </w:rPr>
              <w:t>委托河北润宏环保科技有限公司编制完成了《秦皇岛联安机械科技有限公司关于特种机械设备项目环境影响报告表》，并于2019年6月6日通过秦皇岛市生态环境局抚宁区分局审批，审批文号为：抚环审表[2019]-6-3号；</w:t>
            </w:r>
            <w:r>
              <w:rPr>
                <w:rFonts w:hint="eastAsia"/>
                <w:color w:val="auto"/>
                <w:highlight w:val="none"/>
                <w:lang w:val="en-US" w:eastAsia="zh-CN"/>
              </w:rPr>
              <w:t>2021年4月23日该单位取得固定污染源排污登记回执，其证书编号为91130300666598838H001Y，有效期限至2</w:t>
            </w:r>
            <w:r>
              <w:rPr>
                <w:color w:val="auto"/>
                <w:highlight w:val="none"/>
                <w:lang w:val="en-US" w:eastAsia="zh-CN"/>
              </w:rPr>
              <w:t>02</w:t>
            </w:r>
            <w:r>
              <w:rPr>
                <w:rFonts w:hint="eastAsia"/>
                <w:color w:val="auto"/>
                <w:highlight w:val="none"/>
                <w:lang w:val="en-US" w:eastAsia="zh-CN"/>
              </w:rPr>
              <w:t>6年4月22日；2021年6月编制《</w:t>
            </w:r>
            <w:r>
              <w:rPr>
                <w:rFonts w:hint="eastAsia" w:ascii="Times New Roman" w:hAnsi="Times New Roman" w:cs="Times New Roman"/>
                <w:color w:val="auto"/>
                <w:highlight w:val="none"/>
                <w:lang w:val="en-US" w:eastAsia="zh-CN"/>
              </w:rPr>
              <w:t>秦皇岛联安机械科技有限公司</w:t>
            </w:r>
            <w:r>
              <w:rPr>
                <w:rFonts w:hint="eastAsia"/>
                <w:color w:val="auto"/>
                <w:highlight w:val="none"/>
                <w:lang w:val="en-US" w:eastAsia="zh-CN"/>
              </w:rPr>
              <w:t>环境突发事件应急预案》，并于2020年6月17日在秦皇岛市生态环境局抚宁区分局进行备案，备案编号：130323-2021-018-L。2021年6月21日完成环保验收。</w:t>
            </w:r>
            <w:r>
              <w:rPr>
                <w:rFonts w:hint="eastAsia" w:ascii="Times New Roman" w:hAnsi="Times New Roman" w:eastAsia="宋体" w:cs="Times New Roman"/>
                <w:color w:val="auto"/>
                <w:szCs w:val="21"/>
                <w:highlight w:val="none"/>
                <w:lang w:val="en-US" w:eastAsia="zh-CN"/>
              </w:rPr>
              <w:t>现有环评手续详见下表。</w:t>
            </w:r>
          </w:p>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1"/>
                <w:highlight w:val="none"/>
                <w:lang w:val="en-US" w:eastAsia="zh-CN"/>
              </w:rPr>
            </w:pPr>
            <w:r>
              <w:rPr>
                <w:rFonts w:hint="eastAsia" w:ascii="Times New Roman" w:hAnsi="Times New Roman" w:eastAsia="宋体" w:cs="Times New Roman"/>
                <w:b/>
                <w:bCs/>
                <w:color w:val="auto"/>
                <w:sz w:val="24"/>
                <w:szCs w:val="21"/>
                <w:highlight w:val="none"/>
                <w:lang w:val="en-US" w:eastAsia="zh-CN"/>
              </w:rPr>
              <w:t>表2-1</w:t>
            </w:r>
            <w:r>
              <w:rPr>
                <w:rFonts w:hint="eastAsia" w:cs="Times New Roman"/>
                <w:b/>
                <w:bCs/>
                <w:color w:val="auto"/>
                <w:sz w:val="24"/>
                <w:szCs w:val="21"/>
                <w:highlight w:val="none"/>
                <w:lang w:val="en-US" w:eastAsia="zh-CN"/>
              </w:rPr>
              <w:t>3</w:t>
            </w:r>
            <w:r>
              <w:rPr>
                <w:rFonts w:hint="eastAsia" w:ascii="Times New Roman" w:hAnsi="Times New Roman" w:eastAsia="宋体" w:cs="Times New Roman"/>
                <w:b/>
                <w:bCs/>
                <w:color w:val="auto"/>
                <w:sz w:val="24"/>
                <w:szCs w:val="21"/>
                <w:highlight w:val="none"/>
                <w:lang w:val="en-US" w:eastAsia="zh-CN"/>
              </w:rPr>
              <w:t xml:space="preserve">  现有环保相关手续一览表</w:t>
            </w:r>
          </w:p>
          <w:tbl>
            <w:tblPr>
              <w:tblStyle w:val="33"/>
              <w:tblpPr w:leftFromText="180" w:rightFromText="180" w:vertAnchor="text" w:tblpXSpec="center" w:tblpY="1"/>
              <w:tblOverlap w:val="never"/>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1838"/>
              <w:gridCol w:w="1487"/>
              <w:gridCol w:w="1089"/>
              <w:gridCol w:w="1258"/>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9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项目名称</w:t>
                  </w:r>
                </w:p>
              </w:tc>
              <w:tc>
                <w:tcPr>
                  <w:tcW w:w="109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环评批复单位</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环评批复日期</w:t>
                  </w:r>
                </w:p>
              </w:tc>
              <w:tc>
                <w:tcPr>
                  <w:tcW w:w="6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批准文号</w:t>
                  </w:r>
                </w:p>
              </w:tc>
              <w:tc>
                <w:tcPr>
                  <w:tcW w:w="75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验收日期</w:t>
                  </w:r>
                </w:p>
              </w:tc>
              <w:tc>
                <w:tcPr>
                  <w:tcW w:w="6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验收文号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秦皇岛市联安机械科技有限公司特种机械设备项目</w:t>
                  </w:r>
                </w:p>
              </w:tc>
              <w:tc>
                <w:tcPr>
                  <w:tcW w:w="109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秦皇岛市生态环境局抚宁区分局</w:t>
                  </w:r>
                </w:p>
              </w:tc>
              <w:tc>
                <w:tcPr>
                  <w:tcW w:w="889"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olor w:val="auto"/>
                      <w:sz w:val="21"/>
                      <w:szCs w:val="21"/>
                      <w:highlight w:val="none"/>
                      <w:lang w:val="en-US" w:eastAsia="zh-CN"/>
                    </w:rPr>
                    <w:t>2019</w:t>
                  </w:r>
                  <w:r>
                    <w:rPr>
                      <w:color w:val="auto"/>
                      <w:sz w:val="21"/>
                      <w:szCs w:val="21"/>
                      <w:highlight w:val="none"/>
                    </w:rPr>
                    <w:t>年</w:t>
                  </w:r>
                  <w:r>
                    <w:rPr>
                      <w:rFonts w:hint="eastAsia"/>
                      <w:color w:val="auto"/>
                      <w:sz w:val="21"/>
                      <w:szCs w:val="21"/>
                      <w:highlight w:val="none"/>
                      <w:lang w:val="en-US" w:eastAsia="zh-CN"/>
                    </w:rPr>
                    <w:t>6</w:t>
                  </w:r>
                  <w:r>
                    <w:rPr>
                      <w:color w:val="auto"/>
                      <w:sz w:val="21"/>
                      <w:szCs w:val="21"/>
                      <w:highlight w:val="none"/>
                    </w:rPr>
                    <w:t>月</w:t>
                  </w:r>
                  <w:r>
                    <w:rPr>
                      <w:rFonts w:hint="eastAsia"/>
                      <w:color w:val="auto"/>
                      <w:sz w:val="21"/>
                      <w:szCs w:val="21"/>
                      <w:highlight w:val="none"/>
                      <w:lang w:val="en-US" w:eastAsia="zh-CN"/>
                    </w:rPr>
                    <w:t>6</w:t>
                  </w:r>
                  <w:r>
                    <w:rPr>
                      <w:color w:val="auto"/>
                      <w:sz w:val="21"/>
                      <w:szCs w:val="21"/>
                      <w:highlight w:val="none"/>
                    </w:rPr>
                    <w:t>日</w:t>
                  </w:r>
                </w:p>
              </w:tc>
              <w:tc>
                <w:tcPr>
                  <w:tcW w:w="6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抚环审表[2019]-6-3号</w:t>
                  </w:r>
                </w:p>
              </w:tc>
              <w:tc>
                <w:tcPr>
                  <w:tcW w:w="75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2021</w:t>
                  </w:r>
                  <w:r>
                    <w:rPr>
                      <w:rFonts w:hint="eastAsia" w:ascii="Times New Roman" w:hAnsi="Times New Roman" w:eastAsia="宋体" w:cs="Times New Roman"/>
                      <w:color w:val="auto"/>
                      <w:sz w:val="21"/>
                      <w:szCs w:val="21"/>
                      <w:highlight w:val="none"/>
                      <w:vertAlign w:val="baseline"/>
                      <w:lang w:val="en-US" w:eastAsia="zh-CN"/>
                    </w:rPr>
                    <w:t>年</w:t>
                  </w:r>
                  <w:r>
                    <w:rPr>
                      <w:rFonts w:hint="eastAsia" w:cs="Times New Roman"/>
                      <w:color w:val="auto"/>
                      <w:sz w:val="21"/>
                      <w:szCs w:val="21"/>
                      <w:highlight w:val="none"/>
                      <w:vertAlign w:val="baseline"/>
                      <w:lang w:val="en-US" w:eastAsia="zh-CN"/>
                    </w:rPr>
                    <w:t>6</w:t>
                  </w:r>
                  <w:r>
                    <w:rPr>
                      <w:rFonts w:hint="eastAsia" w:ascii="Times New Roman" w:hAnsi="Times New Roman" w:eastAsia="宋体" w:cs="Times New Roman"/>
                      <w:color w:val="auto"/>
                      <w:sz w:val="21"/>
                      <w:szCs w:val="21"/>
                      <w:highlight w:val="none"/>
                      <w:vertAlign w:val="baseline"/>
                      <w:lang w:val="en-US" w:eastAsia="zh-CN"/>
                    </w:rPr>
                    <w:t>月21日</w:t>
                  </w:r>
                </w:p>
              </w:tc>
              <w:tc>
                <w:tcPr>
                  <w:tcW w:w="67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r>
          </w:tbl>
          <w:p>
            <w:pPr>
              <w:pStyle w:val="10"/>
              <w:bidi w:val="0"/>
              <w:rPr>
                <w:rFonts w:hint="default" w:ascii="Times New Roman" w:hAnsi="Times New Roman" w:cs="Times New Roman"/>
                <w:color w:val="auto"/>
                <w:sz w:val="24"/>
                <w:szCs w:val="28"/>
                <w:highlight w:val="none"/>
                <w:lang w:val="en-US" w:eastAsia="zh-CN"/>
              </w:rPr>
            </w:pPr>
            <w:r>
              <w:rPr>
                <w:rFonts w:hint="eastAsia" w:cs="Times New Roman"/>
                <w:color w:val="auto"/>
                <w:sz w:val="24"/>
                <w:szCs w:val="28"/>
                <w:highlight w:val="none"/>
                <w:lang w:val="en-US" w:eastAsia="zh-CN"/>
              </w:rPr>
              <w:t>2、</w:t>
            </w:r>
            <w:r>
              <w:rPr>
                <w:rFonts w:hint="default" w:ascii="Times New Roman" w:hAnsi="Times New Roman" w:cs="Times New Roman"/>
                <w:color w:val="auto"/>
                <w:sz w:val="24"/>
                <w:szCs w:val="28"/>
                <w:highlight w:val="none"/>
                <w:lang w:val="en-US" w:eastAsia="zh-CN"/>
              </w:rPr>
              <w:t>企业主要污染物排放情况</w:t>
            </w:r>
          </w:p>
          <w:p>
            <w:pPr>
              <w:pStyle w:val="50"/>
              <w:bidi w:val="0"/>
              <w:ind w:left="0" w:leftChars="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根据企业</w:t>
            </w:r>
            <w:r>
              <w:rPr>
                <w:rFonts w:hint="eastAsia" w:ascii="Times New Roman" w:hAnsi="Times New Roman" w:cs="Times New Roman"/>
                <w:color w:val="auto"/>
                <w:highlight w:val="none"/>
                <w:lang w:val="en-US" w:eastAsia="zh-CN"/>
              </w:rPr>
              <w:t>2021</w:t>
            </w:r>
            <w:r>
              <w:rPr>
                <w:rFonts w:hint="default" w:ascii="Times New Roman" w:hAnsi="Times New Roman" w:eastAsia="宋体" w:cs="Times New Roman"/>
                <w:color w:val="auto"/>
                <w:highlight w:val="none"/>
                <w:lang w:val="en-US" w:eastAsia="zh-CN"/>
              </w:rPr>
              <w:t>年</w:t>
            </w:r>
            <w:r>
              <w:rPr>
                <w:rFonts w:hint="eastAsia" w:ascii="Times New Roman" w:hAnsi="Times New Roman" w:cs="Times New Roman"/>
                <w:color w:val="auto"/>
                <w:highlight w:val="none"/>
                <w:lang w:val="en-US" w:eastAsia="zh-CN"/>
              </w:rPr>
              <w:t>4月对秦皇岛联安机械科技有限公司关于特种机械设备项目的环境保护设施进行验收检测可知现有项目污染物排放情况，见下表。</w:t>
            </w:r>
          </w:p>
          <w:p>
            <w:pPr>
              <w:pStyle w:val="51"/>
              <w:bidi w:val="0"/>
              <w:rPr>
                <w:rFonts w:hint="default" w:ascii="Times New Roman" w:hAnsi="Times New Roman" w:eastAsia="宋体" w:cs="Times New Roman"/>
                <w:b/>
                <w:color w:val="auto"/>
                <w:kern w:val="21"/>
                <w:sz w:val="24"/>
                <w:szCs w:val="20"/>
                <w:highlight w:val="none"/>
                <w:lang w:val="en-US" w:eastAsia="zh-CN" w:bidi="ar-SA"/>
              </w:rPr>
            </w:pPr>
            <w:r>
              <w:rPr>
                <w:rFonts w:hint="default" w:ascii="Times New Roman" w:hAnsi="Times New Roman" w:eastAsia="宋体" w:cs="Times New Roman"/>
                <w:b/>
                <w:color w:val="auto"/>
                <w:kern w:val="21"/>
                <w:sz w:val="24"/>
                <w:szCs w:val="20"/>
                <w:highlight w:val="none"/>
                <w:lang w:val="en-US" w:eastAsia="zh-CN" w:bidi="ar-SA"/>
              </w:rPr>
              <w:t>表</w:t>
            </w:r>
            <w:r>
              <w:rPr>
                <w:rFonts w:hint="eastAsia" w:ascii="Times New Roman" w:hAnsi="Times New Roman" w:eastAsia="宋体" w:cs="Times New Roman"/>
                <w:b/>
                <w:color w:val="auto"/>
                <w:kern w:val="21"/>
                <w:sz w:val="24"/>
                <w:szCs w:val="20"/>
                <w:highlight w:val="none"/>
                <w:lang w:val="en-US" w:eastAsia="zh-CN" w:bidi="ar-SA"/>
              </w:rPr>
              <w:t>2-1</w:t>
            </w:r>
            <w:r>
              <w:rPr>
                <w:rFonts w:hint="eastAsia" w:cs="Times New Roman"/>
                <w:b/>
                <w:color w:val="auto"/>
                <w:kern w:val="21"/>
                <w:sz w:val="24"/>
                <w:szCs w:val="20"/>
                <w:highlight w:val="none"/>
                <w:lang w:val="en-US" w:eastAsia="zh-CN" w:bidi="ar-SA"/>
              </w:rPr>
              <w:t>4</w:t>
            </w:r>
            <w:r>
              <w:rPr>
                <w:rFonts w:hint="eastAsia" w:ascii="Times New Roman" w:hAnsi="Times New Roman" w:eastAsia="宋体" w:cs="Times New Roman"/>
                <w:b/>
                <w:color w:val="auto"/>
                <w:kern w:val="21"/>
                <w:sz w:val="24"/>
                <w:szCs w:val="20"/>
                <w:highlight w:val="none"/>
                <w:lang w:val="en-US" w:eastAsia="zh-CN" w:bidi="ar-SA"/>
              </w:rPr>
              <w:t xml:space="preserve">  </w:t>
            </w:r>
            <w:r>
              <w:rPr>
                <w:rFonts w:hint="default" w:ascii="Times New Roman" w:hAnsi="Times New Roman" w:eastAsia="宋体" w:cs="Times New Roman"/>
                <w:b/>
                <w:color w:val="auto"/>
                <w:kern w:val="21"/>
                <w:sz w:val="24"/>
                <w:szCs w:val="20"/>
                <w:highlight w:val="none"/>
                <w:lang w:val="en-US" w:eastAsia="zh-CN" w:bidi="ar-SA"/>
              </w:rPr>
              <w:t>现有污染物排放情况</w:t>
            </w:r>
          </w:p>
          <w:tbl>
            <w:tblPr>
              <w:tblStyle w:val="32"/>
              <w:tblW w:w="4991"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14"/>
              <w:gridCol w:w="1429"/>
              <w:gridCol w:w="2184"/>
              <w:gridCol w:w="2932"/>
              <w:gridCol w:w="11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36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内容类型</w:t>
                  </w:r>
                </w:p>
              </w:tc>
              <w:tc>
                <w:tcPr>
                  <w:tcW w:w="856"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排放源（编号）</w:t>
                  </w:r>
                </w:p>
              </w:tc>
              <w:tc>
                <w:tcPr>
                  <w:tcW w:w="1309"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污染物名称</w:t>
                  </w:r>
                </w:p>
              </w:tc>
              <w:tc>
                <w:tcPr>
                  <w:tcW w:w="175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排放浓度及排放量(单位)</w:t>
                  </w:r>
                </w:p>
              </w:tc>
              <w:tc>
                <w:tcPr>
                  <w:tcW w:w="707"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40" w:hRule="atLeast"/>
                <w:jc w:val="center"/>
              </w:trPr>
              <w:tc>
                <w:tcPr>
                  <w:tcW w:w="36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废弃</w:t>
                  </w:r>
                </w:p>
              </w:tc>
              <w:tc>
                <w:tcPr>
                  <w:tcW w:w="856"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焊接</w:t>
                  </w:r>
                </w:p>
              </w:tc>
              <w:tc>
                <w:tcPr>
                  <w:tcW w:w="1309" w:type="pct"/>
                  <w:tcBorders>
                    <w:tl2br w:val="nil"/>
                    <w:tr2bl w:val="nil"/>
                  </w:tcBorders>
                  <w:noWrap w:val="0"/>
                  <w:vAlign w:val="center"/>
                </w:tcPr>
                <w:p>
                  <w:pPr>
                    <w:numPr>
                      <w:ilvl w:val="0"/>
                      <w:numId w:val="0"/>
                    </w:numPr>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颗粒物</w:t>
                  </w:r>
                </w:p>
              </w:tc>
              <w:tc>
                <w:tcPr>
                  <w:tcW w:w="175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无组织</w:t>
                  </w:r>
                  <w:r>
                    <w:rPr>
                      <w:rFonts w:hint="eastAsia" w:eastAsia="宋体" w:cs="Times New Roman"/>
                      <w:b w:val="0"/>
                      <w:bCs w:val="0"/>
                      <w:color w:val="auto"/>
                      <w:sz w:val="21"/>
                      <w:szCs w:val="21"/>
                      <w:highlight w:val="none"/>
                      <w:vertAlign w:val="baseline"/>
                      <w:lang w:val="en-US" w:eastAsia="zh-CN"/>
                    </w:rPr>
                    <w:t>：0.</w:t>
                  </w:r>
                  <w:r>
                    <w:rPr>
                      <w:rFonts w:hint="eastAsia" w:cs="Times New Roman"/>
                      <w:b w:val="0"/>
                      <w:bCs w:val="0"/>
                      <w:color w:val="auto"/>
                      <w:sz w:val="21"/>
                      <w:szCs w:val="21"/>
                      <w:highlight w:val="none"/>
                      <w:vertAlign w:val="baseline"/>
                      <w:lang w:val="en-US" w:eastAsia="zh-CN"/>
                    </w:rPr>
                    <w:t>284</w:t>
                  </w:r>
                  <w:r>
                    <w:rPr>
                      <w:rFonts w:hint="default" w:ascii="Times New Roman" w:hAnsi="Times New Roman" w:eastAsia="宋体" w:cs="Times New Roman"/>
                      <w:b w:val="0"/>
                      <w:bCs w:val="0"/>
                      <w:color w:val="auto"/>
                      <w:sz w:val="21"/>
                      <w:szCs w:val="21"/>
                      <w:highlight w:val="none"/>
                      <w:vertAlign w:val="baseline"/>
                      <w:lang w:val="en-US" w:eastAsia="zh-CN"/>
                    </w:rPr>
                    <w:t>mg/</w:t>
                  </w:r>
                  <w:r>
                    <w:rPr>
                      <w:rFonts w:hint="eastAsia" w:cs="Times New Roman"/>
                      <w:b w:val="0"/>
                      <w:bCs w:val="0"/>
                      <w:color w:val="auto"/>
                      <w:sz w:val="21"/>
                      <w:szCs w:val="21"/>
                      <w:highlight w:val="none"/>
                      <w:vertAlign w:val="baseline"/>
                      <w:lang w:val="en-US" w:eastAsia="zh-CN"/>
                    </w:rPr>
                    <w:t>m³</w:t>
                  </w:r>
                </w:p>
              </w:tc>
              <w:tc>
                <w:tcPr>
                  <w:tcW w:w="707"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40" w:hRule="atLeast"/>
                <w:jc w:val="center"/>
              </w:trPr>
              <w:tc>
                <w:tcPr>
                  <w:tcW w:w="368" w:type="pct"/>
                  <w:tcBorders>
                    <w:top w:val="single" w:color="auto" w:sz="4" w:space="0"/>
                    <w:tl2br w:val="nil"/>
                    <w:tr2bl w:val="nil"/>
                  </w:tcBorders>
                  <w:noWrap w:val="0"/>
                  <w:vAlign w:val="center"/>
                </w:tcPr>
                <w:p>
                  <w:pPr>
                    <w:numPr>
                      <w:ilvl w:val="0"/>
                      <w:numId w:val="0"/>
                    </w:numPr>
                    <w:spacing w:line="240" w:lineRule="auto"/>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水污染物</w:t>
                  </w:r>
                </w:p>
              </w:tc>
              <w:tc>
                <w:tcPr>
                  <w:tcW w:w="856" w:type="pct"/>
                  <w:tcBorders>
                    <w:top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生活污水</w:t>
                  </w:r>
                </w:p>
              </w:tc>
              <w:tc>
                <w:tcPr>
                  <w:tcW w:w="1309"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生活污水</w:t>
                  </w:r>
                </w:p>
              </w:tc>
              <w:tc>
                <w:tcPr>
                  <w:tcW w:w="175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厂区内设置</w:t>
                  </w:r>
                  <w:r>
                    <w:rPr>
                      <w:rFonts w:hint="eastAsia" w:cs="Times New Roman"/>
                      <w:b w:val="0"/>
                      <w:bCs w:val="0"/>
                      <w:color w:val="auto"/>
                      <w:sz w:val="21"/>
                      <w:szCs w:val="21"/>
                      <w:highlight w:val="none"/>
                      <w:vertAlign w:val="baseline"/>
                      <w:lang w:val="en-US" w:eastAsia="zh-CN"/>
                    </w:rPr>
                    <w:t>化粪池</w:t>
                  </w:r>
                  <w:r>
                    <w:rPr>
                      <w:rFonts w:hint="eastAsia" w:ascii="Times New Roman" w:hAnsi="Times New Roman" w:cs="Times New Roman"/>
                      <w:b w:val="0"/>
                      <w:bCs w:val="0"/>
                      <w:color w:val="auto"/>
                      <w:sz w:val="21"/>
                      <w:szCs w:val="21"/>
                      <w:highlight w:val="none"/>
                      <w:vertAlign w:val="baseline"/>
                      <w:lang w:val="en-US" w:eastAsia="zh-CN"/>
                    </w:rPr>
                    <w:t>，定期清掏</w:t>
                  </w:r>
                </w:p>
              </w:tc>
              <w:tc>
                <w:tcPr>
                  <w:tcW w:w="707"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18" w:hRule="atLeast"/>
                <w:jc w:val="center"/>
              </w:trPr>
              <w:tc>
                <w:tcPr>
                  <w:tcW w:w="368" w:type="pct"/>
                  <w:vMerge w:val="restar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固体废物</w:t>
                  </w:r>
                </w:p>
              </w:tc>
              <w:tc>
                <w:tcPr>
                  <w:tcW w:w="856" w:type="pct"/>
                  <w:vMerge w:val="restar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一般工业固体废物</w:t>
                  </w:r>
                </w:p>
              </w:tc>
              <w:tc>
                <w:tcPr>
                  <w:tcW w:w="1309" w:type="pct"/>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边角料</w:t>
                  </w:r>
                  <w:r>
                    <w:rPr>
                      <w:rFonts w:hint="eastAsia" w:cs="Times New Roman"/>
                      <w:b w:val="0"/>
                      <w:bCs w:val="0"/>
                      <w:color w:val="auto"/>
                      <w:sz w:val="21"/>
                      <w:szCs w:val="21"/>
                      <w:highlight w:val="none"/>
                      <w:vertAlign w:val="baseline"/>
                      <w:lang w:val="en-US" w:eastAsia="zh-CN"/>
                    </w:rPr>
                    <w:t>、废焊头、金属屑、粉尘</w:t>
                  </w:r>
                </w:p>
              </w:tc>
              <w:tc>
                <w:tcPr>
                  <w:tcW w:w="1758" w:type="pct"/>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收集后统一外售</w:t>
                  </w:r>
                </w:p>
              </w:tc>
              <w:tc>
                <w:tcPr>
                  <w:tcW w:w="707" w:type="pct"/>
                  <w:vMerge w:val="restar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合理处置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41" w:hRule="atLeast"/>
                <w:jc w:val="center"/>
              </w:trPr>
              <w:tc>
                <w:tcPr>
                  <w:tcW w:w="368" w:type="pct"/>
                  <w:vMerge w:val="continue"/>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856" w:type="pct"/>
                  <w:vMerge w:val="continue"/>
                  <w:tcBorders>
                    <w:tl2br w:val="nil"/>
                    <w:tr2bl w:val="nil"/>
                  </w:tcBorders>
                  <w:noWrap w:val="0"/>
                  <w:vAlign w:val="center"/>
                </w:tcPr>
                <w:p>
                  <w:pPr>
                    <w:numPr>
                      <w:ilvl w:val="0"/>
                      <w:numId w:val="0"/>
                    </w:numPr>
                    <w:spacing w:line="240" w:lineRule="auto"/>
                    <w:jc w:val="center"/>
                    <w:rPr>
                      <w:rFonts w:hint="eastAsia" w:cs="Times New Roman"/>
                      <w:b w:val="0"/>
                      <w:bCs w:val="0"/>
                      <w:color w:val="auto"/>
                      <w:sz w:val="21"/>
                      <w:szCs w:val="21"/>
                      <w:highlight w:val="none"/>
                      <w:vertAlign w:val="baseline"/>
                      <w:lang w:val="en-US" w:eastAsia="zh-CN"/>
                    </w:rPr>
                  </w:pPr>
                </w:p>
              </w:tc>
              <w:tc>
                <w:tcPr>
                  <w:tcW w:w="1309" w:type="pct"/>
                  <w:tcBorders>
                    <w:top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生活垃圾、含油抹布</w:t>
                  </w:r>
                </w:p>
              </w:tc>
              <w:tc>
                <w:tcPr>
                  <w:tcW w:w="1758" w:type="pct"/>
                  <w:tcBorders>
                    <w:top w:val="single" w:color="auto" w:sz="4" w:space="0"/>
                    <w:tl2br w:val="nil"/>
                    <w:tr2bl w:val="nil"/>
                  </w:tcBorders>
                  <w:noWrap w:val="0"/>
                  <w:vAlign w:val="center"/>
                </w:tcPr>
                <w:p>
                  <w:pPr>
                    <w:numPr>
                      <w:ilvl w:val="0"/>
                      <w:numId w:val="0"/>
                    </w:numPr>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交由环卫部门统一收集处置</w:t>
                  </w:r>
                </w:p>
              </w:tc>
              <w:tc>
                <w:tcPr>
                  <w:tcW w:w="707" w:type="pct"/>
                  <w:vMerge w:val="continue"/>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0" w:hRule="atLeast"/>
                <w:jc w:val="center"/>
              </w:trPr>
              <w:tc>
                <w:tcPr>
                  <w:tcW w:w="368" w:type="pct"/>
                  <w:vMerge w:val="continue"/>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856" w:type="pct"/>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危险废物</w:t>
                  </w:r>
                </w:p>
              </w:tc>
              <w:tc>
                <w:tcPr>
                  <w:tcW w:w="1309" w:type="pct"/>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废润滑油、废机油、废液压油</w:t>
                  </w:r>
                </w:p>
              </w:tc>
              <w:tc>
                <w:tcPr>
                  <w:tcW w:w="1758" w:type="pct"/>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eastAsia="宋体" w:cs="Times New Roman"/>
                      <w:b w:val="0"/>
                      <w:bCs w:val="0"/>
                      <w:color w:val="auto"/>
                      <w:sz w:val="21"/>
                      <w:szCs w:val="21"/>
                      <w:highlight w:val="none"/>
                      <w:vertAlign w:val="baseline"/>
                      <w:lang w:val="en-US" w:eastAsia="zh-CN"/>
                    </w:rPr>
                    <w:t>暂存危废间定期交由有资质单位运输处理</w:t>
                  </w:r>
                </w:p>
              </w:tc>
              <w:tc>
                <w:tcPr>
                  <w:tcW w:w="707" w:type="pct"/>
                  <w:vMerge w:val="continue"/>
                  <w:tcBorders>
                    <w:bottom w:val="single" w:color="auto" w:sz="4" w:space="0"/>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40" w:hRule="atLeast"/>
                <w:jc w:val="center"/>
              </w:trPr>
              <w:tc>
                <w:tcPr>
                  <w:tcW w:w="368" w:type="pct"/>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噪声</w:t>
                  </w:r>
                </w:p>
              </w:tc>
              <w:tc>
                <w:tcPr>
                  <w:tcW w:w="4631" w:type="pct"/>
                  <w:gridSpan w:val="4"/>
                  <w:tcBorders>
                    <w:tl2br w:val="nil"/>
                    <w:tr2bl w:val="nil"/>
                  </w:tcBorders>
                  <w:noWrap w:val="0"/>
                  <w:vAlign w:val="center"/>
                </w:tcPr>
                <w:p>
                  <w:pPr>
                    <w:numPr>
                      <w:ilvl w:val="0"/>
                      <w:numId w:val="0"/>
                    </w:numPr>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项目噪声源为各生产设备运行时产生的噪声，厂界昼间噪声最大值为</w:t>
                  </w:r>
                  <w:r>
                    <w:rPr>
                      <w:rFonts w:hint="eastAsia" w:cs="Times New Roman"/>
                      <w:b w:val="0"/>
                      <w:bCs w:val="0"/>
                      <w:color w:val="auto"/>
                      <w:sz w:val="21"/>
                      <w:szCs w:val="21"/>
                      <w:highlight w:val="none"/>
                      <w:vertAlign w:val="baseline"/>
                      <w:lang w:val="en-US" w:eastAsia="zh-CN"/>
                    </w:rPr>
                    <w:t>58.7</w:t>
                  </w:r>
                  <w:r>
                    <w:rPr>
                      <w:rFonts w:hint="default" w:ascii="Times New Roman" w:hAnsi="Times New Roman" w:eastAsia="宋体" w:cs="Times New Roman"/>
                      <w:b w:val="0"/>
                      <w:bCs w:val="0"/>
                      <w:color w:val="auto"/>
                      <w:sz w:val="21"/>
                      <w:szCs w:val="21"/>
                      <w:highlight w:val="none"/>
                      <w:vertAlign w:val="baseline"/>
                      <w:lang w:val="en-US" w:eastAsia="zh-CN"/>
                    </w:rPr>
                    <w:t>dB(A)，符合《工业企业厂界环境噪声排放标准》（GB12348-2008）表1中</w:t>
                  </w:r>
                  <w:r>
                    <w:rPr>
                      <w:rFonts w:hint="eastAsia" w:cs="Times New Roman"/>
                      <w:b w:val="0"/>
                      <w:bCs w:val="0"/>
                      <w:color w:val="auto"/>
                      <w:sz w:val="21"/>
                      <w:szCs w:val="21"/>
                      <w:highlight w:val="none"/>
                      <w:vertAlign w:val="baseline"/>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类标准</w:t>
                  </w:r>
                  <w:r>
                    <w:rPr>
                      <w:rFonts w:hint="eastAsia" w:cs="Times New Roman"/>
                      <w:b w:val="0"/>
                      <w:bCs w:val="0"/>
                      <w:color w:val="auto"/>
                      <w:sz w:val="21"/>
                      <w:szCs w:val="21"/>
                      <w:highlight w:val="none"/>
                      <w:vertAlign w:val="baseline"/>
                      <w:lang w:val="en-US" w:eastAsia="zh-CN"/>
                    </w:rPr>
                    <w:t>,即昼间≤65dB（A）（本项目夜间不生产）</w:t>
                  </w:r>
                  <w:r>
                    <w:rPr>
                      <w:rFonts w:hint="default" w:ascii="Times New Roman" w:hAnsi="Times New Roman" w:eastAsia="宋体" w:cs="Times New Roman"/>
                      <w:b w:val="0"/>
                      <w:bCs w:val="0"/>
                      <w:color w:val="auto"/>
                      <w:sz w:val="21"/>
                      <w:szCs w:val="21"/>
                      <w:highlight w:val="none"/>
                      <w:vertAlign w:val="baseline"/>
                      <w:lang w:val="en-US" w:eastAsia="zh-CN"/>
                    </w:rPr>
                    <w:t>。</w:t>
                  </w:r>
                </w:p>
              </w:tc>
            </w:tr>
          </w:tbl>
          <w:p>
            <w:pPr>
              <w:pStyle w:val="10"/>
              <w:bidi w:val="0"/>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 xml:space="preserve">3 </w:t>
            </w:r>
            <w:r>
              <w:rPr>
                <w:rFonts w:hint="eastAsia" w:cs="Times New Roman"/>
                <w:color w:val="auto"/>
                <w:sz w:val="24"/>
                <w:szCs w:val="28"/>
                <w:highlight w:val="none"/>
                <w:lang w:val="en-US" w:eastAsia="zh-CN"/>
              </w:rPr>
              <w:t>现有</w:t>
            </w:r>
            <w:r>
              <w:rPr>
                <w:rFonts w:hint="default" w:ascii="Times New Roman" w:hAnsi="Times New Roman" w:cs="Times New Roman"/>
                <w:color w:val="auto"/>
                <w:sz w:val="24"/>
                <w:szCs w:val="28"/>
                <w:highlight w:val="none"/>
                <w:lang w:val="en-US" w:eastAsia="zh-CN"/>
              </w:rPr>
              <w:t>工程存在的问题</w:t>
            </w:r>
          </w:p>
          <w:p>
            <w:pPr>
              <w:pStyle w:val="50"/>
              <w:numPr>
                <w:ilvl w:val="0"/>
                <w:numId w:val="0"/>
              </w:numPr>
              <w:bidi w:val="0"/>
              <w:ind w:leftChars="0"/>
              <w:rPr>
                <w:rFonts w:hint="default" w:ascii="Times New Roman" w:hAnsi="Times New Roman" w:cs="Times New Roman"/>
                <w:b w:val="0"/>
                <w:bCs w:val="0"/>
                <w:color w:val="auto"/>
                <w:highlight w:val="none"/>
                <w:lang w:val="en-US" w:eastAsia="zh-CN"/>
              </w:rPr>
            </w:pPr>
            <w:r>
              <w:rPr>
                <w:rFonts w:hint="eastAsia" w:ascii="Times New Roman" w:hAnsi="Times New Roman" w:cs="Times New Roman"/>
                <w:b w:val="0"/>
                <w:bCs w:val="0"/>
                <w:color w:val="auto"/>
                <w:kern w:val="2"/>
                <w:sz w:val="24"/>
                <w:szCs w:val="24"/>
                <w:highlight w:val="none"/>
                <w:lang w:val="en-US" w:eastAsia="zh-CN" w:bidi="ar-SA"/>
              </w:rPr>
              <w:t>（1）</w:t>
            </w:r>
            <w:r>
              <w:rPr>
                <w:rFonts w:hint="default" w:ascii="Times New Roman" w:hAnsi="Times New Roman" w:cs="Times New Roman"/>
                <w:b w:val="0"/>
                <w:bCs w:val="0"/>
                <w:color w:val="auto"/>
                <w:kern w:val="2"/>
                <w:sz w:val="24"/>
                <w:szCs w:val="24"/>
                <w:highlight w:val="none"/>
                <w:lang w:val="en-US" w:eastAsia="zh-CN" w:bidi="ar-SA"/>
              </w:rPr>
              <w:t>存在问题</w:t>
            </w:r>
            <w:r>
              <w:rPr>
                <w:rFonts w:hint="eastAsia" w:ascii="Times New Roman" w:hAnsi="Times New Roman" w:cs="Times New Roman"/>
                <w:b w:val="0"/>
                <w:bCs w:val="0"/>
                <w:color w:val="auto"/>
                <w:kern w:val="2"/>
                <w:sz w:val="24"/>
                <w:szCs w:val="24"/>
                <w:highlight w:val="none"/>
                <w:lang w:val="en-US" w:eastAsia="zh-CN" w:bidi="ar-SA"/>
              </w:rPr>
              <w:t>：</w:t>
            </w:r>
            <w:r>
              <w:rPr>
                <w:rFonts w:hint="eastAsia" w:cs="Times New Roman"/>
                <w:b w:val="0"/>
                <w:bCs w:val="0"/>
                <w:color w:val="auto"/>
                <w:highlight w:val="none"/>
                <w:lang w:val="en-US" w:eastAsia="zh-CN"/>
              </w:rPr>
              <w:t>现有环评固体废物中含油金属屑处置未写明</w:t>
            </w:r>
            <w:r>
              <w:rPr>
                <w:rFonts w:hint="default" w:ascii="Times New Roman" w:hAnsi="Times New Roman" w:cs="Times New Roman"/>
                <w:b w:val="0"/>
                <w:bCs w:val="0"/>
                <w:color w:val="auto"/>
                <w:highlight w:val="none"/>
                <w:lang w:val="en-US" w:eastAsia="zh-CN"/>
              </w:rPr>
              <w:t>。</w:t>
            </w:r>
          </w:p>
          <w:p>
            <w:pPr>
              <w:pStyle w:val="11"/>
              <w:bidi w:val="0"/>
              <w:rPr>
                <w:rFonts w:hint="default" w:ascii="Times New Roman" w:hAnsi="Times New Roman" w:cs="Times New Roman"/>
                <w:color w:val="auto"/>
                <w:highlight w:val="none"/>
                <w:lang w:val="en-US" w:eastAsia="zh-CN"/>
              </w:rPr>
            </w:pPr>
            <w:r>
              <w:rPr>
                <w:rFonts w:hint="eastAsia" w:cs="Times New Roman"/>
                <w:b w:val="0"/>
                <w:bCs w:val="0"/>
                <w:color w:val="auto"/>
                <w:highlight w:val="none"/>
                <w:lang w:val="en-US" w:eastAsia="zh-CN"/>
              </w:rPr>
              <w:t>（2）</w:t>
            </w:r>
            <w:r>
              <w:rPr>
                <w:rFonts w:hint="default" w:ascii="Times New Roman" w:hAnsi="Times New Roman" w:cs="Times New Roman"/>
                <w:b w:val="0"/>
                <w:bCs w:val="0"/>
                <w:color w:val="auto"/>
                <w:highlight w:val="none"/>
                <w:lang w:val="en-US" w:eastAsia="zh-CN"/>
              </w:rPr>
              <w:t>解决方式</w:t>
            </w:r>
            <w:r>
              <w:rPr>
                <w:rFonts w:hint="eastAsia" w:cs="Times New Roman"/>
                <w:b w:val="0"/>
                <w:bCs w:val="0"/>
                <w:color w:val="auto"/>
                <w:highlight w:val="none"/>
                <w:lang w:val="en-US" w:eastAsia="zh-CN"/>
              </w:rPr>
              <w:t>：根据现场踏勘，本项目含乳化液金属屑经过滤系统进行过滤，乳化液收集后回用生产，过滤后的金属屑外售，处置合理</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本环评要求，外售金属屑要保证无润滑油滴落的状态才可出售。</w:t>
            </w:r>
          </w:p>
        </w:tc>
      </w:tr>
    </w:tbl>
    <w:p>
      <w:pPr>
        <w:rPr>
          <w:rFonts w:hint="default" w:ascii="Times New Roman" w:hAnsi="Times New Roman" w:cs="Times New Roman"/>
          <w:color w:val="auto"/>
          <w:highlight w:val="none"/>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10"/>
        <w:bidi w:val="0"/>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三、区域环境质量现状、环境保护目标及评价标准</w:t>
      </w:r>
    </w:p>
    <w:tbl>
      <w:tblPr>
        <w:tblStyle w:val="3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7"/>
        <w:gridCol w:w="85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7" w:type="dxa"/>
            <w:noWrap w:val="0"/>
            <w:vAlign w:val="center"/>
          </w:tcPr>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区域</w:t>
            </w:r>
          </w:p>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质量</w:t>
            </w:r>
          </w:p>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现状</w:t>
            </w:r>
          </w:p>
        </w:tc>
        <w:tc>
          <w:tcPr>
            <w:tcW w:w="8584" w:type="dxa"/>
            <w:noWrap w:val="0"/>
            <w:vAlign w:val="center"/>
          </w:tcPr>
          <w:p>
            <w:pPr>
              <w:pStyle w:val="10"/>
              <w:bidi w:val="0"/>
              <w:rPr>
                <w:rFonts w:hint="default"/>
                <w:color w:val="auto"/>
                <w:sz w:val="24"/>
                <w:szCs w:val="28"/>
                <w:highlight w:val="none"/>
                <w:lang w:val="en-US" w:eastAsia="zh-CN"/>
              </w:rPr>
            </w:pPr>
            <w:r>
              <w:rPr>
                <w:rFonts w:hint="default"/>
                <w:color w:val="auto"/>
                <w:sz w:val="24"/>
                <w:szCs w:val="28"/>
                <w:highlight w:val="none"/>
                <w:lang w:val="en-US" w:eastAsia="zh-CN"/>
              </w:rPr>
              <w:t>1 环境空气质量现状</w:t>
            </w:r>
          </w:p>
          <w:p>
            <w:pPr>
              <w:spacing w:line="360" w:lineRule="auto"/>
              <w:ind w:firstLine="480" w:firstLineChars="200"/>
              <w:rPr>
                <w:rFonts w:hint="default" w:eastAsia="宋体"/>
                <w:color w:val="auto"/>
                <w:highlight w:val="none"/>
                <w:lang w:val="en-US" w:eastAsia="zh-CN"/>
              </w:rPr>
            </w:pPr>
            <w:r>
              <w:rPr>
                <w:rFonts w:hint="eastAsia"/>
                <w:color w:val="auto"/>
                <w:highlight w:val="none"/>
                <w:lang w:val="en-US" w:eastAsia="zh-CN"/>
              </w:rPr>
              <w:t>1.1基本污染物现状</w:t>
            </w:r>
          </w:p>
          <w:p>
            <w:pPr>
              <w:spacing w:line="360" w:lineRule="auto"/>
              <w:ind w:firstLine="480" w:firstLineChars="200"/>
              <w:rPr>
                <w:rFonts w:hint="default"/>
                <w:color w:val="auto"/>
                <w:highlight w:val="none"/>
              </w:rPr>
            </w:pPr>
            <w:r>
              <w:rPr>
                <w:color w:val="auto"/>
                <w:highlight w:val="none"/>
              </w:rPr>
              <w:t>根据</w:t>
            </w:r>
            <w:r>
              <w:rPr>
                <w:rFonts w:hint="eastAsia"/>
                <w:color w:val="auto"/>
                <w:highlight w:val="none"/>
                <w:lang w:val="en-US" w:eastAsia="zh-CN"/>
              </w:rPr>
              <w:t>秦皇岛市大气污染防治工作领导小组办公室2023年1月20日发布的《关于2022年12月份环境空气质量情况的通报》附件2，本项目所在区域</w:t>
            </w:r>
            <w:r>
              <w:rPr>
                <w:rFonts w:hint="default"/>
                <w:color w:val="auto"/>
                <w:highlight w:val="none"/>
              </w:rPr>
              <w:t>环境空气质量情况见下表。</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
                <w:bCs/>
                <w:color w:val="auto"/>
                <w:sz w:val="24"/>
                <w:szCs w:val="24"/>
                <w:highlight w:val="none"/>
                <w:lang w:val="en-US" w:eastAsia="zh-CN"/>
              </w:rPr>
            </w:pPr>
            <w:r>
              <w:rPr>
                <w:rFonts w:hint="default"/>
                <w:b/>
                <w:bCs/>
                <w:color w:val="auto"/>
                <w:sz w:val="24"/>
                <w:szCs w:val="24"/>
                <w:highlight w:val="none"/>
                <w:lang w:val="en-US" w:eastAsia="zh-CN"/>
              </w:rPr>
              <w:t xml:space="preserve">表3-1  </w:t>
            </w:r>
            <w:r>
              <w:rPr>
                <w:rFonts w:hint="eastAsia"/>
                <w:b/>
                <w:bCs/>
                <w:color w:val="auto"/>
                <w:sz w:val="24"/>
                <w:szCs w:val="24"/>
                <w:highlight w:val="none"/>
                <w:lang w:val="en-US" w:eastAsia="zh-CN"/>
              </w:rPr>
              <w:t>抚宁区</w:t>
            </w:r>
            <w:r>
              <w:rPr>
                <w:rFonts w:hint="default"/>
                <w:b/>
                <w:bCs/>
                <w:color w:val="auto"/>
                <w:sz w:val="24"/>
                <w:szCs w:val="24"/>
                <w:highlight w:val="none"/>
                <w:lang w:val="en-US" w:eastAsia="zh-CN"/>
              </w:rPr>
              <w:t>环境空气质量情况</w:t>
            </w:r>
          </w:p>
          <w:tbl>
            <w:tblPr>
              <w:tblStyle w:val="32"/>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070"/>
              <w:gridCol w:w="1199"/>
              <w:gridCol w:w="1199"/>
              <w:gridCol w:w="1075"/>
              <w:gridCol w:w="1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项目</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因子</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数据</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标准值</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单位</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年平均-98per</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SO</w:t>
                  </w:r>
                  <w:r>
                    <w:rPr>
                      <w:rFonts w:hint="default"/>
                      <w:color w:val="auto"/>
                      <w:sz w:val="21"/>
                      <w:szCs w:val="21"/>
                      <w:highlight w:val="none"/>
                      <w:vertAlign w:val="subscript"/>
                    </w:rPr>
                    <w:t>2</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60</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年平均-98per</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NO</w:t>
                  </w:r>
                  <w:r>
                    <w:rPr>
                      <w:rFonts w:hint="default"/>
                      <w:color w:val="auto"/>
                      <w:sz w:val="21"/>
                      <w:szCs w:val="21"/>
                      <w:highlight w:val="none"/>
                      <w:vertAlign w:val="subscript"/>
                    </w:rPr>
                    <w:t>2</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28</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40</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年平均-95per</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10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60</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70</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CO -95per24小时平均</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CO</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4</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O3-8H-90per</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O</w:t>
                  </w:r>
                  <w:r>
                    <w:rPr>
                      <w:rFonts w:hint="default"/>
                      <w:color w:val="auto"/>
                      <w:sz w:val="21"/>
                      <w:szCs w:val="21"/>
                      <w:highlight w:val="none"/>
                      <w:vertAlign w:val="subscript"/>
                    </w:rPr>
                    <w:t>3</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172</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160</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eastAsia"/>
                      <w:color w:val="auto"/>
                      <w:sz w:val="21"/>
                      <w:szCs w:val="21"/>
                      <w:highlight w:val="none"/>
                      <w:lang w:val="en-US" w:eastAsia="zh-CN"/>
                    </w:rPr>
                    <w:t>不</w:t>
                  </w:r>
                  <w:r>
                    <w:rPr>
                      <w:rFonts w:hint="default"/>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3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年平均-95per</w:t>
                  </w:r>
                </w:p>
              </w:tc>
              <w:tc>
                <w:tcPr>
                  <w:tcW w:w="64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PM</w:t>
                  </w:r>
                  <w:r>
                    <w:rPr>
                      <w:rFonts w:hint="default"/>
                      <w:color w:val="auto"/>
                      <w:sz w:val="21"/>
                      <w:szCs w:val="21"/>
                      <w:highlight w:val="none"/>
                      <w:vertAlign w:val="subscript"/>
                    </w:rPr>
                    <w:t>2.5</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29</w:t>
                  </w:r>
                </w:p>
              </w:tc>
              <w:tc>
                <w:tcPr>
                  <w:tcW w:w="7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35</w:t>
                  </w:r>
                </w:p>
              </w:tc>
              <w:tc>
                <w:tcPr>
                  <w:tcW w:w="6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μg/m</w:t>
                  </w:r>
                  <w:r>
                    <w:rPr>
                      <w:rFonts w:hint="default"/>
                      <w:color w:val="auto"/>
                      <w:sz w:val="21"/>
                      <w:szCs w:val="21"/>
                      <w:highlight w:val="none"/>
                      <w:vertAlign w:val="superscript"/>
                    </w:rPr>
                    <w:t>3</w:t>
                  </w:r>
                </w:p>
              </w:tc>
              <w:tc>
                <w:tcPr>
                  <w:tcW w:w="91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highlight w:val="none"/>
                    </w:rPr>
                  </w:pPr>
                  <w:r>
                    <w:rPr>
                      <w:rFonts w:hint="default"/>
                      <w:color w:val="auto"/>
                      <w:sz w:val="21"/>
                      <w:szCs w:val="21"/>
                      <w:highlight w:val="none"/>
                    </w:rPr>
                    <w:t>达标</w:t>
                  </w:r>
                </w:p>
              </w:tc>
            </w:tr>
          </w:tbl>
          <w:p>
            <w:pPr>
              <w:spacing w:line="360" w:lineRule="auto"/>
              <w:ind w:firstLine="480" w:firstLineChars="200"/>
              <w:rPr>
                <w:rFonts w:hint="eastAsia"/>
                <w:color w:val="auto"/>
                <w:highlight w:val="none"/>
                <w:lang w:val="en-US" w:eastAsia="zh-CN"/>
              </w:rPr>
            </w:pPr>
            <w:r>
              <w:rPr>
                <w:rFonts w:hint="eastAsia"/>
                <w:color w:val="auto"/>
                <w:highlight w:val="none"/>
                <w:lang w:val="en-US" w:eastAsia="zh-CN"/>
              </w:rPr>
              <w:t>1.2其他污染物现状</w:t>
            </w:r>
          </w:p>
          <w:p>
            <w:pPr>
              <w:pStyle w:val="17"/>
              <w:snapToGrid w:val="0"/>
              <w:spacing w:line="360" w:lineRule="auto"/>
              <w:ind w:firstLine="480" w:firstLineChars="200"/>
              <w:textAlignment w:val="auto"/>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非甲烷总烃为本项目的特征污染物</w:t>
            </w:r>
            <w:r>
              <w:rPr>
                <w:rFonts w:hint="eastAsia" w:ascii="Times New Roman" w:hAnsi="Times New Roman" w:cs="Times New Roman"/>
                <w:color w:val="auto"/>
                <w:sz w:val="24"/>
                <w:highlight w:val="none"/>
                <w:lang w:val="en-US" w:eastAsia="zh-CN"/>
              </w:rPr>
              <w:t>。</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（1）非甲烷总烃</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环境空气中非甲烷总烃的检测数据采用《秦皇岛光宇玻纤制品股份有限公司</w:t>
            </w:r>
            <w:r>
              <w:rPr>
                <w:rFonts w:hint="eastAsia" w:ascii="Times New Roman" w:hAnsi="Times New Roman" w:cs="Times New Roman"/>
                <w:color w:val="auto"/>
                <w:sz w:val="24"/>
                <w:highlight w:val="none"/>
                <w:lang w:val="en-US" w:eastAsia="zh-CN"/>
              </w:rPr>
              <w:t>检测报告</w:t>
            </w:r>
            <w:r>
              <w:rPr>
                <w:rFonts w:hint="default"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中</w:t>
            </w:r>
            <w:r>
              <w:rPr>
                <w:rFonts w:hint="default" w:ascii="Times New Roman" w:hAnsi="Times New Roman" w:cs="Times New Roman"/>
                <w:color w:val="auto"/>
                <w:sz w:val="24"/>
                <w:highlight w:val="none"/>
                <w:lang w:val="en-US" w:eastAsia="zh-CN"/>
              </w:rPr>
              <w:t>非甲烷总烃环境质量检测的</w:t>
            </w:r>
            <w:r>
              <w:rPr>
                <w:rFonts w:hint="eastAsia" w:ascii="Times New Roman" w:hAnsi="Times New Roman" w:cs="Times New Roman"/>
                <w:color w:val="auto"/>
                <w:sz w:val="24"/>
                <w:highlight w:val="none"/>
                <w:lang w:val="en-US" w:eastAsia="zh-CN"/>
              </w:rPr>
              <w:t>数据</w:t>
            </w:r>
            <w:r>
              <w:rPr>
                <w:rFonts w:hint="default" w:ascii="Times New Roman" w:hAnsi="Times New Roman" w:cs="Times New Roman"/>
                <w:color w:val="auto"/>
                <w:sz w:val="24"/>
                <w:highlight w:val="none"/>
                <w:lang w:val="en-US" w:eastAsia="zh-CN"/>
              </w:rPr>
              <w:t>（河北淏楷环境检测服务有限公司）。监测时间为202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日至202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日，监测点位于项目南侧2</w:t>
            </w:r>
            <w:r>
              <w:rPr>
                <w:rFonts w:hint="eastAsia" w:ascii="Times New Roman" w:hAnsi="Times New Roman" w:cs="Times New Roman"/>
                <w:color w:val="auto"/>
                <w:sz w:val="24"/>
                <w:highlight w:val="none"/>
                <w:lang w:val="en-US" w:eastAsia="zh-CN"/>
              </w:rPr>
              <w:t>.4k</w:t>
            </w:r>
            <w:r>
              <w:rPr>
                <w:rFonts w:hint="default" w:ascii="Times New Roman" w:hAnsi="Times New Roman" w:cs="Times New Roman"/>
                <w:color w:val="auto"/>
                <w:sz w:val="24"/>
                <w:highlight w:val="none"/>
                <w:lang w:val="en-US" w:eastAsia="zh-CN"/>
              </w:rPr>
              <w:t>m处</w:t>
            </w:r>
            <w:r>
              <w:rPr>
                <w:rFonts w:hint="eastAsia" w:ascii="Times New Roman" w:hAnsi="Times New Roman" w:cs="Times New Roman"/>
                <w:color w:val="auto"/>
                <w:sz w:val="24"/>
                <w:highlight w:val="none"/>
                <w:lang w:val="en-US" w:eastAsia="zh-CN"/>
              </w:rPr>
              <w:t>的东街社区</w:t>
            </w:r>
            <w:r>
              <w:rPr>
                <w:rFonts w:hint="default" w:ascii="Times New Roman" w:hAnsi="Times New Roman" w:cs="Times New Roman"/>
                <w:color w:val="auto"/>
                <w:sz w:val="24"/>
                <w:highlight w:val="none"/>
                <w:lang w:val="en-US" w:eastAsia="zh-CN"/>
              </w:rPr>
              <w:t>，位于当季主导风向的下风向，与项目的距离小于5km，因此补充监测数据符合评价要求。</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1）监测点位</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东街社区</w:t>
            </w:r>
            <w:r>
              <w:rPr>
                <w:rFonts w:hint="default" w:ascii="Times New Roman" w:hAnsi="Times New Roman" w:cs="Times New Roman"/>
                <w:color w:val="auto"/>
                <w:sz w:val="24"/>
                <w:highlight w:val="none"/>
              </w:rPr>
              <w:t>。</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2）监测项目</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根据项目特征，本次环境质量现状监测选取非甲烷总烃作为监测因子。</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3）监测时间及频率</w:t>
            </w:r>
          </w:p>
          <w:p>
            <w:pPr>
              <w:pStyle w:val="17"/>
              <w:snapToGrid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现场监测时间为202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lang w:val="en-US" w:eastAsia="zh-CN"/>
              </w:rPr>
              <w:t>日至202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lang w:val="en-US" w:eastAsia="zh-CN"/>
              </w:rPr>
              <w:t>日，连续检测3天。本项目大气污染物补充监测点位基本信息见表</w:t>
            </w:r>
            <w:r>
              <w:rPr>
                <w:rFonts w:hint="eastAsia" w:ascii="Times New Roman" w:hAnsi="Times New Roman" w:cs="Times New Roman"/>
                <w:color w:val="auto"/>
                <w:sz w:val="24"/>
                <w:highlight w:val="none"/>
                <w:lang w:val="en-US" w:eastAsia="zh-CN"/>
              </w:rPr>
              <w:t>3-2</w:t>
            </w:r>
            <w:r>
              <w:rPr>
                <w:rFonts w:hint="default" w:ascii="Times New Roman" w:hAnsi="Times New Roman" w:cs="Times New Roman"/>
                <w:color w:val="auto"/>
                <w:sz w:val="24"/>
                <w:highlight w:val="none"/>
                <w:lang w:val="en-US" w:eastAsia="zh-CN"/>
              </w:rPr>
              <w:t>。</w:t>
            </w:r>
          </w:p>
          <w:p>
            <w:pPr>
              <w:adjustRightInd w:val="0"/>
              <w:snapToGrid w:val="0"/>
              <w:spacing w:line="240" w:lineRule="auto"/>
              <w:ind w:firstLine="561"/>
              <w:jc w:val="center"/>
              <w:rPr>
                <w:rFonts w:hint="default" w:ascii="Times New Roman" w:hAnsi="Times New Roman" w:cs="Times New Roman"/>
                <w:b/>
                <w:color w:val="auto"/>
                <w:sz w:val="24"/>
                <w:highlight w:val="none"/>
              </w:rPr>
            </w:pPr>
          </w:p>
          <w:p>
            <w:pPr>
              <w:pStyle w:val="2"/>
              <w:rPr>
                <w:rFonts w:hint="default"/>
                <w:color w:val="auto"/>
                <w:highlight w:val="none"/>
              </w:rPr>
            </w:pPr>
          </w:p>
          <w:p>
            <w:pPr>
              <w:adjustRightInd w:val="0"/>
              <w:snapToGrid w:val="0"/>
              <w:spacing w:line="240" w:lineRule="auto"/>
              <w:ind w:firstLine="561"/>
              <w:jc w:val="center"/>
              <w:rPr>
                <w:rFonts w:hint="default" w:ascii="Times New Roman" w:hAnsi="Times New Roman" w:cs="Times New Roman"/>
                <w:b/>
                <w:color w:val="auto"/>
                <w:sz w:val="24"/>
                <w:highlight w:val="none"/>
              </w:rPr>
            </w:pPr>
          </w:p>
          <w:p>
            <w:pPr>
              <w:adjustRightInd w:val="0"/>
              <w:snapToGrid w:val="0"/>
              <w:spacing w:line="240" w:lineRule="auto"/>
              <w:ind w:firstLine="561"/>
              <w:jc w:val="center"/>
              <w:rPr>
                <w:rFonts w:hint="default" w:ascii="Times New Roman" w:hAnsi="Times New Roman" w:cs="Times New Roman"/>
                <w:b/>
                <w:color w:val="auto"/>
                <w:sz w:val="24"/>
                <w:highlight w:val="none"/>
              </w:rPr>
            </w:pPr>
          </w:p>
          <w:p>
            <w:pPr>
              <w:adjustRightInd w:val="0"/>
              <w:snapToGrid w:val="0"/>
              <w:spacing w:line="240" w:lineRule="auto"/>
              <w:ind w:firstLine="561"/>
              <w:jc w:val="center"/>
              <w:rPr>
                <w:rFonts w:hint="default" w:ascii="Times New Roman" w:hAnsi="Times New Roman" w:eastAsia="仿宋_GB2312"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3-2</w:t>
            </w:r>
            <w:r>
              <w:rPr>
                <w:rFonts w:hint="default" w:ascii="Times New Roman" w:hAnsi="Times New Roman" w:cs="Times New Roman"/>
                <w:b/>
                <w:color w:val="auto"/>
                <w:sz w:val="24"/>
                <w:highlight w:val="none"/>
              </w:rPr>
              <w:t xml:space="preserve">  大气污染物补充监测点位基本信息表</w:t>
            </w:r>
          </w:p>
          <w:tbl>
            <w:tblPr>
              <w:tblStyle w:val="32"/>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007"/>
              <w:gridCol w:w="1065"/>
              <w:gridCol w:w="1380"/>
              <w:gridCol w:w="1980"/>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监测点名称</w:t>
                  </w:r>
                </w:p>
              </w:tc>
              <w:tc>
                <w:tcPr>
                  <w:tcW w:w="207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监测点坐标</w:t>
                  </w:r>
                </w:p>
              </w:tc>
              <w:tc>
                <w:tcPr>
                  <w:tcW w:w="13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监测因子</w:t>
                  </w:r>
                </w:p>
              </w:tc>
              <w:tc>
                <w:tcPr>
                  <w:tcW w:w="19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监测时段</w:t>
                  </w:r>
                </w:p>
              </w:tc>
              <w:tc>
                <w:tcPr>
                  <w:tcW w:w="143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相对本厂区方位及距离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北纬</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东经</w:t>
                  </w:r>
                </w:p>
              </w:tc>
              <w:tc>
                <w:tcPr>
                  <w:tcW w:w="13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9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43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4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东街社区</w:t>
                  </w:r>
                </w:p>
              </w:tc>
              <w:tc>
                <w:tcPr>
                  <w:tcW w:w="1007"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119.</w:t>
                  </w:r>
                  <w:r>
                    <w:rPr>
                      <w:rFonts w:hint="eastAsia" w:ascii="Times New Roman" w:hAnsi="Times New Roman" w:cs="Times New Roman"/>
                      <w:color w:val="auto"/>
                      <w:sz w:val="21"/>
                      <w:szCs w:val="21"/>
                      <w:highlight w:val="none"/>
                      <w:lang w:val="en-US" w:eastAsia="zh-CN"/>
                    </w:rPr>
                    <w:t>2375</w:t>
                  </w:r>
                </w:p>
              </w:tc>
              <w:tc>
                <w:tcPr>
                  <w:tcW w:w="106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39.</w:t>
                  </w:r>
                  <w:r>
                    <w:rPr>
                      <w:rFonts w:hint="eastAsia" w:ascii="Times New Roman" w:hAnsi="Times New Roman" w:cs="Times New Roman"/>
                      <w:color w:val="auto"/>
                      <w:sz w:val="21"/>
                      <w:szCs w:val="21"/>
                      <w:highlight w:val="none"/>
                      <w:lang w:val="en-US" w:eastAsia="zh-CN"/>
                    </w:rPr>
                    <w:t>8921</w:t>
                  </w:r>
                </w:p>
              </w:tc>
              <w:tc>
                <w:tcPr>
                  <w:tcW w:w="138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98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年2月</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lang w:val="en-US" w:eastAsia="zh-CN"/>
                    </w:rPr>
                    <w:t>日至202</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年2月1</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日</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w:t>
                  </w:r>
                  <w:r>
                    <w:rPr>
                      <w:rFonts w:hint="eastAsia"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km</w:t>
                  </w:r>
                </w:p>
              </w:tc>
            </w:tr>
          </w:tbl>
          <w:p>
            <w:pPr>
              <w:adjustRightInd w:val="0"/>
              <w:snapToGrid w:val="0"/>
              <w:spacing w:before="120" w:beforeLines="50" w:line="360" w:lineRule="auto"/>
              <w:ind w:firstLine="561"/>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4）</w:t>
            </w:r>
            <w:r>
              <w:rPr>
                <w:rFonts w:hint="default" w:ascii="Times New Roman" w:hAnsi="Times New Roman" w:cs="Times New Roman"/>
                <w:bCs/>
                <w:color w:val="auto"/>
                <w:sz w:val="24"/>
                <w:highlight w:val="none"/>
              </w:rPr>
              <w:t>监测分析方法</w:t>
            </w:r>
          </w:p>
          <w:p>
            <w:pPr>
              <w:adjustRightInd w:val="0"/>
              <w:snapToGrid w:val="0"/>
              <w:spacing w:line="360" w:lineRule="auto"/>
              <w:ind w:firstLine="561"/>
              <w:rPr>
                <w:rFonts w:hint="default" w:ascii="Times New Roman" w:hAnsi="Times New Roman" w:eastAsia="仿宋_GB2312" w:cs="Times New Roman"/>
                <w:color w:val="auto"/>
                <w:szCs w:val="28"/>
                <w:highlight w:val="none"/>
              </w:rPr>
            </w:pPr>
            <w:r>
              <w:rPr>
                <w:rFonts w:hint="default" w:ascii="Times New Roman" w:hAnsi="Times New Roman" w:cs="Times New Roman"/>
                <w:color w:val="auto"/>
                <w:sz w:val="24"/>
                <w:highlight w:val="none"/>
              </w:rPr>
              <w:t>按照《空气和废气监测分析方法》（第四版）、《环境影响评价技术导则—大气环境》（HJ2.2-2018）、《环境空气质量标准》（GB3095—2012）有关规定和要求执行。</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 xml:space="preserve">3-3 </w:t>
            </w:r>
            <w:r>
              <w:rPr>
                <w:rFonts w:hint="default" w:ascii="Times New Roman" w:hAnsi="Times New Roman" w:cs="Times New Roman"/>
                <w:b/>
                <w:color w:val="auto"/>
                <w:sz w:val="24"/>
                <w:highlight w:val="none"/>
              </w:rPr>
              <w:t xml:space="preserve"> 监测方法及检出限一览表</w:t>
            </w:r>
          </w:p>
          <w:tbl>
            <w:tblPr>
              <w:tblStyle w:val="32"/>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770"/>
              <w:gridCol w:w="2934"/>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27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分析方法</w:t>
                  </w:r>
                </w:p>
              </w:tc>
              <w:tc>
                <w:tcPr>
                  <w:tcW w:w="29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分析仪器</w:t>
                  </w:r>
                </w:p>
              </w:tc>
              <w:tc>
                <w:tcPr>
                  <w:tcW w:w="13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277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 总烃、甲烷和非甲烷总烃的测定 直接进样 气相色谱法》HJ 604-2017</w:t>
                  </w:r>
                </w:p>
              </w:tc>
              <w:tc>
                <w:tcPr>
                  <w:tcW w:w="293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ZR-3520 真空箱气袋采样器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（HBHK/YQ176）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DEM6 轻便三杯风向风速表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（HBHK/YQ252）</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GC9790Ⅱ气相色谱仪</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（HBHK/YQ002）</w:t>
                  </w:r>
                </w:p>
              </w:tc>
              <w:tc>
                <w:tcPr>
                  <w:tcW w:w="130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0.07mg/m3</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以碳计</w:t>
                  </w:r>
                  <w:r>
                    <w:rPr>
                      <w:rFonts w:hint="eastAsia" w:ascii="Times New Roman" w:hAnsi="Times New Roman" w:cs="Times New Roman"/>
                      <w:color w:val="auto"/>
                      <w:sz w:val="21"/>
                      <w:szCs w:val="21"/>
                      <w:highlight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w:t>
            </w:r>
            <w:r>
              <w:rPr>
                <w:rFonts w:hint="eastAsia" w:cs="Times New Roman"/>
                <w:b/>
                <w:color w:val="auto"/>
                <w:sz w:val="24"/>
                <w:highlight w:val="none"/>
                <w:lang w:val="en-US" w:eastAsia="zh-CN"/>
              </w:rPr>
              <w:t xml:space="preserve">3-4 </w:t>
            </w:r>
            <w:r>
              <w:rPr>
                <w:rFonts w:hint="default" w:ascii="Times New Roman" w:hAnsi="Times New Roman" w:cs="Times New Roman"/>
                <w:b/>
                <w:color w:val="auto"/>
                <w:sz w:val="24"/>
                <w:highlight w:val="none"/>
              </w:rPr>
              <w:t xml:space="preserve"> 特征污染物环境质量现状监测结果表</w:t>
            </w:r>
          </w:p>
          <w:tbl>
            <w:tblPr>
              <w:tblStyle w:val="32"/>
              <w:tblW w:w="8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63"/>
              <w:gridCol w:w="960"/>
              <w:gridCol w:w="1245"/>
              <w:gridCol w:w="1320"/>
              <w:gridCol w:w="1080"/>
              <w:gridCol w:w="8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点位</w:t>
                  </w:r>
                </w:p>
              </w:tc>
              <w:tc>
                <w:tcPr>
                  <w:tcW w:w="11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96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平均时间</w:t>
                  </w:r>
                </w:p>
              </w:tc>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评价标准/（mg/m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32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监测浓度范围/（mg/m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最大浓度占标率/%</w:t>
                  </w:r>
                </w:p>
              </w:tc>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超标率/%</w:t>
                  </w:r>
                </w:p>
              </w:tc>
              <w:tc>
                <w:tcPr>
                  <w:tcW w:w="75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1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96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32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755"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p>
              </w:tc>
              <w:tc>
                <w:tcPr>
                  <w:tcW w:w="1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9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1h平均</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0.46-0.57</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w:t>
                  </w:r>
                  <w:r>
                    <w:rPr>
                      <w:rFonts w:hint="eastAsia" w:cs="Times New Roman"/>
                      <w:color w:val="auto"/>
                      <w:sz w:val="21"/>
                      <w:szCs w:val="21"/>
                      <w:highlight w:val="none"/>
                      <w:lang w:val="en-US" w:eastAsia="zh-CN"/>
                    </w:rPr>
                    <w:t>8.5</w:t>
                  </w:r>
                </w:p>
              </w:tc>
              <w:tc>
                <w:tcPr>
                  <w:tcW w:w="8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p>
              </w:tc>
              <w:tc>
                <w:tcPr>
                  <w:tcW w:w="75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pStyle w:val="17"/>
              <w:snapToGrid w:val="0"/>
              <w:spacing w:before="120" w:beforeLines="50" w:line="360" w:lineRule="auto"/>
              <w:ind w:firstLine="480"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color w:val="auto"/>
                <w:sz w:val="24"/>
                <w:highlight w:val="none"/>
                <w:lang w:val="en-US" w:eastAsia="zh-CN"/>
              </w:rPr>
              <w:t>根据补充监测结果，非甲烷总烃可满足《环境空气质量 非甲烷总烃限值》（DB13/1577-2012）要求。</w:t>
            </w:r>
          </w:p>
          <w:p>
            <w:pPr>
              <w:spacing w:line="360" w:lineRule="auto"/>
              <w:ind w:firstLine="480" w:firstLineChars="200"/>
              <w:rPr>
                <w:rFonts w:hint="default"/>
                <w:color w:val="auto"/>
                <w:highlight w:val="none"/>
                <w:lang w:val="en-US" w:eastAsia="zh-CN"/>
              </w:rPr>
            </w:pPr>
            <w:r>
              <w:rPr>
                <w:rFonts w:hint="default"/>
                <w:color w:val="auto"/>
                <w:highlight w:val="none"/>
                <w:lang w:val="en-US" w:eastAsia="zh-CN"/>
              </w:rPr>
              <w:t>本项目所在区域</w:t>
            </w:r>
            <w:r>
              <w:rPr>
                <w:rFonts w:hint="eastAsia"/>
                <w:color w:val="auto"/>
                <w:highlight w:val="none"/>
                <w:lang w:val="en-US" w:eastAsia="zh-CN"/>
              </w:rPr>
              <w:t>超标因子为臭氧，其余因子均</w:t>
            </w:r>
            <w:r>
              <w:rPr>
                <w:rFonts w:hint="default"/>
                <w:color w:val="auto"/>
                <w:highlight w:val="none"/>
                <w:lang w:val="en-US" w:eastAsia="zh-CN"/>
              </w:rPr>
              <w:t>满足《环境空气质量标准》二级标准</w:t>
            </w:r>
            <w:r>
              <w:rPr>
                <w:rFonts w:hint="eastAsia"/>
                <w:color w:val="auto"/>
                <w:highlight w:val="none"/>
                <w:lang w:val="en-US" w:eastAsia="zh-CN"/>
              </w:rPr>
              <w:t>以及《环境影响评价技术导则大气环境》</w:t>
            </w:r>
            <w:r>
              <w:rPr>
                <w:rFonts w:hint="default"/>
                <w:color w:val="auto"/>
                <w:highlight w:val="none"/>
                <w:lang w:val="en-US" w:eastAsia="zh-CN"/>
              </w:rPr>
              <w:t>要求，项目所在区域为</w:t>
            </w:r>
            <w:r>
              <w:rPr>
                <w:rFonts w:hint="eastAsia"/>
                <w:color w:val="auto"/>
                <w:highlight w:val="none"/>
                <w:lang w:val="en-US" w:eastAsia="zh-CN"/>
              </w:rPr>
              <w:t>不</w:t>
            </w:r>
            <w:r>
              <w:rPr>
                <w:rFonts w:hint="default"/>
                <w:color w:val="auto"/>
                <w:highlight w:val="none"/>
                <w:lang w:val="en-US" w:eastAsia="zh-CN"/>
              </w:rPr>
              <w:t>达标区。</w:t>
            </w:r>
          </w:p>
          <w:p>
            <w:pPr>
              <w:pStyle w:val="10"/>
              <w:bidi w:val="0"/>
              <w:rPr>
                <w:rFonts w:hint="default"/>
                <w:color w:val="auto"/>
                <w:sz w:val="24"/>
                <w:szCs w:val="28"/>
                <w:highlight w:val="none"/>
                <w:lang w:val="en-US" w:eastAsia="zh-CN"/>
              </w:rPr>
            </w:pPr>
            <w:r>
              <w:rPr>
                <w:rFonts w:hint="default"/>
                <w:color w:val="auto"/>
                <w:sz w:val="24"/>
                <w:szCs w:val="28"/>
                <w:highlight w:val="none"/>
                <w:lang w:val="en-US" w:eastAsia="zh-CN"/>
              </w:rPr>
              <w:t xml:space="preserve">2 声环境质量现状  </w:t>
            </w:r>
          </w:p>
          <w:p>
            <w:pPr>
              <w:bidi w:val="0"/>
              <w:ind w:firstLine="480" w:firstLineChars="200"/>
              <w:rPr>
                <w:rFonts w:hint="default"/>
                <w:color w:val="auto"/>
                <w:highlight w:val="none"/>
                <w:lang w:val="en-US" w:eastAsia="zh-CN"/>
              </w:rPr>
            </w:pPr>
            <w:r>
              <w:rPr>
                <w:rFonts w:hint="default"/>
                <w:color w:val="auto"/>
                <w:highlight w:val="none"/>
                <w:lang w:val="en-US" w:eastAsia="zh-CN"/>
              </w:rPr>
              <w:t>本项目区域声环境质量符合《声环境质量标准》（GB3096-2008）</w:t>
            </w:r>
            <w:r>
              <w:rPr>
                <w:rFonts w:hint="eastAsia"/>
                <w:color w:val="auto"/>
                <w:highlight w:val="none"/>
                <w:lang w:val="en-US" w:eastAsia="zh-CN"/>
              </w:rPr>
              <w:t>3</w:t>
            </w:r>
            <w:r>
              <w:rPr>
                <w:rFonts w:hint="default"/>
                <w:color w:val="auto"/>
                <w:highlight w:val="none"/>
                <w:lang w:val="en-US" w:eastAsia="zh-CN"/>
              </w:rPr>
              <w:t xml:space="preserve"> 类标准</w:t>
            </w:r>
            <w:r>
              <w:rPr>
                <w:rFonts w:hint="eastAsia"/>
                <w:color w:val="auto"/>
                <w:highlight w:val="none"/>
                <w:lang w:val="en-US" w:eastAsia="zh-CN"/>
              </w:rPr>
              <w:t>。</w:t>
            </w:r>
          </w:p>
          <w:p>
            <w:pPr>
              <w:bidi w:val="0"/>
              <w:rPr>
                <w:rFonts w:hint="eastAsia"/>
                <w:b/>
                <w:bCs/>
                <w:color w:val="auto"/>
                <w:sz w:val="24"/>
                <w:szCs w:val="24"/>
                <w:highlight w:val="none"/>
                <w:lang w:val="en-US" w:eastAsia="zh-CN"/>
              </w:rPr>
            </w:pPr>
            <w:r>
              <w:rPr>
                <w:rFonts w:hint="eastAsia"/>
                <w:b/>
                <w:bCs/>
                <w:color w:val="auto"/>
                <w:sz w:val="24"/>
                <w:szCs w:val="24"/>
                <w:highlight w:val="none"/>
                <w:lang w:val="en-US" w:eastAsia="zh-CN"/>
              </w:rPr>
              <w:t>3 生态环境</w:t>
            </w: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r>
              <w:rPr>
                <w:rFonts w:hint="eastAsia"/>
                <w:color w:val="auto"/>
                <w:highlight w:val="none"/>
                <w:lang w:val="en-US" w:eastAsia="zh-CN"/>
              </w:rPr>
              <w:t>本项目位于秦皇岛市抚宁区工业园区内，占地性质为工业用地，经现场踏勘，占地范围内无生态保护目标，无需进行生态现状调查。</w:t>
            </w: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1" w:hRule="exact"/>
          <w:jc w:val="center"/>
        </w:trPr>
        <w:tc>
          <w:tcPr>
            <w:tcW w:w="487" w:type="dxa"/>
            <w:noWrap w:val="0"/>
            <w:vAlign w:val="center"/>
          </w:tcPr>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保护</w:t>
            </w:r>
          </w:p>
          <w:p>
            <w:pPr>
              <w:pStyle w:val="11"/>
              <w:bidi w:val="0"/>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目标</w:t>
            </w:r>
          </w:p>
        </w:tc>
        <w:tc>
          <w:tcPr>
            <w:tcW w:w="8584" w:type="dxa"/>
            <w:noWrap w:val="0"/>
            <w:vAlign w:val="center"/>
          </w:tcPr>
          <w:p>
            <w:pPr>
              <w:pStyle w:val="10"/>
              <w:bidi w:val="0"/>
              <w:spacing w:line="360" w:lineRule="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1大气环境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lang w:eastAsia="zh-CN"/>
              </w:rPr>
              <w:t>项目位于抚宁经济开发区北规一街南创业路东 秦皇岛联安机械科技有限公司院内，厂界500m范围</w:t>
            </w:r>
            <w:r>
              <w:rPr>
                <w:rFonts w:hint="default" w:ascii="Times New Roman" w:hAnsi="Times New Roman" w:cs="Times New Roman"/>
                <w:color w:val="auto"/>
                <w:sz w:val="24"/>
                <w:szCs w:val="24"/>
                <w:highlight w:val="none"/>
              </w:rPr>
              <w:t>内无</w:t>
            </w:r>
            <w:r>
              <w:rPr>
                <w:rFonts w:hint="eastAsia" w:cs="Times New Roman"/>
                <w:color w:val="auto"/>
                <w:sz w:val="24"/>
                <w:szCs w:val="24"/>
                <w:highlight w:val="none"/>
                <w:lang w:val="en-US" w:eastAsia="zh-CN"/>
              </w:rPr>
              <w:t>居民区、</w:t>
            </w:r>
            <w:r>
              <w:rPr>
                <w:rFonts w:hint="default" w:ascii="Times New Roman" w:hAnsi="Times New Roman" w:cs="Times New Roman"/>
                <w:color w:val="auto"/>
                <w:sz w:val="24"/>
                <w:szCs w:val="24"/>
                <w:highlight w:val="none"/>
              </w:rPr>
              <w:t>自然保护区、风景名胜区、文化区</w:t>
            </w:r>
            <w:r>
              <w:rPr>
                <w:rFonts w:hint="default" w:ascii="Times New Roman" w:hAnsi="Times New Roman" w:eastAsia="宋体" w:cs="Times New Roman"/>
                <w:color w:val="auto"/>
                <w:kern w:val="0"/>
                <w:sz w:val="24"/>
                <w:szCs w:val="24"/>
                <w:highlight w:val="none"/>
                <w:lang w:val="en-US" w:eastAsia="zh-CN"/>
              </w:rPr>
              <w:t>。</w:t>
            </w:r>
          </w:p>
          <w:p>
            <w:pPr>
              <w:pStyle w:val="10"/>
              <w:bidi w:val="0"/>
              <w:spacing w:line="360" w:lineRule="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2声环境</w:t>
            </w:r>
          </w:p>
          <w:p>
            <w:pPr>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本项目厂界外50米范围内无声环境保护目标。</w:t>
            </w:r>
          </w:p>
          <w:p>
            <w:pPr>
              <w:pStyle w:val="10"/>
              <w:bidi w:val="0"/>
              <w:spacing w:line="360" w:lineRule="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3地下水环境</w:t>
            </w:r>
          </w:p>
          <w:p>
            <w:pPr>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cs="Times New Roman"/>
                <w:color w:val="auto"/>
                <w:sz w:val="24"/>
                <w:szCs w:val="24"/>
                <w:highlight w:val="none"/>
              </w:rPr>
              <w:t>本项目厂界外500米范围内无地下水集中式饮用水水源和热水、矿泉水、温泉等特殊地下水资源。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76" w:hRule="atLeast"/>
          <w:jc w:val="center"/>
        </w:trPr>
        <w:tc>
          <w:tcPr>
            <w:tcW w:w="487" w:type="dxa"/>
            <w:noWrap w:val="0"/>
            <w:tcMar>
              <w:left w:w="28" w:type="dxa"/>
              <w:right w:w="28" w:type="dxa"/>
            </w:tcMar>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污染</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物排</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放控</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制标</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准</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both"/>
              <w:rPr>
                <w:rFonts w:hint="eastAsia" w:ascii="Times New Roman" w:hAnsi="Times New Roman" w:eastAsia="宋体" w:cs="Times New Roman"/>
                <w:b/>
                <w:bCs w:val="0"/>
                <w:color w:val="auto"/>
                <w:kern w:val="2"/>
                <w:sz w:val="24"/>
                <w:szCs w:val="21"/>
                <w:highlight w:val="none"/>
                <w:lang w:val="en-US" w:eastAsia="zh-CN" w:bidi="ar-SA"/>
              </w:rPr>
            </w:pPr>
          </w:p>
        </w:tc>
        <w:tc>
          <w:tcPr>
            <w:tcW w:w="8584" w:type="dxa"/>
            <w:noWrap w:val="0"/>
            <w:vAlign w:val="center"/>
          </w:tcPr>
          <w:p>
            <w:pPr>
              <w:pStyle w:val="10"/>
              <w:keepLines w:val="0"/>
              <w:pageBreakBefore w:val="0"/>
              <w:widowControl w:val="0"/>
              <w:kinsoku/>
              <w:wordWrap/>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4"/>
                <w:szCs w:val="28"/>
                <w:highlight w:val="none"/>
                <w:lang w:val="en-US" w:eastAsia="zh-CN"/>
              </w:rPr>
            </w:pPr>
            <w:r>
              <w:rPr>
                <w:rFonts w:hint="default" w:ascii="Times New Roman" w:hAnsi="Times New Roman" w:cs="Times New Roman"/>
                <w:color w:val="auto"/>
                <w:sz w:val="24"/>
                <w:szCs w:val="28"/>
                <w:highlight w:val="none"/>
                <w:lang w:val="en-US" w:eastAsia="zh-CN"/>
              </w:rPr>
              <w:t>1 施工期</w:t>
            </w:r>
          </w:p>
          <w:p>
            <w:pPr>
              <w:keepLines w:val="0"/>
              <w:pageBreakBefore w:val="0"/>
              <w:widowControl w:val="0"/>
              <w:kinsoku/>
              <w:wordWrap/>
              <w:topLinePunct w:val="0"/>
              <w:autoSpaceDE/>
              <w:autoSpaceDN/>
              <w:bidi w:val="0"/>
              <w:adjustRightInd w:val="0"/>
              <w:snapToGrid w:val="0"/>
              <w:spacing w:line="360" w:lineRule="auto"/>
              <w:ind w:firstLine="480" w:firstLineChars="200"/>
              <w:jc w:val="both"/>
              <w:textAlignment w:val="auto"/>
              <w:rPr>
                <w:rFonts w:hint="eastAsia" w:cs="Times New Roman"/>
                <w:color w:val="auto"/>
                <w:highlight w:val="none"/>
                <w:lang w:val="en-US" w:eastAsia="zh-CN"/>
              </w:rPr>
            </w:pPr>
            <w:r>
              <w:rPr>
                <w:rFonts w:hint="eastAsia" w:cs="Times New Roman"/>
                <w:color w:val="auto"/>
                <w:highlight w:val="none"/>
                <w:lang w:val="en-US" w:eastAsia="zh-CN"/>
              </w:rPr>
              <w:t>1.噪声</w:t>
            </w:r>
          </w:p>
          <w:p>
            <w:pPr>
              <w:keepLines w:val="0"/>
              <w:pageBreakBefore w:val="0"/>
              <w:widowControl w:val="0"/>
              <w:kinsoku/>
              <w:wordWrap/>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snapToGrid w:val="0"/>
                <w:color w:val="auto"/>
                <w:kern w:val="0"/>
                <w:sz w:val="24"/>
                <w:szCs w:val="24"/>
                <w:highlight w:val="none"/>
              </w:rPr>
              <w:t>施工期噪声执行</w:t>
            </w:r>
            <w:r>
              <w:rPr>
                <w:rFonts w:hint="default" w:ascii="Times New Roman" w:hAnsi="Times New Roman" w:cs="Times New Roman"/>
                <w:color w:val="auto"/>
                <w:sz w:val="24"/>
                <w:szCs w:val="24"/>
                <w:highlight w:val="none"/>
              </w:rPr>
              <w:t>《建筑施工场界环境噪声排放标准》（GB12523-2011）：昼间70dB(A)</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夜间不施工</w:t>
            </w:r>
            <w:r>
              <w:rPr>
                <w:rFonts w:hint="eastAsia" w:cs="Times New Roman"/>
                <w:color w:val="auto"/>
                <w:sz w:val="24"/>
                <w:szCs w:val="24"/>
                <w:highlight w:val="none"/>
                <w:lang w:eastAsia="zh-CN"/>
              </w:rPr>
              <w:t>）</w:t>
            </w:r>
            <w:r>
              <w:rPr>
                <w:rFonts w:hint="default" w:ascii="Times New Roman" w:hAnsi="Times New Roman" w:cs="Times New Roman"/>
                <w:color w:val="auto"/>
                <w:highlight w:val="none"/>
                <w:lang w:val="en-US" w:eastAsia="zh-CN"/>
              </w:rPr>
              <w:t>。</w:t>
            </w:r>
          </w:p>
          <w:p>
            <w:pPr>
              <w:pStyle w:val="10"/>
              <w:pageBreakBefore w:val="0"/>
              <w:widowControl w:val="0"/>
              <w:kinsoku/>
              <w:wordWrap/>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4"/>
                <w:szCs w:val="28"/>
                <w:highlight w:val="none"/>
                <w:lang w:val="en-US" w:eastAsia="zh-CN"/>
              </w:rPr>
            </w:pPr>
            <w:r>
              <w:rPr>
                <w:rFonts w:hint="default" w:ascii="Times New Roman" w:hAnsi="Times New Roman" w:eastAsia="宋体" w:cs="Times New Roman"/>
                <w:color w:val="auto"/>
                <w:sz w:val="24"/>
                <w:szCs w:val="28"/>
                <w:highlight w:val="none"/>
                <w:lang w:val="en-US" w:eastAsia="zh-CN"/>
              </w:rPr>
              <w:t>2 运营期</w:t>
            </w:r>
          </w:p>
          <w:p>
            <w:pPr>
              <w:pStyle w:val="11"/>
              <w:pageBreakBefore w:val="0"/>
              <w:widowControl w:val="0"/>
              <w:kinsoku/>
              <w:wordWrap/>
              <w:topLinePunct w:val="0"/>
              <w:autoSpaceDE/>
              <w:autoSpaceDN/>
              <w:bidi w:val="0"/>
              <w:adjustRightInd w:val="0"/>
              <w:snapToGrid w:val="0"/>
              <w:spacing w:beforeLines="0" w:afterLines="0"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2.1废气</w:t>
            </w:r>
          </w:p>
          <w:p>
            <w:pPr>
              <w:snapToGrid w:val="0"/>
              <w:spacing w:line="360" w:lineRule="auto"/>
              <w:ind w:firstLine="480" w:firstLineChars="200"/>
              <w:contextualSpacing/>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无组织颗粒物执行《秦皇岛市人民政府办公室关于执行钢铁等行业大气污染物排放特别要求的通知》：300ug/m³以及《大气污染物综合排放标准》(GB16297-1996)表2大气污染物排放限值中其他颗粒物周界外浓度最高点：1.0mg/m³。</w:t>
            </w:r>
          </w:p>
          <w:p>
            <w:pPr>
              <w:snapToGrid w:val="0"/>
              <w:spacing w:line="360" w:lineRule="auto"/>
              <w:ind w:firstLine="480" w:firstLineChars="200"/>
              <w:contextualSpacing/>
              <w:jc w:val="both"/>
              <w:rPr>
                <w:rFonts w:hint="default" w:ascii="Times New Roman" w:hAnsi="Times New Roman" w:eastAsia="宋体" w:cs="Times New Roman"/>
                <w:color w:val="auto"/>
                <w:kern w:val="2"/>
                <w:sz w:val="24"/>
                <w:szCs w:val="24"/>
                <w:highlight w:val="none"/>
                <w:lang w:val="en-US" w:eastAsia="zh-CN" w:bidi="ar-SA"/>
              </w:rPr>
            </w:pPr>
            <w:r>
              <w:rPr>
                <w:rFonts w:hint="eastAsia" w:eastAsia="宋体" w:cs="Times New Roman"/>
                <w:color w:val="auto"/>
                <w:kern w:val="2"/>
                <w:sz w:val="24"/>
                <w:szCs w:val="24"/>
                <w:highlight w:val="none"/>
                <w:lang w:val="en-US" w:eastAsia="zh-CN" w:bidi="ar-SA"/>
              </w:rPr>
              <w:t>喷漆过</w:t>
            </w:r>
            <w:r>
              <w:rPr>
                <w:rFonts w:hint="default" w:ascii="Times New Roman" w:hAnsi="Times New Roman" w:eastAsia="宋体" w:cs="Times New Roman"/>
                <w:color w:val="auto"/>
                <w:kern w:val="2"/>
                <w:sz w:val="24"/>
                <w:szCs w:val="24"/>
                <w:highlight w:val="none"/>
                <w:lang w:val="en-US" w:eastAsia="zh-CN" w:bidi="ar-SA"/>
              </w:rPr>
              <w:t>程产生的颗粒物有组织排放浓度及速率满足《大气污染物综合排放标准》(GB16297-1996)标准中表2 染料尘最高允许排放浓度≤18mg/m³，排放速率≤0.51kg/h。</w:t>
            </w:r>
          </w:p>
          <w:p>
            <w:pPr>
              <w:pStyle w:val="17"/>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调漆、喷漆、晾干过程产生的非甲烷总烃满足《挥发性有机物无组织排放控制标准》（GB37822-2019）和《工业企业挥发性有机物排放控制标准》（DB13/2322-2016）表1、表2、表3相关标准，具体见下表。</w:t>
            </w: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rFonts w:hint="default" w:ascii="Times New Roman" w:hAnsi="Times New Roman" w:cs="Times New Roman"/>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rFonts w:hint="default" w:ascii="Times New Roman" w:hAnsi="Times New Roman" w:cs="Times New Roman"/>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p>
          <w:p>
            <w:pPr>
              <w:pStyle w:val="51"/>
              <w:keepNext/>
              <w:keepLines/>
              <w:pageBreakBefore w:val="0"/>
              <w:widowControl w:val="0"/>
              <w:kinsoku/>
              <w:wordWrap/>
              <w:overflowPunct/>
              <w:topLinePunct w:val="0"/>
              <w:autoSpaceDE w:val="0"/>
              <w:autoSpaceDN w:val="0"/>
              <w:bidi w:val="0"/>
              <w:adjustRightInd w:val="0"/>
              <w:snapToGrid/>
              <w:spacing w:line="240" w:lineRule="auto"/>
              <w:ind w:firstLine="0"/>
              <w:textAlignment w:val="auto"/>
              <w:rPr>
                <w:color w:val="auto"/>
                <w:sz w:val="24"/>
                <w:szCs w:val="16"/>
                <w:highlight w:val="none"/>
              </w:rPr>
            </w:pPr>
            <w:r>
              <w:rPr>
                <w:color w:val="auto"/>
                <w:sz w:val="24"/>
                <w:szCs w:val="16"/>
                <w:highlight w:val="none"/>
              </w:rPr>
              <w:t>表</w:t>
            </w:r>
            <w:r>
              <w:rPr>
                <w:rFonts w:hint="eastAsia"/>
                <w:color w:val="auto"/>
                <w:sz w:val="24"/>
                <w:szCs w:val="16"/>
                <w:highlight w:val="none"/>
                <w:lang w:val="en-US" w:eastAsia="zh-CN"/>
              </w:rPr>
              <w:t>3-5</w:t>
            </w:r>
            <w:r>
              <w:rPr>
                <w:color w:val="auto"/>
                <w:sz w:val="24"/>
                <w:szCs w:val="16"/>
                <w:highlight w:val="none"/>
              </w:rPr>
              <w:t xml:space="preserve"> 大气污染物排放标准一览表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386"/>
              <w:gridCol w:w="1396"/>
              <w:gridCol w:w="1118"/>
              <w:gridCol w:w="2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21" w:type="pct"/>
                  <w:gridSpan w:val="2"/>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污染物名称</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排放限值</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去除效率/排放速率</w:t>
                  </w:r>
                </w:p>
              </w:tc>
              <w:tc>
                <w:tcPr>
                  <w:tcW w:w="1674"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393" w:type="pct"/>
                  <w:vMerge w:val="restar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r>
                    <w:rPr>
                      <w:rFonts w:hint="default" w:ascii="Times New Roman" w:hAnsi="Times New Roman" w:eastAsia="宋体" w:cs="Times New Roman"/>
                      <w:color w:val="auto"/>
                      <w:sz w:val="21"/>
                      <w:szCs w:val="21"/>
                      <w:highlight w:val="none"/>
                      <w:lang w:val="en-US" w:eastAsia="zh-CN"/>
                    </w:rPr>
                    <w:t>（焊接、剪切、切割、未收集颗粒物）</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0.3mg/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74"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《秦皇岛市人民政府办公室关于执行钢铁等行业大气污染物排放特别要求的通知》（2021-10）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93"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有组织（喷漆）</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r>
                    <w:rPr>
                      <w:rFonts w:hint="default" w:ascii="Times New Roman" w:hAnsi="Times New Roman" w:eastAsia="宋体" w:cs="Times New Roman"/>
                      <w:color w:val="auto"/>
                      <w:sz w:val="21"/>
                      <w:szCs w:val="21"/>
                      <w:highlight w:val="none"/>
                    </w:rPr>
                    <w:t>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1674"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3" w:type="pct"/>
                  <w:vMerge w:val="restar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60mg/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w:t>
                  </w:r>
                </w:p>
              </w:tc>
              <w:tc>
                <w:tcPr>
                  <w:tcW w:w="1674" w:type="pct"/>
                  <w:vMerge w:val="restart"/>
                  <w:noWrap w:val="0"/>
                  <w:vAlign w:val="center"/>
                </w:tcPr>
                <w:p>
                  <w:pPr>
                    <w:pStyle w:val="96"/>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《工业企业挥发性有机物排放控制标准》（DB13/2322-2016）表面涂装业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jc w:val="center"/>
              </w:trPr>
              <w:tc>
                <w:tcPr>
                  <w:tcW w:w="393"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无组织（企业边界）</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74"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393"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生产车间或生产设备边界任意1h平均浓度</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0mg/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74"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93"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监控点处1h平均浓度</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74" w:type="pct"/>
                  <w:vMerge w:val="restart"/>
                  <w:noWrap w:val="0"/>
                  <w:vAlign w:val="center"/>
                </w:tcPr>
                <w:p>
                  <w:pPr>
                    <w:pStyle w:val="96"/>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《挥发性有机物无组织排放控制标准》（GB37822-2019）相关要求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393"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c>
                <w:tcPr>
                  <w:tcW w:w="1428"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监控点处任意一次</w:t>
                  </w:r>
                </w:p>
              </w:tc>
              <w:tc>
                <w:tcPr>
                  <w:tcW w:w="835"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w:t>
                  </w:r>
                  <w:r>
                    <w:rPr>
                      <w:rFonts w:hint="default" w:ascii="Times New Roman" w:hAnsi="Times New Roman" w:eastAsia="宋体" w:cs="Times New Roman"/>
                      <w:color w:val="auto"/>
                      <w:sz w:val="21"/>
                      <w:szCs w:val="21"/>
                      <w:highlight w:val="none"/>
                      <w:lang w:eastAsia="zh-CN"/>
                    </w:rPr>
                    <w:t>m³</w:t>
                  </w:r>
                </w:p>
              </w:tc>
              <w:tc>
                <w:tcPr>
                  <w:tcW w:w="669" w:type="pct"/>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74" w:type="pct"/>
                  <w:vMerge w:val="continue"/>
                  <w:noWrap w:val="0"/>
                  <w:vAlign w:val="center"/>
                </w:tcPr>
                <w:p>
                  <w:pPr>
                    <w:keepNext/>
                    <w:keepLines/>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highlight w:val="none"/>
                    </w:rPr>
                  </w:pPr>
                </w:p>
              </w:tc>
            </w:tr>
          </w:tbl>
          <w:p>
            <w:pPr>
              <w:pStyle w:val="1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2.2噪声</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设备噪声排放执行《工业企业厂界环境噪声排放标准》(GB12348—2008)中的</w:t>
            </w:r>
            <w:r>
              <w:rPr>
                <w:rFonts w:hint="eastAsia" w:ascii="Times New Roman" w:hAnsi="Times New Roman" w:cs="Times New Roman"/>
                <w:color w:val="auto"/>
                <w:highlight w:val="none"/>
                <w:lang w:val="en-US" w:eastAsia="zh-CN"/>
              </w:rPr>
              <w:t>3</w:t>
            </w:r>
            <w:r>
              <w:rPr>
                <w:rFonts w:hint="default" w:ascii="Times New Roman" w:hAnsi="Times New Roman" w:cs="Times New Roman"/>
                <w:color w:val="auto"/>
                <w:highlight w:val="none"/>
                <w:lang w:val="en-US" w:eastAsia="zh-CN"/>
              </w:rPr>
              <w:t>类标准，昼间≤</w:t>
            </w:r>
            <w:r>
              <w:rPr>
                <w:rFonts w:hint="eastAsia" w:ascii="Times New Roman" w:hAnsi="Times New Roman" w:cs="Times New Roman"/>
                <w:color w:val="auto"/>
                <w:highlight w:val="none"/>
                <w:lang w:val="en-US" w:eastAsia="zh-CN"/>
              </w:rPr>
              <w:t>65</w:t>
            </w:r>
            <w:r>
              <w:rPr>
                <w:rFonts w:hint="default" w:ascii="Times New Roman" w:hAnsi="Times New Roman" w:cs="Times New Roman"/>
                <w:color w:val="auto"/>
                <w:highlight w:val="none"/>
                <w:lang w:val="en-US" w:eastAsia="zh-CN"/>
              </w:rPr>
              <w:t>dB(A)。</w:t>
            </w:r>
          </w:p>
          <w:p>
            <w:pPr>
              <w:pStyle w:val="1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2.3 固体废物</w:t>
            </w:r>
          </w:p>
          <w:p>
            <w:pPr>
              <w:pStyle w:val="50"/>
              <w:bidi w:val="0"/>
              <w:rPr>
                <w:rFonts w:hint="default" w:ascii="Times New Roman" w:hAnsi="Times New Roman" w:cs="Times New Roman"/>
                <w:color w:val="auto"/>
                <w:highlight w:val="none"/>
                <w:lang w:eastAsia="zh-CN"/>
              </w:rPr>
            </w:pPr>
            <w:r>
              <w:rPr>
                <w:rFonts w:hint="eastAsia"/>
                <w:color w:val="auto"/>
                <w:highlight w:val="none"/>
              </w:rPr>
              <w:t>依据《中华人民共和国固体废物污染环境防治法》第十六条规定：收集、贮存、运输、利用、处置固体废物</w:t>
            </w:r>
            <w:r>
              <w:rPr>
                <w:rFonts w:hint="default" w:ascii="Times New Roman" w:hAnsi="Times New Roman" w:cs="Times New Roman"/>
                <w:color w:val="auto"/>
                <w:highlight w:val="none"/>
              </w:rPr>
              <w:t>的单位和个人，必须采取防扬散、防流失、防渗漏或者其他防止污染环境的措施。不得在运输过程中沿途丢弃、遗撒固体废物；危险废物执行《危险废物贮存污染控制标准》（GB18597-20</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w:t>
            </w:r>
          </w:p>
          <w:p>
            <w:pPr>
              <w:pStyle w:val="50"/>
              <w:bidi w:val="0"/>
              <w:rPr>
                <w:rFonts w:hint="default" w:ascii="Times New Roman" w:hAnsi="Times New Roman" w:cs="Times New Roman"/>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rPr>
                <w:rFonts w:hint="eastAsia"/>
                <w:color w:val="auto"/>
                <w:highlight w:val="none"/>
                <w:lang w:eastAsia="zh-CN"/>
              </w:rPr>
            </w:pPr>
          </w:p>
          <w:p>
            <w:pPr>
              <w:pStyle w:val="50"/>
              <w:bidi w:val="0"/>
              <w:ind w:left="0" w:leftChars="0" w:firstLine="0" w:firstLineChars="0"/>
              <w:rPr>
                <w:rFonts w:hint="eastAsia" w:ascii="Times New Roman" w:hAnsi="Times New Roman" w:eastAsia="宋体" w:cs="Times New Roman"/>
                <w:color w:val="auto"/>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0" w:hRule="atLeast"/>
          <w:jc w:val="center"/>
        </w:trPr>
        <w:tc>
          <w:tcPr>
            <w:tcW w:w="487" w:type="dxa"/>
            <w:noWrap w:val="0"/>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总量</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控制</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指标</w:t>
            </w:r>
          </w:p>
        </w:tc>
        <w:tc>
          <w:tcPr>
            <w:tcW w:w="8584" w:type="dxa"/>
            <w:noWrap w:val="0"/>
            <w:vAlign w:val="center"/>
          </w:tcPr>
          <w:p>
            <w:pPr>
              <w:pStyle w:val="50"/>
              <w:bidi w:val="0"/>
              <w:rPr>
                <w:rFonts w:hint="default" w:ascii="Times New Roman" w:hAnsi="Times New Roman" w:eastAsia="宋体" w:cs="Times New Roman"/>
                <w:color w:val="auto"/>
                <w:sz w:val="24"/>
                <w:szCs w:val="24"/>
                <w:highlight w:val="none"/>
                <w:vertAlign w:val="subscript"/>
                <w:lang w:val="en-US" w:eastAsia="zh-CN"/>
              </w:rPr>
            </w:pPr>
            <w:r>
              <w:rPr>
                <w:rFonts w:hint="default" w:ascii="Times New Roman" w:hAnsi="Times New Roman" w:eastAsia="宋体" w:cs="Times New Roman"/>
                <w:color w:val="auto"/>
                <w:sz w:val="24"/>
                <w:szCs w:val="24"/>
                <w:highlight w:val="none"/>
                <w:lang w:val="en-US" w:eastAsia="zh-CN"/>
              </w:rPr>
              <w:t>根据环境保护</w:t>
            </w:r>
            <w:r>
              <w:rPr>
                <w:rFonts w:hint="eastAsia" w:ascii="Times New Roman" w:hAnsi="Times New Roman" w:cs="Times New Roman"/>
                <w:color w:val="auto"/>
                <w:sz w:val="24"/>
                <w:szCs w:val="24"/>
                <w:highlight w:val="none"/>
                <w:lang w:val="en-US" w:eastAsia="zh-CN"/>
              </w:rPr>
              <w:t>“十四五”</w:t>
            </w:r>
            <w:r>
              <w:rPr>
                <w:rFonts w:hint="default" w:ascii="Times New Roman" w:hAnsi="Times New Roman" w:eastAsia="宋体" w:cs="Times New Roman"/>
                <w:color w:val="auto"/>
                <w:sz w:val="24"/>
                <w:szCs w:val="24"/>
                <w:highlight w:val="none"/>
                <w:lang w:val="en-US" w:eastAsia="zh-CN"/>
              </w:rPr>
              <w:t>计划实施总量控制的污染物种类，结合当地的环境质量现状及建设项目污染物排放特征，按照最大限度减少污染物排放量及区域污染物排放总量原则，该项目实行总量控制的污染物为COD、氨氮、SO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cs="Times New Roman"/>
                <w:color w:val="auto"/>
                <w:sz w:val="24"/>
                <w:szCs w:val="24"/>
                <w:highlight w:val="none"/>
                <w:vertAlign w:val="baseline"/>
                <w:lang w:val="en-US" w:eastAsia="zh-CN"/>
              </w:rPr>
              <w:t>、非甲烷总烃。本项目</w:t>
            </w:r>
            <w:r>
              <w:rPr>
                <w:rFonts w:hint="default" w:ascii="Times New Roman" w:hAnsi="Times New Roman" w:eastAsia="宋体" w:cs="Times New Roman"/>
                <w:color w:val="auto"/>
                <w:sz w:val="24"/>
                <w:szCs w:val="24"/>
                <w:highlight w:val="none"/>
                <w:lang w:val="en-US" w:eastAsia="zh-CN"/>
              </w:rPr>
              <w:t>COD、氨氮、SO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w:t>
            </w:r>
            <w:r>
              <w:rPr>
                <w:rFonts w:hint="default" w:ascii="Times New Roman" w:hAnsi="Times New Roman" w:eastAsia="宋体" w:cs="Times New Roman"/>
                <w:color w:val="auto"/>
                <w:sz w:val="24"/>
                <w:szCs w:val="24"/>
                <w:highlight w:val="none"/>
                <w:vertAlign w:val="subscript"/>
                <w:lang w:val="en-US" w:eastAsia="zh-CN"/>
              </w:rPr>
              <w:t>X</w:t>
            </w:r>
            <w:r>
              <w:rPr>
                <w:rFonts w:hint="eastAsia" w:ascii="Times New Roman" w:hAnsi="Times New Roman" w:eastAsia="宋体" w:cs="Times New Roman"/>
                <w:color w:val="auto"/>
                <w:sz w:val="24"/>
                <w:szCs w:val="24"/>
                <w:highlight w:val="none"/>
                <w:vertAlign w:val="baseline"/>
                <w:lang w:val="en-US" w:eastAsia="zh-CN"/>
              </w:rPr>
              <w:t>均为0。</w:t>
            </w:r>
          </w:p>
          <w:p>
            <w:pPr>
              <w:pStyle w:val="14"/>
              <w:numPr>
                <w:ilvl w:val="0"/>
                <w:numId w:val="0"/>
              </w:numPr>
              <w:bidi w:val="0"/>
              <w:spacing w:line="360" w:lineRule="auto"/>
              <w:rPr>
                <w:rFonts w:hint="eastAsia"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 xml:space="preserve">1 </w:t>
            </w:r>
            <w:r>
              <w:rPr>
                <w:rFonts w:hint="eastAsia" w:eastAsia="宋体" w:cs="Times New Roman"/>
                <w:b/>
                <w:bCs/>
                <w:color w:val="auto"/>
                <w:sz w:val="28"/>
                <w:szCs w:val="28"/>
                <w:highlight w:val="none"/>
                <w:lang w:val="en-US" w:eastAsia="zh-CN"/>
              </w:rPr>
              <w:t>废气</w:t>
            </w:r>
          </w:p>
          <w:p>
            <w:pPr>
              <w:pStyle w:val="14"/>
              <w:numPr>
                <w:ilvl w:val="0"/>
                <w:numId w:val="0"/>
              </w:numPr>
              <w:bidi w:val="0"/>
              <w:spacing w:line="360" w:lineRule="auto"/>
              <w:rPr>
                <w:rFonts w:hint="default" w:ascii="Times New Roman" w:hAnsi="Times New Roman" w:eastAsia="宋体" w:cs="Times New Roman"/>
                <w:b/>
                <w:bCs/>
                <w:color w:val="auto"/>
                <w:sz w:val="24"/>
                <w:szCs w:val="24"/>
                <w:highlight w:val="none"/>
                <w:lang w:val="en-US" w:eastAsia="zh-CN"/>
              </w:rPr>
            </w:pPr>
            <w:r>
              <w:rPr>
                <w:rFonts w:hint="eastAsia" w:eastAsia="宋体" w:cs="Times New Roman"/>
                <w:b/>
                <w:bCs/>
                <w:color w:val="auto"/>
                <w:sz w:val="24"/>
                <w:szCs w:val="24"/>
                <w:highlight w:val="none"/>
                <w:lang w:val="en-US" w:eastAsia="zh-CN"/>
              </w:rPr>
              <w:t xml:space="preserve">1.1 </w:t>
            </w:r>
            <w:r>
              <w:rPr>
                <w:rFonts w:hint="default" w:ascii="Times New Roman" w:hAnsi="Times New Roman" w:eastAsia="宋体" w:cs="Times New Roman"/>
                <w:b/>
                <w:bCs/>
                <w:color w:val="auto"/>
                <w:sz w:val="24"/>
                <w:szCs w:val="24"/>
                <w:highlight w:val="none"/>
                <w:lang w:val="en-US" w:eastAsia="zh-CN"/>
              </w:rPr>
              <w:t>SO</w:t>
            </w:r>
            <w:r>
              <w:rPr>
                <w:rFonts w:hint="default" w:ascii="Times New Roman" w:hAnsi="Times New Roman" w:eastAsia="宋体" w:cs="Times New Roman"/>
                <w:b/>
                <w:bCs/>
                <w:color w:val="auto"/>
                <w:sz w:val="24"/>
                <w:szCs w:val="24"/>
                <w:highlight w:val="none"/>
                <w:vertAlign w:val="subscript"/>
                <w:lang w:val="en-US" w:eastAsia="zh-CN"/>
              </w:rPr>
              <w:t>2</w:t>
            </w:r>
            <w:r>
              <w:rPr>
                <w:rFonts w:hint="default" w:ascii="Times New Roman" w:hAnsi="Times New Roman" w:eastAsia="宋体" w:cs="Times New Roman"/>
                <w:b/>
                <w:bCs/>
                <w:color w:val="auto"/>
                <w:sz w:val="24"/>
                <w:szCs w:val="24"/>
                <w:highlight w:val="none"/>
                <w:lang w:val="en-US" w:eastAsia="zh-CN"/>
              </w:rPr>
              <w:t>、NOx总量控制</w:t>
            </w:r>
          </w:p>
          <w:p>
            <w:pPr>
              <w:numPr>
                <w:ilvl w:val="0"/>
                <w:numId w:val="0"/>
              </w:num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、NOx产生。</w:t>
            </w:r>
          </w:p>
          <w:p>
            <w:pPr>
              <w:pStyle w:val="14"/>
              <w:numPr>
                <w:ilvl w:val="0"/>
                <w:numId w:val="0"/>
              </w:numPr>
              <w:bidi w:val="0"/>
              <w:spacing w:line="360" w:lineRule="auto"/>
              <w:rPr>
                <w:rFonts w:ascii="Times New Roman" w:hAnsi="Times New Roman"/>
                <w:b w:val="0"/>
                <w:snapToGrid/>
                <w:color w:val="auto"/>
                <w:kern w:val="2"/>
                <w:sz w:val="24"/>
                <w:szCs w:val="24"/>
                <w:highlight w:val="none"/>
              </w:rPr>
            </w:pPr>
            <w:r>
              <w:rPr>
                <w:rFonts w:hint="eastAsia" w:eastAsia="宋体" w:cs="Times New Roman"/>
                <w:b/>
                <w:bCs/>
                <w:color w:val="auto"/>
                <w:sz w:val="24"/>
                <w:szCs w:val="24"/>
                <w:highlight w:val="none"/>
                <w:lang w:val="en-US" w:eastAsia="zh-CN"/>
              </w:rPr>
              <w:t xml:space="preserve">1.2 </w:t>
            </w:r>
            <w:r>
              <w:rPr>
                <w:rFonts w:hint="eastAsia" w:eastAsia="宋体" w:cs="Times New Roman"/>
                <w:b/>
                <w:bCs/>
                <w:snapToGrid/>
                <w:color w:val="auto"/>
                <w:kern w:val="2"/>
                <w:sz w:val="24"/>
                <w:szCs w:val="24"/>
                <w:highlight w:val="none"/>
                <w:lang w:val="en-US" w:eastAsia="zh-CN" w:bidi="ar-SA"/>
              </w:rPr>
              <w:t>非</w:t>
            </w:r>
            <w:r>
              <w:rPr>
                <w:rFonts w:hint="eastAsia" w:eastAsia="宋体" w:cs="Times New Roman"/>
                <w:b/>
                <w:snapToGrid/>
                <w:color w:val="auto"/>
                <w:kern w:val="2"/>
                <w:sz w:val="24"/>
                <w:szCs w:val="24"/>
                <w:highlight w:val="none"/>
                <w:lang w:val="en-US" w:eastAsia="zh-CN" w:bidi="ar-SA"/>
              </w:rPr>
              <w:t>甲烷总烃</w:t>
            </w:r>
            <w:r>
              <w:rPr>
                <w:rFonts w:hint="default" w:ascii="Times New Roman" w:hAnsi="Times New Roman" w:eastAsia="宋体" w:cs="Times New Roman"/>
                <w:b/>
                <w:snapToGrid/>
                <w:color w:val="auto"/>
                <w:kern w:val="2"/>
                <w:sz w:val="24"/>
                <w:szCs w:val="24"/>
                <w:highlight w:val="none"/>
                <w:lang w:val="en-US" w:eastAsia="zh-CN" w:bidi="ar-SA"/>
              </w:rPr>
              <w:t>总量核算</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olor w:val="auto"/>
                <w:highlight w:val="none"/>
                <w:lang w:val="en-US" w:eastAsia="zh-CN"/>
              </w:rPr>
            </w:pPr>
            <w:r>
              <w:rPr>
                <w:rFonts w:hint="eastAsia"/>
                <w:color w:val="auto"/>
                <w:highlight w:val="none"/>
                <w:lang w:val="en-US" w:eastAsia="zh-CN"/>
              </w:rPr>
              <w:t>（1）油漆非甲烷总烃产生量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根据企业提供的高固份油漆检测报告可知，非甲烷总烃含量为59g/L，年使用高固份油漆为0.4t（约为320L）；水性漆非甲烷总烃含量为7g/L，年使用水性漆为0.85t（850L）。</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高固份油漆产生非甲烷总烃量：59g/L</w:t>
            </w:r>
            <w:r>
              <w:rPr>
                <w:rFonts w:hint="eastAsia" w:ascii="Times New Roman" w:hAnsi="Times New Roman" w:eastAsia="宋体" w:cs="Times New Roman"/>
                <w:b w:val="0"/>
                <w:snapToGrid/>
                <w:color w:val="auto"/>
                <w:kern w:val="2"/>
                <w:sz w:val="24"/>
                <w:szCs w:val="24"/>
                <w:highlight w:val="none"/>
                <w:lang w:val="en-US" w:eastAsia="zh-CN" w:bidi="ar-SA"/>
              </w:rPr>
              <w:t>×</w:t>
            </w:r>
            <w:r>
              <w:rPr>
                <w:rFonts w:hint="eastAsia" w:cs="Times New Roman"/>
                <w:b w:val="0"/>
                <w:snapToGrid/>
                <w:color w:val="auto"/>
                <w:kern w:val="2"/>
                <w:sz w:val="24"/>
                <w:szCs w:val="24"/>
                <w:highlight w:val="none"/>
                <w:lang w:val="en-US" w:eastAsia="zh-CN" w:bidi="ar-SA"/>
              </w:rPr>
              <w:t>320</w:t>
            </w:r>
            <w:r>
              <w:rPr>
                <w:rFonts w:hint="eastAsia"/>
                <w:color w:val="auto"/>
                <w:highlight w:val="none"/>
                <w:lang w:val="en-US" w:eastAsia="zh-CN"/>
              </w:rPr>
              <w:t>L/a</w:t>
            </w:r>
            <w:r>
              <w:rPr>
                <w:rFonts w:hint="eastAsia" w:cs="Times New Roman"/>
                <w:b w:val="0"/>
                <w:snapToGrid/>
                <w:color w:val="auto"/>
                <w:kern w:val="2"/>
                <w:sz w:val="24"/>
                <w:szCs w:val="24"/>
                <w:highlight w:val="none"/>
                <w:lang w:val="en-US" w:eastAsia="zh-CN" w:bidi="ar-SA"/>
              </w:rPr>
              <w:t>=0.019t/a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水性漆产生非甲烷总烃量：7g/L</w:t>
            </w:r>
            <w:r>
              <w:rPr>
                <w:rFonts w:hint="eastAsia" w:ascii="Times New Roman" w:hAnsi="Times New Roman" w:eastAsia="宋体" w:cs="Times New Roman"/>
                <w:b w:val="0"/>
                <w:snapToGrid/>
                <w:color w:val="auto"/>
                <w:kern w:val="2"/>
                <w:sz w:val="24"/>
                <w:szCs w:val="24"/>
                <w:highlight w:val="none"/>
                <w:lang w:val="en-US" w:eastAsia="zh-CN" w:bidi="ar-SA"/>
              </w:rPr>
              <w:t>×</w:t>
            </w:r>
            <w:r>
              <w:rPr>
                <w:rFonts w:hint="eastAsia" w:cs="Times New Roman"/>
                <w:b w:val="0"/>
                <w:snapToGrid/>
                <w:color w:val="auto"/>
                <w:kern w:val="2"/>
                <w:sz w:val="24"/>
                <w:szCs w:val="24"/>
                <w:highlight w:val="none"/>
                <w:lang w:val="en-US" w:eastAsia="zh-CN" w:bidi="ar-SA"/>
              </w:rPr>
              <w:t>850</w:t>
            </w:r>
            <w:r>
              <w:rPr>
                <w:rFonts w:hint="eastAsia"/>
                <w:color w:val="auto"/>
                <w:highlight w:val="none"/>
                <w:lang w:val="en-US" w:eastAsia="zh-CN"/>
              </w:rPr>
              <w:t>L/a</w:t>
            </w:r>
            <w:r>
              <w:rPr>
                <w:rFonts w:hint="eastAsia" w:cs="Times New Roman"/>
                <w:b w:val="0"/>
                <w:snapToGrid/>
                <w:color w:val="auto"/>
                <w:kern w:val="2"/>
                <w:sz w:val="24"/>
                <w:szCs w:val="24"/>
                <w:highlight w:val="none"/>
                <w:lang w:val="en-US" w:eastAsia="zh-CN" w:bidi="ar-SA"/>
              </w:rPr>
              <w:t>=0.006t/a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（2）稀释剂非甲烷总烃产生量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本项目稀释剂年使用量为0.05t/a，稀释剂为100%挥发，故非甲烷总烃产生量为0.05t/a。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喷漆房为微负压设计，</w:t>
            </w:r>
            <w:r>
              <w:rPr>
                <w:rFonts w:hint="eastAsia" w:ascii="Times New Roman" w:hAnsi="Times New Roman" w:eastAsia="宋体" w:cs="Times New Roman"/>
                <w:color w:val="auto"/>
                <w:highlight w:val="none"/>
                <w:lang w:val="en-US" w:eastAsia="zh-CN"/>
              </w:rPr>
              <w:t>产生的废气通过</w:t>
            </w:r>
            <w:r>
              <w:rPr>
                <w:rFonts w:hint="eastAsia" w:cs="Times New Roman"/>
                <w:color w:val="auto"/>
                <w:highlight w:val="none"/>
                <w:lang w:val="en-US" w:eastAsia="zh-CN"/>
              </w:rPr>
              <w:t>下方通风口进入</w:t>
            </w:r>
            <w:r>
              <w:rPr>
                <w:rFonts w:hint="eastAsia" w:eastAsia="宋体" w:cs="Times New Roman"/>
                <w:color w:val="auto"/>
                <w:highlight w:val="none"/>
                <w:lang w:val="en-US" w:eastAsia="zh-CN"/>
              </w:rPr>
              <w:t>干式过滤器</w:t>
            </w:r>
            <w:r>
              <w:rPr>
                <w:rFonts w:hint="eastAsia" w:ascii="Times New Roman" w:hAnsi="Times New Roman" w:eastAsia="宋体" w:cs="Times New Roman"/>
                <w:color w:val="auto"/>
                <w:highlight w:val="none"/>
                <w:lang w:val="en-US" w:eastAsia="zh-CN"/>
              </w:rPr>
              <w:t>+</w:t>
            </w:r>
            <w:r>
              <w:rPr>
                <w:rFonts w:hint="eastAsia" w:eastAsia="宋体" w:cs="Times New Roman"/>
                <w:color w:val="auto"/>
                <w:highlight w:val="none"/>
                <w:lang w:val="en-US" w:eastAsia="zh-CN"/>
              </w:rPr>
              <w:t>2级</w:t>
            </w:r>
            <w:r>
              <w:rPr>
                <w:rFonts w:hint="eastAsia" w:ascii="Times New Roman" w:hAnsi="Times New Roman" w:eastAsia="宋体" w:cs="Times New Roman"/>
                <w:color w:val="auto"/>
                <w:highlight w:val="none"/>
                <w:lang w:val="en-US" w:eastAsia="zh-CN"/>
              </w:rPr>
              <w:t>活性炭吸附装置进行处理，处理后气体由15m高排气筒排出（收集效率为</w:t>
            </w:r>
            <w:r>
              <w:rPr>
                <w:rFonts w:hint="eastAsia" w:cs="Times New Roman"/>
                <w:color w:val="auto"/>
                <w:highlight w:val="none"/>
                <w:lang w:val="en-US" w:eastAsia="zh-CN"/>
              </w:rPr>
              <w:t>90</w:t>
            </w:r>
            <w:r>
              <w:rPr>
                <w:rFonts w:hint="eastAsia" w:ascii="Times New Roman" w:hAnsi="Times New Roman" w:eastAsia="宋体" w:cs="Times New Roman"/>
                <w:color w:val="auto"/>
                <w:highlight w:val="none"/>
                <w:lang w:val="en-US" w:eastAsia="zh-CN"/>
              </w:rPr>
              <w:t>%，治理效率</w:t>
            </w:r>
            <w:r>
              <w:rPr>
                <w:rFonts w:hint="eastAsia" w:cs="Times New Roman"/>
                <w:color w:val="auto"/>
                <w:highlight w:val="none"/>
                <w:lang w:val="en-US" w:eastAsia="zh-CN"/>
              </w:rPr>
              <w:t>75</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w:t>
            </w:r>
          </w:p>
          <w:p>
            <w:pPr>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eastAsia="宋体"/>
                <w:color w:val="auto"/>
                <w:highlight w:val="none"/>
                <w:lang w:val="en-US" w:eastAsia="zh-CN"/>
              </w:rPr>
            </w:pPr>
            <w:r>
              <w:rPr>
                <w:rFonts w:hint="default" w:ascii="Times New Roman" w:hAnsi="Times New Roman" w:cs="Times New Roman"/>
                <w:b w:val="0"/>
                <w:color w:val="auto"/>
                <w:kern w:val="2"/>
                <w:position w:val="-52"/>
                <w:szCs w:val="24"/>
                <w:highlight w:val="none"/>
                <w:lang w:val="en-US" w:eastAsia="zh-CN" w:bidi="ar-SA"/>
              </w:rPr>
              <w:object>
                <v:shape id="_x0000_i1025" o:spt="75" type="#_x0000_t75" style="height:63.8pt;width:288.5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pPr>
              <w:pStyle w:val="14"/>
              <w:numPr>
                <w:ilvl w:val="0"/>
                <w:numId w:val="0"/>
              </w:numPr>
              <w:bidi w:val="0"/>
              <w:spacing w:line="360" w:lineRule="auto"/>
              <w:rPr>
                <w:rFonts w:ascii="Times New Roman" w:hAnsi="Times New Roman"/>
                <w:b w:val="0"/>
                <w:snapToGrid/>
                <w:color w:val="auto"/>
                <w:kern w:val="2"/>
                <w:sz w:val="24"/>
                <w:szCs w:val="24"/>
                <w:highlight w:val="none"/>
              </w:rPr>
            </w:pPr>
            <w:r>
              <w:rPr>
                <w:rFonts w:hint="eastAsia" w:eastAsia="宋体" w:cs="Times New Roman"/>
                <w:b/>
                <w:bCs/>
                <w:color w:val="auto"/>
                <w:sz w:val="24"/>
                <w:szCs w:val="24"/>
                <w:highlight w:val="none"/>
                <w:lang w:val="en-US" w:eastAsia="zh-CN"/>
              </w:rPr>
              <w:t>1.3 颗粒物</w:t>
            </w:r>
            <w:r>
              <w:rPr>
                <w:rFonts w:hint="default" w:ascii="Times New Roman" w:hAnsi="Times New Roman" w:eastAsia="宋体" w:cs="Times New Roman"/>
                <w:b/>
                <w:snapToGrid/>
                <w:color w:val="auto"/>
                <w:kern w:val="2"/>
                <w:sz w:val="24"/>
                <w:szCs w:val="24"/>
                <w:highlight w:val="none"/>
                <w:lang w:val="en-US" w:eastAsia="zh-CN" w:bidi="ar-SA"/>
              </w:rPr>
              <w:t>总量核算</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本评价核定公式如下：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M=K</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T/10 9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其中：M-总量控制目标值，t/a；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K-核定标准值，mg/m³；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Q-废气量，m³/h； </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T-年有效工作时间，h。</w:t>
            </w:r>
          </w:p>
          <w:p>
            <w:pPr>
              <w:pStyle w:val="55"/>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cs="Times New Roman"/>
                <w:b w:val="0"/>
                <w:color w:val="auto"/>
                <w:kern w:val="2"/>
                <w:sz w:val="24"/>
                <w:szCs w:val="24"/>
                <w:highlight w:val="none"/>
                <w:lang w:val="en-US" w:eastAsia="zh-CN" w:bidi="ar-SA"/>
              </w:rPr>
              <w:t>本项目有组织颗粒物产生环节主要为喷漆，执行标准为18mg/</w:t>
            </w:r>
            <w:r>
              <w:rPr>
                <w:rFonts w:hint="default"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废气量为15120</w:t>
            </w:r>
            <w:r>
              <w:rPr>
                <w:rFonts w:hint="default" w:ascii="Times New Roman" w:hAnsi="Times New Roman" w:eastAsia="宋体" w:cs="Times New Roman"/>
                <w:color w:val="auto"/>
                <w:kern w:val="0"/>
                <w:sz w:val="24"/>
                <w:szCs w:val="24"/>
                <w:highlight w:val="none"/>
                <w:lang w:val="en-US" w:eastAsia="zh-CN" w:bidi="ar"/>
              </w:rPr>
              <w:t>m</w:t>
            </w:r>
            <w:r>
              <w:rPr>
                <w:rFonts w:hint="eastAsia"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cs="Times New Roman"/>
                <w:color w:val="auto"/>
                <w:kern w:val="0"/>
                <w:sz w:val="24"/>
                <w:szCs w:val="24"/>
                <w:highlight w:val="none"/>
                <w:lang w:val="en-US" w:eastAsia="zh-CN" w:bidi="ar"/>
              </w:rPr>
              <w:t>年工作时间按照330h进行计算</w:t>
            </w:r>
            <w:r>
              <w:rPr>
                <w:rFonts w:hint="eastAsia" w:ascii="Times New Roman" w:hAnsi="Times New Roman" w:cs="Times New Roman"/>
                <w:color w:val="auto"/>
                <w:kern w:val="0"/>
                <w:sz w:val="24"/>
                <w:szCs w:val="24"/>
                <w:highlight w:val="none"/>
                <w:lang w:val="en-US" w:eastAsia="zh-CN" w:bidi="ar"/>
              </w:rPr>
              <w:t>，颗粒物的产生量为0.09t/a，经治理后排放量为0.02t/a</w:t>
            </w:r>
            <w:r>
              <w:rPr>
                <w:rFonts w:hint="default" w:ascii="Times New Roman" w:hAnsi="Times New Roman" w:cs="Times New Roman"/>
                <w:color w:val="auto"/>
                <w:kern w:val="0"/>
                <w:sz w:val="24"/>
                <w:szCs w:val="24"/>
                <w:highlight w:val="none"/>
                <w:lang w:val="en-US" w:eastAsia="zh-CN" w:bidi="ar"/>
              </w:rPr>
              <w:t>。</w:t>
            </w:r>
          </w:p>
          <w:p>
            <w:pPr>
              <w:pStyle w:val="14"/>
              <w:numPr>
                <w:ilvl w:val="0"/>
                <w:numId w:val="0"/>
              </w:numPr>
              <w:bidi w:val="0"/>
              <w:spacing w:line="360" w:lineRule="auto"/>
              <w:rPr>
                <w:rFonts w:hint="eastAsia" w:ascii="Times New Roman" w:hAnsi="Times New Roman" w:eastAsia="宋体"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2、</w:t>
            </w:r>
            <w:r>
              <w:rPr>
                <w:rFonts w:hint="eastAsia" w:ascii="Times New Roman" w:hAnsi="Times New Roman" w:eastAsia="宋体" w:cs="Times New Roman"/>
                <w:b/>
                <w:bCs/>
                <w:color w:val="auto"/>
                <w:sz w:val="28"/>
                <w:szCs w:val="28"/>
                <w:highlight w:val="none"/>
                <w:lang w:val="en-US" w:eastAsia="zh-CN"/>
              </w:rPr>
              <w:t>废水</w:t>
            </w:r>
          </w:p>
          <w:p>
            <w:pPr>
              <w:pStyle w:val="50"/>
              <w:numPr>
                <w:ilvl w:val="0"/>
                <w:numId w:val="0"/>
              </w:numPr>
              <w:bidi w:val="0"/>
              <w:spacing w:line="360" w:lineRule="auto"/>
              <w:ind w:leftChars="0" w:firstLine="480" w:firstLineChars="200"/>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本次</w:t>
            </w:r>
            <w:r>
              <w:rPr>
                <w:rFonts w:hint="eastAsia" w:ascii="Times New Roman" w:hAnsi="Times New Roman" w:cs="Times New Roman"/>
                <w:color w:val="auto"/>
                <w:kern w:val="2"/>
                <w:sz w:val="24"/>
                <w:szCs w:val="24"/>
                <w:highlight w:val="none"/>
                <w:lang w:val="en-US" w:eastAsia="zh-CN" w:bidi="ar-SA"/>
              </w:rPr>
              <w:t>技改</w:t>
            </w:r>
            <w:r>
              <w:rPr>
                <w:rFonts w:hint="eastAsia" w:ascii="Times New Roman" w:hAnsi="Times New Roman" w:eastAsia="宋体" w:cs="Times New Roman"/>
                <w:color w:val="auto"/>
                <w:kern w:val="2"/>
                <w:sz w:val="24"/>
                <w:szCs w:val="24"/>
                <w:highlight w:val="none"/>
                <w:lang w:val="en-US" w:eastAsia="zh-CN" w:bidi="ar-SA"/>
              </w:rPr>
              <w:t>不新增生产及生活废水产生，不涉及COD、氨氮的排放</w:t>
            </w:r>
            <w:r>
              <w:rPr>
                <w:rFonts w:hint="eastAsia" w:ascii="Times New Roman" w:hAnsi="Times New Roman" w:cs="Times New Roman"/>
                <w:color w:val="auto"/>
                <w:kern w:val="2"/>
                <w:sz w:val="24"/>
                <w:szCs w:val="24"/>
                <w:highlight w:val="none"/>
                <w:lang w:val="en-US" w:eastAsia="zh-CN" w:bidi="ar-SA"/>
              </w:rPr>
              <w:t>。</w:t>
            </w:r>
          </w:p>
          <w:p>
            <w:pPr>
              <w:pStyle w:val="14"/>
              <w:numPr>
                <w:ilvl w:val="0"/>
                <w:numId w:val="0"/>
              </w:numPr>
              <w:bidi w:val="0"/>
              <w:spacing w:line="360" w:lineRule="auto"/>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 xml:space="preserve">3 </w:t>
            </w:r>
            <w:r>
              <w:rPr>
                <w:rFonts w:hint="default" w:cs="Times New Roman"/>
                <w:b/>
                <w:bCs/>
                <w:color w:val="auto"/>
                <w:sz w:val="28"/>
                <w:szCs w:val="28"/>
                <w:highlight w:val="none"/>
                <w:lang w:val="en-US" w:eastAsia="zh-CN"/>
              </w:rPr>
              <w:t>总量控制指标</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现有工程总量控制指标为：COD：0.16t/a、氨氮：0.01t/a、SO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：0t/a、NOx：0t/a。</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本次</w:t>
            </w:r>
            <w:r>
              <w:rPr>
                <w:rFonts w:hint="eastAsia" w:cs="Times New Roman"/>
                <w:color w:val="auto"/>
                <w:sz w:val="24"/>
                <w:szCs w:val="24"/>
                <w:highlight w:val="none"/>
                <w:lang w:val="en-US" w:eastAsia="zh-CN"/>
              </w:rPr>
              <w:t>技改</w:t>
            </w:r>
            <w:r>
              <w:rPr>
                <w:rFonts w:hint="default" w:ascii="Times New Roman" w:hAnsi="Times New Roman" w:eastAsia="宋体" w:cs="Times New Roman"/>
                <w:color w:val="auto"/>
                <w:sz w:val="24"/>
                <w:szCs w:val="24"/>
                <w:highlight w:val="none"/>
                <w:lang w:val="en-US" w:eastAsia="zh-CN"/>
              </w:rPr>
              <w:t>项目总量控制指标为：COD：</w:t>
            </w:r>
            <w:r>
              <w:rPr>
                <w:rFonts w:hint="eastAsia" w:eastAsia="宋体" w:cs="Times New Roman"/>
                <w:color w:val="auto"/>
                <w:sz w:val="24"/>
                <w:szCs w:val="24"/>
                <w:highlight w:val="none"/>
                <w:lang w:val="en-US" w:eastAsia="zh-CN"/>
              </w:rPr>
              <w:t>0.16</w:t>
            </w:r>
            <w:r>
              <w:rPr>
                <w:rFonts w:hint="default" w:ascii="Times New Roman" w:hAnsi="Times New Roman" w:eastAsia="宋体" w:cs="Times New Roman"/>
                <w:color w:val="auto"/>
                <w:sz w:val="24"/>
                <w:szCs w:val="24"/>
                <w:highlight w:val="none"/>
                <w:lang w:val="en-US" w:eastAsia="zh-CN"/>
              </w:rPr>
              <w:t>t/a、氨氮：0.0</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t/a、SO</w:t>
            </w:r>
            <w:r>
              <w:rPr>
                <w:rFonts w:hint="default" w:ascii="Times New Roman" w:hAnsi="Times New Roman" w:eastAsia="宋体" w:cs="Times New Roman"/>
                <w:color w:val="auto"/>
                <w:sz w:val="24"/>
                <w:szCs w:val="24"/>
                <w:highlight w:val="none"/>
                <w:vertAlign w:val="subscript"/>
                <w:lang w:val="en-US" w:eastAsia="zh-CN"/>
              </w:rPr>
              <w:t>2</w:t>
            </w:r>
            <w:r>
              <w:rPr>
                <w:rFonts w:hint="default" w:ascii="Times New Roman" w:hAnsi="Times New Roman" w:eastAsia="宋体" w:cs="Times New Roman"/>
                <w:color w:val="auto"/>
                <w:sz w:val="24"/>
                <w:szCs w:val="24"/>
                <w:highlight w:val="none"/>
                <w:lang w:val="en-US" w:eastAsia="zh-CN"/>
              </w:rPr>
              <w:t>：0t/a、NOx：0t/a</w:t>
            </w:r>
            <w:r>
              <w:rPr>
                <w:rFonts w:hint="eastAsia" w:eastAsia="宋体" w:cs="Times New Roman"/>
                <w:color w:val="auto"/>
                <w:sz w:val="24"/>
                <w:szCs w:val="24"/>
                <w:highlight w:val="none"/>
                <w:lang w:val="en-US" w:eastAsia="zh-CN"/>
              </w:rPr>
              <w:t>、非甲烷总烃：</w:t>
            </w:r>
            <w:r>
              <w:rPr>
                <w:rFonts w:hint="eastAsia" w:cs="Times New Roman"/>
                <w:color w:val="auto"/>
                <w:sz w:val="24"/>
                <w:szCs w:val="24"/>
                <w:highlight w:val="none"/>
                <w:lang w:val="en-US" w:eastAsia="zh-CN"/>
              </w:rPr>
              <w:t>0.01</w:t>
            </w:r>
            <w:r>
              <w:rPr>
                <w:rFonts w:hint="eastAsia" w:eastAsia="宋体" w:cs="Times New Roman"/>
                <w:color w:val="auto"/>
                <w:sz w:val="24"/>
                <w:szCs w:val="24"/>
                <w:highlight w:val="none"/>
                <w:lang w:val="en-US" w:eastAsia="zh-CN"/>
              </w:rPr>
              <w:t>t/a、颗粒物</w:t>
            </w:r>
            <w:r>
              <w:rPr>
                <w:rFonts w:hint="eastAsia" w:cs="Times New Roman"/>
                <w:color w:val="auto"/>
                <w:sz w:val="24"/>
                <w:szCs w:val="24"/>
                <w:highlight w:val="none"/>
                <w:lang w:val="en-US" w:eastAsia="zh-CN"/>
              </w:rPr>
              <w:t>0.02</w:t>
            </w:r>
            <w:r>
              <w:rPr>
                <w:rFonts w:hint="eastAsia" w:eastAsia="宋体"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lang w:val="en-US" w:eastAsia="zh-CN"/>
              </w:rPr>
              <w:t>。</w:t>
            </w:r>
          </w:p>
          <w:p>
            <w:pPr>
              <w:pStyle w:val="108"/>
              <w:ind w:firstLine="480" w:firstLineChars="200"/>
              <w:jc w:val="left"/>
              <w:rPr>
                <w:rFonts w:hint="default" w:ascii="Times New Roman" w:hAnsi="Times New Roman" w:eastAsia="宋体" w:cs="Times New Roman"/>
                <w:b w:val="0"/>
                <w:snapToGrid/>
                <w:color w:val="auto"/>
                <w:kern w:val="2"/>
                <w:sz w:val="24"/>
                <w:szCs w:val="24"/>
                <w:highlight w:val="none"/>
                <w:lang w:val="en-US" w:eastAsia="zh-CN" w:bidi="ar-SA"/>
              </w:rPr>
            </w:pPr>
            <w:r>
              <w:rPr>
                <w:rFonts w:hint="default" w:ascii="Times New Roman" w:hAnsi="Times New Roman" w:eastAsia="宋体" w:cs="Times New Roman"/>
                <w:b w:val="0"/>
                <w:snapToGrid/>
                <w:color w:val="auto"/>
                <w:kern w:val="2"/>
                <w:sz w:val="24"/>
                <w:szCs w:val="24"/>
                <w:highlight w:val="none"/>
                <w:lang w:val="en-US" w:eastAsia="zh-CN" w:bidi="ar-SA"/>
              </w:rPr>
              <w:t>全厂总量控制指标为：COD：0.16t/a、氨氮：0.01t/a、SO</w:t>
            </w:r>
            <w:r>
              <w:rPr>
                <w:rFonts w:hint="default" w:ascii="Times New Roman" w:hAnsi="Times New Roman" w:eastAsia="宋体" w:cs="Times New Roman"/>
                <w:b w:val="0"/>
                <w:snapToGrid/>
                <w:color w:val="auto"/>
                <w:kern w:val="2"/>
                <w:sz w:val="24"/>
                <w:szCs w:val="24"/>
                <w:highlight w:val="none"/>
                <w:vertAlign w:val="subscript"/>
                <w:lang w:val="en-US" w:eastAsia="zh-CN" w:bidi="ar-SA"/>
              </w:rPr>
              <w:t>2</w:t>
            </w:r>
            <w:r>
              <w:rPr>
                <w:rFonts w:hint="default" w:ascii="Times New Roman" w:hAnsi="Times New Roman" w:eastAsia="宋体" w:cs="Times New Roman"/>
                <w:b w:val="0"/>
                <w:snapToGrid/>
                <w:color w:val="auto"/>
                <w:kern w:val="2"/>
                <w:sz w:val="24"/>
                <w:szCs w:val="24"/>
                <w:highlight w:val="none"/>
                <w:lang w:val="en-US" w:eastAsia="zh-CN" w:bidi="ar-SA"/>
              </w:rPr>
              <w:t>：0t/a、NOx：0t/a、非甲烷总烃：</w:t>
            </w:r>
            <w:r>
              <w:rPr>
                <w:rFonts w:hint="eastAsia" w:cs="Times New Roman"/>
                <w:b w:val="0"/>
                <w:snapToGrid/>
                <w:color w:val="auto"/>
                <w:kern w:val="2"/>
                <w:sz w:val="24"/>
                <w:szCs w:val="24"/>
                <w:highlight w:val="none"/>
                <w:lang w:val="en-US" w:eastAsia="zh-CN" w:bidi="ar-SA"/>
              </w:rPr>
              <w:t>0.01</w:t>
            </w:r>
            <w:r>
              <w:rPr>
                <w:rFonts w:hint="default" w:ascii="Times New Roman" w:hAnsi="Times New Roman" w:eastAsia="宋体" w:cs="Times New Roman"/>
                <w:b w:val="0"/>
                <w:snapToGrid/>
                <w:color w:val="auto"/>
                <w:kern w:val="2"/>
                <w:sz w:val="24"/>
                <w:szCs w:val="24"/>
                <w:highlight w:val="none"/>
                <w:lang w:val="en-US" w:eastAsia="zh-CN" w:bidi="ar-SA"/>
              </w:rPr>
              <w:t>t/a、颗粒物</w:t>
            </w:r>
            <w:r>
              <w:rPr>
                <w:rFonts w:hint="eastAsia" w:cs="Times New Roman"/>
                <w:b w:val="0"/>
                <w:snapToGrid/>
                <w:color w:val="auto"/>
                <w:kern w:val="2"/>
                <w:sz w:val="24"/>
                <w:szCs w:val="24"/>
                <w:highlight w:val="none"/>
                <w:lang w:val="en-US" w:eastAsia="zh-CN" w:bidi="ar-SA"/>
              </w:rPr>
              <w:t>0.02</w:t>
            </w:r>
            <w:r>
              <w:rPr>
                <w:rFonts w:hint="default" w:ascii="Times New Roman" w:hAnsi="Times New Roman" w:eastAsia="宋体" w:cs="Times New Roman"/>
                <w:b w:val="0"/>
                <w:snapToGrid/>
                <w:color w:val="auto"/>
                <w:kern w:val="2"/>
                <w:sz w:val="24"/>
                <w:szCs w:val="24"/>
                <w:highlight w:val="none"/>
                <w:lang w:val="en-US" w:eastAsia="zh-CN" w:bidi="ar-SA"/>
              </w:rPr>
              <w:t>t/a。</w:t>
            </w:r>
          </w:p>
          <w:p>
            <w:pPr>
              <w:pStyle w:val="51"/>
              <w:rPr>
                <w:rFonts w:hint="eastAsia"/>
                <w:color w:val="auto"/>
                <w:sz w:val="24"/>
                <w:szCs w:val="16"/>
                <w:highlight w:val="none"/>
                <w:lang w:val="en-US" w:eastAsia="zh-CN"/>
              </w:rPr>
            </w:pPr>
            <w:r>
              <w:rPr>
                <w:rFonts w:hint="eastAsia"/>
                <w:color w:val="auto"/>
                <w:sz w:val="24"/>
                <w:szCs w:val="16"/>
                <w:highlight w:val="none"/>
                <w:lang w:val="en-US" w:eastAsia="zh-CN"/>
              </w:rPr>
              <w:t>表3-6  技改项目“三本账”</w:t>
            </w:r>
          </w:p>
          <w:tbl>
            <w:tblPr>
              <w:tblStyle w:val="33"/>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195"/>
              <w:gridCol w:w="1195"/>
              <w:gridCol w:w="1195"/>
              <w:gridCol w:w="1195"/>
              <w:gridCol w:w="119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6" w:type="pct"/>
                  <w:gridSpan w:val="2"/>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现有排放量（t/a）</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技改</w:t>
                  </w:r>
                  <w:r>
                    <w:rPr>
                      <w:rFonts w:hint="default" w:ascii="Times New Roman" w:hAnsi="Times New Roman" w:eastAsia="宋体" w:cs="Times New Roman"/>
                      <w:color w:val="auto"/>
                      <w:sz w:val="21"/>
                      <w:szCs w:val="21"/>
                      <w:highlight w:val="none"/>
                      <w:lang w:val="en-US" w:eastAsia="zh-CN"/>
                    </w:rPr>
                    <w:t>工程排放量（t/a）</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全厂排放量</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vMerge w:val="restar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vMerge w:val="continue"/>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非甲烷总烃</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vMerge w:val="restar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pct"/>
                  <w:vMerge w:val="continue"/>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714" w:type="pct"/>
                  <w:noWrap w:val="0"/>
                  <w:vAlign w:val="center"/>
                </w:tcPr>
                <w:p>
                  <w:pPr>
                    <w:numPr>
                      <w:ilvl w:val="0"/>
                      <w:numId w:val="0"/>
                    </w:num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195" w:type="dxa"/>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w:t>
                  </w:r>
                </w:p>
              </w:tc>
              <w:tc>
                <w:tcPr>
                  <w:tcW w:w="714" w:type="pct"/>
                  <w:noWrap w:val="0"/>
                  <w:vAlign w:val="center"/>
                </w:tcPr>
                <w:p>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0</w:t>
                  </w:r>
                </w:p>
              </w:tc>
            </w:tr>
          </w:tbl>
          <w:p>
            <w:pPr>
              <w:pStyle w:val="108"/>
              <w:ind w:firstLine="480" w:firstLineChars="200"/>
              <w:jc w:val="left"/>
              <w:rPr>
                <w:rFonts w:hint="default" w:ascii="Times New Roman" w:hAnsi="Times New Roman" w:eastAsia="宋体" w:cs="Times New Roman"/>
                <w:b w:val="0"/>
                <w:snapToGrid/>
                <w:color w:val="auto"/>
                <w:kern w:val="2"/>
                <w:sz w:val="24"/>
                <w:szCs w:val="24"/>
                <w:highlight w:val="none"/>
                <w:lang w:val="en-US" w:eastAsia="zh-CN" w:bidi="ar-SA"/>
              </w:rPr>
            </w:pPr>
            <w:r>
              <w:rPr>
                <w:rFonts w:hint="eastAsia" w:ascii="Times New Roman" w:hAnsi="Times New Roman" w:eastAsia="宋体" w:cs="Times New Roman"/>
                <w:b w:val="0"/>
                <w:snapToGrid/>
                <w:color w:val="auto"/>
                <w:kern w:val="2"/>
                <w:sz w:val="24"/>
                <w:szCs w:val="24"/>
                <w:highlight w:val="none"/>
                <w:lang w:val="en-US" w:eastAsia="zh-CN" w:bidi="ar-SA"/>
              </w:rPr>
              <w:t>根据秦皇岛市生态环境局抚宁区</w:t>
            </w:r>
            <w:r>
              <w:rPr>
                <w:rFonts w:hint="eastAsia" w:cs="Times New Roman"/>
                <w:b w:val="0"/>
                <w:snapToGrid/>
                <w:color w:val="auto"/>
                <w:kern w:val="2"/>
                <w:sz w:val="24"/>
                <w:szCs w:val="24"/>
                <w:highlight w:val="none"/>
                <w:lang w:val="en-US" w:eastAsia="zh-CN" w:bidi="ar-SA"/>
              </w:rPr>
              <w:t>分局</w:t>
            </w:r>
            <w:r>
              <w:rPr>
                <w:rFonts w:hint="eastAsia" w:ascii="Times New Roman" w:hAnsi="Times New Roman" w:eastAsia="宋体" w:cs="Times New Roman"/>
                <w:b w:val="0"/>
                <w:snapToGrid/>
                <w:color w:val="auto"/>
                <w:kern w:val="2"/>
                <w:sz w:val="24"/>
                <w:szCs w:val="24"/>
                <w:highlight w:val="none"/>
                <w:lang w:val="en-US" w:eastAsia="zh-CN" w:bidi="ar-SA"/>
              </w:rPr>
              <w:t>出具的《关于秦皇岛市联安机械科技</w:t>
            </w:r>
            <w:r>
              <w:rPr>
                <w:rFonts w:hint="eastAsia" w:cs="Times New Roman"/>
                <w:b w:val="0"/>
                <w:snapToGrid/>
                <w:color w:val="auto"/>
                <w:kern w:val="2"/>
                <w:sz w:val="24"/>
                <w:szCs w:val="24"/>
                <w:highlight w:val="none"/>
                <w:lang w:val="en-US" w:eastAsia="zh-CN" w:bidi="ar-SA"/>
              </w:rPr>
              <w:t>有限公司</w:t>
            </w:r>
            <w:r>
              <w:rPr>
                <w:rFonts w:hint="eastAsia" w:ascii="Times New Roman" w:hAnsi="Times New Roman" w:eastAsia="宋体" w:cs="Times New Roman"/>
                <w:b w:val="0"/>
                <w:snapToGrid/>
                <w:color w:val="auto"/>
                <w:kern w:val="2"/>
                <w:sz w:val="24"/>
                <w:szCs w:val="24"/>
                <w:highlight w:val="none"/>
                <w:lang w:val="en-US" w:eastAsia="zh-CN" w:bidi="ar-SA"/>
              </w:rPr>
              <w:t>特种机械设备生产线技改项目污染源减量替代方案》，本项目新增颗粒物排放量从秦皇岛前韩纸业有限公司锅炉升级改造工程中予以调剂0.18t/a，新增非甲烷总烃排放量从2023年可挥发性有机物重点减排工程中予以调剂0.2t/a，本项目实施后，不会增加区域内颗粒物及非甲烷总烃的排放量。</w:t>
            </w:r>
          </w:p>
          <w:p>
            <w:pPr>
              <w:pStyle w:val="50"/>
              <w:numPr>
                <w:ilvl w:val="0"/>
                <w:numId w:val="0"/>
              </w:numPr>
              <w:bidi w:val="0"/>
              <w:spacing w:line="360" w:lineRule="auto"/>
              <w:rPr>
                <w:rFonts w:hint="default" w:ascii="Times New Roman" w:hAnsi="Times New Roman" w:cs="Times New Roman"/>
                <w:b w:val="0"/>
                <w:color w:val="auto"/>
                <w:kern w:val="2"/>
                <w:position w:val="-52"/>
                <w:szCs w:val="24"/>
                <w:highlight w:val="none"/>
                <w:lang w:val="en-US" w:eastAsia="zh-CN" w:bidi="ar-SA"/>
              </w:rPr>
            </w:pPr>
          </w:p>
          <w:p>
            <w:pPr>
              <w:pStyle w:val="50"/>
              <w:numPr>
                <w:ilvl w:val="0"/>
                <w:numId w:val="0"/>
              </w:numPr>
              <w:bidi w:val="0"/>
              <w:spacing w:line="360" w:lineRule="auto"/>
              <w:rPr>
                <w:rFonts w:hint="default" w:ascii="Times New Roman" w:hAnsi="Times New Roman" w:cs="Times New Roman"/>
                <w:b w:val="0"/>
                <w:color w:val="auto"/>
                <w:kern w:val="2"/>
                <w:position w:val="-52"/>
                <w:szCs w:val="24"/>
                <w:highlight w:val="none"/>
                <w:lang w:val="en-US" w:eastAsia="zh-CN" w:bidi="ar-SA"/>
              </w:rPr>
            </w:pPr>
            <w:r>
              <w:rPr>
                <w:rFonts w:hint="eastAsia" w:ascii="Times New Roman" w:hAnsi="Times New Roman" w:cs="Times New Roman"/>
                <w:b w:val="0"/>
                <w:color w:val="auto"/>
                <w:kern w:val="2"/>
                <w:position w:val="-52"/>
                <w:szCs w:val="24"/>
                <w:highlight w:val="none"/>
                <w:lang w:val="en-US" w:eastAsia="zh-CN" w:bidi="ar-SA"/>
              </w:rPr>
              <w:t xml:space="preserve">                              </w:t>
            </w:r>
          </w:p>
        </w:tc>
      </w:tr>
    </w:tbl>
    <w:p>
      <w:pPr>
        <w:pStyle w:val="10"/>
        <w:bidi w:val="0"/>
        <w:jc w:val="center"/>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宋体" w:cs="Times New Roman"/>
          <w:color w:val="auto"/>
          <w:highlight w:val="none"/>
        </w:rPr>
        <w:t>四、主要环境影响和保护措施</w:t>
      </w:r>
    </w:p>
    <w:tbl>
      <w:tblPr>
        <w:tblStyle w:val="3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6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6" w:hRule="atLeast"/>
          <w:jc w:val="center"/>
        </w:trPr>
        <w:tc>
          <w:tcPr>
            <w:tcW w:w="442" w:type="dxa"/>
            <w:noWrap w:val="0"/>
            <w:tcMar>
              <w:left w:w="28" w:type="dxa"/>
              <w:right w:w="28" w:type="dxa"/>
            </w:tcMar>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施</w:t>
            </w:r>
          </w:p>
        </w:tc>
        <w:tc>
          <w:tcPr>
            <w:tcW w:w="8629" w:type="dxa"/>
            <w:noWrap w:val="0"/>
            <w:vAlign w:val="center"/>
          </w:tcPr>
          <w:p>
            <w:pPr>
              <w:pStyle w:val="50"/>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项目现有厂房场地建设，无土建施工，仅进行简单的设备安装，不会产生明显的扬尘，且设备在夜间不进行搬运、安装，因此不再进行施工期环境影响分析评价。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dxa"/>
            <w:noWrap w:val="0"/>
            <w:tcMar>
              <w:left w:w="28" w:type="dxa"/>
              <w:right w:w="28" w:type="dxa"/>
            </w:tcMar>
            <w:vAlign w:val="center"/>
          </w:tcPr>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ascii="Times New Roman" w:hAnsi="Times New Roman" w:eastAsia="宋体" w:cs="Times New Roman"/>
                <w:b/>
                <w:bCs w:val="0"/>
                <w:color w:val="auto"/>
                <w:kern w:val="2"/>
                <w:sz w:val="24"/>
                <w:szCs w:val="21"/>
                <w:highlight w:val="none"/>
                <w:lang w:val="en-US" w:eastAsia="zh-CN" w:bidi="ar-SA"/>
              </w:rPr>
            </w:pPr>
          </w:p>
          <w:p>
            <w:pPr>
              <w:pStyle w:val="27"/>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rPr>
                <w:rFonts w:hint="default"/>
                <w:color w:val="auto"/>
                <w:highlight w:val="none"/>
                <w:lang w:val="en-US" w:eastAsia="zh-CN"/>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运营</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期环</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境影</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响和</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保护</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r>
              <w:rPr>
                <w:rFonts w:hint="default" w:ascii="Times New Roman" w:hAnsi="Times New Roman" w:eastAsia="宋体" w:cs="Times New Roman"/>
                <w:b/>
                <w:bCs w:val="0"/>
                <w:color w:val="auto"/>
                <w:kern w:val="2"/>
                <w:sz w:val="24"/>
                <w:szCs w:val="21"/>
                <w:highlight w:val="none"/>
                <w:lang w:val="en-US" w:eastAsia="zh-CN" w:bidi="ar-SA"/>
              </w:rPr>
              <w:t>措施</w:t>
            </w: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center"/>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both"/>
              <w:rPr>
                <w:rFonts w:hint="default" w:ascii="Times New Roman" w:hAnsi="Times New Roman" w:eastAsia="宋体" w:cs="Times New Roman"/>
                <w:b/>
                <w:bCs w:val="0"/>
                <w:color w:val="auto"/>
                <w:kern w:val="2"/>
                <w:sz w:val="24"/>
                <w:szCs w:val="21"/>
                <w:highlight w:val="none"/>
                <w:lang w:val="en-US" w:eastAsia="zh-CN" w:bidi="ar-SA"/>
              </w:rPr>
            </w:pPr>
          </w:p>
          <w:p>
            <w:pPr>
              <w:pStyle w:val="10"/>
              <w:spacing w:line="240" w:lineRule="auto"/>
              <w:ind w:left="0" w:leftChars="0" w:firstLine="0" w:firstLineChars="0"/>
              <w:jc w:val="both"/>
              <w:rPr>
                <w:rFonts w:hint="default" w:ascii="Times New Roman" w:hAnsi="Times New Roman" w:eastAsia="宋体" w:cs="Times New Roman"/>
                <w:b/>
                <w:bCs w:val="0"/>
                <w:color w:val="auto"/>
                <w:kern w:val="2"/>
                <w:sz w:val="24"/>
                <w:szCs w:val="21"/>
                <w:highlight w:val="none"/>
                <w:lang w:val="en-US" w:eastAsia="zh-CN" w:bidi="ar-SA"/>
              </w:rPr>
            </w:pPr>
          </w:p>
        </w:tc>
        <w:tc>
          <w:tcPr>
            <w:tcW w:w="8629" w:type="dxa"/>
            <w:noWrap w:val="0"/>
            <w:vAlign w:val="center"/>
          </w:tcPr>
          <w:p>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大气环境影响分析</w:t>
            </w:r>
          </w:p>
          <w:p>
            <w:pPr>
              <w:pStyle w:val="28"/>
              <w:spacing w:line="360" w:lineRule="auto"/>
              <w:ind w:left="0" w:leftChars="0" w:firstLine="0" w:firstLineChars="0"/>
              <w:rPr>
                <w:rFonts w:hint="default" w:eastAsia="宋体" w:cs="Times New Roman"/>
                <w:b/>
                <w:bCs/>
                <w:color w:val="auto"/>
                <w:kern w:val="2"/>
                <w:sz w:val="24"/>
                <w:szCs w:val="32"/>
                <w:highlight w:val="none"/>
                <w:lang w:val="en-US" w:eastAsia="zh-CN" w:bidi="ar-SA"/>
              </w:rPr>
            </w:pPr>
            <w:r>
              <w:rPr>
                <w:rFonts w:hint="default" w:eastAsia="宋体" w:cs="Times New Roman"/>
                <w:b/>
                <w:bCs/>
                <w:color w:val="auto"/>
                <w:kern w:val="2"/>
                <w:sz w:val="24"/>
                <w:szCs w:val="32"/>
                <w:highlight w:val="none"/>
                <w:lang w:val="en-US" w:eastAsia="zh-CN" w:bidi="ar-SA"/>
              </w:rPr>
              <w:t>1.1污染源强核算</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本次技改新增喷漆房1座，主要为部分配件进行喷漆以及产品进行补漆，不进行大面积喷涂。产生的废气主要为非甲烷总烃、颗粒物，废气经治理后由新增1根15m高排气筒排放，编号为DA001。</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（1）有组织废气（排气筒编号DA001）</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A.水性漆喷漆工序非甲烷总烃产生量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根据《</w:t>
            </w:r>
            <w:r>
              <w:rPr>
                <w:rFonts w:hint="default" w:ascii="Times New Roman" w:hAnsi="Times New Roman" w:eastAsia="宋体" w:cs="Times New Roman"/>
                <w:color w:val="auto"/>
                <w:highlight w:val="none"/>
              </w:rPr>
              <w:t>排放源统计调查产排污核算方法和系数手册</w:t>
            </w:r>
            <w:r>
              <w:rPr>
                <w:rFonts w:hint="eastAsia" w:cs="Times New Roman"/>
                <w:color w:val="auto"/>
                <w:highlight w:val="none"/>
                <w:lang w:val="en-US" w:eastAsia="zh-CN"/>
              </w:rPr>
              <w:t>》—机械行业，挥发性有机物（本项目以非甲烷总烃计）产污系数为135kg/t-原料，本项目使用水性漆0.85t/a，经计算非甲烷总烃产生量为0.115t/a。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B.高固份油漆喷漆工序非甲烷总烃产生量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根据《</w:t>
            </w:r>
            <w:r>
              <w:rPr>
                <w:rFonts w:hint="default" w:ascii="Times New Roman" w:hAnsi="Times New Roman" w:eastAsia="宋体" w:cs="Times New Roman"/>
                <w:color w:val="auto"/>
                <w:highlight w:val="none"/>
              </w:rPr>
              <w:t>排放源统计调查产排污核算方法和系数手册</w:t>
            </w:r>
            <w:r>
              <w:rPr>
                <w:rFonts w:hint="eastAsia" w:cs="Times New Roman"/>
                <w:color w:val="auto"/>
                <w:highlight w:val="none"/>
                <w:lang w:val="en-US" w:eastAsia="zh-CN"/>
              </w:rPr>
              <w:t>》—机械行业，挥发性有机物（本项目以非甲烷总烃计）产污系数为289kg/t-原料，本项目使高固份油漆0.4t/a，经计算非甲烷总烃产生量为0.115t/a。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C.水性漆晾干工序非甲烷总烃产生量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根据《</w:t>
            </w:r>
            <w:r>
              <w:rPr>
                <w:rFonts w:hint="default" w:ascii="Times New Roman" w:hAnsi="Times New Roman" w:eastAsia="宋体" w:cs="Times New Roman"/>
                <w:color w:val="auto"/>
                <w:highlight w:val="none"/>
              </w:rPr>
              <w:t>排放源统计调查产排污核算方法和系数手册</w:t>
            </w:r>
            <w:r>
              <w:rPr>
                <w:rFonts w:hint="eastAsia" w:cs="Times New Roman"/>
                <w:color w:val="auto"/>
                <w:highlight w:val="none"/>
                <w:lang w:val="en-US" w:eastAsia="zh-CN"/>
              </w:rPr>
              <w:t>》—机械行业，挥发性有机物（本项目以非甲烷总烃计）产污系数为15kg/t-原料，本项目使用水性漆0.85t/a，经计算非甲烷总烃产生量为0.013t/a。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D.高固份油漆晾干工序非甲烷总烃产生量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根据《</w:t>
            </w:r>
            <w:r>
              <w:rPr>
                <w:rFonts w:hint="default" w:ascii="Times New Roman" w:hAnsi="Times New Roman" w:eastAsia="宋体" w:cs="Times New Roman"/>
                <w:color w:val="auto"/>
                <w:highlight w:val="none"/>
              </w:rPr>
              <w:t>排放源统计调查产排污核算方法和系数手册</w:t>
            </w:r>
            <w:r>
              <w:rPr>
                <w:rFonts w:hint="eastAsia" w:cs="Times New Roman"/>
                <w:color w:val="auto"/>
                <w:highlight w:val="none"/>
                <w:lang w:val="en-US" w:eastAsia="zh-CN"/>
              </w:rPr>
              <w:t>》—机械行业，挥发性有机物（本项目以非甲烷总烃计）产污系数为72.2kg/t-原料，本项目使用高固份油漆0.4t/a，经计算非甲烷总烃产生量为0.03t/a。</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E.稀释剂非甲烷总烃产生量</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本项目年使用稀释剂0.05t，稀释剂的挥发量为100%，故本项目稀释剂非甲烷总烃产生量为0.05t/a，不单独在调漆、喷漆、晾干工序中进行计算。</w:t>
            </w:r>
          </w:p>
          <w:p>
            <w:pPr>
              <w:pStyle w:val="2"/>
              <w:keepNext w:val="0"/>
              <w:keepLines w:val="0"/>
              <w:pageBreakBefore w:val="0"/>
              <w:widowControl w:val="0"/>
              <w:kinsoku/>
              <w:wordWrap/>
              <w:overflowPunct/>
              <w:topLinePunct w:val="0"/>
              <w:autoSpaceDE/>
              <w:autoSpaceDN/>
              <w:bidi w:val="0"/>
              <w:adjustRightInd/>
              <w:snapToGrid w:val="0"/>
              <w:spacing w:after="0"/>
              <w:ind w:left="0" w:leftChars="0"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故本项目喷漆房非甲烷总烃产生0.323t/a，喷漆房为微负压，空气从上方进口进入，下方风口排放，收集率按照90%进行计算，收集的废气经干式过滤箱+二级活性炭装置进行治理后经1根15m高排气筒排放，经计算有组织非甲烷总烃排放量为0.07t/a。</w:t>
            </w:r>
          </w:p>
          <w:p>
            <w:pPr>
              <w:pStyle w:val="2"/>
              <w:pageBreakBefore w:val="0"/>
              <w:kinsoku/>
              <w:wordWrap/>
              <w:overflowPunct/>
              <w:topLinePunct w:val="0"/>
              <w:autoSpaceDE/>
              <w:autoSpaceDN/>
              <w:bidi w:val="0"/>
              <w:adjustRightInd w:val="0"/>
              <w:snapToGrid w:val="0"/>
              <w:spacing w:after="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F..颗粒物</w:t>
            </w:r>
          </w:p>
          <w:p>
            <w:pPr>
              <w:pStyle w:val="6"/>
              <w:pageBreakBefore w:val="0"/>
              <w:kinsoku/>
              <w:wordWrap/>
              <w:overflowPunct/>
              <w:topLinePunct w:val="0"/>
              <w:autoSpaceDE/>
              <w:autoSpaceDN/>
              <w:bidi w:val="0"/>
              <w:adjustRightInd w:val="0"/>
              <w:snapToGrid w:val="0"/>
              <w:spacing w:before="0" w:after="0" w:line="360" w:lineRule="auto"/>
              <w:ind w:right="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eastAsia" w:cs="Times New Roman"/>
                <w:b w:val="0"/>
                <w:color w:val="auto"/>
                <w:kern w:val="2"/>
                <w:sz w:val="24"/>
                <w:szCs w:val="24"/>
                <w:highlight w:val="none"/>
                <w:lang w:val="en-US" w:eastAsia="zh-CN" w:bidi="ar-SA"/>
              </w:rPr>
              <w:t>根据《排放源统计调查产排污核算方法和系数手册》—机械行业，铸造业喷涂工序颗粒物产生系数为1.99kg/吨-产品，本项目需喷漆产品总质量为200t/a，经计算颗粒物产生量为0.4t/a。经废气治理设施治理后，有组织颗粒物的排放量为0.09t/a。</w:t>
            </w:r>
          </w:p>
          <w:p>
            <w:pPr>
              <w:pageBreakBefore w:val="0"/>
              <w:kinsoku/>
              <w:wordWrap/>
              <w:overflowPunct/>
              <w:topLinePunct w:val="0"/>
              <w:autoSpaceDE/>
              <w:autoSpaceDN/>
              <w:bidi w:val="0"/>
              <w:adjustRightInd w:val="0"/>
              <w:snapToGrid w:val="0"/>
              <w:spacing w:beforeLines="0" w:afterLines="0" w:line="360" w:lineRule="auto"/>
              <w:ind w:right="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2</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无组织废气</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cs="Times New Roman"/>
                <w:color w:val="auto"/>
                <w:highlight w:val="none"/>
                <w:lang w:val="en-US" w:eastAsia="zh-CN"/>
              </w:rPr>
            </w:pPr>
            <w:r>
              <w:rPr>
                <w:rFonts w:hint="eastAsia" w:cs="Times New Roman"/>
                <w:color w:val="auto"/>
                <w:highlight w:val="none"/>
                <w:lang w:val="en-US" w:eastAsia="zh-CN"/>
              </w:rPr>
              <w:t>A.非甲烷总烃</w:t>
            </w:r>
          </w:p>
          <w:p>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经计算喷漆工序非甲烷总烃产生量为0.323t/a，收集效率按照90%计算，故无组织非甲烷总烃产生量为0.03t/a。</w:t>
            </w:r>
          </w:p>
          <w:p>
            <w:pPr>
              <w:pStyle w:val="2"/>
              <w:pageBreakBefore w:val="0"/>
              <w:kinsoku/>
              <w:wordWrap/>
              <w:overflowPunct/>
              <w:topLinePunct w:val="0"/>
              <w:autoSpaceDE/>
              <w:autoSpaceDN/>
              <w:bidi w:val="0"/>
              <w:adjustRightInd w:val="0"/>
              <w:snapToGrid w:val="0"/>
              <w:spacing w:after="0" w:line="360" w:lineRule="auto"/>
              <w:ind w:left="0" w:leftChars="0" w:right="0"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B.喷漆工序颗粒物</w:t>
            </w:r>
          </w:p>
          <w:p>
            <w:pPr>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喷漆工序颗粒物产生量为0.4t/a，收集效率按照90%计算，故无组织颗粒物产生量为0.04t/a。</w:t>
            </w:r>
          </w:p>
          <w:p>
            <w:pPr>
              <w:pStyle w:val="6"/>
              <w:pageBreakBefore w:val="0"/>
              <w:kinsoku/>
              <w:wordWrap/>
              <w:overflowPunct/>
              <w:topLinePunct w:val="0"/>
              <w:autoSpaceDE/>
              <w:autoSpaceDN/>
              <w:bidi w:val="0"/>
              <w:adjustRightInd w:val="0"/>
              <w:snapToGrid w:val="0"/>
              <w:spacing w:before="0" w:after="0" w:line="360" w:lineRule="auto"/>
              <w:ind w:left="0" w:leftChars="0" w:right="0" w:firstLine="480" w:firstLineChars="200"/>
              <w:textAlignment w:val="auto"/>
              <w:outlineLvl w:val="9"/>
              <w:rPr>
                <w:rFonts w:hint="default" w:ascii="Times New Roman" w:hAnsi="Times New Roman" w:eastAsia="宋体" w:cs="Times New Roman"/>
                <w:b w:val="0"/>
                <w:color w:val="auto"/>
                <w:kern w:val="2"/>
                <w:sz w:val="24"/>
                <w:szCs w:val="24"/>
                <w:highlight w:val="none"/>
                <w:lang w:val="en-US" w:eastAsia="zh-CN" w:bidi="ar-SA"/>
              </w:rPr>
            </w:pPr>
            <w:r>
              <w:rPr>
                <w:rFonts w:hint="eastAsia" w:cs="Times New Roman"/>
                <w:b w:val="0"/>
                <w:color w:val="auto"/>
                <w:kern w:val="2"/>
                <w:sz w:val="24"/>
                <w:szCs w:val="24"/>
                <w:highlight w:val="none"/>
                <w:lang w:val="en-US" w:eastAsia="zh-CN" w:bidi="ar-SA"/>
              </w:rPr>
              <w:t>C.焊接工序颗粒物</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本项目在运营生产过程中</w:t>
            </w:r>
            <w:r>
              <w:rPr>
                <w:rFonts w:hint="eastAsia" w:eastAsia="宋体" w:cs="Times New Roman"/>
                <w:color w:val="auto"/>
                <w:highlight w:val="none"/>
                <w:lang w:eastAsia="zh-CN"/>
              </w:rPr>
              <w:t>，</w:t>
            </w:r>
            <w:r>
              <w:rPr>
                <w:rFonts w:hint="eastAsia" w:eastAsia="宋体" w:cs="Times New Roman"/>
                <w:color w:val="auto"/>
                <w:highlight w:val="none"/>
                <w:lang w:val="en-US" w:eastAsia="zh-CN"/>
              </w:rPr>
              <w:t>切割工序外委，本环评不对切割工序产生的颗粒物进行分析。</w:t>
            </w:r>
            <w:r>
              <w:rPr>
                <w:rFonts w:hint="default" w:ascii="Times New Roman" w:hAnsi="Times New Roman" w:eastAsia="宋体" w:cs="Times New Roman"/>
                <w:color w:val="auto"/>
                <w:highlight w:val="none"/>
              </w:rPr>
              <w:t>焊接过程中会产生</w:t>
            </w:r>
            <w:r>
              <w:rPr>
                <w:rFonts w:hint="default" w:ascii="Times New Roman" w:hAnsi="Times New Roman" w:eastAsia="宋体" w:cs="Times New Roman"/>
                <w:color w:val="auto"/>
                <w:highlight w:val="none"/>
                <w:lang w:val="en-US" w:eastAsia="zh-CN"/>
              </w:rPr>
              <w:t>少量的粉尘（金属屑）</w:t>
            </w:r>
            <w:r>
              <w:rPr>
                <w:rFonts w:hint="eastAsia" w:eastAsia="宋体" w:cs="Times New Roman"/>
                <w:color w:val="auto"/>
                <w:highlight w:val="none"/>
                <w:lang w:val="en-US" w:eastAsia="zh-CN"/>
              </w:rPr>
              <w:t>。</w:t>
            </w:r>
            <w:r>
              <w:rPr>
                <w:rFonts w:hint="default" w:ascii="Times New Roman" w:hAnsi="Times New Roman" w:eastAsia="宋体" w:cs="Times New Roman"/>
                <w:color w:val="auto"/>
                <w:highlight w:val="none"/>
              </w:rPr>
              <w:t>焊接过程中会产生颗粒物浓度均极低，根据查阅资料《排放源统计调查产排污核算方法和系数手册》，焊接过程中会产生焊接烟尘，焊接烟尘产污系数为20.2千克/吨-原料，本项目使用焊丝</w:t>
            </w:r>
            <w:r>
              <w:rPr>
                <w:rFonts w:hint="eastAsia" w:eastAsia="宋体" w:cs="Times New Roman"/>
                <w:color w:val="auto"/>
                <w:highlight w:val="none"/>
                <w:lang w:val="en-US" w:eastAsia="zh-CN"/>
              </w:rPr>
              <w:t>3</w:t>
            </w:r>
            <w:r>
              <w:rPr>
                <w:rFonts w:hint="default" w:ascii="Times New Roman" w:hAnsi="Times New Roman" w:eastAsia="宋体" w:cs="Times New Roman"/>
                <w:color w:val="auto"/>
                <w:highlight w:val="none"/>
              </w:rPr>
              <w:t>t/a，则颗粒物产生量</w:t>
            </w:r>
            <w:r>
              <w:rPr>
                <w:rFonts w:hint="eastAsia" w:eastAsia="宋体" w:cs="Times New Roman"/>
                <w:color w:val="auto"/>
                <w:highlight w:val="none"/>
                <w:lang w:val="en-US" w:eastAsia="zh-CN"/>
              </w:rPr>
              <w:t>0.06</w:t>
            </w:r>
            <w:r>
              <w:rPr>
                <w:rFonts w:hint="default" w:ascii="Times New Roman" w:hAnsi="Times New Roman" w:eastAsia="宋体" w:cs="Times New Roman"/>
                <w:color w:val="auto"/>
                <w:highlight w:val="none"/>
              </w:rPr>
              <w:t>t/a。</w:t>
            </w:r>
          </w:p>
          <w:p>
            <w:pPr>
              <w:pStyle w:val="28"/>
              <w:spacing w:line="360" w:lineRule="auto"/>
              <w:ind w:left="0" w:leftChars="0" w:firstLine="0" w:firstLineChars="0"/>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1.</w:t>
            </w:r>
            <w:r>
              <w:rPr>
                <w:rFonts w:hint="eastAsia" w:cs="Times New Roman"/>
                <w:b/>
                <w:bCs/>
                <w:color w:val="auto"/>
                <w:kern w:val="2"/>
                <w:sz w:val="24"/>
                <w:szCs w:val="32"/>
                <w:highlight w:val="none"/>
                <w:lang w:val="en-US" w:eastAsia="zh-CN" w:bidi="ar-SA"/>
              </w:rPr>
              <w:t>2</w:t>
            </w:r>
            <w:r>
              <w:rPr>
                <w:rFonts w:hint="eastAsia" w:ascii="Times New Roman" w:hAnsi="Times New Roman" w:eastAsia="宋体" w:cs="Times New Roman"/>
                <w:b/>
                <w:bCs/>
                <w:color w:val="auto"/>
                <w:kern w:val="2"/>
                <w:sz w:val="24"/>
                <w:szCs w:val="32"/>
                <w:highlight w:val="none"/>
                <w:lang w:val="en-US" w:eastAsia="zh-CN" w:bidi="ar-SA"/>
              </w:rPr>
              <w:t>污染物排放情况</w:t>
            </w:r>
          </w:p>
          <w:p>
            <w:pPr>
              <w:spacing w:line="360" w:lineRule="auto"/>
              <w:ind w:firstLine="480" w:firstLineChars="200"/>
              <w:rPr>
                <w:rFonts w:hint="default"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有组织废气</w:t>
            </w:r>
          </w:p>
          <w:p>
            <w:pPr>
              <w:spacing w:line="360" w:lineRule="auto"/>
              <w:ind w:firstLine="480" w:firstLineChars="200"/>
              <w:rPr>
                <w:rFonts w:hint="default" w:eastAsia="宋体" w:cs="Times New Roman"/>
                <w:color w:val="auto"/>
                <w:highlight w:val="none"/>
                <w:lang w:val="en-US" w:eastAsia="zh-CN"/>
              </w:rPr>
            </w:pPr>
            <w:r>
              <w:rPr>
                <w:rFonts w:hint="eastAsia" w:cs="Times New Roman"/>
                <w:color w:val="auto"/>
                <w:highlight w:val="none"/>
                <w:lang w:val="en-US" w:eastAsia="zh-CN"/>
              </w:rPr>
              <w:t>A.非甲烷总烃</w:t>
            </w:r>
          </w:p>
          <w:p>
            <w:pPr>
              <w:widowControl/>
              <w:spacing w:line="360" w:lineRule="auto"/>
              <w:ind w:firstLine="480" w:firstLineChars="200"/>
              <w:rPr>
                <w:rFonts w:hint="default"/>
                <w:color w:val="auto"/>
                <w:highlight w:val="none"/>
                <w:lang w:val="en-US" w:eastAsia="zh-CN"/>
              </w:rPr>
            </w:pPr>
            <w:r>
              <w:rPr>
                <w:rFonts w:hint="eastAsia" w:cs="Times New Roman"/>
                <w:color w:val="auto"/>
                <w:sz w:val="24"/>
                <w:highlight w:val="none"/>
                <w:lang w:val="en-US" w:eastAsia="zh-CN"/>
              </w:rPr>
              <w:t>本项目年工作330天，调漆时长为10min/d、喷漆时长为1h/d、晾干时长为2h50min/d，则工作总时长为4h/d，共1320h/a。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非甲烷总烃有组织排放量为0.07t/a，排放速率为0.055kg/h，排放浓度为3.75mg/m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B.颗粒物有组织排放量为0.09t/a，排放速率为0.068kg/h，排放浓度为4.5mg/m</w:t>
            </w:r>
            <w:r>
              <w:rPr>
                <w:rFonts w:hint="eastAsia" w:cs="Times New Roman"/>
                <w:color w:val="auto"/>
                <w:kern w:val="2"/>
                <w:sz w:val="24"/>
                <w:szCs w:val="24"/>
                <w:highlight w:val="none"/>
                <w:vertAlign w:val="superscript"/>
                <w:lang w:val="en-US" w:eastAsia="zh-CN" w:bidi="ar-SA"/>
              </w:rPr>
              <w:t>3</w:t>
            </w:r>
            <w:r>
              <w:rPr>
                <w:rFonts w:hint="eastAsia" w:cs="Times New Roman"/>
                <w:color w:val="auto"/>
                <w:kern w:val="2"/>
                <w:sz w:val="24"/>
                <w:szCs w:val="24"/>
                <w:highlight w:val="none"/>
                <w:lang w:val="en-US" w:eastAsia="zh-CN" w:bidi="ar-SA"/>
              </w:rPr>
              <w:t>。</w:t>
            </w:r>
          </w:p>
          <w:p>
            <w:pPr>
              <w:spacing w:line="360" w:lineRule="auto"/>
              <w:ind w:firstLine="480" w:firstLineChars="200"/>
              <w:rPr>
                <w:rFonts w:hint="default" w:eastAsia="宋体" w:cs="Times New Roman"/>
                <w:color w:val="auto"/>
                <w:highlight w:val="none"/>
                <w:lang w:val="en-US" w:eastAsia="zh-CN"/>
              </w:rPr>
            </w:pPr>
            <w:r>
              <w:rPr>
                <w:rFonts w:hint="eastAsia" w:cs="Times New Roman"/>
                <w:color w:val="auto"/>
                <w:highlight w:val="none"/>
                <w:lang w:val="en-US" w:eastAsia="zh-CN"/>
              </w:rPr>
              <w:t>（2）无组织废气</w:t>
            </w:r>
          </w:p>
          <w:p>
            <w:pPr>
              <w:spacing w:line="360" w:lineRule="auto"/>
              <w:ind w:firstLine="480" w:firstLineChars="200"/>
              <w:rPr>
                <w:rFonts w:hint="default" w:eastAsia="宋体" w:cs="Times New Roman"/>
                <w:color w:val="auto"/>
                <w:highlight w:val="none"/>
                <w:lang w:val="en-US" w:eastAsia="zh-CN"/>
              </w:rPr>
            </w:pPr>
            <w:r>
              <w:rPr>
                <w:rFonts w:hint="eastAsia" w:cs="Times New Roman"/>
                <w:color w:val="auto"/>
                <w:highlight w:val="none"/>
                <w:lang w:val="en-US" w:eastAsia="zh-CN"/>
              </w:rPr>
              <w:t>A.非甲烷总烃</w:t>
            </w:r>
          </w:p>
          <w:p>
            <w:pPr>
              <w:spacing w:line="360" w:lineRule="auto"/>
              <w:ind w:firstLine="480" w:firstLineChars="200"/>
              <w:rPr>
                <w:rFonts w:hint="default" w:ascii="Times New Roman" w:hAnsi="Times New Roman" w:eastAsia="宋体" w:cs="Times New Roman"/>
                <w:color w:val="auto"/>
                <w:highlight w:val="none"/>
              </w:rPr>
            </w:pPr>
            <w:r>
              <w:rPr>
                <w:rFonts w:hint="eastAsia" w:cs="Times New Roman"/>
                <w:color w:val="auto"/>
                <w:sz w:val="24"/>
                <w:szCs w:val="24"/>
                <w:highlight w:val="none"/>
                <w:lang w:val="en-US" w:eastAsia="zh-CN"/>
              </w:rPr>
              <w:t>非甲烷总无组织排放量为0.03t/a，排放速率为0.025kg/h，</w:t>
            </w:r>
            <w:r>
              <w:rPr>
                <w:rFonts w:hint="eastAsia" w:ascii="Times New Roman" w:hAnsi="Times New Roman" w:eastAsia="宋体" w:cs="Times New Roman"/>
                <w:color w:val="auto"/>
                <w:highlight w:val="none"/>
                <w:lang w:val="en-US" w:eastAsia="zh-CN"/>
              </w:rPr>
              <w:t>根据《环境影响评价技术导则 大气环境》（HJ2.2-2018）的规定，选择项目污染源正常排放的主要污染物及排放系数，采用附录 A 推荐的 AERSCREEN 估算模型计算项目污染源的最大环境影响，经估算，最大落地浓度为</w:t>
            </w:r>
            <w:r>
              <w:rPr>
                <w:rFonts w:hint="eastAsia" w:cs="Times New Roman"/>
                <w:color w:val="auto"/>
                <w:highlight w:val="none"/>
                <w:lang w:val="en-US" w:eastAsia="zh-CN"/>
              </w:rPr>
              <w:t>235.35</w:t>
            </w:r>
            <w:r>
              <w:rPr>
                <w:rFonts w:hint="eastAsia" w:ascii="Times New Roman" w:hAnsi="Times New Roman" w:eastAsia="宋体" w:cs="Times New Roman"/>
                <w:color w:val="auto"/>
                <w:highlight w:val="none"/>
                <w:lang w:val="en-US" w:eastAsia="zh-CN"/>
              </w:rPr>
              <w:t>ug/m³，落地距离为厂房外</w:t>
            </w:r>
            <w:r>
              <w:rPr>
                <w:rFonts w:hint="eastAsia" w:cs="Times New Roman"/>
                <w:color w:val="auto"/>
                <w:highlight w:val="none"/>
                <w:lang w:val="en-US" w:eastAsia="zh-CN"/>
              </w:rPr>
              <w:t>25</w:t>
            </w:r>
            <w:r>
              <w:rPr>
                <w:rFonts w:hint="eastAsia" w:ascii="Times New Roman" w:hAnsi="Times New Roman" w:eastAsia="宋体" w:cs="Times New Roman"/>
                <w:color w:val="auto"/>
                <w:highlight w:val="none"/>
                <w:lang w:val="en-US" w:eastAsia="zh-CN"/>
              </w:rPr>
              <w:t>m，满足相关标准要求</w:t>
            </w:r>
            <w:r>
              <w:rPr>
                <w:rFonts w:hint="default" w:ascii="Times New Roman" w:hAnsi="Times New Roman" w:eastAsia="宋体" w:cs="Times New Roman"/>
                <w:color w:val="auto"/>
                <w:highlight w:val="none"/>
              </w:rPr>
              <w:t>。</w:t>
            </w:r>
          </w:p>
          <w:p>
            <w:pPr>
              <w:pStyle w:val="2"/>
              <w:pageBreakBefore w:val="0"/>
              <w:kinsoku/>
              <w:wordWrap/>
              <w:overflowPunct/>
              <w:topLinePunct w:val="0"/>
              <w:autoSpaceDE/>
              <w:autoSpaceDN/>
              <w:bidi w:val="0"/>
              <w:adjustRightInd w:val="0"/>
              <w:snapToGrid w:val="0"/>
              <w:spacing w:after="0" w:line="360" w:lineRule="auto"/>
              <w:ind w:left="0" w:leftChars="0" w:right="0" w:firstLine="480" w:firstLineChars="200"/>
              <w:jc w:val="both"/>
              <w:textAlignment w:val="auto"/>
              <w:outlineLvl w:val="9"/>
              <w:rPr>
                <w:rFonts w:hint="default"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B.无组织颗粒物</w:t>
            </w:r>
          </w:p>
          <w:p>
            <w:pPr>
              <w:spacing w:line="360" w:lineRule="auto"/>
              <w:ind w:firstLine="480" w:firstLineChars="200"/>
              <w:rPr>
                <w:rFonts w:hint="default" w:ascii="Times New Roman" w:hAnsi="Times New Roman" w:eastAsia="宋体" w:cs="Times New Roman"/>
                <w:color w:val="auto"/>
                <w:highlight w:val="none"/>
              </w:rPr>
            </w:pPr>
            <w:r>
              <w:rPr>
                <w:rFonts w:hint="eastAsia" w:cs="Times New Roman"/>
                <w:b w:val="0"/>
                <w:color w:val="auto"/>
                <w:kern w:val="2"/>
                <w:sz w:val="24"/>
                <w:szCs w:val="24"/>
                <w:highlight w:val="none"/>
                <w:lang w:val="en-US" w:eastAsia="zh-CN" w:bidi="ar-SA"/>
              </w:rPr>
              <w:t>喷漆房无组织颗粒物排放量为0.04t/a，焊接工序排放无组织颗粒物为0.01t/a，则本项目无组织颗粒物排放速率为0.037kg/h，</w:t>
            </w:r>
            <w:r>
              <w:rPr>
                <w:rFonts w:hint="eastAsia" w:ascii="Times New Roman" w:hAnsi="Times New Roman" w:eastAsia="宋体" w:cs="Times New Roman"/>
                <w:color w:val="auto"/>
                <w:highlight w:val="none"/>
                <w:lang w:val="en-US" w:eastAsia="zh-CN"/>
              </w:rPr>
              <w:t>根据《环境影响评价技术导则 大气环境》（HJ2.2-2018）的规定，选择项目污染源正常排放的主要污染物及排放系数，采用附录 A 推荐的 AERSCREEN 估算模型计算项目污染源的最大环境影响，经估算，最大落地浓度为</w:t>
            </w:r>
            <w:r>
              <w:rPr>
                <w:rFonts w:hint="eastAsia" w:cs="Times New Roman"/>
                <w:color w:val="auto"/>
                <w:highlight w:val="none"/>
                <w:lang w:val="en-US" w:eastAsia="zh-CN"/>
              </w:rPr>
              <w:t>19.176</w:t>
            </w:r>
            <w:r>
              <w:rPr>
                <w:rFonts w:hint="eastAsia" w:ascii="Times New Roman" w:hAnsi="Times New Roman" w:eastAsia="宋体" w:cs="Times New Roman"/>
                <w:color w:val="auto"/>
                <w:highlight w:val="none"/>
                <w:lang w:val="en-US" w:eastAsia="zh-CN"/>
              </w:rPr>
              <w:t>ug/m³，落地距离为厂房外</w:t>
            </w:r>
            <w:r>
              <w:rPr>
                <w:rFonts w:hint="eastAsia" w:cs="Times New Roman"/>
                <w:color w:val="auto"/>
                <w:highlight w:val="none"/>
                <w:lang w:val="en-US" w:eastAsia="zh-CN"/>
              </w:rPr>
              <w:t>70</w:t>
            </w:r>
            <w:r>
              <w:rPr>
                <w:rFonts w:hint="eastAsia" w:ascii="Times New Roman" w:hAnsi="Times New Roman" w:eastAsia="宋体" w:cs="Times New Roman"/>
                <w:color w:val="auto"/>
                <w:highlight w:val="none"/>
                <w:lang w:val="en-US" w:eastAsia="zh-CN"/>
              </w:rPr>
              <w:t>m，满足相关标准要求</w:t>
            </w:r>
            <w:r>
              <w:rPr>
                <w:rFonts w:hint="default" w:ascii="Times New Roman" w:hAnsi="Times New Roman" w:eastAsia="宋体" w:cs="Times New Roman"/>
                <w:color w:val="auto"/>
                <w:highlight w:val="none"/>
              </w:rPr>
              <w:t>。</w:t>
            </w:r>
          </w:p>
          <w:p>
            <w:pPr>
              <w:pStyle w:val="28"/>
              <w:spacing w:line="240" w:lineRule="auto"/>
              <w:ind w:left="0" w:leftChars="0" w:firstLine="0" w:firstLineChars="0"/>
              <w:jc w:val="center"/>
              <w:rPr>
                <w:rFonts w:hint="default" w:cs="Times New Roman"/>
                <w:b/>
                <w:bCs/>
                <w:color w:val="auto"/>
                <w:kern w:val="2"/>
                <w:sz w:val="24"/>
                <w:szCs w:val="32"/>
                <w:highlight w:val="none"/>
                <w:lang w:val="en-US" w:eastAsia="zh-CN" w:bidi="ar-SA"/>
              </w:rPr>
            </w:pPr>
            <w:r>
              <w:rPr>
                <w:rFonts w:hint="eastAsia" w:cs="Times New Roman"/>
                <w:b/>
                <w:bCs/>
                <w:color w:val="auto"/>
                <w:kern w:val="2"/>
                <w:sz w:val="24"/>
                <w:szCs w:val="32"/>
                <w:highlight w:val="none"/>
                <w:lang w:val="en-US" w:eastAsia="zh-CN" w:bidi="ar-SA"/>
              </w:rPr>
              <w:t>表4-1  本项目污染物排放情况一览表</w:t>
            </w:r>
          </w:p>
          <w:tbl>
            <w:tblPr>
              <w:tblStyle w:val="32"/>
              <w:tblpPr w:leftFromText="180" w:rightFromText="180" w:vertAnchor="text" w:tblpXSpec="center" w:tblpY="1"/>
              <w:tblOverlap w:val="never"/>
              <w:tblW w:w="4997"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356"/>
              <w:gridCol w:w="1391"/>
              <w:gridCol w:w="1105"/>
              <w:gridCol w:w="1464"/>
              <w:gridCol w:w="164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6"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类型</w:t>
                  </w:r>
                </w:p>
              </w:tc>
              <w:tc>
                <w:tcPr>
                  <w:tcW w:w="806"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产污环节</w:t>
                  </w:r>
                </w:p>
              </w:tc>
              <w:tc>
                <w:tcPr>
                  <w:tcW w:w="827"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657"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c>
                <w:tcPr>
                  <w:tcW w:w="87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排放速率kg/h</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排放浓度mg/m</w:t>
                  </w:r>
                  <w:r>
                    <w:rPr>
                      <w:rFonts w:hint="default" w:ascii="Times New Roman" w:hAnsi="Times New Roman" w:eastAsia="宋体" w:cs="Times New Roman"/>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856"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有组织废气</w:t>
                  </w:r>
                </w:p>
              </w:tc>
              <w:tc>
                <w:tcPr>
                  <w:tcW w:w="806"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喷涂（调漆、喷漆、晾干）</w:t>
                  </w:r>
                </w:p>
              </w:tc>
              <w:tc>
                <w:tcPr>
                  <w:tcW w:w="82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65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w:t>
                  </w:r>
                </w:p>
              </w:tc>
              <w:tc>
                <w:tcPr>
                  <w:tcW w:w="87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0.068</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56" w:type="pct"/>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806" w:type="pct"/>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82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657" w:type="pct"/>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0.07</w:t>
                  </w:r>
                </w:p>
              </w:tc>
              <w:tc>
                <w:tcPr>
                  <w:tcW w:w="87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0.055</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3.75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856"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无组织废气</w:t>
                  </w:r>
                </w:p>
              </w:tc>
              <w:tc>
                <w:tcPr>
                  <w:tcW w:w="806"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焊接</w:t>
                  </w:r>
                </w:p>
              </w:tc>
              <w:tc>
                <w:tcPr>
                  <w:tcW w:w="82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65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87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0.0075</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856" w:type="pct"/>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806" w:type="pct"/>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喷漆房</w:t>
                  </w:r>
                </w:p>
              </w:tc>
              <w:tc>
                <w:tcPr>
                  <w:tcW w:w="82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65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87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856" w:type="pct"/>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806" w:type="pct"/>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sz w:val="21"/>
                      <w:szCs w:val="21"/>
                      <w:highlight w:val="none"/>
                      <w:lang w:val="en-US" w:eastAsia="zh-CN"/>
                    </w:rPr>
                  </w:pPr>
                </w:p>
              </w:tc>
              <w:tc>
                <w:tcPr>
                  <w:tcW w:w="82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57"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0.03</w:t>
                  </w:r>
                </w:p>
              </w:tc>
              <w:tc>
                <w:tcPr>
                  <w:tcW w:w="871" w:type="pc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0.025</w:t>
                  </w:r>
                </w:p>
              </w:tc>
              <w:tc>
                <w:tcPr>
                  <w:tcW w:w="980"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pStyle w:val="28"/>
              <w:spacing w:line="360" w:lineRule="auto"/>
              <w:ind w:left="0" w:leftChars="0" w:firstLine="0" w:firstLineChars="0"/>
              <w:rPr>
                <w:rFonts w:hint="default" w:ascii="Times New Roman" w:hAnsi="Times New Roman" w:eastAsia="宋体" w:cs="Times New Roman"/>
                <w:b/>
                <w:bCs/>
                <w:color w:val="auto"/>
                <w:kern w:val="2"/>
                <w:sz w:val="24"/>
                <w:szCs w:val="32"/>
                <w:highlight w:val="none"/>
                <w:lang w:val="en-US" w:eastAsia="zh-CN" w:bidi="ar-SA"/>
              </w:rPr>
            </w:pPr>
            <w:r>
              <w:rPr>
                <w:rFonts w:hint="eastAsia" w:cs="Times New Roman"/>
                <w:b/>
                <w:bCs/>
                <w:color w:val="auto"/>
                <w:kern w:val="2"/>
                <w:sz w:val="24"/>
                <w:szCs w:val="32"/>
                <w:highlight w:val="none"/>
                <w:lang w:val="en-US" w:eastAsia="zh-CN" w:bidi="ar-SA"/>
              </w:rPr>
              <w:t>1.3大气污染物治理可行性分析</w:t>
            </w:r>
          </w:p>
          <w:p>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焊接：本项目所使用的均为小型焊机，焊机最多同时运转2台，因此在车间内安放2台自动焊烟净化器，净化后在车间内无组织排放，对周围大气环境影响不大。</w:t>
            </w:r>
          </w:p>
          <w:p>
            <w:pPr>
              <w:widowControl/>
              <w:spacing w:line="360" w:lineRule="auto"/>
              <w:ind w:firstLine="480" w:firstLineChars="200"/>
              <w:jc w:val="both"/>
              <w:rPr>
                <w:rFonts w:hint="eastAsia"/>
                <w:color w:val="auto"/>
                <w:highlight w:val="none"/>
                <w:lang w:val="en-US" w:eastAsia="zh-CN"/>
              </w:rPr>
            </w:pPr>
          </w:p>
          <w:p>
            <w:pPr>
              <w:widowControl/>
              <w:spacing w:line="360" w:lineRule="auto"/>
              <w:ind w:firstLine="480" w:firstLineChars="200"/>
              <w:jc w:val="both"/>
              <w:rPr>
                <w:rFonts w:hint="eastAsia"/>
                <w:color w:val="auto"/>
                <w:highlight w:val="none"/>
                <w:lang w:val="en-US" w:eastAsia="zh-CN"/>
              </w:rPr>
            </w:pPr>
            <w:r>
              <w:rPr>
                <w:rFonts w:hint="eastAsia"/>
                <w:color w:val="auto"/>
                <w:highlight w:val="none"/>
                <w:lang w:val="en-US" w:eastAsia="zh-CN"/>
              </w:rPr>
              <w:t>本项目使用油漆共1.25t/a，其中水性漆0.85t/a，高固份油漆0.4t/a，稀释剂用量为0.05t/a，喷漆房为微负压设计，调漆、喷漆、晾干均在喷漆房中进行，废气经下方出风口进入“干式过滤器+二级活性炭吸附设施”进行治理，治理后的废气经1根15m排气筒排放（DA001）。</w:t>
            </w:r>
          </w:p>
          <w:p>
            <w:pPr>
              <w:widowControl/>
              <w:spacing w:line="360" w:lineRule="auto"/>
              <w:ind w:firstLine="480" w:firstLineChars="200"/>
              <w:jc w:val="both"/>
              <w:rPr>
                <w:rFonts w:hint="default"/>
                <w:color w:val="auto"/>
                <w:highlight w:val="none"/>
                <w:lang w:val="en-US" w:eastAsia="zh-CN"/>
              </w:rPr>
            </w:pPr>
            <w:r>
              <w:rPr>
                <w:rFonts w:hint="eastAsia"/>
                <w:color w:val="auto"/>
                <w:highlight w:val="none"/>
                <w:lang w:val="en-US" w:eastAsia="zh-CN"/>
              </w:rPr>
              <w:t>类比同类项目，油漆（高固份油漆）使用量为0.77t/a、稀释剂使用量为0.39t/a，调漆、喷漆、晾干等工序均在密闭喷漆房内进行，产生的废气收集后，经“过滤棉+二级活性炭吸附装置”处理后，通过1 根15m 高排气筒排放（DA001）。根据验收监测报告可知，有组织非甲烷总烃最大排放浓度为10.6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color w:val="auto"/>
                <w:highlight w:val="none"/>
                <w:lang w:val="en-US" w:eastAsia="zh-CN"/>
              </w:rPr>
              <w:t>，满足</w:t>
            </w:r>
            <w:r>
              <w:rPr>
                <w:rFonts w:hint="default" w:ascii="Times New Roman" w:hAnsi="Times New Roman" w:eastAsia="宋体" w:cs="Times New Roman"/>
                <w:color w:val="auto"/>
                <w:highlight w:val="none"/>
                <w:lang w:val="en-US" w:eastAsia="zh-CN"/>
              </w:rPr>
              <w:t>《工业企业挥发性有机物排放控制标准》（DB13/2322-2016）表1中</w:t>
            </w:r>
            <w:r>
              <w:rPr>
                <w:rFonts w:hint="eastAsia" w:ascii="Times New Roman" w:hAnsi="Times New Roman" w:eastAsia="宋体" w:cs="Times New Roman"/>
                <w:color w:val="auto"/>
                <w:highlight w:val="none"/>
                <w:lang w:val="en-US" w:eastAsia="zh-CN"/>
              </w:rPr>
              <w:t>表面涂装业</w:t>
            </w:r>
            <w:r>
              <w:rPr>
                <w:rFonts w:hint="default" w:ascii="Times New Roman" w:hAnsi="Times New Roman" w:eastAsia="宋体" w:cs="Times New Roman"/>
                <w:color w:val="auto"/>
                <w:highlight w:val="none"/>
                <w:lang w:val="en-US" w:eastAsia="zh-CN"/>
              </w:rPr>
              <w:t>最高允许排放浓度</w:t>
            </w:r>
            <w:r>
              <w:rPr>
                <w:rFonts w:hint="eastAsia" w:cs="Times New Roman"/>
                <w:color w:val="auto"/>
                <w:highlight w:val="none"/>
                <w:lang w:val="en-US" w:eastAsia="zh-CN"/>
              </w:rPr>
              <w:t>；</w:t>
            </w:r>
            <w:r>
              <w:rPr>
                <w:rFonts w:hint="eastAsia"/>
                <w:color w:val="auto"/>
                <w:highlight w:val="none"/>
                <w:lang w:val="en-US" w:eastAsia="zh-CN"/>
              </w:rPr>
              <w:t>有组织颗粒物最大排放浓度为3.8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color w:val="auto"/>
                <w:highlight w:val="none"/>
                <w:lang w:val="en-US" w:eastAsia="zh-CN"/>
              </w:rPr>
              <w:t>，</w:t>
            </w:r>
            <w:r>
              <w:rPr>
                <w:rFonts w:hint="eastAsia" w:ascii="Times New Roman" w:hAnsi="Times New Roman" w:eastAsia="宋体" w:cs="Times New Roman"/>
                <w:color w:val="auto"/>
                <w:highlight w:val="none"/>
                <w:lang w:val="en-US" w:eastAsia="zh-CN"/>
              </w:rPr>
              <w:t>满足</w:t>
            </w:r>
            <w:r>
              <w:rPr>
                <w:rFonts w:hint="default" w:ascii="Times New Roman" w:hAnsi="Times New Roman" w:eastAsia="宋体" w:cs="Times New Roman"/>
                <w:color w:val="auto"/>
                <w:highlight w:val="none"/>
                <w:lang w:val="en-US" w:eastAsia="zh-CN"/>
              </w:rPr>
              <w:t>《大气污染物综合排放标准》（GB16297-1996）表2中颗粒物（染料尘）二级最高允许排放速率和最高允许排放浓度要求</w:t>
            </w:r>
            <w:r>
              <w:rPr>
                <w:rFonts w:hint="eastAsia" w:cs="Times New Roman"/>
                <w:color w:val="auto"/>
                <w:highlight w:val="none"/>
                <w:lang w:val="en-US" w:eastAsia="zh-CN"/>
              </w:rPr>
              <w:t>（监测报告详见附件9）。</w:t>
            </w:r>
          </w:p>
          <w:p>
            <w:pPr>
              <w:widowControl/>
              <w:spacing w:line="360" w:lineRule="auto"/>
              <w:ind w:firstLine="480" w:firstLineChars="200"/>
              <w:jc w:val="both"/>
              <w:rPr>
                <w:rFonts w:hint="default"/>
                <w:color w:val="auto"/>
                <w:highlight w:val="none"/>
                <w:lang w:val="en-US" w:eastAsia="zh-CN"/>
              </w:rPr>
            </w:pPr>
            <w:r>
              <w:rPr>
                <w:rFonts w:hint="eastAsia"/>
                <w:color w:val="auto"/>
                <w:highlight w:val="none"/>
                <w:lang w:val="en-US" w:eastAsia="zh-CN"/>
              </w:rPr>
              <w:t>通过类比可知，本项目使用水性漆及高固份油漆，且稀释剂用量较少，故本项目喷漆房废气采用“干式过滤器+二级活性炭吸附设施”的治理措施可行。</w:t>
            </w:r>
          </w:p>
          <w:p>
            <w:pPr>
              <w:widowControl/>
              <w:spacing w:line="360" w:lineRule="auto"/>
              <w:ind w:firstLine="480" w:firstLineChars="200"/>
              <w:jc w:val="both"/>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有组织废气</w:t>
            </w:r>
          </w:p>
          <w:p>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非甲烷总烃</w:t>
            </w:r>
            <w:r>
              <w:rPr>
                <w:rFonts w:hint="eastAsia" w:cs="Times New Roman"/>
                <w:color w:val="auto"/>
                <w:highlight w:val="none"/>
                <w:lang w:val="en-US" w:eastAsia="zh-CN"/>
              </w:rPr>
              <w:t>经治理后排放浓度</w:t>
            </w:r>
            <w:r>
              <w:rPr>
                <w:rFonts w:hint="eastAsia" w:ascii="Times New Roman" w:hAnsi="Times New Roman" w:eastAsia="宋体" w:cs="Times New Roman"/>
                <w:color w:val="auto"/>
                <w:highlight w:val="none"/>
                <w:lang w:val="en-US" w:eastAsia="zh-CN"/>
              </w:rPr>
              <w:t>满足</w:t>
            </w:r>
            <w:r>
              <w:rPr>
                <w:rFonts w:hint="default" w:ascii="Times New Roman" w:hAnsi="Times New Roman" w:eastAsia="宋体" w:cs="Times New Roman"/>
                <w:color w:val="auto"/>
                <w:highlight w:val="none"/>
                <w:lang w:val="en-US" w:eastAsia="zh-CN"/>
              </w:rPr>
              <w:t>《工业企业挥发性有机物排放控制标准》（DB13/2322-2016）表1中</w:t>
            </w:r>
            <w:r>
              <w:rPr>
                <w:rFonts w:hint="eastAsia" w:ascii="Times New Roman" w:hAnsi="Times New Roman" w:eastAsia="宋体" w:cs="Times New Roman"/>
                <w:color w:val="auto"/>
                <w:highlight w:val="none"/>
                <w:lang w:val="en-US" w:eastAsia="zh-CN"/>
              </w:rPr>
              <w:t>表面涂装业</w:t>
            </w:r>
            <w:r>
              <w:rPr>
                <w:rFonts w:hint="default" w:ascii="Times New Roman" w:hAnsi="Times New Roman" w:eastAsia="宋体" w:cs="Times New Roman"/>
                <w:color w:val="auto"/>
                <w:highlight w:val="none"/>
                <w:lang w:val="en-US" w:eastAsia="zh-CN"/>
              </w:rPr>
              <w:t>最高允许排放浓度</w:t>
            </w:r>
            <w:r>
              <w:rPr>
                <w:rFonts w:hint="eastAsia" w:ascii="Times New Roman" w:hAnsi="Times New Roman" w:eastAsia="宋体" w:cs="Times New Roman"/>
                <w:color w:val="auto"/>
                <w:highlight w:val="none"/>
                <w:lang w:val="en-US" w:eastAsia="zh-CN"/>
              </w:rPr>
              <w:t>与最低去除效率</w:t>
            </w:r>
            <w:r>
              <w:rPr>
                <w:rFonts w:hint="eastAsia" w:cs="Times New Roman"/>
                <w:color w:val="auto"/>
                <w:highlight w:val="none"/>
                <w:lang w:val="en-US" w:eastAsia="zh-CN"/>
              </w:rPr>
              <w:t>；</w:t>
            </w:r>
          </w:p>
          <w:p>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颗粒物</w:t>
            </w:r>
            <w:r>
              <w:rPr>
                <w:rFonts w:hint="eastAsia" w:eastAsia="宋体" w:cs="Times New Roman"/>
                <w:color w:val="auto"/>
                <w:highlight w:val="none"/>
                <w:lang w:val="en-US" w:eastAsia="zh-CN"/>
              </w:rPr>
              <w:t>（漆雾）</w:t>
            </w:r>
            <w:r>
              <w:rPr>
                <w:rFonts w:hint="eastAsia" w:cs="Times New Roman"/>
                <w:color w:val="auto"/>
                <w:highlight w:val="none"/>
                <w:lang w:val="en-US" w:eastAsia="zh-CN"/>
              </w:rPr>
              <w:t>经治理后排放浓度</w:t>
            </w:r>
            <w:r>
              <w:rPr>
                <w:rFonts w:hint="eastAsia" w:ascii="Times New Roman" w:hAnsi="Times New Roman" w:eastAsia="宋体" w:cs="Times New Roman"/>
                <w:color w:val="auto"/>
                <w:highlight w:val="none"/>
                <w:lang w:val="en-US" w:eastAsia="zh-CN"/>
              </w:rPr>
              <w:t>满足</w:t>
            </w:r>
            <w:r>
              <w:rPr>
                <w:rFonts w:hint="default" w:ascii="Times New Roman" w:hAnsi="Times New Roman" w:eastAsia="宋体" w:cs="Times New Roman"/>
                <w:color w:val="auto"/>
                <w:highlight w:val="none"/>
                <w:lang w:val="en-US" w:eastAsia="zh-CN"/>
              </w:rPr>
              <w:t>《大气污染物综合排放标准》（GB16297-1996）表2中颗粒物（染料尘）二级最高允许排放速率和最高允许排放浓度要求</w:t>
            </w:r>
            <w:r>
              <w:rPr>
                <w:rFonts w:hint="eastAsia" w:cs="Times New Roman"/>
                <w:color w:val="auto"/>
                <w:highlight w:val="none"/>
                <w:lang w:val="en-US" w:eastAsia="zh-CN"/>
              </w:rPr>
              <w:t>。</w:t>
            </w:r>
          </w:p>
          <w:p>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（2）无组织废气</w:t>
            </w:r>
          </w:p>
          <w:p>
            <w:pPr>
              <w:keepNext w:val="0"/>
              <w:keepLines w:val="0"/>
              <w:pageBreakBefore w:val="0"/>
              <w:widowControl/>
              <w:kinsoku/>
              <w:wordWrap/>
              <w:overflowPunct/>
              <w:topLinePunct w:val="0"/>
              <w:autoSpaceDE/>
              <w:autoSpaceDN/>
              <w:bidi w:val="0"/>
              <w:snapToGrid/>
              <w:spacing w:line="360" w:lineRule="auto"/>
              <w:ind w:firstLine="480" w:firstLineChars="200"/>
              <w:jc w:val="both"/>
              <w:textAlignment w:val="auto"/>
              <w:rPr>
                <w:rFonts w:hint="eastAsia" w:ascii="Times New Roman" w:hAnsi="Times New Roman" w:eastAsia="宋体" w:cs="Times New Roman"/>
                <w:b/>
                <w:bCs/>
                <w:color w:val="auto"/>
                <w:kern w:val="2"/>
                <w:sz w:val="24"/>
                <w:szCs w:val="32"/>
                <w:highlight w:val="none"/>
                <w:lang w:val="en-US" w:eastAsia="zh-CN" w:bidi="ar-SA"/>
              </w:rPr>
            </w:pPr>
            <w:r>
              <w:rPr>
                <w:rFonts w:hint="eastAsia" w:eastAsia="宋体" w:cs="Times New Roman"/>
                <w:color w:val="auto"/>
                <w:kern w:val="2"/>
                <w:sz w:val="24"/>
                <w:szCs w:val="24"/>
                <w:highlight w:val="none"/>
                <w:lang w:val="en-US" w:eastAsia="zh-CN" w:bidi="ar-SA"/>
              </w:rPr>
              <w:t>非甲烷总烃</w:t>
            </w:r>
            <w:r>
              <w:rPr>
                <w:rFonts w:hint="eastAsia" w:ascii="Times New Roman" w:hAnsi="Times New Roman" w:eastAsia="宋体" w:cs="Times New Roman"/>
                <w:color w:val="auto"/>
                <w:kern w:val="2"/>
                <w:sz w:val="24"/>
                <w:szCs w:val="24"/>
                <w:highlight w:val="none"/>
                <w:lang w:val="en-US" w:eastAsia="zh-CN" w:bidi="ar-SA"/>
              </w:rPr>
              <w:t>无组织排放满足</w:t>
            </w:r>
            <w:r>
              <w:rPr>
                <w:rFonts w:hint="default" w:ascii="Times New Roman" w:hAnsi="Times New Roman" w:eastAsia="宋体" w:cs="Times New Roman"/>
                <w:color w:val="auto"/>
                <w:kern w:val="2"/>
                <w:sz w:val="24"/>
                <w:szCs w:val="24"/>
                <w:highlight w:val="none"/>
                <w:lang w:val="en-US" w:eastAsia="zh-CN" w:bidi="ar-SA"/>
              </w:rPr>
              <w:t>《挥发性有机物无组织排放控制标准》（GB37822-2019）</w:t>
            </w:r>
            <w:r>
              <w:rPr>
                <w:rFonts w:hint="eastAsia" w:eastAsia="宋体" w:cs="Times New Roman"/>
                <w:color w:val="auto"/>
                <w:kern w:val="2"/>
                <w:sz w:val="24"/>
                <w:szCs w:val="24"/>
                <w:highlight w:val="none"/>
                <w:lang w:val="en-US" w:eastAsia="zh-CN" w:bidi="ar-SA"/>
              </w:rPr>
              <w:t>和</w:t>
            </w:r>
            <w:r>
              <w:rPr>
                <w:rFonts w:hint="default" w:ascii="Times New Roman" w:hAnsi="Times New Roman" w:eastAsia="宋体" w:cs="Times New Roman"/>
                <w:color w:val="auto"/>
                <w:highlight w:val="none"/>
                <w:lang w:val="en-US" w:eastAsia="zh-CN"/>
              </w:rPr>
              <w:t>《工业企业挥发性有机物排放控制标准》（DB13/2322-2016）</w:t>
            </w:r>
            <w:r>
              <w:rPr>
                <w:rFonts w:hint="eastAsia" w:ascii="Times New Roman" w:hAnsi="Times New Roman" w:eastAsia="宋体" w:cs="Times New Roman"/>
                <w:color w:val="auto"/>
                <w:highlight w:val="none"/>
                <w:lang w:val="en-US" w:eastAsia="zh-CN"/>
              </w:rPr>
              <w:t>相关要求。</w:t>
            </w:r>
          </w:p>
          <w:p>
            <w:pPr>
              <w:widowControl/>
              <w:spacing w:line="360" w:lineRule="auto"/>
              <w:ind w:firstLine="480" w:firstLineChars="200"/>
              <w:jc w:val="both"/>
              <w:rPr>
                <w:rFonts w:hint="eastAsia" w:ascii="Times New Roman" w:hAnsi="Times New Roman" w:eastAsia="宋体" w:cs="Times New Roman"/>
                <w:color w:val="auto"/>
                <w:highlight w:val="none"/>
                <w:lang w:val="en-US" w:eastAsia="zh-CN"/>
              </w:rPr>
            </w:pPr>
            <w:r>
              <w:rPr>
                <w:rFonts w:hint="eastAsia" w:eastAsia="宋体"/>
                <w:color w:val="auto"/>
                <w:highlight w:val="none"/>
              </w:rPr>
              <w:t>无组织</w:t>
            </w:r>
            <w:r>
              <w:rPr>
                <w:rFonts w:eastAsia="宋体"/>
                <w:color w:val="auto"/>
                <w:highlight w:val="none"/>
              </w:rPr>
              <w:t>颗粒物排放浓度满足《大气污染物综合排放标准》（GB16297-1996）表2颗粒物无组织浓度限值要求</w:t>
            </w:r>
            <w:r>
              <w:rPr>
                <w:rFonts w:hint="eastAsia" w:eastAsia="宋体"/>
                <w:color w:val="auto"/>
                <w:highlight w:val="none"/>
              </w:rPr>
              <w:t>同时满足</w:t>
            </w:r>
            <w:r>
              <w:rPr>
                <w:rFonts w:eastAsia="宋体"/>
                <w:color w:val="auto"/>
                <w:highlight w:val="none"/>
              </w:rPr>
              <w:t>厂界无组织颗粒物执行</w:t>
            </w:r>
            <w:r>
              <w:rPr>
                <w:rFonts w:hint="eastAsia" w:eastAsia="宋体"/>
                <w:color w:val="auto"/>
                <w:highlight w:val="none"/>
              </w:rPr>
              <w:t>《秦皇岛市人民政府办公室关于执行钢铁等行业大气污染物排放特别要求的通知》（2021-10）中无组织排放浓度特别管控要求，即0.3mg/m³</w:t>
            </w:r>
            <w:r>
              <w:rPr>
                <w:rFonts w:hint="eastAsia" w:ascii="Times New Roman" w:hAnsi="Times New Roman" w:eastAsia="宋体" w:cs="Times New Roman"/>
                <w:color w:val="auto"/>
                <w:kern w:val="2"/>
                <w:sz w:val="24"/>
                <w:szCs w:val="24"/>
                <w:highlight w:val="none"/>
                <w:lang w:val="en-US" w:eastAsia="zh-CN" w:bidi="ar-SA"/>
              </w:rPr>
              <w:t>。</w:t>
            </w:r>
          </w:p>
          <w:p>
            <w:pPr>
              <w:pStyle w:val="28"/>
              <w:spacing w:line="360" w:lineRule="auto"/>
              <w:ind w:left="0" w:leftChars="0" w:firstLine="0" w:firstLineChars="0"/>
              <w:rPr>
                <w:rFonts w:hint="eastAsia"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1.</w:t>
            </w:r>
            <w:r>
              <w:rPr>
                <w:rFonts w:hint="eastAsia" w:cs="Times New Roman"/>
                <w:b/>
                <w:bCs/>
                <w:color w:val="auto"/>
                <w:kern w:val="2"/>
                <w:sz w:val="24"/>
                <w:szCs w:val="32"/>
                <w:highlight w:val="none"/>
                <w:lang w:val="en-US" w:eastAsia="zh-CN" w:bidi="ar-SA"/>
              </w:rPr>
              <w:t>4</w:t>
            </w:r>
            <w:r>
              <w:rPr>
                <w:rFonts w:hint="eastAsia" w:ascii="Times New Roman" w:hAnsi="Times New Roman" w:eastAsia="宋体" w:cs="Times New Roman"/>
                <w:b/>
                <w:bCs/>
                <w:color w:val="auto"/>
                <w:kern w:val="2"/>
                <w:sz w:val="24"/>
                <w:szCs w:val="32"/>
                <w:highlight w:val="none"/>
                <w:lang w:val="en-US" w:eastAsia="zh-CN" w:bidi="ar-SA"/>
              </w:rPr>
              <w:t>排放口情况</w:t>
            </w: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 xml:space="preserve">4-2 </w:t>
            </w:r>
            <w:r>
              <w:rPr>
                <w:rFonts w:hint="default" w:ascii="Times New Roman" w:hAnsi="Times New Roman" w:eastAsia="宋体" w:cs="Times New Roman"/>
                <w:b/>
                <w:bCs/>
                <w:color w:val="auto"/>
                <w:sz w:val="24"/>
                <w:szCs w:val="24"/>
                <w:highlight w:val="none"/>
                <w:lang w:val="en-US" w:eastAsia="zh-CN"/>
              </w:rPr>
              <w:t xml:space="preserve"> 有组织排放口基本情况一览表</w:t>
            </w:r>
          </w:p>
          <w:tbl>
            <w:tblPr>
              <w:tblStyle w:val="33"/>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980"/>
              <w:gridCol w:w="1377"/>
              <w:gridCol w:w="1327"/>
              <w:gridCol w:w="1196"/>
              <w:gridCol w:w="867"/>
              <w:gridCol w:w="816"/>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77"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编号</w:t>
                  </w:r>
                </w:p>
              </w:tc>
              <w:tc>
                <w:tcPr>
                  <w:tcW w:w="980"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名称</w:t>
                  </w:r>
                </w:p>
              </w:tc>
              <w:tc>
                <w:tcPr>
                  <w:tcW w:w="1377"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污染物</w:t>
                  </w:r>
                </w:p>
              </w:tc>
              <w:tc>
                <w:tcPr>
                  <w:tcW w:w="2523" w:type="dxa"/>
                  <w:gridSpan w:val="2"/>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坐标</w:t>
                  </w:r>
                </w:p>
              </w:tc>
              <w:tc>
                <w:tcPr>
                  <w:tcW w:w="867"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出口内径/m</w:t>
                  </w:r>
                </w:p>
              </w:tc>
              <w:tc>
                <w:tcPr>
                  <w:tcW w:w="816"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排放高度</w:t>
                  </w:r>
                </w:p>
              </w:tc>
              <w:tc>
                <w:tcPr>
                  <w:tcW w:w="1064" w:type="dxa"/>
                  <w:vMerge w:val="restart"/>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烟气流速/温度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77"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c>
                <w:tcPr>
                  <w:tcW w:w="980"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c>
                <w:tcPr>
                  <w:tcW w:w="1377"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c>
                <w:tcPr>
                  <w:tcW w:w="1327"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东经</w:t>
                  </w:r>
                </w:p>
              </w:tc>
              <w:tc>
                <w:tcPr>
                  <w:tcW w:w="1196"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北纬</w:t>
                  </w:r>
                </w:p>
              </w:tc>
              <w:tc>
                <w:tcPr>
                  <w:tcW w:w="867"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c>
                <w:tcPr>
                  <w:tcW w:w="816"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c>
                <w:tcPr>
                  <w:tcW w:w="1064" w:type="dxa"/>
                  <w:vMerge w:val="continue"/>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77"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DA001</w:t>
                  </w:r>
                </w:p>
              </w:tc>
              <w:tc>
                <w:tcPr>
                  <w:tcW w:w="980"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eastAsia" w:ascii="Times New Roman" w:hAnsi="Times New Roman" w:cs="Times New Roman"/>
                      <w:b w:val="0"/>
                      <w:bCs/>
                      <w:color w:val="auto"/>
                      <w:sz w:val="21"/>
                      <w:highlight w:val="none"/>
                      <w:vertAlign w:val="baseline"/>
                      <w:lang w:val="en-US" w:eastAsia="zh-CN"/>
                    </w:rPr>
                    <w:t>排气筒</w:t>
                  </w:r>
                </w:p>
              </w:tc>
              <w:tc>
                <w:tcPr>
                  <w:tcW w:w="1377"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highlight w:val="none"/>
                      <w:vertAlign w:val="baseline"/>
                      <w:lang w:val="en-US" w:eastAsia="zh-CN"/>
                    </w:rPr>
                  </w:pPr>
                  <w:r>
                    <w:rPr>
                      <w:rFonts w:hint="default" w:ascii="Times New Roman" w:hAnsi="Times New Roman" w:eastAsia="宋体" w:cs="Times New Roman"/>
                      <w:b w:val="0"/>
                      <w:bCs/>
                      <w:color w:val="auto"/>
                      <w:sz w:val="21"/>
                      <w:highlight w:val="none"/>
                      <w:vertAlign w:val="baseline"/>
                      <w:lang w:val="en-US" w:eastAsia="zh-CN"/>
                    </w:rPr>
                    <w:t>非甲烷总烃</w:t>
                  </w:r>
                </w:p>
              </w:tc>
              <w:tc>
                <w:tcPr>
                  <w:tcW w:w="1327"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i w:val="0"/>
                      <w:iCs w:val="0"/>
                      <w:color w:val="auto"/>
                      <w:sz w:val="21"/>
                      <w:highlight w:val="none"/>
                      <w:lang w:val="en-US" w:eastAsia="zh-CN"/>
                    </w:rPr>
                  </w:pPr>
                  <w:r>
                    <w:rPr>
                      <w:rFonts w:hint="eastAsia" w:cs="Times New Roman"/>
                      <w:b w:val="0"/>
                      <w:bCs/>
                      <w:i w:val="0"/>
                      <w:iCs w:val="0"/>
                      <w:color w:val="auto"/>
                      <w:sz w:val="21"/>
                      <w:highlight w:val="none"/>
                      <w:lang w:val="en-US" w:eastAsia="zh-CN"/>
                    </w:rPr>
                    <w:t>119.231728</w:t>
                  </w:r>
                </w:p>
              </w:tc>
              <w:tc>
                <w:tcPr>
                  <w:tcW w:w="1196"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i w:val="0"/>
                      <w:iCs w:val="0"/>
                      <w:color w:val="auto"/>
                      <w:sz w:val="21"/>
                      <w:highlight w:val="none"/>
                      <w:lang w:val="en-US" w:eastAsia="zh-CN"/>
                    </w:rPr>
                  </w:pPr>
                  <w:r>
                    <w:rPr>
                      <w:rFonts w:hint="eastAsia" w:cs="Times New Roman"/>
                      <w:b w:val="0"/>
                      <w:bCs/>
                      <w:i w:val="0"/>
                      <w:iCs w:val="0"/>
                      <w:color w:val="auto"/>
                      <w:sz w:val="21"/>
                      <w:highlight w:val="none"/>
                      <w:lang w:val="en-US" w:eastAsia="zh-CN"/>
                    </w:rPr>
                    <w:t>39.921421</w:t>
                  </w:r>
                </w:p>
              </w:tc>
              <w:tc>
                <w:tcPr>
                  <w:tcW w:w="867"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i w:val="0"/>
                      <w:iCs w:val="0"/>
                      <w:color w:val="auto"/>
                      <w:sz w:val="21"/>
                      <w:highlight w:val="none"/>
                      <w:lang w:val="en-US" w:eastAsia="zh-CN"/>
                    </w:rPr>
                  </w:pPr>
                  <w:r>
                    <w:rPr>
                      <w:rFonts w:hint="eastAsia" w:ascii="Times New Roman" w:hAnsi="Times New Roman" w:eastAsia="宋体" w:cs="Times New Roman"/>
                      <w:b w:val="0"/>
                      <w:bCs/>
                      <w:i w:val="0"/>
                      <w:iCs w:val="0"/>
                      <w:color w:val="auto"/>
                      <w:sz w:val="21"/>
                      <w:highlight w:val="none"/>
                      <w:lang w:val="en-US" w:eastAsia="zh-CN"/>
                    </w:rPr>
                    <w:t>0.</w:t>
                  </w:r>
                  <w:r>
                    <w:rPr>
                      <w:rFonts w:hint="eastAsia" w:cs="Times New Roman"/>
                      <w:b w:val="0"/>
                      <w:bCs/>
                      <w:i w:val="0"/>
                      <w:iCs w:val="0"/>
                      <w:color w:val="auto"/>
                      <w:sz w:val="21"/>
                      <w:highlight w:val="none"/>
                      <w:lang w:val="en-US" w:eastAsia="zh-CN"/>
                    </w:rPr>
                    <w:t>5</w:t>
                  </w:r>
                </w:p>
              </w:tc>
              <w:tc>
                <w:tcPr>
                  <w:tcW w:w="816"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i w:val="0"/>
                      <w:iCs w:val="0"/>
                      <w:color w:val="auto"/>
                      <w:sz w:val="21"/>
                      <w:highlight w:val="none"/>
                      <w:lang w:val="en-US" w:eastAsia="zh-CN"/>
                    </w:rPr>
                  </w:pPr>
                  <w:r>
                    <w:rPr>
                      <w:rFonts w:hint="default" w:ascii="Times New Roman" w:hAnsi="Times New Roman" w:eastAsia="宋体" w:cs="Times New Roman"/>
                      <w:b w:val="0"/>
                      <w:bCs/>
                      <w:i w:val="0"/>
                      <w:iCs w:val="0"/>
                      <w:color w:val="auto"/>
                      <w:sz w:val="21"/>
                      <w:highlight w:val="none"/>
                      <w:lang w:val="en-US" w:eastAsia="zh-CN"/>
                    </w:rPr>
                    <w:t>15</w:t>
                  </w:r>
                </w:p>
              </w:tc>
              <w:tc>
                <w:tcPr>
                  <w:tcW w:w="1064" w:type="dxa"/>
                  <w:vAlign w:val="center"/>
                </w:tcPr>
                <w:p>
                  <w:pPr>
                    <w:pStyle w:val="11"/>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i w:val="0"/>
                      <w:iCs w:val="0"/>
                      <w:color w:val="auto"/>
                      <w:sz w:val="21"/>
                      <w:highlight w:val="none"/>
                      <w:lang w:val="en-US" w:eastAsia="zh-CN"/>
                    </w:rPr>
                  </w:pPr>
                  <w:r>
                    <w:rPr>
                      <w:rFonts w:hint="eastAsia" w:cs="Times New Roman"/>
                      <w:b w:val="0"/>
                      <w:bCs/>
                      <w:i w:val="0"/>
                      <w:iCs w:val="0"/>
                      <w:color w:val="auto"/>
                      <w:sz w:val="21"/>
                      <w:highlight w:val="none"/>
                      <w:lang w:val="en-US" w:eastAsia="zh-CN"/>
                    </w:rPr>
                    <w:t>常温</w:t>
                  </w:r>
                </w:p>
              </w:tc>
            </w:tr>
          </w:tbl>
          <w:p>
            <w:pPr>
              <w:pStyle w:val="28"/>
              <w:spacing w:line="360" w:lineRule="auto"/>
              <w:ind w:left="0" w:leftChars="0" w:firstLine="0" w:firstLineChars="0"/>
              <w:rPr>
                <w:rFonts w:hint="eastAsia" w:cs="Times New Roman"/>
                <w:b/>
                <w:bCs/>
                <w:color w:val="auto"/>
                <w:kern w:val="2"/>
                <w:sz w:val="24"/>
                <w:szCs w:val="32"/>
                <w:highlight w:val="none"/>
                <w:lang w:val="en-US" w:eastAsia="zh-CN" w:bidi="ar-SA"/>
              </w:rPr>
            </w:pPr>
            <w:r>
              <w:rPr>
                <w:rFonts w:hint="eastAsia" w:cs="Times New Roman"/>
                <w:b/>
                <w:bCs/>
                <w:color w:val="auto"/>
                <w:kern w:val="2"/>
                <w:sz w:val="24"/>
                <w:szCs w:val="32"/>
                <w:highlight w:val="none"/>
                <w:lang w:val="en-US" w:eastAsia="zh-CN" w:bidi="ar-SA"/>
              </w:rPr>
              <w:t>1.5非正常工况</w:t>
            </w:r>
          </w:p>
          <w:p>
            <w:pPr>
              <w:widowControl/>
              <w:spacing w:line="360" w:lineRule="auto"/>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highlight w:val="none"/>
              </w:rPr>
              <w:t>非正常工况是指项目生产运行阶段开车、停车、检修等情况下的生产状况，非正常排放是指在非正常工况的情况下的污染物排放。本项目治理设备要先于生产设备开机，并且晚于生产设备关机。本项目在环保设施故障时，立即采取停产措施，避免造成污染物超标排放的情况。</w:t>
            </w: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4-3</w:t>
            </w:r>
            <w:r>
              <w:rPr>
                <w:rFonts w:hint="default" w:ascii="Times New Roman" w:hAnsi="Times New Roman" w:eastAsia="宋体" w:cs="Times New Roman"/>
                <w:b/>
                <w:bCs/>
                <w:color w:val="auto"/>
                <w:sz w:val="24"/>
                <w:szCs w:val="24"/>
                <w:highlight w:val="none"/>
                <w:lang w:val="en-US" w:eastAsia="zh-CN"/>
              </w:rPr>
              <w:t xml:space="preserve">  项目非正常工况大气污染物源强表</w:t>
            </w:r>
          </w:p>
          <w:tbl>
            <w:tblPr>
              <w:tblStyle w:val="32"/>
              <w:tblpPr w:leftFromText="180" w:rightFromText="180" w:vertAnchor="text" w:tblpXSpec="center" w:tblpY="1"/>
              <w:tblOverlap w:val="never"/>
              <w:tblW w:w="8435"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187"/>
              <w:gridCol w:w="1163"/>
              <w:gridCol w:w="1387"/>
              <w:gridCol w:w="1450"/>
              <w:gridCol w:w="1194"/>
              <w:gridCol w:w="105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5"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产污环节</w:t>
                  </w:r>
                </w:p>
              </w:tc>
              <w:tc>
                <w:tcPr>
                  <w:tcW w:w="1187"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污染因子</w:t>
                  </w:r>
                </w:p>
              </w:tc>
              <w:tc>
                <w:tcPr>
                  <w:tcW w:w="1163"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产生量t/a</w:t>
                  </w:r>
                </w:p>
              </w:tc>
              <w:tc>
                <w:tcPr>
                  <w:tcW w:w="1387"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c>
                <w:tcPr>
                  <w:tcW w:w="1450"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排放速率kg/h</w:t>
                  </w:r>
                </w:p>
              </w:tc>
              <w:tc>
                <w:tcPr>
                  <w:tcW w:w="1194"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排放浓度mg/m</w:t>
                  </w:r>
                  <w:r>
                    <w:rPr>
                      <w:rFonts w:hint="default" w:ascii="Times New Roman" w:hAnsi="Times New Roman" w:eastAsia="宋体" w:cs="Times New Roman"/>
                      <w:color w:val="auto"/>
                      <w:sz w:val="21"/>
                      <w:szCs w:val="21"/>
                      <w:highlight w:val="none"/>
                      <w:vertAlign w:val="superscript"/>
                    </w:rPr>
                    <w:t>3</w:t>
                  </w:r>
                </w:p>
              </w:tc>
              <w:tc>
                <w:tcPr>
                  <w:tcW w:w="1059"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措施效率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995" w:type="dxa"/>
                  <w:vMerge w:val="restart"/>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喷涂（调漆、喷漆、晾干）</w:t>
                  </w:r>
                </w:p>
              </w:tc>
              <w:tc>
                <w:tcPr>
                  <w:tcW w:w="118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颗粒物</w:t>
                  </w:r>
                </w:p>
              </w:tc>
              <w:tc>
                <w:tcPr>
                  <w:tcW w:w="1163"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38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4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194"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15.03</w:t>
                  </w:r>
                </w:p>
              </w:tc>
              <w:tc>
                <w:tcPr>
                  <w:tcW w:w="1059" w:type="dxa"/>
                  <w:vMerge w:val="restar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治理效率为0%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95" w:type="dxa"/>
                  <w:vMerge w:val="continue"/>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118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1163"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0.323</w:t>
                  </w:r>
                </w:p>
              </w:tc>
              <w:tc>
                <w:tcPr>
                  <w:tcW w:w="1387"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color w:val="auto"/>
                      <w:sz w:val="21"/>
                      <w:szCs w:val="21"/>
                      <w:highlight w:val="none"/>
                      <w:lang w:val="en-US" w:eastAsia="zh-CN"/>
                    </w:rPr>
                  </w:pPr>
                  <w:r>
                    <w:rPr>
                      <w:rFonts w:hint="eastAsia" w:cs="Times New Roman"/>
                      <w:color w:val="auto"/>
                      <w:kern w:val="2"/>
                      <w:sz w:val="21"/>
                      <w:szCs w:val="21"/>
                      <w:highlight w:val="none"/>
                      <w:lang w:val="en-US" w:eastAsia="zh-CN" w:bidi="ar-SA"/>
                    </w:rPr>
                    <w:t>0.323</w:t>
                  </w:r>
                </w:p>
              </w:tc>
              <w:tc>
                <w:tcPr>
                  <w:tcW w:w="14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0.25</w:t>
                  </w:r>
                </w:p>
              </w:tc>
              <w:tc>
                <w:tcPr>
                  <w:tcW w:w="1194"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16.18</w:t>
                  </w:r>
                </w:p>
              </w:tc>
              <w:tc>
                <w:tcPr>
                  <w:tcW w:w="1059" w:type="dxa"/>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995"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焊接</w:t>
                  </w:r>
                </w:p>
              </w:tc>
              <w:tc>
                <w:tcPr>
                  <w:tcW w:w="118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1163" w:type="dxa"/>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0.06</w:t>
                  </w:r>
                </w:p>
              </w:tc>
              <w:tc>
                <w:tcPr>
                  <w:tcW w:w="1387"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450" w:type="dxa"/>
                  <w:noWrap/>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194" w:type="dxa"/>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59" w:type="dxa"/>
                  <w:vMerge w:val="continue"/>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eastAsia="宋体"/>
                <w:color w:val="auto"/>
                <w:sz w:val="21"/>
                <w:szCs w:val="21"/>
                <w:highlight w:val="none"/>
                <w:lang w:val="en-US" w:eastAsia="zh-CN"/>
              </w:rPr>
            </w:pPr>
            <w:r>
              <w:rPr>
                <w:rFonts w:hint="default" w:ascii="Times New Roman" w:hAnsi="Times New Roman" w:cs="Times New Roman"/>
                <w:bCs/>
                <w:color w:val="auto"/>
                <w:sz w:val="21"/>
                <w:szCs w:val="21"/>
                <w:highlight w:val="none"/>
              </w:rPr>
              <w:t>建议：建设单位在正常生产时应合理安排环保设施的检修时间，同时应加强各环保设施的日常维护的保养，一旦环保设施出现报警或自动停机的情况，企业必须马</w:t>
            </w:r>
            <w:r>
              <w:rPr>
                <w:rFonts w:hint="default" w:ascii="Times New Roman" w:hAnsi="Times New Roman" w:eastAsia="宋体" w:cs="Times New Roman"/>
                <w:bCs/>
                <w:color w:val="auto"/>
                <w:sz w:val="21"/>
                <w:szCs w:val="21"/>
                <w:highlight w:val="none"/>
              </w:rPr>
              <w:t>上停止生产，待其正常运行后，方可开机生产</w:t>
            </w:r>
            <w:r>
              <w:rPr>
                <w:rFonts w:hint="eastAsia" w:eastAsia="宋体" w:cs="Times New Roman"/>
                <w:bCs/>
                <w:color w:val="auto"/>
                <w:sz w:val="21"/>
                <w:szCs w:val="21"/>
                <w:highlight w:val="none"/>
                <w:lang w:eastAsia="zh-CN"/>
              </w:rPr>
              <w:t>。</w:t>
            </w:r>
          </w:p>
          <w:p>
            <w:pPr>
              <w:pStyle w:val="28"/>
              <w:spacing w:line="360" w:lineRule="auto"/>
              <w:ind w:left="0" w:leftChars="0" w:firstLine="0" w:firstLineChars="0"/>
              <w:rPr>
                <w:rFonts w:hint="default" w:ascii="Times New Roman" w:hAnsi="Times New Roman" w:eastAsia="宋体"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en-US" w:eastAsia="zh-CN" w:bidi="ar-SA"/>
              </w:rPr>
              <w:t>1.</w:t>
            </w:r>
            <w:r>
              <w:rPr>
                <w:rFonts w:hint="eastAsia" w:cs="Times New Roman"/>
                <w:b/>
                <w:bCs/>
                <w:color w:val="auto"/>
                <w:kern w:val="2"/>
                <w:sz w:val="24"/>
                <w:szCs w:val="32"/>
                <w:highlight w:val="none"/>
                <w:lang w:val="en-US" w:eastAsia="zh-CN" w:bidi="ar-SA"/>
              </w:rPr>
              <w:t>6</w:t>
            </w:r>
            <w:r>
              <w:rPr>
                <w:rFonts w:hint="default" w:ascii="Times New Roman" w:hAnsi="Times New Roman" w:eastAsia="宋体" w:cs="Times New Roman"/>
                <w:b/>
                <w:bCs/>
                <w:color w:val="auto"/>
                <w:kern w:val="2"/>
                <w:sz w:val="24"/>
                <w:szCs w:val="32"/>
                <w:highlight w:val="none"/>
                <w:lang w:val="en-US" w:eastAsia="zh-CN" w:bidi="ar-SA"/>
              </w:rPr>
              <w:t>监测要求</w:t>
            </w:r>
          </w:p>
          <w:p>
            <w:pPr>
              <w:ind w:firstLine="480" w:firstLineChars="200"/>
              <w:jc w:val="both"/>
              <w:rPr>
                <w:rFonts w:hint="default"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按照《排污许可申请与核发技术规范 总则》中监测点位、指标以及频次要求确定本项目废气要求。</w:t>
            </w: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 xml:space="preserve">4-4 </w:t>
            </w:r>
            <w:r>
              <w:rPr>
                <w:rFonts w:hint="default" w:ascii="Times New Roman" w:hAnsi="Times New Roman" w:eastAsia="宋体" w:cs="Times New Roman"/>
                <w:b/>
                <w:bCs/>
                <w:color w:val="auto"/>
                <w:sz w:val="24"/>
                <w:szCs w:val="24"/>
                <w:highlight w:val="none"/>
                <w:lang w:val="en-US" w:eastAsia="zh-CN"/>
              </w:rPr>
              <w:t xml:space="preserve"> 监测要求一览表</w:t>
            </w:r>
          </w:p>
          <w:tbl>
            <w:tblPr>
              <w:tblStyle w:val="32"/>
              <w:tblW w:w="8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2976"/>
              <w:gridCol w:w="2039"/>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7" w:type="dxa"/>
                  <w:noWrap/>
                  <w:vAlign w:val="center"/>
                </w:tcPr>
                <w:p>
                  <w:pPr>
                    <w:pStyle w:val="11"/>
                    <w:spacing w:line="240" w:lineRule="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监测项目</w:t>
                  </w:r>
                </w:p>
              </w:tc>
              <w:tc>
                <w:tcPr>
                  <w:tcW w:w="2976" w:type="dxa"/>
                  <w:noWrap/>
                  <w:vAlign w:val="center"/>
                </w:tcPr>
                <w:p>
                  <w:pPr>
                    <w:pStyle w:val="11"/>
                    <w:spacing w:line="240" w:lineRule="auto"/>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监测点位</w:t>
                  </w:r>
                </w:p>
              </w:tc>
              <w:tc>
                <w:tcPr>
                  <w:tcW w:w="2039" w:type="dxa"/>
                  <w:noWrap/>
                  <w:vAlign w:val="center"/>
                </w:tcPr>
                <w:p>
                  <w:pPr>
                    <w:pStyle w:val="11"/>
                    <w:spacing w:line="240" w:lineRule="auto"/>
                    <w:jc w:val="center"/>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监测因子</w:t>
                  </w:r>
                </w:p>
              </w:tc>
              <w:tc>
                <w:tcPr>
                  <w:tcW w:w="2128" w:type="dxa"/>
                  <w:noWrap/>
                  <w:vAlign w:val="center"/>
                </w:tcPr>
                <w:p>
                  <w:pPr>
                    <w:pStyle w:val="11"/>
                    <w:spacing w:line="240" w:lineRule="auto"/>
                    <w:jc w:val="center"/>
                    <w:rPr>
                      <w:rFonts w:hint="default" w:ascii="Times New Roman" w:hAnsi="Times New Roman" w:eastAsia="宋体" w:cs="Times New Roman"/>
                      <w:b w:val="0"/>
                      <w:bCs/>
                      <w:color w:val="auto"/>
                      <w:sz w:val="21"/>
                      <w:highlight w:val="none"/>
                    </w:rPr>
                  </w:pPr>
                  <w:r>
                    <w:rPr>
                      <w:rFonts w:hint="default" w:ascii="Times New Roman" w:hAnsi="Times New Roman" w:eastAsia="宋体" w:cs="Times New Roman"/>
                      <w:b w:val="0"/>
                      <w:bCs/>
                      <w:color w:val="auto"/>
                      <w:sz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7"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2976"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厂界</w:t>
                  </w:r>
                </w:p>
              </w:tc>
              <w:tc>
                <w:tcPr>
                  <w:tcW w:w="2039"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颗粒物</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非甲烷总烃</w:t>
                  </w:r>
                </w:p>
              </w:tc>
              <w:tc>
                <w:tcPr>
                  <w:tcW w:w="2128" w:type="dxa"/>
                  <w:noWrap/>
                  <w:vAlign w:val="center"/>
                </w:tcPr>
                <w:p>
                  <w:pPr>
                    <w:pStyle w:val="30"/>
                    <w:spacing w:line="240" w:lineRule="auto"/>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bCs/>
                      <w:color w:val="auto"/>
                      <w:kern w:val="2"/>
                      <w:sz w:val="21"/>
                      <w:szCs w:val="21"/>
                      <w:highlight w:val="none"/>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7" w:type="dxa"/>
                  <w:noWrap/>
                  <w:vAlign w:val="center"/>
                </w:tcPr>
                <w:p>
                  <w:pPr>
                    <w:pStyle w:val="30"/>
                    <w:spacing w:line="240" w:lineRule="auto"/>
                    <w:jc w:val="center"/>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废气</w:t>
                  </w:r>
                </w:p>
              </w:tc>
              <w:tc>
                <w:tcPr>
                  <w:tcW w:w="2976"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喷涂工序所在生产车间外</w:t>
                  </w:r>
                </w:p>
              </w:tc>
              <w:tc>
                <w:tcPr>
                  <w:tcW w:w="2039"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非甲烷总烃</w:t>
                  </w:r>
                </w:p>
              </w:tc>
              <w:tc>
                <w:tcPr>
                  <w:tcW w:w="2128" w:type="dxa"/>
                  <w:noWrap/>
                  <w:vAlign w:val="center"/>
                </w:tcPr>
                <w:p>
                  <w:pPr>
                    <w:pStyle w:val="30"/>
                    <w:spacing w:line="240" w:lineRule="auto"/>
                    <w:jc w:val="center"/>
                    <w:rPr>
                      <w:rFonts w:hint="eastAsia" w:ascii="Times New Roman" w:hAnsi="Times New Roman" w:eastAsia="宋体" w:cs="Times New Roman"/>
                      <w:bCs/>
                      <w:color w:val="auto"/>
                      <w:kern w:val="2"/>
                      <w:sz w:val="21"/>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7"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废气</w:t>
                  </w:r>
                </w:p>
              </w:tc>
              <w:tc>
                <w:tcPr>
                  <w:tcW w:w="2976" w:type="dxa"/>
                  <w:noWrap/>
                  <w:vAlign w:val="center"/>
                </w:tcPr>
                <w:p>
                  <w:pPr>
                    <w:pStyle w:val="30"/>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DA001排气筒</w:t>
                  </w:r>
                </w:p>
              </w:tc>
              <w:tc>
                <w:tcPr>
                  <w:tcW w:w="2039" w:type="dxa"/>
                  <w:noWrap/>
                  <w:vAlign w:val="center"/>
                </w:tcPr>
                <w:p>
                  <w:pPr>
                    <w:pStyle w:val="30"/>
                    <w:spacing w:line="240" w:lineRule="auto"/>
                    <w:jc w:val="center"/>
                    <w:rPr>
                      <w:rFonts w:hint="default" w:ascii="Times New Roman" w:hAnsi="Times New Roman" w:eastAsia="仿宋"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非甲烷总烃、颗粒物</w:t>
                  </w:r>
                </w:p>
              </w:tc>
              <w:tc>
                <w:tcPr>
                  <w:tcW w:w="2128" w:type="dxa"/>
                  <w:noWrap/>
                  <w:vAlign w:val="center"/>
                </w:tcPr>
                <w:p>
                  <w:pPr>
                    <w:pStyle w:val="30"/>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rPr>
                    <w:t>每年一次</w:t>
                  </w:r>
                </w:p>
              </w:tc>
            </w:tr>
          </w:tbl>
          <w:p>
            <w:pPr>
              <w:pStyle w:val="110"/>
              <w:snapToGrid w:val="0"/>
              <w:ind w:firstLine="480"/>
              <w:rPr>
                <w:rFonts w:hint="default" w:ascii="Times New Roman" w:hAnsi="Times New Roman" w:cs="Times New Roman"/>
                <w:color w:val="auto"/>
                <w:highlight w:val="none"/>
              </w:rPr>
            </w:pPr>
            <w:r>
              <w:rPr>
                <w:rFonts w:hint="eastAsia"/>
                <w:color w:val="auto"/>
                <w:highlight w:val="none"/>
              </w:rPr>
              <w:t>注：根据河北省环保厅《关于加强重点工业源挥发性有机物排放在线监控工作的通知》</w:t>
            </w:r>
            <w:r>
              <w:rPr>
                <w:color w:val="auto"/>
                <w:highlight w:val="none"/>
              </w:rPr>
              <w:t>(</w:t>
            </w:r>
            <w:r>
              <w:rPr>
                <w:rFonts w:hint="eastAsia"/>
                <w:color w:val="auto"/>
                <w:highlight w:val="none"/>
              </w:rPr>
              <w:t>冀环办字函〔</w:t>
            </w:r>
            <w:r>
              <w:rPr>
                <w:color w:val="auto"/>
                <w:highlight w:val="none"/>
              </w:rPr>
              <w:t>2017</w:t>
            </w:r>
            <w:r>
              <w:rPr>
                <w:rFonts w:hint="eastAsia"/>
                <w:color w:val="auto"/>
                <w:highlight w:val="none"/>
              </w:rPr>
              <w:t>〕</w:t>
            </w:r>
            <w:r>
              <w:rPr>
                <w:color w:val="auto"/>
                <w:highlight w:val="none"/>
              </w:rPr>
              <w:t>544</w:t>
            </w:r>
            <w:r>
              <w:rPr>
                <w:rFonts w:hint="eastAsia"/>
                <w:color w:val="auto"/>
                <w:highlight w:val="none"/>
              </w:rPr>
              <w:t>号</w:t>
            </w:r>
            <w:r>
              <w:rPr>
                <w:color w:val="auto"/>
                <w:highlight w:val="none"/>
              </w:rPr>
              <w:t>)</w:t>
            </w:r>
            <w:r>
              <w:rPr>
                <w:rFonts w:hint="eastAsia"/>
                <w:color w:val="auto"/>
                <w:highlight w:val="none"/>
              </w:rPr>
              <w:t>：“排气筒</w:t>
            </w:r>
            <w:r>
              <w:rPr>
                <w:color w:val="auto"/>
                <w:highlight w:val="none"/>
              </w:rPr>
              <w:t>VOCs</w:t>
            </w:r>
            <w:r>
              <w:rPr>
                <w:rFonts w:hint="eastAsia"/>
                <w:color w:val="auto"/>
                <w:highlight w:val="none"/>
              </w:rPr>
              <w:t>排放速率（包括等效排气筒等效排放速率）大于</w:t>
            </w:r>
            <w:r>
              <w:rPr>
                <w:color w:val="auto"/>
                <w:highlight w:val="none"/>
              </w:rPr>
              <w:t>2.5kg/h</w:t>
            </w:r>
            <w:r>
              <w:rPr>
                <w:rFonts w:hint="eastAsia"/>
                <w:color w:val="auto"/>
                <w:highlight w:val="none"/>
              </w:rPr>
              <w:t>或排气量大于</w:t>
            </w:r>
            <w:r>
              <w:rPr>
                <w:rFonts w:hint="eastAsia"/>
                <w:color w:val="auto"/>
                <w:highlight w:val="none"/>
                <w:lang w:val="en-US" w:eastAsia="zh-CN"/>
              </w:rPr>
              <w:t>2</w:t>
            </w:r>
            <w:r>
              <w:rPr>
                <w:color w:val="auto"/>
                <w:highlight w:val="none"/>
              </w:rPr>
              <w:t>0000m</w:t>
            </w:r>
            <w:r>
              <w:rPr>
                <w:color w:val="auto"/>
                <w:highlight w:val="none"/>
                <w:vertAlign w:val="superscript"/>
              </w:rPr>
              <w:t>3</w:t>
            </w:r>
            <w:r>
              <w:rPr>
                <w:color w:val="auto"/>
                <w:highlight w:val="none"/>
              </w:rPr>
              <w:t>/h</w:t>
            </w:r>
            <w:r>
              <w:rPr>
                <w:rFonts w:hint="eastAsia"/>
                <w:color w:val="auto"/>
                <w:highlight w:val="none"/>
              </w:rPr>
              <w:t>的固定排放源，安装</w:t>
            </w:r>
            <w:r>
              <w:rPr>
                <w:color w:val="auto"/>
                <w:highlight w:val="none"/>
              </w:rPr>
              <w:t>VOCs</w:t>
            </w:r>
            <w:r>
              <w:rPr>
                <w:rFonts w:hint="eastAsia"/>
                <w:color w:val="auto"/>
                <w:highlight w:val="none"/>
              </w:rPr>
              <w:t>在线监测设施。对不符合上述条件企业的车间及厂界，安装环境在线监测设施或超标报警传感装置。企业</w:t>
            </w:r>
            <w:r>
              <w:rPr>
                <w:rFonts w:hint="eastAsia"/>
                <w:color w:val="auto"/>
                <w:highlight w:val="none"/>
                <w:lang w:val="en-US" w:eastAsia="zh-CN"/>
              </w:rPr>
              <w:t>建设完成后</w:t>
            </w:r>
            <w:r>
              <w:rPr>
                <w:rFonts w:hint="eastAsia"/>
                <w:color w:val="auto"/>
                <w:highlight w:val="none"/>
              </w:rPr>
              <w:t>厂区</w:t>
            </w:r>
            <w:r>
              <w:rPr>
                <w:rFonts w:hint="eastAsia"/>
                <w:color w:val="auto"/>
                <w:highlight w:val="none"/>
                <w:lang w:val="en-US" w:eastAsia="zh-CN"/>
              </w:rPr>
              <w:t>将</w:t>
            </w:r>
            <w:r>
              <w:rPr>
                <w:rFonts w:hint="eastAsia"/>
                <w:color w:val="auto"/>
                <w:highlight w:val="none"/>
              </w:rPr>
              <w:t>设置非甲烷总烃超标报警装置。</w:t>
            </w:r>
          </w:p>
          <w:p>
            <w:pPr>
              <w:pStyle w:val="1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水环境影响分析</w:t>
            </w:r>
          </w:p>
          <w:p>
            <w:pPr>
              <w:pStyle w:val="50"/>
              <w:numPr>
                <w:ilvl w:val="0"/>
                <w:numId w:val="0"/>
              </w:numPr>
              <w:bidi w:val="0"/>
              <w:ind w:firstLine="480" w:firstLineChars="20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本项目不新增劳动定员，不涉及生活用水的变化。无生产废水产生，</w:t>
            </w:r>
            <w:r>
              <w:rPr>
                <w:rFonts w:hint="default" w:ascii="Times New Roman" w:hAnsi="Times New Roman" w:cs="Times New Roman"/>
                <w:color w:val="auto"/>
                <w:highlight w:val="none"/>
                <w:lang w:val="en-US" w:eastAsia="zh-CN"/>
              </w:rPr>
              <w:t>综上所述，对周围环境</w:t>
            </w:r>
            <w:r>
              <w:rPr>
                <w:rFonts w:hint="default" w:ascii="Times New Roman" w:hAnsi="Times New Roman" w:cs="Times New Roman"/>
                <w:color w:val="auto"/>
                <w:highlight w:val="none"/>
              </w:rPr>
              <w:t>影响较小</w:t>
            </w:r>
            <w:r>
              <w:rPr>
                <w:rFonts w:hint="default" w:ascii="Times New Roman" w:hAnsi="Times New Roman" w:cs="Times New Roman"/>
                <w:color w:val="auto"/>
                <w:highlight w:val="none"/>
                <w:lang w:eastAsia="zh-CN"/>
              </w:rPr>
              <w:t>。</w:t>
            </w:r>
          </w:p>
          <w:p>
            <w:pPr>
              <w:pStyle w:val="1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声环境影响分析</w:t>
            </w:r>
          </w:p>
          <w:p>
            <w:pPr>
              <w:pStyle w:val="28"/>
              <w:spacing w:line="360" w:lineRule="auto"/>
              <w:ind w:left="0" w:leftChars="0" w:firstLine="0" w:firstLineChars="0"/>
              <w:rPr>
                <w:rFonts w:hint="default"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3.1预测模式</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（1）单个室外点声源在预测点产生的声级计算基本公式</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val="en-US" w:eastAsia="zh-CN"/>
              </w:rPr>
              <w:t>户外声传播衰减包括几何发散（</w:t>
            </w:r>
            <w:r>
              <w:rPr>
                <w:rFonts w:hint="default" w:ascii="Times New Roman" w:hAnsi="Times New Roman" w:eastAsia="宋体" w:cs="Times New Roman"/>
                <w:bCs/>
                <w:color w:val="auto"/>
                <w:sz w:val="24"/>
                <w:szCs w:val="24"/>
                <w:highlight w:val="none"/>
                <w:lang w:val="en-US" w:eastAsia="zh-CN"/>
              </w:rPr>
              <w:t>Adiv</w:t>
            </w:r>
            <w:r>
              <w:rPr>
                <w:rFonts w:hint="eastAsia" w:ascii="Times New Roman" w:hAnsi="Times New Roman" w:eastAsia="宋体" w:cs="Times New Roman"/>
                <w:bCs/>
                <w:color w:val="auto"/>
                <w:sz w:val="24"/>
                <w:szCs w:val="24"/>
                <w:highlight w:val="none"/>
                <w:lang w:val="en-US" w:eastAsia="zh-CN"/>
              </w:rPr>
              <w:t>）、大气吸收（</w:t>
            </w:r>
            <w:r>
              <w:rPr>
                <w:rFonts w:hint="default" w:ascii="Times New Roman" w:hAnsi="Times New Roman" w:eastAsia="宋体" w:cs="Times New Roman"/>
                <w:bCs/>
                <w:color w:val="auto"/>
                <w:sz w:val="24"/>
                <w:szCs w:val="24"/>
                <w:highlight w:val="none"/>
                <w:lang w:val="en-US" w:eastAsia="zh-CN"/>
              </w:rPr>
              <w:t>Aatm</w:t>
            </w:r>
            <w:r>
              <w:rPr>
                <w:rFonts w:hint="eastAsia" w:ascii="Times New Roman" w:hAnsi="Times New Roman" w:eastAsia="宋体" w:cs="Times New Roman"/>
                <w:bCs/>
                <w:color w:val="auto"/>
                <w:sz w:val="24"/>
                <w:szCs w:val="24"/>
                <w:highlight w:val="none"/>
                <w:lang w:val="en-US" w:eastAsia="zh-CN"/>
              </w:rPr>
              <w:t>）、地面效应（</w:t>
            </w:r>
            <w:r>
              <w:rPr>
                <w:rFonts w:hint="default" w:ascii="Times New Roman" w:hAnsi="Times New Roman" w:eastAsia="宋体" w:cs="Times New Roman"/>
                <w:bCs/>
                <w:color w:val="auto"/>
                <w:sz w:val="24"/>
                <w:szCs w:val="24"/>
                <w:highlight w:val="none"/>
                <w:lang w:val="en-US" w:eastAsia="zh-CN"/>
              </w:rPr>
              <w:t>Agr</w:t>
            </w:r>
            <w:r>
              <w:rPr>
                <w:rFonts w:hint="eastAsia" w:ascii="Times New Roman" w:hAnsi="Times New Roman" w:eastAsia="宋体" w:cs="Times New Roman"/>
                <w:bCs/>
                <w:color w:val="auto"/>
                <w:sz w:val="24"/>
                <w:szCs w:val="24"/>
                <w:highlight w:val="none"/>
                <w:lang w:val="en-US" w:eastAsia="zh-CN"/>
              </w:rPr>
              <w:t>）、障碍物屏蔽（</w:t>
            </w:r>
            <w:r>
              <w:rPr>
                <w:rFonts w:hint="default" w:ascii="Times New Roman" w:hAnsi="Times New Roman" w:eastAsia="宋体" w:cs="Times New Roman"/>
                <w:bCs/>
                <w:color w:val="auto"/>
                <w:sz w:val="24"/>
                <w:szCs w:val="24"/>
                <w:highlight w:val="none"/>
                <w:lang w:val="en-US" w:eastAsia="zh-CN"/>
              </w:rPr>
              <w:t>Abar</w:t>
            </w:r>
            <w:r>
              <w:rPr>
                <w:rFonts w:hint="eastAsia" w:ascii="Times New Roman" w:hAnsi="Times New Roman" w:eastAsia="宋体" w:cs="Times New Roman"/>
                <w:bCs/>
                <w:color w:val="auto"/>
                <w:sz w:val="24"/>
                <w:szCs w:val="24"/>
                <w:highlight w:val="none"/>
                <w:lang w:val="en-US" w:eastAsia="zh-CN"/>
              </w:rPr>
              <w:t>）、其他多方面效应（</w:t>
            </w:r>
            <w:r>
              <w:rPr>
                <w:rFonts w:hint="default" w:ascii="Times New Roman" w:hAnsi="Times New Roman" w:eastAsia="宋体" w:cs="Times New Roman"/>
                <w:bCs/>
                <w:color w:val="auto"/>
                <w:sz w:val="24"/>
                <w:szCs w:val="24"/>
                <w:highlight w:val="none"/>
                <w:lang w:val="en-US" w:eastAsia="zh-CN"/>
              </w:rPr>
              <w:t>Amisc</w:t>
            </w:r>
            <w:r>
              <w:rPr>
                <w:rFonts w:hint="eastAsia" w:ascii="Times New Roman" w:hAnsi="Times New Roman" w:eastAsia="宋体" w:cs="Times New Roman"/>
                <w:bCs/>
                <w:color w:val="auto"/>
                <w:sz w:val="24"/>
                <w:szCs w:val="24"/>
                <w:highlight w:val="none"/>
                <w:lang w:val="en-US" w:eastAsia="zh-CN"/>
              </w:rPr>
              <w:t xml:space="preserve">）引起的衰减。 </w:t>
            </w:r>
          </w:p>
          <w:p>
            <w:pPr>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pt-BR"/>
              </w:rPr>
              <w:object>
                <v:shape id="_x0000_i1026" o:spt="75" type="#_x0000_t75" style="height:18.8pt;width:234.35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1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t>式中</w:t>
            </w:r>
            <w:r>
              <w:rPr>
                <w:rFonts w:hint="default" w:ascii="Times New Roman" w:hAnsi="Times New Roman" w:eastAsia="宋体" w:cs="Times New Roman"/>
                <w:bCs/>
                <w:color w:val="auto"/>
                <w:sz w:val="24"/>
                <w:szCs w:val="24"/>
                <w:highlight w:val="none"/>
                <w:lang w:val="pt-BR" w:eastAsia="zh-CN"/>
              </w:rPr>
              <w:t>：</w:t>
            </w:r>
            <w:r>
              <w:rPr>
                <w:rFonts w:hint="default" w:ascii="Times New Roman" w:hAnsi="Times New Roman" w:eastAsia="宋体" w:cs="Times New Roman"/>
                <w:bCs/>
                <w:color w:val="auto"/>
                <w:sz w:val="24"/>
                <w:szCs w:val="24"/>
                <w:highlight w:val="none"/>
                <w:lang w:val="pt-BR" w:eastAsia="zh-CN"/>
              </w:rPr>
              <w:object>
                <v:shape id="_x0000_i1027" o:spt="75" type="#_x0000_t75" style="height:18.75pt;width:30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预测点处声压级</w:t>
            </w:r>
            <w:r>
              <w:rPr>
                <w:rFonts w:hint="default" w:ascii="Times New Roman" w:hAnsi="Times New Roman" w:eastAsia="宋体" w:cs="Times New Roman"/>
                <w:bCs/>
                <w:color w:val="auto"/>
                <w:sz w:val="24"/>
                <w:szCs w:val="24"/>
                <w:highlight w:val="none"/>
                <w:lang w:val="pt-BR" w:eastAsia="zh-CN"/>
              </w:rPr>
              <w:t>，dB；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pt-BR" w:eastAsia="zh-CN"/>
              </w:rPr>
              <w:object>
                <v:shape id="_x0000_i1028" o:spt="75" type="#_x0000_t75" style="height:19.8pt;width:28.6pt;" o:ole="t" filled="f" o:preferrelative="t" stroked="f" coordsize="21600,21600">
                  <v:path/>
                  <v:fill on="f" focussize="0,0"/>
                  <v:stroke on="f"/>
                  <v:imagedata r:id="rId23" o:title=""/>
                  <o:lock v:ext="edit" aspectratio="t"/>
                  <w10:wrap type="none"/>
                  <w10:anchorlock/>
                </v:shape>
                <o:OLEObject Type="Embed" ProgID="Equation.3" ShapeID="_x0000_i1028" DrawAspect="Content" ObjectID="_1468075728" r:id="rId22">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参考位置</w:t>
            </w:r>
            <w:r>
              <w:rPr>
                <w:rFonts w:hint="default" w:ascii="Times New Roman" w:hAnsi="Times New Roman" w:eastAsia="宋体" w:cs="Times New Roman"/>
                <w:bCs/>
                <w:color w:val="auto"/>
                <w:sz w:val="24"/>
                <w:szCs w:val="24"/>
                <w:highlight w:val="none"/>
                <w:lang w:val="en-US" w:eastAsia="zh-CN"/>
              </w:rPr>
              <w:t>r0</w:t>
            </w:r>
            <w:r>
              <w:rPr>
                <w:rFonts w:hint="eastAsia" w:ascii="Times New Roman" w:hAnsi="Times New Roman" w:eastAsia="宋体" w:cs="Times New Roman"/>
                <w:bCs/>
                <w:color w:val="auto"/>
                <w:sz w:val="24"/>
                <w:szCs w:val="24"/>
                <w:highlight w:val="none"/>
                <w:lang w:val="en-US" w:eastAsia="zh-CN"/>
              </w:rPr>
              <w:t>处的声压级</w:t>
            </w:r>
            <w:r>
              <w:rPr>
                <w:rFonts w:hint="default" w:ascii="Times New Roman" w:hAnsi="Times New Roman" w:eastAsia="宋体" w:cs="Times New Roman"/>
                <w:bCs/>
                <w:color w:val="auto"/>
                <w:sz w:val="24"/>
                <w:szCs w:val="24"/>
                <w:highlight w:val="none"/>
                <w:lang w:val="pt-BR" w:eastAsia="zh-CN"/>
              </w:rPr>
              <w:t>，dB；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pt-BR" w:eastAsia="zh-CN"/>
              </w:rPr>
              <w:object>
                <v:shape id="_x0000_i1029" o:spt="75" type="#_x0000_t75" style="height:18.75pt;width:16.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default" w:ascii="Times New Roman" w:hAnsi="Times New Roman" w:eastAsia="宋体" w:cs="Times New Roman"/>
                <w:bCs/>
                <w:color w:val="auto"/>
                <w:sz w:val="24"/>
                <w:szCs w:val="24"/>
                <w:highlight w:val="none"/>
                <w:lang w:val="pt-BR" w:eastAsia="zh-CN"/>
              </w:rPr>
              <w:t>——指向性校正，</w:t>
            </w:r>
            <w:r>
              <w:rPr>
                <w:rFonts w:hint="eastAsia" w:ascii="Times New Roman" w:hAnsi="Times New Roman" w:eastAsia="宋体" w:cs="Times New Roman"/>
                <w:bCs/>
                <w:color w:val="auto"/>
                <w:sz w:val="24"/>
                <w:szCs w:val="24"/>
                <w:highlight w:val="none"/>
                <w:lang w:val="en-US" w:eastAsia="zh-CN"/>
              </w:rPr>
              <w:t>它描述点声源的等效连续声压级与产生声功率级</w:t>
            </w:r>
            <w:r>
              <w:rPr>
                <w:rFonts w:hint="default" w:ascii="Times New Roman" w:hAnsi="Times New Roman" w:eastAsia="宋体" w:cs="Times New Roman"/>
                <w:bCs/>
                <w:color w:val="auto"/>
                <w:sz w:val="24"/>
                <w:szCs w:val="24"/>
                <w:highlight w:val="none"/>
                <w:lang w:val="en-US" w:eastAsia="zh-CN"/>
              </w:rPr>
              <w:t>Lw</w:t>
            </w:r>
            <w:r>
              <w:rPr>
                <w:rFonts w:hint="eastAsia" w:ascii="Times New Roman" w:hAnsi="Times New Roman" w:eastAsia="宋体" w:cs="Times New Roman"/>
                <w:bCs/>
                <w:color w:val="auto"/>
                <w:sz w:val="24"/>
                <w:szCs w:val="24"/>
                <w:highlight w:val="none"/>
                <w:lang w:val="en-US" w:eastAsia="zh-CN"/>
              </w:rPr>
              <w:t>的全向点声源在规定方向的声级的偏差程度，</w:t>
            </w:r>
            <w:r>
              <w:rPr>
                <w:rFonts w:hint="default" w:ascii="Times New Roman" w:hAnsi="Times New Roman" w:eastAsia="宋体" w:cs="Times New Roman"/>
                <w:bCs/>
                <w:color w:val="auto"/>
                <w:sz w:val="24"/>
                <w:szCs w:val="24"/>
                <w:highlight w:val="none"/>
                <w:lang w:val="pt-BR" w:eastAsia="zh-CN"/>
              </w:rPr>
              <w:t>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pt-BR" w:eastAsia="zh-CN"/>
              </w:rPr>
              <w:object>
                <v:shape id="_x0000_i1030" o:spt="75" type="#_x0000_t75" style="height:18.75pt;width:22.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default" w:ascii="Times New Roman" w:hAnsi="Times New Roman" w:eastAsia="宋体" w:cs="Times New Roman"/>
                <w:bCs/>
                <w:color w:val="auto"/>
                <w:sz w:val="24"/>
                <w:szCs w:val="24"/>
                <w:highlight w:val="none"/>
                <w:lang w:val="en-US" w:eastAsia="zh-CN"/>
              </w:rPr>
              <w:t>——几何发散引起的衰减，</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pt-BR" w:eastAsia="zh-CN"/>
              </w:rPr>
              <w:object>
                <v:shape id="_x0000_i1031" o:spt="75" type="#_x0000_t75" style="height:19.5pt;width:18.7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default" w:ascii="Times New Roman" w:hAnsi="Times New Roman" w:eastAsia="宋体" w:cs="Times New Roman"/>
                <w:bCs/>
                <w:color w:val="auto"/>
                <w:sz w:val="24"/>
                <w:szCs w:val="24"/>
                <w:highlight w:val="none"/>
                <w:lang w:val="en-US" w:eastAsia="zh-CN"/>
              </w:rPr>
              <w:t>——地面效应引起的衰减，</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pt-BR" w:eastAsia="zh-CN"/>
              </w:rPr>
              <w:object>
                <v:shape id="_x0000_i1032" o:spt="75" type="#_x0000_t75" style="height:18.75pt;width:22.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r>
              <w:rPr>
                <w:rFonts w:hint="default" w:ascii="Times New Roman" w:hAnsi="Times New Roman" w:eastAsia="宋体" w:cs="Times New Roman"/>
                <w:bCs/>
                <w:color w:val="auto"/>
                <w:sz w:val="24"/>
                <w:szCs w:val="24"/>
                <w:highlight w:val="none"/>
                <w:lang w:val="en-US" w:eastAsia="zh-CN"/>
              </w:rPr>
              <w:t>——大气吸收引起的衰减，</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pt-BR" w:eastAsia="zh-CN"/>
              </w:rPr>
              <w:object>
                <v:shape id="_x0000_i1033" o:spt="75" type="#_x0000_t75" style="height:18.75pt;width:22.5pt;" o:ole="t" filled="f" o:preferrelative="t" stroked="f" coordsize="21600,21600">
                  <v:path/>
                  <v:fill on="f" focussize="0,0"/>
                  <v:stroke on="f" joinstyle="miter"/>
                  <v:imagedata r:id="rId33" o:title=""/>
                  <o:lock v:ext="edit" aspectratio="t"/>
                  <w10:wrap type="none"/>
                  <w10:anchorlock/>
                </v:shape>
                <o:OLEObject Type="Embed" ProgID="Equation.3" ShapeID="_x0000_i1033" DrawAspect="Content" ObjectID="_1468075733" r:id="rId32">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障碍物屏蔽</w:t>
            </w:r>
            <w:r>
              <w:rPr>
                <w:rFonts w:hint="default" w:ascii="Times New Roman" w:hAnsi="Times New Roman" w:eastAsia="宋体" w:cs="Times New Roman"/>
                <w:bCs/>
                <w:color w:val="auto"/>
                <w:sz w:val="24"/>
                <w:szCs w:val="24"/>
                <w:highlight w:val="none"/>
                <w:lang w:val="en-US" w:eastAsia="zh-CN"/>
              </w:rPr>
              <w:t>引起的衰减，</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pt-BR" w:eastAsia="zh-CN"/>
              </w:rPr>
              <w:object>
                <v:shape id="_x0000_i1034" o:spt="75" type="#_x0000_t75" style="height:18.75pt;width:24.75pt;" o:ole="t" filled="f" o:preferrelative="t" stroked="f" coordsize="21600,21600">
                  <v:path/>
                  <v:fill on="f" focussize="0,0"/>
                  <v:stroke on="f" joinstyle="miter"/>
                  <v:imagedata r:id="rId35" o:title=""/>
                  <o:lock v:ext="edit" aspectratio="t"/>
                  <w10:wrap type="none"/>
                  <w10:anchorlock/>
                </v:shape>
                <o:OLEObject Type="Embed" ProgID="Equation.3" ShapeID="_x0000_i1034" DrawAspect="Content" ObjectID="_1468075734" r:id="rId34">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default" w:ascii="Times New Roman" w:hAnsi="Times New Roman" w:eastAsia="宋体" w:cs="Times New Roman"/>
                <w:bCs/>
                <w:color w:val="auto"/>
                <w:sz w:val="24"/>
                <w:szCs w:val="24"/>
                <w:highlight w:val="none"/>
                <w:lang w:val="en-US" w:eastAsia="zh-CN"/>
              </w:rPr>
              <w:t>其他多方面效应引起的衰减，</w:t>
            </w:r>
            <w:r>
              <w:rPr>
                <w:rFonts w:hint="default" w:ascii="Times New Roman" w:hAnsi="Times New Roman" w:eastAsia="宋体" w:cs="Times New Roman"/>
                <w:bCs/>
                <w:color w:val="auto"/>
                <w:sz w:val="24"/>
                <w:szCs w:val="24"/>
                <w:highlight w:val="none"/>
                <w:lang w:val="pt-BR" w:eastAsia="zh-CN"/>
              </w:rPr>
              <w:t>dB</w:t>
            </w:r>
            <w:r>
              <w:rPr>
                <w:rFonts w:hint="default" w:ascii="Times New Roman" w:hAnsi="Times New Roman" w:eastAsia="宋体" w:cs="Times New Roman"/>
                <w:bCs/>
                <w:color w:val="auto"/>
                <w:sz w:val="24"/>
                <w:szCs w:val="24"/>
                <w:highlight w:val="none"/>
                <w:lang w:val="en-US" w:eastAsia="zh-CN"/>
              </w:rPr>
              <w:t>。</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（2）室内点声源对厂界噪声预测点贡献值预测模式</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室内声源首先换算为等效室外声源，再按各类声源模式计算。</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①首先计算出某个室内声源靠近围护结构处的倍频带声压级：</w:t>
            </w:r>
          </w:p>
          <w:p>
            <w:pPr>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object>
                <v:shape id="_x0000_i1035" o:spt="75" type="#_x0000_t75" style="height:29.7pt;width:135.15pt;" o:ole="t" filled="f" o:preferrelative="t" stroked="f" coordsize="21600,21600">
                  <v:path/>
                  <v:fill on="f" focussize="0,0"/>
                  <v:stroke on="f"/>
                  <v:imagedata r:id="rId37" o:title=""/>
                  <o:lock v:ext="edit" aspectratio="t"/>
                  <w10:wrap type="none"/>
                  <w10:anchorlock/>
                </v:shape>
                <o:OLEObject Type="Embed" ProgID="Equation.3" ShapeID="_x0000_i1035" DrawAspect="Content" ObjectID="_1468075735" r:id="rId36">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式中：</w:t>
            </w:r>
            <w:r>
              <w:rPr>
                <w:rFonts w:hint="default" w:ascii="Times New Roman" w:hAnsi="Times New Roman" w:eastAsia="宋体" w:cs="Times New Roman"/>
                <w:bCs/>
                <w:color w:val="auto"/>
                <w:sz w:val="24"/>
                <w:szCs w:val="24"/>
                <w:highlight w:val="none"/>
                <w:lang w:val="en-US" w:eastAsia="zh-CN"/>
              </w:rPr>
              <w:object>
                <v:shape id="_x0000_i1036" o:spt="75" type="#_x0000_t75" style="height:18.75pt;width:18.75pt;" o:ole="t" filled="f" o:preferrelative="t" stroked="f" coordsize="21600,21600">
                  <v:path/>
                  <v:fill on="f" focussize="0,0"/>
                  <v:stroke on="f" joinstyle="miter"/>
                  <v:imagedata r:id="rId39" o:title=""/>
                  <o:lock v:ext="edit" aspectratio="t"/>
                  <w10:wrap type="none"/>
                  <w10:anchorlock/>
                </v:shape>
                <o:OLEObject Type="Embed" ProgID="Equation.3" ShapeID="_x0000_i1036" DrawAspect="Content" ObjectID="_1468075736" r:id="rId38">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 xml:space="preserve">靠近开口处（或窗户）室内某倍频带的声压级或 </w:t>
            </w:r>
            <w:r>
              <w:rPr>
                <w:rFonts w:hint="default" w:ascii="Times New Roman" w:hAnsi="Times New Roman" w:eastAsia="宋体" w:cs="Times New Roman"/>
                <w:bCs/>
                <w:color w:val="auto"/>
                <w:sz w:val="24"/>
                <w:szCs w:val="24"/>
                <w:highlight w:val="none"/>
                <w:lang w:val="en-US" w:eastAsia="zh-CN"/>
              </w:rPr>
              <w:t xml:space="preserve">A </w:t>
            </w:r>
            <w:r>
              <w:rPr>
                <w:rFonts w:hint="eastAsia" w:ascii="Times New Roman" w:hAnsi="Times New Roman" w:eastAsia="宋体" w:cs="Times New Roman"/>
                <w:bCs/>
                <w:color w:val="auto"/>
                <w:sz w:val="24"/>
                <w:szCs w:val="24"/>
                <w:highlight w:val="none"/>
                <w:lang w:val="en-US" w:eastAsia="zh-CN"/>
              </w:rPr>
              <w:t>声级</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37" o:spt="75" type="#_x0000_t75" style="height:18.75pt;width:16.5pt;" o:ole="t" filled="f" o:preferrelative="t" stroked="f" coordsize="21600,21600">
                  <v:path/>
                  <v:fill on="f" focussize="0,0"/>
                  <v:stroke on="f" joinstyle="miter"/>
                  <v:imagedata r:id="rId41" o:title=""/>
                  <o:lock v:ext="edit" aspectratio="t"/>
                  <w10:wrap type="none"/>
                  <w10:anchorlock/>
                </v:shape>
                <o:OLEObject Type="Embed" ProgID="Equation.3" ShapeID="_x0000_i1037" DrawAspect="Content" ObjectID="_1468075737" r:id="rId40">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点声源声功率级（</w:t>
            </w:r>
            <w:r>
              <w:rPr>
                <w:rFonts w:hint="default" w:ascii="Times New Roman" w:hAnsi="Times New Roman" w:eastAsia="宋体" w:cs="Times New Roman"/>
                <w:bCs/>
                <w:color w:val="auto"/>
                <w:sz w:val="24"/>
                <w:szCs w:val="24"/>
                <w:highlight w:val="none"/>
                <w:lang w:val="en-US" w:eastAsia="zh-CN"/>
              </w:rPr>
              <w:t xml:space="preserve">A </w:t>
            </w:r>
            <w:r>
              <w:rPr>
                <w:rFonts w:hint="eastAsia" w:ascii="Times New Roman" w:hAnsi="Times New Roman" w:eastAsia="宋体" w:cs="Times New Roman"/>
                <w:bCs/>
                <w:color w:val="auto"/>
                <w:sz w:val="24"/>
                <w:szCs w:val="24"/>
                <w:highlight w:val="none"/>
                <w:lang w:val="en-US" w:eastAsia="zh-CN"/>
              </w:rPr>
              <w:t>计权或倍频带）</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pt-BR" w:eastAsia="zh-CN"/>
              </w:rPr>
              <w:t>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38" o:spt="75" type="#_x0000_t75" style="height:7.5pt;width:7.5pt;" o:ole="t" filled="f" o:preferrelative="t" stroked="f" coordsize="21600,21600">
                  <v:path/>
                  <v:fill on="f" focussize="0,0"/>
                  <v:stroke on="f" joinstyle="miter"/>
                  <v:imagedata r:id="rId43" o:title=""/>
                  <o:lock v:ext="edit" aspectratio="t"/>
                  <w10:wrap type="none"/>
                  <w10:anchorlock/>
                </v:shape>
                <o:OLEObject Type="Embed" ProgID="Equation.3" ShapeID="_x0000_i1038" DrawAspect="Content" ObjectID="_1468075738" r:id="rId42">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default" w:ascii="Times New Roman" w:hAnsi="Times New Roman" w:eastAsia="宋体" w:cs="Times New Roman"/>
                <w:bCs/>
                <w:color w:val="auto"/>
                <w:sz w:val="24"/>
                <w:szCs w:val="24"/>
                <w:highlight w:val="none"/>
                <w:lang w:val="en-US" w:eastAsia="zh-CN"/>
              </w:rPr>
              <w:t>声源到靠近围护结构某点处的距离，m；</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39" o:spt="75" type="#_x0000_t75" style="height:16.5pt;width:12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指向性因数；通常对无指向性声源，当声源放在房间中心时，</w:t>
            </w:r>
            <w:r>
              <w:rPr>
                <w:rFonts w:hint="default" w:ascii="Times New Roman" w:hAnsi="Times New Roman" w:eastAsia="宋体" w:cs="Times New Roman"/>
                <w:bCs/>
                <w:color w:val="auto"/>
                <w:sz w:val="24"/>
                <w:szCs w:val="24"/>
                <w:highlight w:val="none"/>
                <w:lang w:val="en-US" w:eastAsia="zh-CN"/>
              </w:rPr>
              <w:t>Q=1</w:t>
            </w:r>
            <w:r>
              <w:rPr>
                <w:rFonts w:hint="eastAsia" w:ascii="Times New Roman" w:hAnsi="Times New Roman" w:eastAsia="宋体" w:cs="Times New Roman"/>
                <w:bCs/>
                <w:color w:val="auto"/>
                <w:sz w:val="24"/>
                <w:szCs w:val="24"/>
                <w:highlight w:val="none"/>
                <w:lang w:val="en-US" w:eastAsia="zh-CN"/>
              </w:rPr>
              <w:t xml:space="preserve">；当放在一面墙的中 </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心时，</w:t>
            </w:r>
            <w:r>
              <w:rPr>
                <w:rFonts w:hint="default" w:ascii="Times New Roman" w:hAnsi="Times New Roman" w:eastAsia="宋体" w:cs="Times New Roman"/>
                <w:bCs/>
                <w:color w:val="auto"/>
                <w:sz w:val="24"/>
                <w:szCs w:val="24"/>
                <w:highlight w:val="none"/>
                <w:lang w:val="en-US" w:eastAsia="zh-CN"/>
              </w:rPr>
              <w:t>Q=2</w:t>
            </w:r>
            <w:r>
              <w:rPr>
                <w:rFonts w:hint="eastAsia" w:ascii="Times New Roman" w:hAnsi="Times New Roman" w:eastAsia="宋体" w:cs="Times New Roman"/>
                <w:bCs/>
                <w:color w:val="auto"/>
                <w:sz w:val="24"/>
                <w:szCs w:val="24"/>
                <w:highlight w:val="none"/>
                <w:lang w:val="en-US" w:eastAsia="zh-CN"/>
              </w:rPr>
              <w:t>；当放在两面墙夹角处时，</w:t>
            </w:r>
            <w:r>
              <w:rPr>
                <w:rFonts w:hint="default" w:ascii="Times New Roman" w:hAnsi="Times New Roman" w:eastAsia="宋体" w:cs="Times New Roman"/>
                <w:bCs/>
                <w:color w:val="auto"/>
                <w:sz w:val="24"/>
                <w:szCs w:val="24"/>
                <w:highlight w:val="none"/>
                <w:lang w:val="en-US" w:eastAsia="zh-CN"/>
              </w:rPr>
              <w:t>Q=4</w:t>
            </w:r>
            <w:r>
              <w:rPr>
                <w:rFonts w:hint="eastAsia" w:ascii="Times New Roman" w:hAnsi="Times New Roman" w:eastAsia="宋体" w:cs="Times New Roman"/>
                <w:bCs/>
                <w:color w:val="auto"/>
                <w:sz w:val="24"/>
                <w:szCs w:val="24"/>
                <w:highlight w:val="none"/>
                <w:lang w:val="en-US" w:eastAsia="zh-CN"/>
              </w:rPr>
              <w:t>；当放在三面墙夹角处时，</w:t>
            </w:r>
            <w:r>
              <w:rPr>
                <w:rFonts w:hint="default" w:ascii="Times New Roman" w:hAnsi="Times New Roman" w:eastAsia="宋体" w:cs="Times New Roman"/>
                <w:bCs/>
                <w:color w:val="auto"/>
                <w:sz w:val="24"/>
                <w:szCs w:val="24"/>
                <w:highlight w:val="none"/>
                <w:lang w:val="en-US" w:eastAsia="zh-CN"/>
              </w:rPr>
              <w:t>Q=8；</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40" o:spt="75" type="#_x0000_t75" style="height:12pt;width:12pt;" o:ole="t" filled="f" o:preferrelative="t" stroked="f" coordsize="21600,21600">
                  <v:path/>
                  <v:fill on="f" focussize="0,0"/>
                  <v:stroke on="f" joinstyle="miter"/>
                  <v:imagedata r:id="rId47" o:title=""/>
                  <o:lock v:ext="edit" aspectratio="t"/>
                  <w10:wrap type="none"/>
                  <w10:anchorlock/>
                </v:shape>
                <o:OLEObject Type="Embed" ProgID="Equation.3" ShapeID="_x0000_i1040" DrawAspect="Content" ObjectID="_1468075740" r:id="rId46">
                  <o:LockedField>false</o:LockedField>
                </o:OLEObject>
              </w:object>
            </w:r>
            <w:r>
              <w:rPr>
                <w:rFonts w:hint="default" w:ascii="Times New Roman" w:hAnsi="Times New Roman" w:eastAsia="宋体" w:cs="Times New Roman"/>
                <w:bCs/>
                <w:color w:val="auto"/>
                <w:sz w:val="24"/>
                <w:szCs w:val="24"/>
                <w:highlight w:val="none"/>
                <w:lang w:val="pt-BR" w:eastAsia="zh-CN"/>
              </w:rPr>
              <w:t>——</w:t>
            </w:r>
            <w:r>
              <w:rPr>
                <w:rFonts w:hint="default" w:ascii="Times New Roman" w:hAnsi="Times New Roman" w:eastAsia="宋体" w:cs="Times New Roman"/>
                <w:bCs/>
                <w:color w:val="auto"/>
                <w:sz w:val="24"/>
                <w:szCs w:val="24"/>
                <w:highlight w:val="none"/>
                <w:lang w:val="en-US" w:eastAsia="zh-CN"/>
              </w:rPr>
              <w:t>房间常数，</w:t>
            </w:r>
            <w:r>
              <w:rPr>
                <w:rFonts w:hint="default" w:ascii="Times New Roman" w:hAnsi="Times New Roman" w:eastAsia="宋体" w:cs="Times New Roman"/>
                <w:bCs/>
                <w:color w:val="auto"/>
                <w:sz w:val="24"/>
                <w:szCs w:val="24"/>
                <w:highlight w:val="none"/>
                <w:lang w:val="en-US" w:eastAsia="zh-CN"/>
              </w:rPr>
              <w:object>
                <v:shape id="_x0000_i1041" o:spt="75" type="#_x0000_t75" style="height:16.5pt;width:77.25pt;" o:ole="t" filled="f" o:preferrelative="t" stroked="f" coordsize="21600,21600">
                  <v:path/>
                  <v:fill on="f" focussize="0,0"/>
                  <v:stroke on="f" joinstyle="miter"/>
                  <v:imagedata r:id="rId49" o:title=""/>
                  <o:lock v:ext="edit" aspectratio="t"/>
                  <w10:wrap type="none"/>
                  <w10:anchorlock/>
                </v:shape>
                <o:OLEObject Type="Embed" ProgID="Equation.3" ShapeID="_x0000_i1041" DrawAspect="Content" ObjectID="_1468075741" r:id="rId48">
                  <o:LockedField>false</o:LockedField>
                </o:OLEObject>
              </w:objec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object>
                <v:shape id="_x0000_i1042" o:spt="75" type="#_x0000_t75" style="height:13.5pt;width:11.25pt;" o:ole="t" filled="f" o:preferrelative="t" stroked="f" coordsize="21600,21600">
                  <v:path/>
                  <v:fill on="f" focussize="0,0"/>
                  <v:stroke on="f" joinstyle="miter"/>
                  <v:imagedata r:id="rId51" o:title=""/>
                  <o:lock v:ext="edit" aspectratio="t"/>
                  <w10:wrap type="none"/>
                  <w10:anchorlock/>
                </v:shape>
                <o:OLEObject Type="Embed" ProgID="Equation.3" ShapeID="_x0000_i1042" DrawAspect="Content" ObjectID="_1468075742" r:id="rId50">
                  <o:LockedField>false</o:LockedField>
                </o:OLEObject>
              </w:object>
            </w:r>
            <w:r>
              <w:rPr>
                <w:rFonts w:hint="default" w:ascii="Times New Roman" w:hAnsi="Times New Roman" w:eastAsia="宋体" w:cs="Times New Roman"/>
                <w:bCs/>
                <w:color w:val="auto"/>
                <w:sz w:val="24"/>
                <w:szCs w:val="24"/>
                <w:highlight w:val="none"/>
                <w:lang w:val="en-US" w:eastAsia="zh-CN"/>
              </w:rPr>
              <w:t>为房间内表面面积，㎡，</w:t>
            </w:r>
            <w:r>
              <w:rPr>
                <w:rFonts w:hint="default" w:ascii="Times New Roman" w:hAnsi="Times New Roman" w:eastAsia="宋体" w:cs="Times New Roman"/>
                <w:bCs/>
                <w:color w:val="auto"/>
                <w:sz w:val="24"/>
                <w:szCs w:val="24"/>
                <w:highlight w:val="none"/>
                <w:lang w:val="en-US" w:eastAsia="zh-CN"/>
              </w:rPr>
              <w:object>
                <v:shape id="_x0000_i1043" o:spt="75" type="#_x0000_t75" style="height:11.25pt;width:12pt;" o:ole="t" filled="f" o:preferrelative="t" stroked="f" coordsize="21600,21600">
                  <v:path/>
                  <v:fill on="f" focussize="0,0"/>
                  <v:stroke on="f" joinstyle="miter"/>
                  <v:imagedata r:id="rId53" o:title=""/>
                  <o:lock v:ext="edit" aspectratio="t"/>
                  <w10:wrap type="none"/>
                  <w10:anchorlock/>
                </v:shape>
                <o:OLEObject Type="Embed" ProgID="Equation.3" ShapeID="_x0000_i1043" DrawAspect="Content" ObjectID="_1468075743" r:id="rId52">
                  <o:LockedField>false</o:LockedField>
                </o:OLEObject>
              </w:object>
            </w:r>
            <w:r>
              <w:rPr>
                <w:rFonts w:hint="default" w:ascii="Times New Roman" w:hAnsi="Times New Roman" w:eastAsia="宋体" w:cs="Times New Roman"/>
                <w:bCs/>
                <w:color w:val="auto"/>
                <w:sz w:val="24"/>
                <w:szCs w:val="24"/>
                <w:highlight w:val="none"/>
                <w:lang w:val="en-US" w:eastAsia="zh-CN"/>
              </w:rPr>
              <w:t>为平均吸声系数。</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②计算出所有室内声源在靠近围护结构处产生的</w:t>
            </w:r>
            <w:r>
              <w:rPr>
                <w:rFonts w:hint="default" w:ascii="Times New Roman" w:hAnsi="Times New Roman" w:eastAsia="宋体" w:cs="Times New Roman"/>
                <w:bCs/>
                <w:color w:val="auto"/>
                <w:sz w:val="24"/>
                <w:szCs w:val="24"/>
                <w:highlight w:val="none"/>
                <w:lang w:val="en-US" w:eastAsia="zh-CN"/>
              </w:rPr>
              <w:object>
                <v:shape id="_x0000_i1044" o:spt="75" type="#_x0000_t75" style="height:12pt;width:6.75pt;" o:ole="t" filled="f" o:preferrelative="t" stroked="f" coordsize="21600,21600">
                  <v:path/>
                  <v:fill on="f" focussize="0,0"/>
                  <v:stroke on="f" joinstyle="miter"/>
                  <v:imagedata r:id="rId55" o:title=""/>
                  <o:lock v:ext="edit" aspectratio="t"/>
                  <w10:wrap type="none"/>
                  <w10:anchorlock/>
                </v:shape>
                <o:OLEObject Type="Embed" ProgID="Equation.3" ShapeID="_x0000_i1044" DrawAspect="Content" ObjectID="_1468075744" r:id="rId54">
                  <o:LockedField>false</o:LockedField>
                </o:OLEObject>
              </w:object>
            </w:r>
            <w:r>
              <w:rPr>
                <w:rFonts w:hint="default" w:ascii="Times New Roman" w:hAnsi="Times New Roman" w:eastAsia="宋体" w:cs="Times New Roman"/>
                <w:bCs/>
                <w:color w:val="auto"/>
                <w:sz w:val="24"/>
                <w:szCs w:val="24"/>
                <w:highlight w:val="none"/>
                <w:lang w:val="en-US" w:eastAsia="zh-CN"/>
              </w:rPr>
              <w:t>倍频带叠加声压级：</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45" o:spt="75" type="#_x0000_t75" style="height:35.25pt;width:130.5pt;" o:ole="t" filled="f" o:preferrelative="t" stroked="f" coordsize="21600,21600">
                  <v:path/>
                  <v:fill on="f" focussize="0,0"/>
                  <v:stroke on="f" joinstyle="miter"/>
                  <v:imagedata r:id="rId57" o:title=""/>
                  <o:lock v:ext="edit" aspectratio="t"/>
                  <w10:wrap type="none"/>
                  <w10:anchorlock/>
                </v:shape>
                <o:OLEObject Type="Embed" ProgID="Equation.3" ShapeID="_x0000_i1045" DrawAspect="Content" ObjectID="_1468075745" r:id="rId56">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t>式中：</w:t>
            </w:r>
            <w:r>
              <w:rPr>
                <w:rFonts w:hint="default" w:ascii="Times New Roman" w:hAnsi="Times New Roman" w:eastAsia="宋体" w:cs="Times New Roman"/>
                <w:bCs/>
                <w:color w:val="auto"/>
                <w:sz w:val="24"/>
                <w:szCs w:val="24"/>
                <w:highlight w:val="none"/>
                <w:lang w:val="en-US" w:eastAsia="zh-CN"/>
              </w:rPr>
              <w:object>
                <v:shape id="_x0000_i1046" o:spt="75" type="#_x0000_t75" style="height:18.75pt;width:36.75pt;" o:ole="t" filled="f" o:preferrelative="t" stroked="f" coordsize="21600,21600">
                  <v:path/>
                  <v:fill on="f" focussize="0,0"/>
                  <v:stroke on="f" joinstyle="miter"/>
                  <v:imagedata r:id="rId59" o:title=""/>
                  <o:lock v:ext="edit" aspectratio="t"/>
                  <w10:wrap type="none"/>
                  <w10:anchorlock/>
                </v:shape>
                <o:OLEObject Type="Embed" ProgID="Equation.3" ShapeID="_x0000_i1046" DrawAspect="Content" ObjectID="_1468075746" r:id="rId58">
                  <o:LockedField>false</o:LockedField>
                </o:OLEObject>
              </w:object>
            </w:r>
            <w:r>
              <w:rPr>
                <w:rFonts w:hint="default" w:ascii="Times New Roman" w:hAnsi="Times New Roman" w:eastAsia="宋体" w:cs="Times New Roman"/>
                <w:bCs/>
                <w:color w:val="auto"/>
                <w:sz w:val="24"/>
                <w:szCs w:val="24"/>
                <w:highlight w:val="none"/>
                <w:lang w:val="pt-BR" w:eastAsia="zh-CN"/>
              </w:rPr>
              <w:t>——靠近围护结构处室内N个声源</w:t>
            </w:r>
            <w:r>
              <w:rPr>
                <w:rFonts w:hint="default" w:ascii="Times New Roman" w:hAnsi="Times New Roman" w:eastAsia="宋体" w:cs="Times New Roman"/>
                <w:bCs/>
                <w:color w:val="auto"/>
                <w:sz w:val="24"/>
                <w:szCs w:val="24"/>
                <w:highlight w:val="none"/>
                <w:lang w:val="en-US" w:eastAsia="zh-CN"/>
              </w:rPr>
              <w:object>
                <v:shape id="_x0000_i1047" o:spt="75" type="#_x0000_t75" style="height:12pt;width:6.75pt;" o:ole="t" filled="f" o:preferrelative="t" stroked="f" coordsize="21600,21600">
                  <v:path/>
                  <v:fill on="f" focussize="0,0"/>
                  <v:stroke on="f" joinstyle="miter"/>
                  <v:imagedata r:id="rId61" o:title=""/>
                  <o:lock v:ext="edit" aspectratio="t"/>
                  <w10:wrap type="none"/>
                  <w10:anchorlock/>
                </v:shape>
                <o:OLEObject Type="Embed" ProgID="Equation.3" ShapeID="_x0000_i1047" DrawAspect="Content" ObjectID="_1468075747" r:id="rId60">
                  <o:LockedField>false</o:LockedField>
                </o:OLEObject>
              </w:object>
            </w:r>
            <w:r>
              <w:rPr>
                <w:rFonts w:hint="default" w:ascii="Times New Roman" w:hAnsi="Times New Roman" w:eastAsia="宋体" w:cs="Times New Roman"/>
                <w:bCs/>
                <w:color w:val="auto"/>
                <w:sz w:val="24"/>
                <w:szCs w:val="24"/>
                <w:highlight w:val="none"/>
                <w:lang w:val="pt-BR" w:eastAsia="zh-CN"/>
              </w:rPr>
              <w:t>倍频带的叠加声压级，dB；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object>
                <v:shape id="_x0000_i1048" o:spt="75" type="#_x0000_t75" style="height:18.75pt;width:24pt;" o:ole="t" filled="f" o:preferrelative="t" stroked="f" coordsize="21600,21600">
                  <v:path/>
                  <v:fill on="f" focussize="0,0"/>
                  <v:stroke on="f" joinstyle="miter"/>
                  <v:imagedata r:id="rId63" o:title=""/>
                  <o:lock v:ext="edit" aspectratio="t"/>
                  <w10:wrap type="none"/>
                  <w10:anchorlock/>
                </v:shape>
                <o:OLEObject Type="Embed" ProgID="Equation.3" ShapeID="_x0000_i1048" DrawAspect="Content" ObjectID="_1468075748" r:id="rId62">
                  <o:LockedField>false</o:LockedField>
                </o:OLEObject>
              </w:object>
            </w:r>
            <w:r>
              <w:rPr>
                <w:rFonts w:hint="default" w:ascii="Times New Roman" w:hAnsi="Times New Roman" w:eastAsia="宋体" w:cs="Times New Roman"/>
                <w:bCs/>
                <w:color w:val="auto"/>
                <w:sz w:val="24"/>
                <w:szCs w:val="24"/>
                <w:highlight w:val="none"/>
                <w:lang w:val="pt-BR" w:eastAsia="zh-CN"/>
              </w:rPr>
              <w:t>——室内</w:t>
            </w:r>
            <w:r>
              <w:rPr>
                <w:rFonts w:hint="default" w:ascii="Times New Roman" w:hAnsi="Times New Roman" w:eastAsia="宋体" w:cs="Times New Roman"/>
                <w:bCs/>
                <w:color w:val="auto"/>
                <w:sz w:val="24"/>
                <w:szCs w:val="24"/>
                <w:highlight w:val="none"/>
                <w:lang w:val="en-US" w:eastAsia="zh-CN"/>
              </w:rPr>
              <w:object>
                <v:shape id="_x0000_i1049" o:spt="75" type="#_x0000_t75" style="height:13.5pt;width:7.5pt;" o:ole="t" filled="f" o:preferrelative="t" stroked="f" coordsize="21600,21600">
                  <v:path/>
                  <v:fill on="f" focussize="0,0"/>
                  <v:stroke on="f" joinstyle="miter"/>
                  <v:imagedata r:id="rId65" o:title=""/>
                  <o:lock v:ext="edit" aspectratio="t"/>
                  <w10:wrap type="none"/>
                  <w10:anchorlock/>
                </v:shape>
                <o:OLEObject Type="Embed" ProgID="Equation.3" ShapeID="_x0000_i1049" DrawAspect="Content" ObjectID="_1468075749" r:id="rId64">
                  <o:LockedField>false</o:LockedField>
                </o:OLEObject>
              </w:object>
            </w:r>
            <w:r>
              <w:rPr>
                <w:rFonts w:hint="default" w:ascii="Times New Roman" w:hAnsi="Times New Roman" w:eastAsia="宋体" w:cs="Times New Roman"/>
                <w:bCs/>
                <w:color w:val="auto"/>
                <w:sz w:val="24"/>
                <w:szCs w:val="24"/>
                <w:highlight w:val="none"/>
                <w:lang w:val="pt-BR" w:eastAsia="zh-CN"/>
              </w:rPr>
              <w:t>声源</w:t>
            </w:r>
            <w:r>
              <w:rPr>
                <w:rFonts w:hint="default" w:ascii="Times New Roman" w:hAnsi="Times New Roman" w:eastAsia="宋体" w:cs="Times New Roman"/>
                <w:bCs/>
                <w:color w:val="auto"/>
                <w:sz w:val="24"/>
                <w:szCs w:val="24"/>
                <w:highlight w:val="none"/>
                <w:lang w:val="en-US" w:eastAsia="zh-CN"/>
              </w:rPr>
              <w:object>
                <v:shape id="_x0000_i1050" o:spt="75" type="#_x0000_t75" style="height:12pt;width:6.75pt;" o:ole="t" filled="f" o:preferrelative="t" stroked="f" coordsize="21600,21600">
                  <v:path/>
                  <v:fill on="f" focussize="0,0"/>
                  <v:stroke on="f" joinstyle="miter"/>
                  <v:imagedata r:id="rId61" o:title=""/>
                  <o:lock v:ext="edit" aspectratio="t"/>
                  <w10:wrap type="none"/>
                  <w10:anchorlock/>
                </v:shape>
                <o:OLEObject Type="Embed" ProgID="Equation.3" ShapeID="_x0000_i1050" DrawAspect="Content" ObjectID="_1468075750" r:id="rId66">
                  <o:LockedField>false</o:LockedField>
                </o:OLEObject>
              </w:object>
            </w:r>
            <w:r>
              <w:rPr>
                <w:rFonts w:hint="default" w:ascii="Times New Roman" w:hAnsi="Times New Roman" w:eastAsia="宋体" w:cs="Times New Roman"/>
                <w:bCs/>
                <w:color w:val="auto"/>
                <w:sz w:val="24"/>
                <w:szCs w:val="24"/>
                <w:highlight w:val="none"/>
                <w:lang w:val="pt-BR" w:eastAsia="zh-CN"/>
              </w:rPr>
              <w:t>倍频带的声压级，dB；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51" o:spt="75" type="#_x0000_t75" style="height:13.5pt;width:13.5pt;" o:ole="t" filled="f" o:preferrelative="t" stroked="f" coordsize="21600,21600">
                  <v:path/>
                  <v:fill on="f" focussize="0,0"/>
                  <v:stroke on="f" joinstyle="miter"/>
                  <v:imagedata r:id="rId68" o:title=""/>
                  <o:lock v:ext="edit" aspectratio="t"/>
                  <w10:wrap type="none"/>
                  <w10:anchorlock/>
                </v:shape>
                <o:OLEObject Type="Embed" ProgID="Equation.3" ShapeID="_x0000_i1051" DrawAspect="Content" ObjectID="_1468075751" r:id="rId67">
                  <o:LockedField>false</o:LockedField>
                </o:OLEObject>
              </w:object>
            </w:r>
            <w:r>
              <w:rPr>
                <w:rFonts w:hint="default" w:ascii="Times New Roman" w:hAnsi="Times New Roman" w:eastAsia="宋体" w:cs="Times New Roman"/>
                <w:bCs/>
                <w:color w:val="auto"/>
                <w:sz w:val="24"/>
                <w:szCs w:val="24"/>
                <w:highlight w:val="none"/>
                <w:lang w:val="pt-BR" w:eastAsia="zh-CN"/>
              </w:rPr>
              <w:t>——室内声源总数。</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③计算出室外靠近围护结构处的声压级：</w:t>
            </w:r>
          </w:p>
          <w:p>
            <w:pPr>
              <w:adjustRightInd w:val="0"/>
              <w:snapToGrid w:val="0"/>
              <w:spacing w:line="360" w:lineRule="auto"/>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52" o:spt="75" type="#_x0000_t75" style="height:18.75pt;width:138.75pt;" o:ole="t" filled="f" o:preferrelative="t" stroked="f" coordsize="21600,21600">
                  <v:path/>
                  <v:fill on="f" focussize="0,0"/>
                  <v:stroke on="f" joinstyle="miter"/>
                  <v:imagedata r:id="rId70" o:title=""/>
                  <o:lock v:ext="edit" aspectratio="t"/>
                  <w10:wrap type="none"/>
                  <w10:anchorlock/>
                </v:shape>
                <o:OLEObject Type="Embed" ProgID="Equation.3" ShapeID="_x0000_i1052" DrawAspect="Content" ObjectID="_1468075752" r:id="rId69">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t>式中：</w:t>
            </w:r>
            <w:r>
              <w:rPr>
                <w:rFonts w:hint="default" w:ascii="Times New Roman" w:hAnsi="Times New Roman" w:eastAsia="宋体" w:cs="Times New Roman"/>
                <w:bCs/>
                <w:color w:val="auto"/>
                <w:sz w:val="24"/>
                <w:szCs w:val="24"/>
                <w:highlight w:val="none"/>
                <w:lang w:val="en-US" w:eastAsia="zh-CN"/>
              </w:rPr>
              <w:object>
                <v:shape id="_x0000_i1053" o:spt="75" type="#_x0000_t75" style="height:18.75pt;width:41.25pt;" o:ole="t" filled="f" o:preferrelative="t" stroked="f" coordsize="21600,21600">
                  <v:path/>
                  <v:fill on="f" focussize="0,0"/>
                  <v:stroke on="f" joinstyle="miter"/>
                  <v:imagedata r:id="rId72" o:title=""/>
                  <o:lock v:ext="edit" aspectratio="t"/>
                  <w10:wrap type="none"/>
                  <w10:anchorlock/>
                </v:shape>
                <o:OLEObject Type="Embed" ProgID="Equation.3" ShapeID="_x0000_i1053" DrawAspect="Content" ObjectID="_1468075753" r:id="rId71">
                  <o:LockedField>false</o:LockedField>
                </o:OLEObject>
              </w:object>
            </w:r>
            <w:r>
              <w:rPr>
                <w:rFonts w:hint="default" w:ascii="Times New Roman" w:hAnsi="Times New Roman" w:eastAsia="宋体" w:cs="Times New Roman"/>
                <w:bCs/>
                <w:color w:val="auto"/>
                <w:sz w:val="24"/>
                <w:szCs w:val="24"/>
                <w:highlight w:val="none"/>
                <w:lang w:val="pt-BR" w:eastAsia="zh-CN"/>
              </w:rPr>
              <w:t>——靠近围护结构处室外N个声源</w:t>
            </w:r>
            <w:r>
              <w:rPr>
                <w:rFonts w:hint="default" w:ascii="Times New Roman" w:hAnsi="Times New Roman" w:eastAsia="宋体" w:cs="Times New Roman"/>
                <w:bCs/>
                <w:color w:val="auto"/>
                <w:sz w:val="24"/>
                <w:szCs w:val="24"/>
                <w:highlight w:val="none"/>
                <w:lang w:val="en-US" w:eastAsia="zh-CN"/>
              </w:rPr>
              <w:object>
                <v:shape id="_x0000_i1054" o:spt="75" type="#_x0000_t75" style="height:12pt;width:6.75pt;" o:ole="t" filled="f" o:preferrelative="t" stroked="f" coordsize="21600,21600">
                  <v:path/>
                  <v:fill on="f" focussize="0,0"/>
                  <v:stroke on="f" joinstyle="miter"/>
                  <v:imagedata r:id="rId61" o:title=""/>
                  <o:lock v:ext="edit" aspectratio="t"/>
                  <w10:wrap type="none"/>
                  <w10:anchorlock/>
                </v:shape>
                <o:OLEObject Type="Embed" ProgID="Equation.3" ShapeID="_x0000_i1054" DrawAspect="Content" ObjectID="_1468075754" r:id="rId73">
                  <o:LockedField>false</o:LockedField>
                </o:OLEObject>
              </w:object>
            </w:r>
            <w:r>
              <w:rPr>
                <w:rFonts w:hint="default" w:ascii="Times New Roman" w:hAnsi="Times New Roman" w:eastAsia="宋体" w:cs="Times New Roman"/>
                <w:bCs/>
                <w:color w:val="auto"/>
                <w:sz w:val="24"/>
                <w:szCs w:val="24"/>
                <w:highlight w:val="none"/>
                <w:lang w:val="pt-BR" w:eastAsia="zh-CN"/>
              </w:rPr>
              <w:t>倍频带的叠加声压级，dB；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55" o:spt="75" type="#_x0000_t75" style="height:18.75pt;width:18.75pt;" o:ole="t" filled="f" o:preferrelative="t" stroked="f" coordsize="21600,21600">
                  <v:path/>
                  <v:fill on="f" focussize="0,0"/>
                  <v:stroke on="f" joinstyle="miter"/>
                  <v:imagedata r:id="rId75" o:title=""/>
                  <o:lock v:ext="edit" aspectratio="t"/>
                  <w10:wrap type="none"/>
                  <w10:anchorlock/>
                </v:shape>
                <o:OLEObject Type="Embed" ProgID="Equation.3" ShapeID="_x0000_i1055" DrawAspect="Content" ObjectID="_1468075755" r:id="rId74">
                  <o:LockedField>false</o:LockedField>
                </o:OLEObject>
              </w:object>
            </w:r>
            <w:r>
              <w:rPr>
                <w:rFonts w:hint="default" w:ascii="Times New Roman" w:hAnsi="Times New Roman" w:eastAsia="宋体" w:cs="Times New Roman"/>
                <w:bCs/>
                <w:color w:val="auto"/>
                <w:sz w:val="24"/>
                <w:szCs w:val="24"/>
                <w:highlight w:val="none"/>
                <w:lang w:val="pt-BR" w:eastAsia="zh-CN"/>
              </w:rPr>
              <w:t>——围护结构</w:t>
            </w:r>
            <w:r>
              <w:rPr>
                <w:rFonts w:hint="default" w:ascii="Times New Roman" w:hAnsi="Times New Roman" w:eastAsia="宋体" w:cs="Times New Roman"/>
                <w:bCs/>
                <w:color w:val="auto"/>
                <w:sz w:val="24"/>
                <w:szCs w:val="24"/>
                <w:highlight w:val="none"/>
                <w:lang w:val="en-US" w:eastAsia="zh-CN"/>
              </w:rPr>
              <w:object>
                <v:shape id="_x0000_i1056" o:spt="75" type="#_x0000_t75" style="height:12pt;width:6.75pt;" o:ole="t" filled="f" o:preferrelative="t" stroked="f" coordsize="21600,21600">
                  <v:path/>
                  <v:fill on="f" focussize="0,0"/>
                  <v:stroke on="f" joinstyle="miter"/>
                  <v:imagedata r:id="rId61" o:title=""/>
                  <o:lock v:ext="edit" aspectratio="t"/>
                  <w10:wrap type="none"/>
                  <w10:anchorlock/>
                </v:shape>
                <o:OLEObject Type="Embed" ProgID="Equation.3" ShapeID="_x0000_i1056" DrawAspect="Content" ObjectID="_1468075756" r:id="rId76">
                  <o:LockedField>false</o:LockedField>
                </o:OLEObject>
              </w:object>
            </w:r>
            <w:r>
              <w:rPr>
                <w:rFonts w:hint="default" w:ascii="Times New Roman" w:hAnsi="Times New Roman" w:eastAsia="宋体" w:cs="Times New Roman"/>
                <w:bCs/>
                <w:color w:val="auto"/>
                <w:sz w:val="24"/>
                <w:szCs w:val="24"/>
                <w:highlight w:val="none"/>
                <w:lang w:val="pt-BR" w:eastAsia="zh-CN"/>
              </w:rPr>
              <w:t>倍频带的隔声量，dB；</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rPr>
              <w:pict>
                <v:shape id="_x0000_s2050" o:spid="_x0000_s2050" o:spt="75" type="#_x0000_t75" style="position:absolute;left:0pt;margin-left:131.05pt;margin-top:41.45pt;height:18.75pt;width:106.5pt;z-index:251661312;mso-width-relative:page;mso-height-relative:page;" o:ole="t" filled="f" o:preferrelative="t" stroked="f" coordsize="21600,21600">
                  <v:path/>
                  <v:fill on="f" focussize="0,0"/>
                  <v:stroke on="f" joinstyle="miter"/>
                  <v:imagedata r:id="rId78" o:title=""/>
                  <o:lock v:ext="edit" aspectratio="t"/>
                </v:shape>
                <o:OLEObject Type="Embed" ProgID="Equation.3" ShapeID="_x0000_s2050" DrawAspect="Content" ObjectID="_1468075757" r:id="rId77">
                  <o:LockedField>false</o:LockedField>
                </o:OLEObject>
              </w:pict>
            </w:r>
            <w:r>
              <w:rPr>
                <w:rFonts w:hint="default" w:ascii="Times New Roman" w:hAnsi="Times New Roman" w:eastAsia="宋体" w:cs="Times New Roman"/>
                <w:bCs/>
                <w:color w:val="auto"/>
                <w:sz w:val="24"/>
                <w:szCs w:val="24"/>
                <w:highlight w:val="none"/>
                <w:lang w:val="en-US" w:eastAsia="zh-CN"/>
              </w:rPr>
              <w:t>④将室外声源的声压级和透过面积换算成等效的室外声源，计算出中心位置位于透声面积（S）处的等效声源的倍频带声功率级。</w:t>
            </w:r>
          </w:p>
          <w:p>
            <w:pPr>
              <w:adjustRightInd w:val="0"/>
              <w:snapToGrid w:val="0"/>
              <w:spacing w:line="240" w:lineRule="auto"/>
              <w:jc w:val="center"/>
              <w:rPr>
                <w:rFonts w:hint="default" w:ascii="Times New Roman" w:hAnsi="Times New Roman" w:eastAsia="宋体" w:cs="Times New Roman"/>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⑤等效室外声源的位置为围护结构的位置，其倍频带声功率级为</w:t>
            </w:r>
            <w:r>
              <w:rPr>
                <w:rFonts w:hint="default" w:ascii="Times New Roman" w:hAnsi="Times New Roman" w:eastAsia="宋体" w:cs="Times New Roman"/>
                <w:bCs/>
                <w:color w:val="auto"/>
                <w:sz w:val="24"/>
                <w:szCs w:val="24"/>
                <w:highlight w:val="none"/>
                <w:lang w:val="en-US" w:eastAsia="zh-CN"/>
              </w:rPr>
              <w:object>
                <v:shape id="_x0000_i1057" o:spt="75" type="#_x0000_t75" style="height:18.75pt;width:16.5pt;" o:ole="t" filled="f" o:preferrelative="t" stroked="f" coordsize="21600,21600">
                  <v:path/>
                  <v:fill on="f" focussize="0,0"/>
                  <v:stroke on="f" joinstyle="miter"/>
                  <v:imagedata r:id="rId80" o:title=""/>
                  <o:lock v:ext="edit" aspectratio="t"/>
                  <w10:wrap type="none"/>
                  <w10:anchorlock/>
                </v:shape>
                <o:OLEObject Type="Embed" ProgID="Equation.3" ShapeID="_x0000_i1057" DrawAspect="Content" ObjectID="_1468075758" r:id="rId79">
                  <o:LockedField>false</o:LockedField>
                </o:OLEObject>
              </w:object>
            </w:r>
            <w:r>
              <w:rPr>
                <w:rFonts w:hint="default" w:ascii="Times New Roman" w:hAnsi="Times New Roman" w:eastAsia="宋体" w:cs="Times New Roman"/>
                <w:bCs/>
                <w:color w:val="auto"/>
                <w:sz w:val="24"/>
                <w:szCs w:val="24"/>
                <w:highlight w:val="none"/>
                <w:lang w:val="en-US" w:eastAsia="zh-CN"/>
              </w:rPr>
              <w:t>，根据厂房结构（门、窗）和预测点的位置关系，分别按照面声源、线声源和点声源的衰减模式，计算预测点处的声级。</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假设窗户的宽度为a，高度为b，窗户个数为n；预测点距墙中心的距离为</w:t>
            </w:r>
            <w:r>
              <w:rPr>
                <w:rFonts w:hint="default" w:ascii="Times New Roman" w:hAnsi="Times New Roman" w:eastAsia="宋体" w:cs="Times New Roman"/>
                <w:bCs/>
                <w:color w:val="auto"/>
                <w:sz w:val="24"/>
                <w:szCs w:val="24"/>
                <w:highlight w:val="none"/>
                <w:lang w:val="en-US" w:eastAsia="zh-CN"/>
              </w:rPr>
              <w:object>
                <v:shape id="_x0000_i1058" o:spt="75" type="#_x0000_t75" style="height:7.5pt;width:7.5pt;" o:ole="t" filled="f" o:preferrelative="t" stroked="f" coordsize="21600,21600">
                  <v:path/>
                  <v:fill on="f" focussize="0,0"/>
                  <v:stroke on="f" joinstyle="miter"/>
                  <v:imagedata r:id="rId82" o:title=""/>
                  <o:lock v:ext="edit" aspectratio="t"/>
                  <w10:wrap type="none"/>
                  <w10:anchorlock/>
                </v:shape>
                <o:OLEObject Type="Embed" ProgID="Equation.3" ShapeID="_x0000_i1058" DrawAspect="Content" ObjectID="_1468075759" r:id="rId81">
                  <o:LockedField>false</o:LockedField>
                </o:OLEObject>
              </w:object>
            </w:r>
            <w:r>
              <w:rPr>
                <w:rFonts w:hint="default" w:ascii="Times New Roman" w:hAnsi="Times New Roman" w:eastAsia="宋体" w:cs="Times New Roman"/>
                <w:bCs/>
                <w:color w:val="auto"/>
                <w:sz w:val="24"/>
                <w:szCs w:val="24"/>
                <w:highlight w:val="none"/>
                <w:lang w:val="en-US" w:eastAsia="zh-CN"/>
              </w:rPr>
              <w:t>。预测点的声级按照下述公式进行预测：</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当</w:t>
            </w:r>
            <w:r>
              <w:rPr>
                <w:rFonts w:hint="default" w:ascii="Times New Roman" w:hAnsi="Times New Roman" w:eastAsia="宋体" w:cs="Times New Roman"/>
                <w:bCs/>
                <w:color w:val="auto"/>
                <w:sz w:val="24"/>
                <w:szCs w:val="24"/>
                <w:highlight w:val="none"/>
                <w:lang w:val="en-US" w:eastAsia="zh-CN"/>
              </w:rPr>
              <w:object>
                <v:shape id="_x0000_i1059" o:spt="75" type="#_x0000_t75" style="height:30pt;width:30pt;" o:ole="t" filled="f" o:preferrelative="t" stroked="f" coordsize="21600,21600">
                  <v:path/>
                  <v:fill on="f" focussize="0,0"/>
                  <v:stroke on="f" joinstyle="miter"/>
                  <v:imagedata r:id="rId84" o:title=""/>
                  <o:lock v:ext="edit" aspectratio="t"/>
                  <w10:wrap type="none"/>
                  <w10:anchorlock/>
                </v:shape>
                <o:OLEObject Type="Embed" ProgID="Equation.3" ShapeID="_x0000_i1059" DrawAspect="Content" ObjectID="_1468075760" r:id="rId83">
                  <o:LockedField>false</o:LockedField>
                </o:OLEObject>
              </w:object>
            </w:r>
            <w:r>
              <w:rPr>
                <w:rFonts w:hint="default" w:ascii="Times New Roman" w:hAnsi="Times New Roman" w:eastAsia="宋体" w:cs="Times New Roman"/>
                <w:bCs/>
                <w:color w:val="auto"/>
                <w:sz w:val="24"/>
                <w:szCs w:val="24"/>
                <w:highlight w:val="none"/>
                <w:lang w:val="en-US" w:eastAsia="zh-CN"/>
              </w:rPr>
              <w:t>时，</w:t>
            </w:r>
            <w:r>
              <w:rPr>
                <w:rFonts w:hint="default" w:ascii="Times New Roman" w:hAnsi="Times New Roman" w:eastAsia="宋体" w:cs="Times New Roman"/>
                <w:bCs/>
                <w:color w:val="auto"/>
                <w:sz w:val="24"/>
                <w:szCs w:val="24"/>
                <w:highlight w:val="none"/>
                <w:lang w:val="en-US" w:eastAsia="zh-CN"/>
              </w:rPr>
              <w:object>
                <v:shape id="_x0000_i1060" o:spt="75" type="#_x0000_t75" style="height:17.25pt;width:54.75pt;" o:ole="t" filled="f" o:preferrelative="t" stroked="f" coordsize="21600,21600">
                  <v:path/>
                  <v:fill on="f" focussize="0,0"/>
                  <v:stroke on="f" joinstyle="miter"/>
                  <v:imagedata r:id="rId86" o:title=""/>
                  <o:lock v:ext="edit" aspectratio="t"/>
                  <w10:wrap type="none"/>
                  <w10:anchorlock/>
                </v:shape>
                <o:OLEObject Type="Embed" ProgID="Equation.3" ShapeID="_x0000_i1060" DrawAspect="Content" ObjectID="_1468075761" r:id="rId85">
                  <o:LockedField>false</o:LockedField>
                </o:OLEObject>
              </w:object>
            </w:r>
            <w:r>
              <w:rPr>
                <w:rFonts w:hint="default" w:ascii="Times New Roman" w:hAnsi="Times New Roman" w:eastAsia="宋体" w:cs="Times New Roman"/>
                <w:bCs/>
                <w:color w:val="auto"/>
                <w:sz w:val="24"/>
                <w:szCs w:val="24"/>
                <w:highlight w:val="none"/>
                <w:lang w:val="en-US" w:eastAsia="zh-CN"/>
              </w:rPr>
              <w:t>（即按面声源处理）；</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当</w:t>
            </w:r>
            <w:r>
              <w:rPr>
                <w:rFonts w:hint="default" w:ascii="Times New Roman" w:hAnsi="Times New Roman" w:eastAsia="宋体" w:cs="Times New Roman"/>
                <w:bCs/>
                <w:color w:val="auto"/>
                <w:sz w:val="24"/>
                <w:szCs w:val="24"/>
                <w:highlight w:val="none"/>
                <w:lang w:val="en-US" w:eastAsia="zh-CN"/>
              </w:rPr>
              <w:object>
                <v:shape id="_x0000_i1061" o:spt="75" type="#_x0000_t75" style="height:30pt;width:58.5pt;" o:ole="t" filled="f" o:preferrelative="t" stroked="f" coordsize="21600,21600">
                  <v:path/>
                  <v:fill on="f" focussize="0,0"/>
                  <v:stroke on="f" joinstyle="miter"/>
                  <v:imagedata r:id="rId88" o:title=""/>
                  <o:lock v:ext="edit" aspectratio="t"/>
                  <w10:wrap type="none"/>
                  <w10:anchorlock/>
                </v:shape>
                <o:OLEObject Type="Embed" ProgID="Equation.3" ShapeID="_x0000_i1061" DrawAspect="Content" ObjectID="_1468075762" r:id="rId87">
                  <o:LockedField>false</o:LockedField>
                </o:OLEObject>
              </w:object>
            </w:r>
            <w:r>
              <w:rPr>
                <w:rFonts w:hint="default" w:ascii="Times New Roman" w:hAnsi="Times New Roman" w:eastAsia="宋体" w:cs="Times New Roman"/>
                <w:bCs/>
                <w:color w:val="auto"/>
                <w:sz w:val="24"/>
                <w:szCs w:val="24"/>
                <w:highlight w:val="none"/>
                <w:lang w:val="en-US" w:eastAsia="zh-CN"/>
              </w:rPr>
              <w:t>时，</w:t>
            </w:r>
            <w:r>
              <w:rPr>
                <w:rFonts w:hint="default" w:ascii="Times New Roman" w:hAnsi="Times New Roman" w:eastAsia="宋体" w:cs="Times New Roman"/>
                <w:bCs/>
                <w:color w:val="auto"/>
                <w:sz w:val="24"/>
                <w:szCs w:val="24"/>
                <w:highlight w:val="none"/>
                <w:lang w:val="en-US" w:eastAsia="zh-CN"/>
              </w:rPr>
              <w:object>
                <v:shape id="_x0000_i1062" o:spt="75" type="#_x0000_t75" style="height:30pt;width:97.5pt;" o:ole="t" filled="f" o:preferrelative="t" stroked="f" coordsize="21600,21600">
                  <v:path/>
                  <v:fill on="f" focussize="0,0"/>
                  <v:stroke on="f" joinstyle="miter"/>
                  <v:imagedata r:id="rId90" o:title=""/>
                  <o:lock v:ext="edit" aspectratio="t"/>
                  <w10:wrap type="none"/>
                  <w10:anchorlock/>
                </v:shape>
                <o:OLEObject Type="Embed" ProgID="Equation.3" ShapeID="_x0000_i1062" DrawAspect="Content" ObjectID="_1468075763" r:id="rId89">
                  <o:LockedField>false</o:LockedField>
                </o:OLEObject>
              </w:object>
            </w:r>
            <w:r>
              <w:rPr>
                <w:rFonts w:hint="default" w:ascii="Times New Roman" w:hAnsi="Times New Roman" w:eastAsia="宋体" w:cs="Times New Roman"/>
                <w:bCs/>
                <w:color w:val="auto"/>
                <w:sz w:val="24"/>
                <w:szCs w:val="24"/>
                <w:highlight w:val="none"/>
                <w:lang w:val="en-US" w:eastAsia="zh-CN"/>
              </w:rPr>
              <w:t>（即按线声源处理）；</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当</w:t>
            </w:r>
            <w:r>
              <w:rPr>
                <w:rFonts w:hint="default" w:ascii="Times New Roman" w:hAnsi="Times New Roman" w:eastAsia="宋体" w:cs="Times New Roman"/>
                <w:bCs/>
                <w:color w:val="auto"/>
                <w:sz w:val="24"/>
                <w:szCs w:val="24"/>
                <w:highlight w:val="none"/>
                <w:lang w:val="en-US" w:eastAsia="zh-CN"/>
              </w:rPr>
              <w:object>
                <v:shape id="_x0000_i1063" o:spt="75" type="#_x0000_t75" style="height:30pt;width:36pt;" o:ole="t" filled="f" o:preferrelative="t" stroked="f" coordsize="21600,21600">
                  <v:path/>
                  <v:fill on="f" focussize="0,0"/>
                  <v:stroke on="f" joinstyle="miter"/>
                  <v:imagedata r:id="rId92" o:title=""/>
                  <o:lock v:ext="edit" aspectratio="t"/>
                  <w10:wrap type="none"/>
                  <w10:anchorlock/>
                </v:shape>
                <o:OLEObject Type="Embed" ProgID="Equation.3" ShapeID="_x0000_i1063" DrawAspect="Content" ObjectID="_1468075764" r:id="rId91">
                  <o:LockedField>false</o:LockedField>
                </o:OLEObject>
              </w:object>
            </w:r>
            <w:r>
              <w:rPr>
                <w:rFonts w:hint="default" w:ascii="Times New Roman" w:hAnsi="Times New Roman" w:eastAsia="宋体" w:cs="Times New Roman"/>
                <w:bCs/>
                <w:color w:val="auto"/>
                <w:sz w:val="24"/>
                <w:szCs w:val="24"/>
                <w:highlight w:val="none"/>
                <w:lang w:val="en-US" w:eastAsia="zh-CN"/>
              </w:rPr>
              <w:t>时，</w:t>
            </w:r>
            <w:r>
              <w:rPr>
                <w:rFonts w:hint="default" w:ascii="Times New Roman" w:hAnsi="Times New Roman" w:eastAsia="宋体" w:cs="Times New Roman"/>
                <w:bCs/>
                <w:color w:val="auto"/>
                <w:sz w:val="24"/>
                <w:szCs w:val="24"/>
                <w:highlight w:val="none"/>
                <w:lang w:val="en-US" w:eastAsia="zh-CN"/>
              </w:rPr>
              <w:object>
                <v:shape id="_x0000_i1064" o:spt="75" type="#_x0000_t75" style="height:30pt;width:107.25pt;" o:ole="t" filled="f" o:preferrelative="t" stroked="f" coordsize="21600,21600">
                  <v:path/>
                  <v:fill on="f" focussize="0,0"/>
                  <v:stroke on="f" joinstyle="miter"/>
                  <v:imagedata r:id="rId94" o:title=""/>
                  <o:lock v:ext="edit" aspectratio="t"/>
                  <w10:wrap type="none"/>
                  <w10:anchorlock/>
                </v:shape>
                <o:OLEObject Type="Embed" ProgID="Equation.3" ShapeID="_x0000_i1064" DrawAspect="Content" ObjectID="_1468075765" r:id="rId93">
                  <o:LockedField>false</o:LockedField>
                </o:OLEObject>
              </w:object>
            </w:r>
            <w:r>
              <w:rPr>
                <w:rFonts w:hint="default" w:ascii="Times New Roman" w:hAnsi="Times New Roman" w:eastAsia="宋体" w:cs="Times New Roman"/>
                <w:bCs/>
                <w:color w:val="auto"/>
                <w:sz w:val="24"/>
                <w:szCs w:val="24"/>
                <w:highlight w:val="none"/>
                <w:lang w:val="en-US" w:eastAsia="zh-CN"/>
              </w:rPr>
              <w:t>（即按点声源处理）；</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（3）</w:t>
            </w:r>
            <w:r>
              <w:rPr>
                <w:rFonts w:hint="default" w:ascii="Times New Roman" w:hAnsi="Times New Roman" w:eastAsia="宋体" w:cs="Times New Roman"/>
                <w:bCs/>
                <w:color w:val="auto"/>
                <w:sz w:val="24"/>
                <w:szCs w:val="24"/>
                <w:highlight w:val="none"/>
                <w:lang w:val="en-US" w:eastAsia="zh-CN"/>
              </w:rPr>
              <w:t>计算总声压级</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①计算本工程各室外噪声源和各含噪声源厂房对各预测点噪声贡献值</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设第</w:t>
            </w:r>
            <w:r>
              <w:rPr>
                <w:rFonts w:hint="default" w:ascii="Times New Roman" w:hAnsi="Times New Roman" w:eastAsia="宋体" w:cs="Times New Roman"/>
                <w:bCs/>
                <w:color w:val="auto"/>
                <w:sz w:val="24"/>
                <w:szCs w:val="24"/>
                <w:highlight w:val="none"/>
                <w:lang w:val="en-US" w:eastAsia="zh-CN"/>
              </w:rPr>
              <w:object>
                <v:shape id="_x0000_i1065" o:spt="75" type="#_x0000_t75" style="height:12pt;width:6.75pt;" o:ole="t" filled="f" o:preferrelative="t" stroked="f" coordsize="21600,21600">
                  <v:path/>
                  <v:fill on="f" focussize="0,0"/>
                  <v:stroke on="f" joinstyle="miter"/>
                  <v:imagedata r:id="rId61" o:title=""/>
                  <o:lock v:ext="edit" aspectratio="t"/>
                  <w10:wrap type="none"/>
                  <w10:anchorlock/>
                </v:shape>
                <o:OLEObject Type="Embed" ProgID="Equation.3" ShapeID="_x0000_i1065" DrawAspect="Content" ObjectID="_1468075766" r:id="rId95">
                  <o:LockedField>false</o:LockedField>
                </o:OLEObject>
              </w:object>
            </w:r>
            <w:r>
              <w:rPr>
                <w:rFonts w:hint="default" w:ascii="Times New Roman" w:hAnsi="Times New Roman" w:eastAsia="宋体" w:cs="Times New Roman"/>
                <w:bCs/>
                <w:color w:val="auto"/>
                <w:sz w:val="24"/>
                <w:szCs w:val="24"/>
                <w:highlight w:val="none"/>
                <w:lang w:val="en-US" w:eastAsia="zh-CN"/>
              </w:rPr>
              <w:t>个室外声源在预测点产生的A声级为</w:t>
            </w:r>
            <w:r>
              <w:rPr>
                <w:rFonts w:hint="default" w:ascii="Times New Roman" w:hAnsi="Times New Roman" w:eastAsia="宋体" w:cs="Times New Roman"/>
                <w:bCs/>
                <w:color w:val="auto"/>
                <w:sz w:val="24"/>
                <w:szCs w:val="24"/>
                <w:highlight w:val="none"/>
                <w:lang w:val="en-US" w:eastAsia="zh-CN"/>
              </w:rPr>
              <w:object>
                <v:shape id="_x0000_i1066" o:spt="75" type="#_x0000_t75" style="height:18.75pt;width:18.75pt;" o:ole="t" filled="f" o:preferrelative="t" stroked="f" coordsize="21600,21600">
                  <v:path/>
                  <v:fill on="f" focussize="0,0"/>
                  <v:stroke on="f" joinstyle="miter"/>
                  <v:imagedata r:id="rId97" o:title=""/>
                  <o:lock v:ext="edit" aspectratio="t"/>
                  <w10:wrap type="none"/>
                  <w10:anchorlock/>
                </v:shape>
                <o:OLEObject Type="Embed" ProgID="Equation.3" ShapeID="_x0000_i1066" DrawAspect="Content" ObjectID="_1468075767" r:id="rId96">
                  <o:LockedField>false</o:LockedField>
                </o:OLEObject>
              </w:object>
            </w:r>
            <w:r>
              <w:rPr>
                <w:rFonts w:hint="default" w:ascii="Times New Roman" w:hAnsi="Times New Roman" w:eastAsia="宋体" w:cs="Times New Roman"/>
                <w:bCs/>
                <w:color w:val="auto"/>
                <w:sz w:val="24"/>
                <w:szCs w:val="24"/>
                <w:highlight w:val="none"/>
                <w:lang w:val="en-US" w:eastAsia="zh-CN"/>
              </w:rPr>
              <w:t>，在T时间内该声源工作时间为</w:t>
            </w:r>
            <w:r>
              <w:rPr>
                <w:rFonts w:hint="default" w:ascii="Times New Roman" w:hAnsi="Times New Roman" w:eastAsia="宋体" w:cs="Times New Roman"/>
                <w:bCs/>
                <w:color w:val="auto"/>
                <w:sz w:val="24"/>
                <w:szCs w:val="24"/>
                <w:highlight w:val="none"/>
                <w:lang w:val="en-US" w:eastAsia="zh-CN"/>
              </w:rPr>
              <w:object>
                <v:shape id="_x0000_i1067" o:spt="75" type="#_x0000_t75" style="height:18.75pt;width:7.5pt;" o:ole="t" filled="f" o:preferrelative="t" stroked="f" coordsize="21600,21600">
                  <v:path/>
                  <v:fill on="f" focussize="0,0"/>
                  <v:stroke on="f" joinstyle="miter"/>
                  <v:imagedata r:id="rId99" o:title=""/>
                  <o:lock v:ext="edit" aspectratio="t"/>
                  <w10:wrap type="none"/>
                  <w10:anchorlock/>
                </v:shape>
                <o:OLEObject Type="Embed" ProgID="Equation.3" ShapeID="_x0000_i1067" DrawAspect="Content" ObjectID="_1468075768" r:id="rId98">
                  <o:LockedField>false</o:LockedField>
                </o:OLEObject>
              </w:object>
            </w:r>
            <w:r>
              <w:rPr>
                <w:rFonts w:hint="default" w:ascii="Times New Roman" w:hAnsi="Times New Roman" w:eastAsia="宋体" w:cs="Times New Roman"/>
                <w:bCs/>
                <w:color w:val="auto"/>
                <w:sz w:val="24"/>
                <w:szCs w:val="24"/>
                <w:highlight w:val="none"/>
                <w:lang w:val="en-US" w:eastAsia="zh-CN"/>
              </w:rPr>
              <w:t>；第</w:t>
            </w:r>
            <w:r>
              <w:rPr>
                <w:rFonts w:hint="default" w:ascii="Times New Roman" w:hAnsi="Times New Roman" w:eastAsia="宋体" w:cs="Times New Roman"/>
                <w:bCs/>
                <w:color w:val="auto"/>
                <w:sz w:val="24"/>
                <w:szCs w:val="24"/>
                <w:highlight w:val="none"/>
                <w:lang w:val="en-US" w:eastAsia="zh-CN"/>
              </w:rPr>
              <w:object>
                <v:shape id="_x0000_i1068" o:spt="75" type="#_x0000_t75" style="height:13.5pt;width:7.5pt;" o:ole="t" filled="f" o:preferrelative="t" stroked="f" coordsize="21600,21600">
                  <v:path/>
                  <v:fill on="f" focussize="0,0"/>
                  <v:stroke on="f" joinstyle="miter"/>
                  <v:imagedata r:id="rId101" o:title=""/>
                  <o:lock v:ext="edit" aspectratio="t"/>
                  <w10:wrap type="none"/>
                  <w10:anchorlock/>
                </v:shape>
                <o:OLEObject Type="Embed" ProgID="Equation.3" ShapeID="_x0000_i1068" DrawAspect="Content" ObjectID="_1468075769" r:id="rId100">
                  <o:LockedField>false</o:LockedField>
                </o:OLEObject>
              </w:object>
            </w:r>
            <w:r>
              <w:rPr>
                <w:rFonts w:hint="default" w:ascii="Times New Roman" w:hAnsi="Times New Roman" w:eastAsia="宋体" w:cs="Times New Roman"/>
                <w:bCs/>
                <w:color w:val="auto"/>
                <w:sz w:val="24"/>
                <w:szCs w:val="24"/>
                <w:highlight w:val="none"/>
                <w:lang w:val="en-US" w:eastAsia="zh-CN"/>
              </w:rPr>
              <w:t>个等效室外声源在预测点产生的A声级为</w:t>
            </w:r>
            <w:r>
              <w:rPr>
                <w:rFonts w:hint="default" w:ascii="Times New Roman" w:hAnsi="Times New Roman" w:eastAsia="宋体" w:cs="Times New Roman"/>
                <w:bCs/>
                <w:color w:val="auto"/>
                <w:sz w:val="24"/>
                <w:szCs w:val="24"/>
                <w:highlight w:val="none"/>
                <w:lang w:val="en-US" w:eastAsia="zh-CN"/>
              </w:rPr>
              <w:object>
                <v:shape id="_x0000_i1069" o:spt="75" type="#_x0000_t75" style="height:18.75pt;width:18.75pt;" o:ole="t" filled="f" o:preferrelative="t" stroked="f" coordsize="21600,21600">
                  <v:path/>
                  <v:fill on="f" focussize="0,0"/>
                  <v:stroke on="f" joinstyle="miter"/>
                  <v:imagedata r:id="rId103" o:title=""/>
                  <o:lock v:ext="edit" aspectratio="t"/>
                  <w10:wrap type="none"/>
                  <w10:anchorlock/>
                </v:shape>
                <o:OLEObject Type="Embed" ProgID="Equation.3" ShapeID="_x0000_i1069" DrawAspect="Content" ObjectID="_1468075770" r:id="rId102">
                  <o:LockedField>false</o:LockedField>
                </o:OLEObject>
              </w:object>
            </w:r>
            <w:r>
              <w:rPr>
                <w:rFonts w:hint="default" w:ascii="Times New Roman" w:hAnsi="Times New Roman" w:eastAsia="宋体" w:cs="Times New Roman"/>
                <w:bCs/>
                <w:color w:val="auto"/>
                <w:sz w:val="24"/>
                <w:szCs w:val="24"/>
                <w:highlight w:val="none"/>
                <w:lang w:val="en-US" w:eastAsia="zh-CN"/>
              </w:rPr>
              <w:t>，在T时间内该声源工作时间为</w:t>
            </w:r>
            <w:r>
              <w:rPr>
                <w:rFonts w:hint="default" w:ascii="Times New Roman" w:hAnsi="Times New Roman" w:eastAsia="宋体" w:cs="Times New Roman"/>
                <w:bCs/>
                <w:color w:val="auto"/>
                <w:sz w:val="24"/>
                <w:szCs w:val="24"/>
                <w:highlight w:val="none"/>
                <w:lang w:val="en-US" w:eastAsia="zh-CN"/>
              </w:rPr>
              <w:object>
                <v:shape id="_x0000_i1070" o:spt="75" type="#_x0000_t75" style="height:18.75pt;width:11.25pt;" o:ole="t" filled="f" o:preferrelative="t" stroked="f" coordsize="21600,21600">
                  <v:path/>
                  <v:fill on="f" focussize="0,0"/>
                  <v:stroke on="f" joinstyle="miter"/>
                  <v:imagedata r:id="rId105" o:title=""/>
                  <o:lock v:ext="edit" aspectratio="t"/>
                  <w10:wrap type="none"/>
                  <w10:anchorlock/>
                </v:shape>
                <o:OLEObject Type="Embed" ProgID="Equation.3" ShapeID="_x0000_i1070" DrawAspect="Content" ObjectID="_1468075771" r:id="rId104">
                  <o:LockedField>false</o:LockedField>
                </o:OLEObject>
              </w:object>
            </w:r>
            <w:r>
              <w:rPr>
                <w:rFonts w:hint="default" w:ascii="Times New Roman" w:hAnsi="Times New Roman" w:eastAsia="宋体" w:cs="Times New Roman"/>
                <w:bCs/>
                <w:color w:val="auto"/>
                <w:sz w:val="24"/>
                <w:szCs w:val="24"/>
                <w:highlight w:val="none"/>
                <w:lang w:val="en-US" w:eastAsia="zh-CN"/>
              </w:rPr>
              <w:t>，则拟建工程声源对预测点产生的贡献值（</w:t>
            </w:r>
            <w:r>
              <w:rPr>
                <w:rFonts w:hint="default" w:ascii="Times New Roman" w:hAnsi="Times New Roman" w:eastAsia="宋体" w:cs="Times New Roman"/>
                <w:bCs/>
                <w:color w:val="auto"/>
                <w:sz w:val="24"/>
                <w:szCs w:val="24"/>
                <w:highlight w:val="none"/>
                <w:lang w:val="en-US" w:eastAsia="zh-CN"/>
              </w:rPr>
              <w:object>
                <v:shape id="_x0000_i1071" o:spt="75" type="#_x0000_t75" style="height:18.75pt;width:22.5pt;" o:ole="t" filled="f" o:preferrelative="t" stroked="f" coordsize="21600,21600">
                  <v:path/>
                  <v:fill on="f" focussize="0,0"/>
                  <v:stroke on="f" joinstyle="miter"/>
                  <v:imagedata r:id="rId107" o:title=""/>
                  <o:lock v:ext="edit" aspectratio="t"/>
                  <w10:wrap type="none"/>
                  <w10:anchorlock/>
                </v:shape>
                <o:OLEObject Type="Embed" ProgID="Equation.3" ShapeID="_x0000_i1071" DrawAspect="Content" ObjectID="_1468075772" r:id="rId106">
                  <o:LockedField>false</o:LockedField>
                </o:OLEObject>
              </w:object>
            </w:r>
            <w:r>
              <w:rPr>
                <w:rFonts w:hint="default" w:ascii="Times New Roman" w:hAnsi="Times New Roman" w:eastAsia="宋体" w:cs="Times New Roman"/>
                <w:bCs/>
                <w:color w:val="auto"/>
                <w:sz w:val="24"/>
                <w:szCs w:val="24"/>
                <w:highlight w:val="none"/>
                <w:lang w:val="en-US" w:eastAsia="zh-CN"/>
              </w:rPr>
              <w:t>）为:</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drawing>
                <wp:anchor distT="0" distB="0" distL="114300" distR="114300" simplePos="0" relativeHeight="251662336" behindDoc="0" locked="0" layoutInCell="1" allowOverlap="1">
                  <wp:simplePos x="0" y="0"/>
                  <wp:positionH relativeFrom="column">
                    <wp:posOffset>303530</wp:posOffset>
                  </wp:positionH>
                  <wp:positionV relativeFrom="paragraph">
                    <wp:posOffset>22225</wp:posOffset>
                  </wp:positionV>
                  <wp:extent cx="2637790" cy="466090"/>
                  <wp:effectExtent l="0" t="0" r="10160" b="10795"/>
                  <wp:wrapNone/>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108"/>
                          <a:stretch>
                            <a:fillRect/>
                          </a:stretch>
                        </pic:blipFill>
                        <pic:spPr>
                          <a:xfrm>
                            <a:off x="0" y="0"/>
                            <a:ext cx="2637790" cy="466090"/>
                          </a:xfrm>
                          <a:prstGeom prst="rect">
                            <a:avLst/>
                          </a:prstGeom>
                          <a:noFill/>
                          <a:ln>
                            <a:noFill/>
                          </a:ln>
                        </pic:spPr>
                      </pic:pic>
                    </a:graphicData>
                  </a:graphic>
                </wp:anchor>
              </w:drawing>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②预测点的噪声预测值</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object>
                <v:shape id="_x0000_i1072" o:spt="75" type="#_x0000_t75" style="height:22.5pt;width:142.5pt;" o:ole="t" filled="f" o:preferrelative="t" stroked="f" coordsize="21600,21600">
                  <v:path/>
                  <v:fill on="f" focussize="0,0"/>
                  <v:stroke on="f" joinstyle="miter"/>
                  <v:imagedata r:id="rId110" o:title=""/>
                  <o:lock v:ext="edit" aspectratio="t"/>
                  <w10:wrap type="none"/>
                  <w10:anchorlock/>
                </v:shape>
                <o:OLEObject Type="Embed" ProgID="Equation.3" ShapeID="_x0000_i1072" DrawAspect="Content" ObjectID="_1468075773" r:id="rId109">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t>式中：</w:t>
            </w:r>
            <w:r>
              <w:rPr>
                <w:rFonts w:hint="default" w:ascii="Times New Roman" w:hAnsi="Times New Roman" w:eastAsia="宋体" w:cs="Times New Roman"/>
                <w:bCs/>
                <w:color w:val="auto"/>
                <w:sz w:val="24"/>
                <w:szCs w:val="24"/>
                <w:highlight w:val="none"/>
                <w:lang w:val="en-US" w:eastAsia="zh-CN"/>
              </w:rPr>
              <w:object>
                <v:shape id="_x0000_i1073" o:spt="75" type="#_x0000_t75" style="height:18.75pt;width:22.5pt;" o:ole="t" filled="f" o:preferrelative="t" stroked="f" coordsize="21600,21600">
                  <v:path/>
                  <v:fill on="f" focussize="0,0"/>
                  <v:stroke on="f" joinstyle="miter"/>
                  <v:imagedata r:id="rId112" o:title=""/>
                  <o:lock v:ext="edit" aspectratio="t"/>
                  <w10:wrap type="none"/>
                  <w10:anchorlock/>
                </v:shape>
                <o:OLEObject Type="Embed" ProgID="Equation.3" ShapeID="_x0000_i1073" DrawAspect="Content" ObjectID="_1468075774" r:id="rId111">
                  <o:LockedField>false</o:LockedField>
                </o:OLEObject>
              </w:object>
            </w:r>
            <w:r>
              <w:rPr>
                <w:rFonts w:hint="default" w:ascii="Times New Roman" w:hAnsi="Times New Roman" w:eastAsia="宋体" w:cs="Times New Roman"/>
                <w:bCs/>
                <w:color w:val="auto"/>
                <w:sz w:val="24"/>
                <w:szCs w:val="24"/>
                <w:highlight w:val="none"/>
                <w:lang w:val="pt-BR" w:eastAsia="zh-CN"/>
              </w:rPr>
              <w:t>——建设项目声源在预测点的等效声级贡献值，dB（A）；</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pt-BR" w:eastAsia="zh-CN"/>
              </w:rPr>
            </w:pPr>
            <w:r>
              <w:rPr>
                <w:rFonts w:hint="default" w:ascii="Times New Roman" w:hAnsi="Times New Roman" w:eastAsia="宋体" w:cs="Times New Roman"/>
                <w:bCs/>
                <w:color w:val="auto"/>
                <w:sz w:val="24"/>
                <w:szCs w:val="24"/>
                <w:highlight w:val="none"/>
                <w:lang w:val="en-US" w:eastAsia="zh-CN"/>
              </w:rPr>
              <w:object>
                <v:shape id="_x0000_i1074" o:spt="75" type="#_x0000_t75" style="height:18.75pt;width:22.5pt;" o:ole="t" filled="f" o:preferrelative="t" stroked="f" coordsize="21600,21600">
                  <v:path/>
                  <v:fill on="f" focussize="0,0"/>
                  <v:stroke on="f" joinstyle="miter"/>
                  <v:imagedata r:id="rId114" o:title=""/>
                  <o:lock v:ext="edit" aspectratio="t"/>
                  <w10:wrap type="none"/>
                  <w10:anchorlock/>
                </v:shape>
                <o:OLEObject Type="Embed" ProgID="Equation.3" ShapeID="_x0000_i1074" DrawAspect="Content" ObjectID="_1468075775" r:id="rId113">
                  <o:LockedField>false</o:LockedField>
                </o:OLEObject>
              </w:object>
            </w:r>
            <w:r>
              <w:rPr>
                <w:rFonts w:hint="default" w:ascii="Times New Roman" w:hAnsi="Times New Roman" w:eastAsia="宋体" w:cs="Times New Roman"/>
                <w:bCs/>
                <w:color w:val="auto"/>
                <w:sz w:val="24"/>
                <w:szCs w:val="24"/>
                <w:highlight w:val="none"/>
                <w:lang w:val="pt-BR" w:eastAsia="zh-CN"/>
              </w:rPr>
              <w:t>——预测点的背景值，dB（A）。</w:t>
            </w:r>
          </w:p>
          <w:p>
            <w:pPr>
              <w:pStyle w:val="28"/>
              <w:spacing w:line="360" w:lineRule="auto"/>
              <w:ind w:left="0" w:leftChars="0" w:firstLine="0" w:firstLineChars="0"/>
              <w:rPr>
                <w:rFonts w:hint="default" w:ascii="Times New Roman" w:hAnsi="Times New Roman" w:eastAsia="宋体" w:cs="Times New Roman"/>
                <w:b/>
                <w:bCs/>
                <w:color w:val="auto"/>
                <w:kern w:val="2"/>
                <w:sz w:val="24"/>
                <w:szCs w:val="32"/>
                <w:highlight w:val="none"/>
                <w:lang w:val="en-US" w:eastAsia="zh-CN" w:bidi="ar-SA"/>
              </w:rPr>
            </w:pPr>
            <w:r>
              <w:rPr>
                <w:rFonts w:hint="eastAsia" w:ascii="Times New Roman" w:hAnsi="Times New Roman" w:eastAsia="宋体" w:cs="Times New Roman"/>
                <w:b/>
                <w:bCs/>
                <w:color w:val="auto"/>
                <w:kern w:val="2"/>
                <w:sz w:val="24"/>
                <w:szCs w:val="32"/>
                <w:highlight w:val="none"/>
                <w:lang w:val="en-US" w:eastAsia="zh-CN" w:bidi="ar-SA"/>
              </w:rPr>
              <w:t>3.2</w:t>
            </w:r>
            <w:r>
              <w:rPr>
                <w:rFonts w:hint="default" w:ascii="Times New Roman" w:hAnsi="Times New Roman" w:eastAsia="宋体" w:cs="Times New Roman"/>
                <w:b/>
                <w:bCs/>
                <w:color w:val="auto"/>
                <w:kern w:val="2"/>
                <w:sz w:val="24"/>
                <w:szCs w:val="32"/>
                <w:highlight w:val="none"/>
                <w:lang w:val="en-US" w:eastAsia="zh-CN" w:bidi="ar-SA"/>
              </w:rPr>
              <w:t>噪声源参数的确定</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根据各</w:t>
            </w:r>
            <w:r>
              <w:rPr>
                <w:rFonts w:hint="eastAsia" w:eastAsia="宋体" w:cs="Times New Roman"/>
                <w:bCs/>
                <w:color w:val="auto"/>
                <w:sz w:val="24"/>
                <w:szCs w:val="24"/>
                <w:highlight w:val="none"/>
                <w:lang w:val="en-US" w:eastAsia="zh-CN"/>
              </w:rPr>
              <w:t>企业</w:t>
            </w:r>
            <w:r>
              <w:rPr>
                <w:rFonts w:hint="eastAsia" w:ascii="Times New Roman" w:hAnsi="Times New Roman" w:eastAsia="宋体" w:cs="Times New Roman"/>
                <w:bCs/>
                <w:color w:val="auto"/>
                <w:sz w:val="24"/>
                <w:szCs w:val="24"/>
                <w:highlight w:val="none"/>
                <w:lang w:val="en-US" w:eastAsia="zh-CN"/>
              </w:rPr>
              <w:t>以及使用同类型设备企业</w:t>
            </w:r>
            <w:r>
              <w:rPr>
                <w:rFonts w:hint="default" w:ascii="Times New Roman" w:hAnsi="Times New Roman" w:eastAsia="宋体" w:cs="Times New Roman"/>
                <w:bCs/>
                <w:color w:val="auto"/>
                <w:sz w:val="24"/>
                <w:szCs w:val="24"/>
                <w:highlight w:val="none"/>
                <w:lang w:val="en-US" w:eastAsia="zh-CN"/>
              </w:rPr>
              <w:t>的调研，该项目主要设备噪声源强见下表。由表可知，主要生产设备的噪声源为</w:t>
            </w:r>
            <w:r>
              <w:rPr>
                <w:rFonts w:hint="eastAsia" w:ascii="Times New Roman" w:hAnsi="Times New Roman" w:eastAsia="宋体" w:cs="Times New Roman"/>
                <w:bCs/>
                <w:color w:val="auto"/>
                <w:sz w:val="24"/>
                <w:szCs w:val="24"/>
                <w:highlight w:val="none"/>
                <w:lang w:val="en-US" w:eastAsia="zh-CN"/>
              </w:rPr>
              <w:t>85-100</w:t>
            </w:r>
            <w:r>
              <w:rPr>
                <w:rFonts w:hint="default" w:ascii="Times New Roman" w:hAnsi="Times New Roman" w:eastAsia="宋体" w:cs="Times New Roman"/>
                <w:bCs/>
                <w:color w:val="auto"/>
                <w:sz w:val="24"/>
                <w:szCs w:val="24"/>
                <w:highlight w:val="none"/>
                <w:lang w:val="en-US" w:eastAsia="zh-CN"/>
              </w:rPr>
              <w:t>dB(A)。</w: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建设项目所处区域的年平均风速1.82m/s、主导风向为西南风、年平均气温12.74℃、年平均相对湿度60%、大气压强1050KPa。</w:t>
            </w:r>
          </w:p>
          <w:p>
            <w:pPr>
              <w:adjustRightInd w:val="0"/>
              <w:snapToGrid w:val="0"/>
              <w:spacing w:line="360" w:lineRule="auto"/>
              <w:ind w:firstLine="480" w:firstLineChars="200"/>
              <w:jc w:val="both"/>
              <w:rPr>
                <w:rFonts w:hint="eastAsia"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本项目主要设备噪声源强见下表</w:t>
            </w:r>
            <w:r>
              <w:rPr>
                <w:rFonts w:hint="eastAsia" w:eastAsia="宋体" w:cs="Times New Roman"/>
                <w:bCs/>
                <w:color w:val="auto"/>
                <w:sz w:val="24"/>
                <w:szCs w:val="24"/>
                <w:highlight w:val="none"/>
                <w:lang w:val="en-US" w:eastAsia="zh-CN"/>
              </w:rPr>
              <w:t>：</w:t>
            </w:r>
          </w:p>
          <w:p>
            <w:pPr>
              <w:numPr>
                <w:ilvl w:val="0"/>
                <w:numId w:val="0"/>
              </w:numPr>
              <w:spacing w:line="240" w:lineRule="auto"/>
              <w:ind w:leftChars="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w:t>
            </w:r>
            <w:r>
              <w:rPr>
                <w:rFonts w:hint="eastAsia" w:cs="Times New Roman"/>
                <w:b/>
                <w:bCs/>
                <w:color w:val="auto"/>
                <w:sz w:val="24"/>
                <w:szCs w:val="24"/>
                <w:highlight w:val="none"/>
                <w:lang w:val="en-US" w:eastAsia="zh-CN"/>
              </w:rPr>
              <w:t>4-5</w:t>
            </w:r>
            <w:r>
              <w:rPr>
                <w:rFonts w:hint="eastAsia" w:ascii="Times New Roman" w:hAnsi="Times New Roman" w:eastAsia="宋体" w:cs="Times New Roman"/>
                <w:b/>
                <w:bCs/>
                <w:color w:val="auto"/>
                <w:sz w:val="24"/>
                <w:szCs w:val="24"/>
                <w:highlight w:val="none"/>
                <w:lang w:val="en-US" w:eastAsia="zh-CN"/>
              </w:rPr>
              <w:t xml:space="preserve">  主要设备噪声源强表</w:t>
            </w:r>
          </w:p>
          <w:tbl>
            <w:tblPr>
              <w:tblStyle w:val="33"/>
              <w:tblpPr w:leftFromText="180" w:rightFromText="180" w:vertAnchor="text" w:tblpXSpec="center" w:tblpY="1"/>
              <w:tblOverlap w:val="never"/>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993"/>
              <w:gridCol w:w="873"/>
              <w:gridCol w:w="818"/>
              <w:gridCol w:w="518"/>
              <w:gridCol w:w="1186"/>
              <w:gridCol w:w="1075"/>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382"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186"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1314" w:type="pct"/>
                  <w:gridSpan w:val="3"/>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w:t>
                  </w:r>
                </w:p>
              </w:tc>
              <w:tc>
                <w:tcPr>
                  <w:tcW w:w="70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声源源强</w:t>
                  </w:r>
                </w:p>
              </w:tc>
              <w:tc>
                <w:tcPr>
                  <w:tcW w:w="639"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声源控制措施</w:t>
                  </w:r>
                </w:p>
              </w:tc>
              <w:tc>
                <w:tcPr>
                  <w:tcW w:w="77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8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8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05"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声功率级/dB(A)</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p>
              </w:tc>
              <w:tc>
                <w:tcPr>
                  <w:tcW w:w="1186"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eastAsia="宋体" w:cs="Times New Roman"/>
                      <w:color w:val="auto"/>
                      <w:sz w:val="21"/>
                      <w:szCs w:val="21"/>
                      <w:highlight w:val="none"/>
                      <w:lang w:val="en-US" w:eastAsia="zh-CN"/>
                    </w:rPr>
                    <w:t>喷漆设备</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-20.82</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-11.24</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75</w:t>
                  </w:r>
                </w:p>
              </w:tc>
              <w:tc>
                <w:tcPr>
                  <w:tcW w:w="639"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建筑隔声、安装减震基础</w:t>
                  </w:r>
                </w:p>
              </w:tc>
              <w:tc>
                <w:tcPr>
                  <w:tcW w:w="77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186"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普通车床</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-51.77</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21.07</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eastAsia="宋体" w:cs="Times New Roman"/>
                      <w:color w:val="auto"/>
                      <w:kern w:val="0"/>
                      <w:sz w:val="21"/>
                      <w:szCs w:val="21"/>
                      <w:highlight w:val="none"/>
                      <w:lang w:val="en-US" w:eastAsia="zh-CN"/>
                    </w:rPr>
                    <w:t>普通车床</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-51.99</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17.53</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摇臂钻床</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-23.22</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20.33</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数控加工中心</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-23.6</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13.35</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数控车床</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-52.02</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15.96</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CO</w:t>
                  </w:r>
                  <w:r>
                    <w:rPr>
                      <w:rFonts w:hint="default" w:cs="Times New Roman"/>
                      <w:color w:val="auto"/>
                      <w:sz w:val="21"/>
                      <w:szCs w:val="21"/>
                      <w:highlight w:val="none"/>
                      <w:vertAlign w:val="subscript"/>
                      <w:lang w:val="en-US" w:eastAsia="zh-CN"/>
                    </w:rPr>
                    <w:t>2</w:t>
                  </w:r>
                  <w:r>
                    <w:rPr>
                      <w:rFonts w:hint="default" w:cs="Times New Roman"/>
                      <w:color w:val="auto"/>
                      <w:sz w:val="21"/>
                      <w:szCs w:val="21"/>
                      <w:highlight w:val="none"/>
                      <w:vertAlign w:val="baseline"/>
                      <w:lang w:val="en-US" w:eastAsia="zh-CN"/>
                    </w:rPr>
                    <w:t>保护焊机</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-52.27</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24.81</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电火花机</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-52.64</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28.55</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vertAlign w:val="baseline"/>
                      <w:lang w:val="en-US" w:eastAsia="zh-CN"/>
                    </w:rPr>
                  </w:pPr>
                  <w:r>
                    <w:rPr>
                      <w:rFonts w:hint="default" w:cs="Times New Roman"/>
                      <w:color w:val="auto"/>
                      <w:sz w:val="21"/>
                      <w:szCs w:val="21"/>
                      <w:highlight w:val="none"/>
                      <w:vertAlign w:val="baseline"/>
                      <w:lang w:val="en-US" w:eastAsia="zh-CN"/>
                    </w:rPr>
                    <w:t>卷圆机</w:t>
                  </w:r>
                  <w:r>
                    <w:rPr>
                      <w:rFonts w:hint="eastAsia" w:cs="Times New Roman"/>
                      <w:color w:val="auto"/>
                      <w:sz w:val="21"/>
                      <w:szCs w:val="21"/>
                      <w:highlight w:val="none"/>
                      <w:vertAlign w:val="baseline"/>
                      <w:lang w:val="en-US" w:eastAsia="zh-CN"/>
                    </w:rPr>
                    <w:t xml:space="preserve">    </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-23.35</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8.61</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75</w:t>
                  </w:r>
                </w:p>
              </w:tc>
              <w:tc>
                <w:tcPr>
                  <w:tcW w:w="639"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7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82"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1186" w:type="pct"/>
                  <w:noWrap w:val="0"/>
                  <w:vAlign w:val="center"/>
                </w:tcPr>
                <w:p>
                  <w:pPr>
                    <w:pStyle w:val="104"/>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Calibri" w:hAnsi="Calibri"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环保设备</w:t>
                  </w:r>
                  <w:r>
                    <w:rPr>
                      <w:rFonts w:hint="default" w:ascii="Times New Roman" w:hAnsi="Times New Roman" w:eastAsia="宋体" w:cs="Times New Roman"/>
                      <w:color w:val="auto"/>
                      <w:sz w:val="21"/>
                      <w:szCs w:val="21"/>
                      <w:highlight w:val="none"/>
                      <w:lang w:val="en-US" w:eastAsia="zh-CN"/>
                    </w:rPr>
                    <w:t>风机</w:t>
                  </w:r>
                  <w:r>
                    <w:rPr>
                      <w:rFonts w:hint="eastAsia" w:ascii="Times New Roman" w:hAnsi="Times New Roman" w:cs="Times New Roman"/>
                      <w:color w:val="auto"/>
                      <w:sz w:val="21"/>
                      <w:szCs w:val="21"/>
                      <w:highlight w:val="none"/>
                      <w:lang w:val="en-US" w:eastAsia="zh-CN"/>
                    </w:rPr>
                    <w:t>（室外，运行时段为昼间）</w:t>
                  </w:r>
                </w:p>
              </w:tc>
              <w:tc>
                <w:tcPr>
                  <w:tcW w:w="51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-22.15</w:t>
                  </w:r>
                </w:p>
              </w:tc>
              <w:tc>
                <w:tcPr>
                  <w:tcW w:w="48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-10.46</w:t>
                  </w:r>
                </w:p>
              </w:tc>
              <w:tc>
                <w:tcPr>
                  <w:tcW w:w="308"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w:t>
                  </w:r>
                </w:p>
              </w:tc>
              <w:tc>
                <w:tcPr>
                  <w:tcW w:w="705" w:type="pct"/>
                  <w:noWrap w:val="0"/>
                  <w:vAlign w:val="center"/>
                </w:tcPr>
                <w:p>
                  <w:pPr>
                    <w:pStyle w:val="61"/>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90</w:t>
                  </w:r>
                </w:p>
              </w:tc>
              <w:tc>
                <w:tcPr>
                  <w:tcW w:w="639"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安装基础减振、距离衰减</w:t>
                  </w:r>
                </w:p>
              </w:tc>
              <w:tc>
                <w:tcPr>
                  <w:tcW w:w="77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bidi w:val="0"/>
              <w:ind w:firstLine="480" w:firstLineChars="200"/>
              <w:rPr>
                <w:color w:val="auto"/>
                <w:highlight w:val="none"/>
              </w:rPr>
            </w:pPr>
            <w:r>
              <w:rPr>
                <w:rFonts w:hint="eastAsia"/>
                <w:color w:val="auto"/>
                <w:highlight w:val="none"/>
              </w:rPr>
              <w:t>按照噪声预测模式，结合噪声源到各预测点距离和各现状监测点的监测值，通过计算，</w:t>
            </w:r>
            <w:r>
              <w:rPr>
                <w:rFonts w:hint="eastAsia"/>
                <w:color w:val="auto"/>
                <w:highlight w:val="none"/>
                <w:lang w:val="en-US" w:eastAsia="zh-CN"/>
              </w:rPr>
              <w:t>技改完成后，</w:t>
            </w:r>
            <w:r>
              <w:rPr>
                <w:rFonts w:hint="eastAsia"/>
                <w:color w:val="auto"/>
                <w:highlight w:val="none"/>
              </w:rPr>
              <w:t>厂界噪声预测</w:t>
            </w:r>
            <w:r>
              <w:rPr>
                <w:color w:val="auto"/>
                <w:highlight w:val="none"/>
              </w:rPr>
              <w:t>结果见下表。</w:t>
            </w:r>
          </w:p>
          <w:p>
            <w:pPr>
              <w:numPr>
                <w:ilvl w:val="0"/>
                <w:numId w:val="0"/>
              </w:numPr>
              <w:spacing w:line="240" w:lineRule="auto"/>
              <w:ind w:leftChars="0"/>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240" w:lineRule="auto"/>
              <w:ind w:leftChars="0"/>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240" w:lineRule="auto"/>
              <w:ind w:leftChars="0"/>
              <w:jc w:val="center"/>
              <w:rPr>
                <w:rFonts w:hint="eastAsia" w:ascii="Times New Roman" w:hAnsi="Times New Roman" w:eastAsia="宋体" w:cs="Times New Roman"/>
                <w:b/>
                <w:bCs/>
                <w:color w:val="auto"/>
                <w:sz w:val="24"/>
                <w:szCs w:val="24"/>
                <w:highlight w:val="none"/>
                <w:lang w:val="en-US" w:eastAsia="zh-CN"/>
              </w:rPr>
            </w:pPr>
          </w:p>
          <w:p>
            <w:pPr>
              <w:numPr>
                <w:ilvl w:val="0"/>
                <w:numId w:val="0"/>
              </w:numPr>
              <w:spacing w:line="240" w:lineRule="auto"/>
              <w:ind w:leftChars="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 xml:space="preserve">6 </w:t>
            </w:r>
            <w:r>
              <w:rPr>
                <w:rFonts w:hint="eastAsia" w:ascii="Times New Roman" w:hAnsi="Times New Roman" w:eastAsia="宋体" w:cs="Times New Roman"/>
                <w:b/>
                <w:bCs/>
                <w:color w:val="auto"/>
                <w:sz w:val="24"/>
                <w:szCs w:val="24"/>
                <w:highlight w:val="none"/>
                <w:lang w:val="en-US" w:eastAsia="zh-CN"/>
              </w:rPr>
              <w:t xml:space="preserve"> 项目建成后厂界噪声预测结果一览表  单位：dB(A)</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538"/>
              <w:gridCol w:w="1607"/>
              <w:gridCol w:w="1693"/>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12" w:type="dxa"/>
                  <w:vMerge w:val="restart"/>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设备名称</w:t>
                  </w:r>
                </w:p>
              </w:tc>
              <w:tc>
                <w:tcPr>
                  <w:tcW w:w="6975" w:type="dxa"/>
                  <w:gridSpan w:val="4"/>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12" w:type="dxa"/>
                  <w:vMerge w:val="continue"/>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val="0"/>
                      <w:bCs w:val="0"/>
                      <w:color w:val="auto"/>
                      <w:sz w:val="21"/>
                      <w:szCs w:val="21"/>
                      <w:highlight w:val="none"/>
                      <w:lang w:val="en-US" w:eastAsia="zh-CN"/>
                    </w:rPr>
                  </w:pPr>
                </w:p>
              </w:tc>
              <w:tc>
                <w:tcPr>
                  <w:tcW w:w="1538"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东侧</w:t>
                  </w:r>
                </w:p>
              </w:tc>
              <w:tc>
                <w:tcPr>
                  <w:tcW w:w="1607"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西侧</w:t>
                  </w:r>
                </w:p>
              </w:tc>
              <w:tc>
                <w:tcPr>
                  <w:tcW w:w="1693"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南侧</w:t>
                  </w:r>
                </w:p>
              </w:tc>
              <w:tc>
                <w:tcPr>
                  <w:tcW w:w="2137"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设备贡献值叠加后</w:t>
                  </w:r>
                </w:p>
              </w:tc>
              <w:tc>
                <w:tcPr>
                  <w:tcW w:w="15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26.79</w:t>
                  </w:r>
                </w:p>
              </w:tc>
              <w:tc>
                <w:tcPr>
                  <w:tcW w:w="16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35.42</w:t>
                  </w:r>
                </w:p>
              </w:tc>
              <w:tc>
                <w:tcPr>
                  <w:tcW w:w="169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30.61</w:t>
                  </w:r>
                </w:p>
              </w:tc>
              <w:tc>
                <w:tcPr>
                  <w:tcW w:w="21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现状监测值</w:t>
                  </w:r>
                </w:p>
              </w:tc>
              <w:tc>
                <w:tcPr>
                  <w:tcW w:w="15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57.7</w:t>
                  </w:r>
                </w:p>
              </w:tc>
              <w:tc>
                <w:tcPr>
                  <w:tcW w:w="16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58.1</w:t>
                  </w:r>
                </w:p>
              </w:tc>
              <w:tc>
                <w:tcPr>
                  <w:tcW w:w="169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58.7</w:t>
                  </w:r>
                </w:p>
              </w:tc>
              <w:tc>
                <w:tcPr>
                  <w:tcW w:w="21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预测值</w:t>
                  </w:r>
                </w:p>
              </w:tc>
              <w:tc>
                <w:tcPr>
                  <w:tcW w:w="153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57.9</w:t>
                  </w:r>
                </w:p>
              </w:tc>
              <w:tc>
                <w:tcPr>
                  <w:tcW w:w="16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58.12</w:t>
                  </w:r>
                </w:p>
              </w:tc>
              <w:tc>
                <w:tcPr>
                  <w:tcW w:w="1693"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58.71</w:t>
                  </w:r>
                </w:p>
              </w:tc>
              <w:tc>
                <w:tcPr>
                  <w:tcW w:w="21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57.61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标准限值</w:t>
                  </w:r>
                </w:p>
              </w:tc>
              <w:tc>
                <w:tcPr>
                  <w:tcW w:w="6975"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昼间≤65</w:t>
                  </w:r>
                  <w:r>
                    <w:rPr>
                      <w:rFonts w:hint="eastAsia" w:cs="Times New Roman"/>
                      <w:b w:val="0"/>
                      <w:bCs w:val="0"/>
                      <w:color w:val="auto"/>
                      <w:sz w:val="21"/>
                      <w:szCs w:val="21"/>
                      <w:highlight w:val="none"/>
                      <w:lang w:val="en-US" w:eastAsia="zh-CN"/>
                    </w:rPr>
                    <w:t>（夜间不生产）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rPr>
                    <w:t>评价结果</w:t>
                  </w:r>
                </w:p>
              </w:tc>
              <w:tc>
                <w:tcPr>
                  <w:tcW w:w="1538"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达标</w:t>
                  </w:r>
                </w:p>
              </w:tc>
              <w:tc>
                <w:tcPr>
                  <w:tcW w:w="1607"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达标</w:t>
                  </w:r>
                </w:p>
              </w:tc>
              <w:tc>
                <w:tcPr>
                  <w:tcW w:w="1693"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达标</w:t>
                  </w:r>
                </w:p>
              </w:tc>
              <w:tc>
                <w:tcPr>
                  <w:tcW w:w="2137" w:type="dxa"/>
                  <w:vAlign w:val="center"/>
                </w:tcPr>
                <w:p>
                  <w:pPr>
                    <w:pStyle w:val="10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lang w:val="en-US" w:eastAsia="zh-CN"/>
                    </w:rPr>
                    <w:t>达标</w:t>
                  </w:r>
                </w:p>
              </w:tc>
            </w:tr>
          </w:tbl>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根据噪声预测结果，项目建成后噪声源对四周厂界的噪声贡献值为</w:t>
            </w:r>
            <w:r>
              <w:rPr>
                <w:rFonts w:hint="eastAsia" w:cs="Times New Roman"/>
                <w:bCs/>
                <w:color w:val="auto"/>
                <w:sz w:val="24"/>
                <w:szCs w:val="24"/>
                <w:highlight w:val="none"/>
                <w:lang w:val="en-US" w:eastAsia="zh-CN"/>
              </w:rPr>
              <w:t>26.79-35.42</w:t>
            </w:r>
            <w:r>
              <w:rPr>
                <w:rFonts w:hint="eastAsia" w:ascii="Times New Roman" w:hAnsi="Times New Roman" w:eastAsia="宋体" w:cs="Times New Roman"/>
                <w:bCs/>
                <w:color w:val="auto"/>
                <w:sz w:val="24"/>
                <w:szCs w:val="24"/>
                <w:highlight w:val="none"/>
                <w:lang w:val="en-US" w:eastAsia="zh-CN"/>
              </w:rPr>
              <w:t>dB(A)</w:t>
            </w:r>
            <w:r>
              <w:rPr>
                <w:rFonts w:hint="eastAsia" w:cs="Times New Roman"/>
                <w:bCs/>
                <w:color w:val="auto"/>
                <w:sz w:val="24"/>
                <w:szCs w:val="24"/>
                <w:highlight w:val="none"/>
                <w:lang w:val="en-US" w:eastAsia="zh-CN"/>
              </w:rPr>
              <w:t>，叠加现状监测数据后，厂界噪声范围为57.61-58.71</w:t>
            </w:r>
            <w:r>
              <w:rPr>
                <w:rFonts w:hint="eastAsia" w:ascii="Times New Roman" w:hAnsi="Times New Roman" w:eastAsia="宋体" w:cs="Times New Roman"/>
                <w:bCs/>
                <w:color w:val="auto"/>
                <w:sz w:val="24"/>
                <w:szCs w:val="24"/>
                <w:highlight w:val="none"/>
                <w:lang w:val="en-US" w:eastAsia="zh-CN"/>
              </w:rPr>
              <w:t>dB(A)。综上所述，通过选用低噪声设备、采用减震基础、安装减震装置、车间合理布局等措施后，再经厂房隔声、距离衰减后，厂界噪声满足《工业企业厂界环境噪声排放标准》（GB12348-2008）中的</w:t>
            </w:r>
            <w:r>
              <w:rPr>
                <w:rFonts w:hint="eastAsia"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en-US" w:eastAsia="zh-CN"/>
              </w:rPr>
              <w:t>类标准。</w:t>
            </w:r>
          </w:p>
          <w:p>
            <w:pPr>
              <w:pStyle w:val="28"/>
              <w:spacing w:line="240" w:lineRule="auto"/>
              <w:ind w:left="0" w:leftChars="0" w:firstLine="0" w:firstLineChars="0"/>
              <w:rPr>
                <w:rFonts w:hint="default" w:ascii="Times New Roman" w:hAnsi="Times New Roman" w:eastAsia="宋体" w:cs="Times New Roman"/>
                <w:b/>
                <w:bCs/>
                <w:color w:val="auto"/>
                <w:kern w:val="2"/>
                <w:sz w:val="24"/>
                <w:szCs w:val="32"/>
                <w:highlight w:val="none"/>
                <w:lang w:val="en-US" w:eastAsia="zh-CN" w:bidi="ar-SA"/>
              </w:rPr>
            </w:pPr>
            <w:r>
              <w:rPr>
                <w:rFonts w:hint="default" w:ascii="Times New Roman" w:hAnsi="Times New Roman" w:eastAsia="宋体" w:cs="Times New Roman"/>
                <w:b/>
                <w:bCs/>
                <w:color w:val="auto"/>
                <w:kern w:val="2"/>
                <w:sz w:val="24"/>
                <w:szCs w:val="32"/>
                <w:highlight w:val="none"/>
                <w:lang w:val="en-US" w:eastAsia="zh-CN" w:bidi="ar-SA"/>
              </w:rPr>
              <w:t>3.3监测要求</w:t>
            </w:r>
          </w:p>
          <w:p>
            <w:pPr>
              <w:pStyle w:val="51"/>
              <w:bidi w:val="0"/>
              <w:rPr>
                <w:rFonts w:hint="default" w:ascii="Times New Roman" w:hAnsi="Times New Roman" w:cs="Times New Roman"/>
                <w:color w:val="auto"/>
                <w:sz w:val="40"/>
                <w:szCs w:val="22"/>
                <w:highlight w:val="none"/>
                <w:lang w:val="en-US" w:eastAsia="zh-CN"/>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4-</w:t>
            </w:r>
            <w:r>
              <w:rPr>
                <w:rFonts w:hint="eastAsia" w:cs="Times New Roman"/>
                <w:b/>
                <w:bCs/>
                <w:color w:val="auto"/>
                <w:kern w:val="2"/>
                <w:sz w:val="24"/>
                <w:szCs w:val="24"/>
                <w:highlight w:val="none"/>
                <w:lang w:val="en-US" w:eastAsia="zh-CN" w:bidi="ar-SA"/>
              </w:rPr>
              <w:t xml:space="preserve">7 </w:t>
            </w:r>
            <w:r>
              <w:rPr>
                <w:rFonts w:hint="default" w:ascii="Times New Roman" w:hAnsi="Times New Roman" w:eastAsia="宋体" w:cs="Times New Roman"/>
                <w:b/>
                <w:bCs/>
                <w:color w:val="auto"/>
                <w:kern w:val="2"/>
                <w:sz w:val="24"/>
                <w:szCs w:val="24"/>
                <w:highlight w:val="none"/>
                <w:lang w:val="en-US" w:eastAsia="zh-CN" w:bidi="ar-SA"/>
              </w:rPr>
              <w:t xml:space="preserve">  监测要求一览表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2967"/>
              <w:gridCol w:w="2033"/>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监测项目</w:t>
                  </w:r>
                </w:p>
              </w:tc>
              <w:tc>
                <w:tcPr>
                  <w:tcW w:w="2802"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监测点位</w:t>
                  </w:r>
                </w:p>
              </w:tc>
              <w:tc>
                <w:tcPr>
                  <w:tcW w:w="1920"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监测因子</w:t>
                  </w:r>
                </w:p>
              </w:tc>
              <w:tc>
                <w:tcPr>
                  <w:tcW w:w="2003"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w:t>
                  </w:r>
                </w:p>
              </w:tc>
              <w:tc>
                <w:tcPr>
                  <w:tcW w:w="2802"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厂界外1米</w:t>
                  </w:r>
                </w:p>
              </w:tc>
              <w:tc>
                <w:tcPr>
                  <w:tcW w:w="1920"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等效A声级</w:t>
                  </w:r>
                </w:p>
              </w:tc>
              <w:tc>
                <w:tcPr>
                  <w:tcW w:w="2003" w:type="dxa"/>
                  <w:tcBorders>
                    <w:tl2br w:val="nil"/>
                    <w:tr2bl w:val="nil"/>
                  </w:tcBorders>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每年度一次</w:t>
                  </w:r>
                </w:p>
              </w:tc>
            </w:tr>
          </w:tbl>
          <w:p>
            <w:pPr>
              <w:pStyle w:val="1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固废环境影响分析</w:t>
            </w:r>
          </w:p>
          <w:p>
            <w:pPr>
              <w:pStyle w:val="11"/>
              <w:bidi w:val="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4.1一般工业固体废物</w:t>
            </w:r>
          </w:p>
          <w:p>
            <w:pPr>
              <w:bidi w:val="0"/>
              <w:ind w:firstLine="480" w:firstLineChars="200"/>
              <w:rPr>
                <w:rFonts w:hint="default"/>
                <w:b w:val="0"/>
                <w:bCs/>
                <w:color w:val="auto"/>
                <w:sz w:val="24"/>
                <w:szCs w:val="24"/>
                <w:highlight w:val="none"/>
                <w:lang w:val="en-US" w:eastAsia="zh-CN"/>
              </w:rPr>
            </w:pPr>
            <w:r>
              <w:rPr>
                <w:rFonts w:hint="eastAsia"/>
                <w:b w:val="0"/>
                <w:bCs/>
                <w:color w:val="auto"/>
                <w:sz w:val="24"/>
                <w:szCs w:val="24"/>
                <w:highlight w:val="none"/>
                <w:lang w:val="en-US" w:eastAsia="zh-CN"/>
              </w:rPr>
              <w:t>一般工业固体废物种类不新增，本项目技改除增加喷漆房所用原辅料料外，其他原辅料增加量较少，技改完成后全厂一般工业固体废物产生量详见下表。</w:t>
            </w:r>
          </w:p>
          <w:p>
            <w:pPr>
              <w:pStyle w:val="81"/>
              <w:bidi w:val="0"/>
              <w:spacing w:line="240" w:lineRule="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表4-</w:t>
            </w:r>
            <w:r>
              <w:rPr>
                <w:rFonts w:hint="eastAsia" w:ascii="Times New Roman" w:hAnsi="Times New Roman" w:cs="Times New Roman"/>
                <w:b/>
                <w:color w:val="auto"/>
                <w:sz w:val="24"/>
                <w:szCs w:val="24"/>
                <w:highlight w:val="none"/>
                <w:lang w:val="en-US" w:eastAsia="zh-CN"/>
              </w:rPr>
              <w:t>8</w:t>
            </w:r>
            <w:r>
              <w:rPr>
                <w:rFonts w:hint="default" w:ascii="Times New Roman" w:hAnsi="Times New Roman" w:cs="Times New Roman"/>
                <w:b/>
                <w:color w:val="auto"/>
                <w:sz w:val="24"/>
                <w:szCs w:val="24"/>
                <w:highlight w:val="none"/>
                <w:lang w:val="en-US" w:eastAsia="zh-CN"/>
              </w:rPr>
              <w:t xml:space="preserve">  </w:t>
            </w:r>
            <w:r>
              <w:rPr>
                <w:rFonts w:hint="eastAsia" w:ascii="Times New Roman" w:hAnsi="Times New Roman" w:cs="Times New Roman"/>
                <w:b/>
                <w:color w:val="auto"/>
                <w:sz w:val="24"/>
                <w:szCs w:val="24"/>
                <w:highlight w:val="none"/>
                <w:lang w:val="en-US" w:eastAsia="zh-CN"/>
              </w:rPr>
              <w:t>技改</w:t>
            </w:r>
            <w:r>
              <w:rPr>
                <w:rFonts w:hint="default" w:ascii="Times New Roman" w:hAnsi="Times New Roman" w:cs="Times New Roman"/>
                <w:b/>
                <w:color w:val="auto"/>
                <w:sz w:val="24"/>
                <w:szCs w:val="24"/>
                <w:highlight w:val="none"/>
                <w:lang w:val="en-US" w:eastAsia="zh-CN"/>
              </w:rPr>
              <w:t>完成后全厂一般工业固体废物情况一览表</w:t>
            </w:r>
          </w:p>
          <w:tbl>
            <w:tblPr>
              <w:tblStyle w:val="33"/>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47"/>
              <w:gridCol w:w="1091"/>
              <w:gridCol w:w="1104"/>
              <w:gridCol w:w="1255"/>
              <w:gridCol w:w="1486"/>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序号</w:t>
                  </w:r>
                </w:p>
              </w:tc>
              <w:tc>
                <w:tcPr>
                  <w:tcW w:w="742"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固废代码</w:t>
                  </w:r>
                </w:p>
              </w:tc>
              <w:tc>
                <w:tcPr>
                  <w:tcW w:w="649"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固废名称</w:t>
                  </w:r>
                </w:p>
              </w:tc>
              <w:tc>
                <w:tcPr>
                  <w:tcW w:w="657"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现有工程产生量</w:t>
                  </w:r>
                </w:p>
              </w:tc>
              <w:tc>
                <w:tcPr>
                  <w:tcW w:w="747"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技改项目产生量</w:t>
                  </w:r>
                </w:p>
              </w:tc>
              <w:tc>
                <w:tcPr>
                  <w:tcW w:w="884"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技改完成后全厂</w:t>
                  </w:r>
                  <w:r>
                    <w:rPr>
                      <w:rFonts w:hint="eastAsia" w:ascii="Times New Roman" w:hAnsi="Times New Roman" w:eastAsia="宋体" w:cs="Times New Roman"/>
                      <w:color w:val="auto"/>
                      <w:highlight w:val="none"/>
                      <w:lang w:val="en-US" w:eastAsia="zh-CN"/>
                    </w:rPr>
                    <w:t>产生量（t/a）</w:t>
                  </w:r>
                </w:p>
              </w:tc>
              <w:tc>
                <w:tcPr>
                  <w:tcW w:w="1047"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71"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742"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900-999-99</w:t>
                  </w:r>
                </w:p>
              </w:tc>
              <w:tc>
                <w:tcPr>
                  <w:tcW w:w="649" w:type="pct"/>
                  <w:vAlign w:val="center"/>
                </w:tcPr>
                <w:p>
                  <w:pPr>
                    <w:pStyle w:val="81"/>
                    <w:bidi w:val="0"/>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废抹布</w:t>
                  </w:r>
                </w:p>
              </w:tc>
              <w:tc>
                <w:tcPr>
                  <w:tcW w:w="657"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w:t>
                  </w:r>
                </w:p>
              </w:tc>
              <w:tc>
                <w:tcPr>
                  <w:tcW w:w="747"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0.001</w:t>
                  </w:r>
                </w:p>
              </w:tc>
              <w:tc>
                <w:tcPr>
                  <w:tcW w:w="884"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0.021</w:t>
                  </w:r>
                </w:p>
              </w:tc>
              <w:tc>
                <w:tcPr>
                  <w:tcW w:w="1047"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与生活垃圾一起交环卫部门处置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271"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2</w:t>
                  </w:r>
                </w:p>
              </w:tc>
              <w:tc>
                <w:tcPr>
                  <w:tcW w:w="742" w:type="pct"/>
                  <w:vAlign w:val="center"/>
                </w:tcPr>
                <w:p>
                  <w:pPr>
                    <w:pStyle w:val="81"/>
                    <w:bidi w:val="0"/>
                    <w:spacing w:line="240" w:lineRule="auto"/>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900-999-09</w:t>
                  </w:r>
                </w:p>
              </w:tc>
              <w:tc>
                <w:tcPr>
                  <w:tcW w:w="649" w:type="pct"/>
                  <w:vAlign w:val="center"/>
                </w:tcPr>
                <w:p>
                  <w:pPr>
                    <w:pStyle w:val="58"/>
                    <w:bidi w:val="0"/>
                    <w:spacing w:line="240" w:lineRule="auto"/>
                    <w:jc w:val="center"/>
                    <w:rPr>
                      <w:rFonts w:hint="default" w:ascii="Times New Roman" w:hAnsi="Times New Roman" w:eastAsia="宋体" w:cs="Times New Roman"/>
                      <w:color w:val="auto"/>
                      <w:highlight w:val="none"/>
                      <w:lang w:val="en-US" w:eastAsia="zh-CN" w:bidi="ar-SA"/>
                    </w:rPr>
                  </w:pPr>
                  <w:r>
                    <w:rPr>
                      <w:rFonts w:hint="default" w:ascii="Times New Roman" w:hAnsi="Times New Roman" w:cs="Times New Roman"/>
                      <w:color w:val="auto"/>
                      <w:highlight w:val="none"/>
                      <w:lang w:val="en-US" w:eastAsia="zh-CN" w:bidi="ar-SA"/>
                    </w:rPr>
                    <w:t>边角料</w:t>
                  </w:r>
                  <w:r>
                    <w:rPr>
                      <w:rFonts w:hint="eastAsia" w:ascii="Times New Roman" w:hAnsi="Times New Roman" w:cs="Times New Roman"/>
                      <w:color w:val="auto"/>
                      <w:highlight w:val="none"/>
                      <w:lang w:val="en-US" w:eastAsia="zh-CN" w:bidi="ar-SA"/>
                    </w:rPr>
                    <w:t>、金属屑、废焊头</w:t>
                  </w:r>
                </w:p>
              </w:tc>
              <w:tc>
                <w:tcPr>
                  <w:tcW w:w="657"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0.55</w:t>
                  </w:r>
                </w:p>
              </w:tc>
              <w:tc>
                <w:tcPr>
                  <w:tcW w:w="747"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0.05</w:t>
                  </w:r>
                </w:p>
              </w:tc>
              <w:tc>
                <w:tcPr>
                  <w:tcW w:w="884" w:type="pc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0.6</w:t>
                  </w:r>
                </w:p>
              </w:tc>
              <w:tc>
                <w:tcPr>
                  <w:tcW w:w="1047" w:type="pct"/>
                  <w:vMerge w:val="restart"/>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3</w:t>
                  </w:r>
                </w:p>
              </w:tc>
              <w:tc>
                <w:tcPr>
                  <w:tcW w:w="742" w:type="pct"/>
                  <w:vAlign w:val="center"/>
                </w:tcPr>
                <w:p>
                  <w:pPr>
                    <w:pStyle w:val="81"/>
                    <w:bidi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900-999-99</w:t>
                  </w:r>
                </w:p>
              </w:tc>
              <w:tc>
                <w:tcPr>
                  <w:tcW w:w="649" w:type="pct"/>
                  <w:vAlign w:val="center"/>
                </w:tcPr>
                <w:p>
                  <w:pPr>
                    <w:pStyle w:val="58"/>
                    <w:bidi w:val="0"/>
                    <w:spacing w:line="240" w:lineRule="auto"/>
                    <w:jc w:val="center"/>
                    <w:rPr>
                      <w:rFonts w:hint="default" w:ascii="Times New Roman" w:hAnsi="Times New Roman" w:cs="Times New Roman"/>
                      <w:color w:val="auto"/>
                      <w:highlight w:val="none"/>
                      <w:lang w:val="en-US" w:eastAsia="zh-CN" w:bidi="ar-SA"/>
                    </w:rPr>
                  </w:pPr>
                  <w:r>
                    <w:rPr>
                      <w:rFonts w:hint="eastAsia" w:ascii="Times New Roman" w:hAnsi="Times New Roman" w:cs="Times New Roman"/>
                      <w:color w:val="auto"/>
                      <w:highlight w:val="none"/>
                      <w:lang w:val="en-US" w:eastAsia="zh-CN" w:bidi="ar-SA"/>
                    </w:rPr>
                    <w:t xml:space="preserve">除尘灰 </w:t>
                  </w:r>
                </w:p>
              </w:tc>
              <w:tc>
                <w:tcPr>
                  <w:tcW w:w="657" w:type="pct"/>
                  <w:vAlign w:val="center"/>
                </w:tcPr>
                <w:p>
                  <w:pPr>
                    <w:pStyle w:val="81"/>
                    <w:bidi w:val="0"/>
                    <w:spacing w:line="24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0.00045</w:t>
                  </w:r>
                </w:p>
              </w:tc>
              <w:tc>
                <w:tcPr>
                  <w:tcW w:w="747"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0.034</w:t>
                  </w:r>
                </w:p>
              </w:tc>
              <w:tc>
                <w:tcPr>
                  <w:tcW w:w="884" w:type="pct"/>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0.03445</w:t>
                  </w:r>
                </w:p>
              </w:tc>
              <w:tc>
                <w:tcPr>
                  <w:tcW w:w="1047" w:type="pct"/>
                  <w:vMerge w:val="continue"/>
                  <w:vAlign w:val="center"/>
                </w:tcPr>
                <w:p>
                  <w:pPr>
                    <w:pStyle w:val="81"/>
                    <w:bidi w:val="0"/>
                    <w:spacing w:line="240" w:lineRule="auto"/>
                    <w:rPr>
                      <w:rFonts w:hint="eastAsia" w:ascii="Times New Roman" w:hAnsi="Times New Roman" w:cs="Times New Roman"/>
                      <w:color w:val="auto"/>
                      <w:highlight w:val="none"/>
                      <w:lang w:val="en-US" w:eastAsia="zh-CN"/>
                    </w:rPr>
                  </w:pPr>
                </w:p>
              </w:tc>
            </w:tr>
          </w:tbl>
          <w:p>
            <w:pPr>
              <w:pStyle w:val="1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危险废物</w:t>
            </w:r>
          </w:p>
          <w:p>
            <w:pPr>
              <w:bidi w:val="0"/>
              <w:ind w:firstLine="480" w:firstLineChars="20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本项目现有危险废物种类为废机油、废润滑油、废液压油、废抹布，分类收集后暂存在危险废物暂存间，定期交有资质单位进行处置。</w:t>
            </w:r>
          </w:p>
          <w:p>
            <w:pPr>
              <w:pStyle w:val="1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.1 危险废物产生情况</w:t>
            </w:r>
          </w:p>
          <w:p>
            <w:pPr>
              <w:bidi w:val="0"/>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本次技改项目新增的危险废物主要为废活性炭、废过滤棉、废漆桶、漆渣、废稀料剂桶。</w:t>
            </w:r>
          </w:p>
          <w:p>
            <w:pPr>
              <w:bidi w:val="0"/>
              <w:ind w:firstLine="480" w:firstLineChars="200"/>
              <w:rPr>
                <w:rFonts w:hint="eastAsia" w:cs="Times New Roman"/>
                <w:color w:val="auto"/>
                <w:highlight w:val="none"/>
                <w:lang w:val="en-US" w:eastAsia="zh-CN"/>
              </w:rPr>
            </w:pPr>
            <w:r>
              <w:rPr>
                <w:rFonts w:hint="eastAsia" w:cs="Times New Roman"/>
                <w:color w:val="auto"/>
                <w:highlight w:val="none"/>
                <w:lang w:val="en-US" w:eastAsia="zh-CN"/>
              </w:rPr>
              <w:t>本项目水性漆使用量较多，占总漆量的68%，本项目废气治理设施为“干式过滤器+二级活性炭”可满足治理需求。根据非甲烷总烃治理设施厂家提供的数据，本公司采用的活性炭吸附箱每级装填量为3m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w:t>
            </w:r>
            <w:r>
              <w:rPr>
                <w:rFonts w:hint="eastAsia" w:cs="Times New Roman"/>
                <w:color w:val="auto"/>
                <w:highlight w:val="none"/>
                <w:lang w:val="en-US" w:eastAsia="zh-CN"/>
              </w:rPr>
              <w:t>约为1.5t</w:t>
            </w:r>
            <w:r>
              <w:rPr>
                <w:rFonts w:hint="eastAsia" w:cs="Times New Roman"/>
                <w:color w:val="auto"/>
                <w:highlight w:val="none"/>
                <w:vertAlign w:val="baseline"/>
                <w:lang w:val="en-US" w:eastAsia="zh-CN"/>
              </w:rPr>
              <w:t>），二级吸附共装填</w:t>
            </w:r>
            <w:r>
              <w:rPr>
                <w:rFonts w:hint="eastAsia" w:cs="Times New Roman"/>
                <w:color w:val="auto"/>
                <w:highlight w:val="none"/>
                <w:lang w:val="en-US" w:eastAsia="zh-CN"/>
              </w:rPr>
              <w:t>3m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w:t>
            </w:r>
            <w:r>
              <w:rPr>
                <w:rFonts w:hint="eastAsia" w:cs="Times New Roman"/>
                <w:color w:val="auto"/>
                <w:highlight w:val="none"/>
                <w:lang w:val="en-US" w:eastAsia="zh-CN"/>
              </w:rPr>
              <w:t>约为3t</w:t>
            </w:r>
            <w:r>
              <w:rPr>
                <w:rFonts w:hint="eastAsia" w:cs="Times New Roman"/>
                <w:color w:val="auto"/>
                <w:highlight w:val="none"/>
                <w:vertAlign w:val="baseline"/>
                <w:lang w:val="en-US" w:eastAsia="zh-CN"/>
              </w:rPr>
              <w:t>）</w:t>
            </w:r>
            <w:r>
              <w:rPr>
                <w:rFonts w:hint="eastAsia" w:cs="Times New Roman"/>
                <w:color w:val="auto"/>
                <w:highlight w:val="none"/>
                <w:lang w:val="en-US" w:eastAsia="zh-CN"/>
              </w:rPr>
              <w:t>，活性炭对非甲烷总烃的饱和容量为10%，装填1次可吸收非甲烷总烃0.3t，根据源强计算章节，本项目需吸收非甲烷总烃量为0.218t/a，故活性炭每年更换1次，为保证非甲烷总烃的治理效果，并结合本项目实际，本环评要求活性炭每四个月更换1次。故废活性炭产生量为9t/a。</w:t>
            </w:r>
          </w:p>
          <w:p>
            <w:pPr>
              <w:pStyle w:val="14"/>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.2 危险废物属性判定</w:t>
            </w:r>
          </w:p>
          <w:p>
            <w:pPr>
              <w:bidi w:val="0"/>
              <w:ind w:firstLine="480" w:firstLineChars="200"/>
              <w:rPr>
                <w:rFonts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根据《国家危险废物名录》判定危险废物的类别、产生节点、代码、名称、危险特性等属性详见下表。</w:t>
            </w:r>
          </w:p>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color w:val="auto"/>
                <w:sz w:val="32"/>
                <w:szCs w:val="32"/>
                <w:highlight w:val="none"/>
                <w:lang w:val="en-US" w:eastAsia="zh-CN"/>
              </w:rPr>
            </w:pPr>
            <w:r>
              <w:rPr>
                <w:rFonts w:ascii="Times New Roman" w:hAnsi="Times New Roman" w:eastAsia="宋体" w:cs="Times New Roman"/>
                <w:b/>
                <w:bCs/>
                <w:color w:val="auto"/>
                <w:kern w:val="2"/>
                <w:sz w:val="24"/>
                <w:szCs w:val="24"/>
                <w:highlight w:val="none"/>
                <w:lang w:val="en-US" w:eastAsia="zh-CN" w:bidi="ar-SA"/>
              </w:rPr>
              <w:t>表4</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9</w:t>
            </w:r>
            <w:r>
              <w:rPr>
                <w:rFonts w:ascii="Times New Roman" w:hAnsi="Times New Roman" w:eastAsia="宋体" w:cs="Times New Roman"/>
                <w:b/>
                <w:bCs/>
                <w:color w:val="auto"/>
                <w:kern w:val="2"/>
                <w:sz w:val="24"/>
                <w:szCs w:val="24"/>
                <w:highlight w:val="none"/>
                <w:lang w:val="en-US" w:eastAsia="zh-CN" w:bidi="ar-SA"/>
              </w:rPr>
              <w:t xml:space="preserve">    </w:t>
            </w:r>
            <w:r>
              <w:rPr>
                <w:rFonts w:hint="eastAsia" w:cs="Times New Roman"/>
                <w:b/>
                <w:bCs/>
                <w:color w:val="auto"/>
                <w:kern w:val="2"/>
                <w:sz w:val="24"/>
                <w:szCs w:val="24"/>
                <w:highlight w:val="none"/>
                <w:lang w:val="en-US" w:eastAsia="zh-CN" w:bidi="ar-SA"/>
              </w:rPr>
              <w:t>技改完成后全厂</w:t>
            </w:r>
            <w:r>
              <w:rPr>
                <w:rFonts w:ascii="Times New Roman" w:hAnsi="Times New Roman" w:eastAsia="宋体" w:cs="Times New Roman"/>
                <w:b/>
                <w:bCs/>
                <w:color w:val="auto"/>
                <w:kern w:val="2"/>
                <w:sz w:val="24"/>
                <w:szCs w:val="24"/>
                <w:highlight w:val="none"/>
                <w:lang w:val="en-US" w:eastAsia="zh-CN" w:bidi="ar-SA"/>
              </w:rPr>
              <w:t>危险废物基本情况</w:t>
            </w:r>
          </w:p>
          <w:tbl>
            <w:tblPr>
              <w:tblStyle w:val="32"/>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34"/>
              <w:gridCol w:w="717"/>
              <w:gridCol w:w="1070"/>
              <w:gridCol w:w="818"/>
              <w:gridCol w:w="818"/>
              <w:gridCol w:w="873"/>
              <w:gridCol w:w="657"/>
              <w:gridCol w:w="489"/>
              <w:gridCol w:w="624"/>
              <w:gridCol w:w="603"/>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6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序号</w:t>
                  </w:r>
                </w:p>
              </w:tc>
              <w:tc>
                <w:tcPr>
                  <w:tcW w:w="43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危险废物名称</w:t>
                  </w:r>
                </w:p>
              </w:tc>
              <w:tc>
                <w:tcPr>
                  <w:tcW w:w="42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危险废物类别</w:t>
                  </w:r>
                </w:p>
              </w:tc>
              <w:tc>
                <w:tcPr>
                  <w:tcW w:w="63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危险废物代码</w:t>
                  </w:r>
                </w:p>
              </w:tc>
              <w:tc>
                <w:tcPr>
                  <w:tcW w:w="48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现有项目产生量</w:t>
                  </w:r>
                  <w:r>
                    <w:rPr>
                      <w:rFonts w:hint="eastAsia"/>
                      <w:color w:val="auto"/>
                      <w:sz w:val="21"/>
                      <w:szCs w:val="21"/>
                      <w:highlight w:val="none"/>
                      <w:lang w:eastAsia="zh-CN"/>
                    </w:rPr>
                    <w:t>（</w:t>
                  </w:r>
                  <w:r>
                    <w:rPr>
                      <w:rFonts w:hint="eastAsia"/>
                      <w:color w:val="auto"/>
                      <w:sz w:val="21"/>
                      <w:szCs w:val="21"/>
                      <w:highlight w:val="none"/>
                      <w:lang w:val="en-US" w:eastAsia="zh-CN"/>
                    </w:rPr>
                    <w:t>t/a</w:t>
                  </w:r>
                  <w:r>
                    <w:rPr>
                      <w:rFonts w:hint="eastAsia"/>
                      <w:color w:val="auto"/>
                      <w:sz w:val="21"/>
                      <w:szCs w:val="21"/>
                      <w:highlight w:val="none"/>
                      <w:lang w:eastAsia="zh-CN"/>
                    </w:rPr>
                    <w:t>）</w:t>
                  </w:r>
                </w:p>
              </w:tc>
              <w:tc>
                <w:tcPr>
                  <w:tcW w:w="48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技改项目</w:t>
                  </w:r>
                  <w:r>
                    <w:rPr>
                      <w:color w:val="auto"/>
                      <w:sz w:val="21"/>
                      <w:szCs w:val="21"/>
                      <w:highlight w:val="none"/>
                    </w:rPr>
                    <w:t>产生量</w:t>
                  </w:r>
                  <w:r>
                    <w:rPr>
                      <w:rFonts w:hint="eastAsia"/>
                      <w:color w:val="auto"/>
                      <w:sz w:val="21"/>
                      <w:szCs w:val="21"/>
                      <w:highlight w:val="none"/>
                      <w:lang w:eastAsia="zh-CN"/>
                    </w:rPr>
                    <w:t>（</w:t>
                  </w:r>
                  <w:r>
                    <w:rPr>
                      <w:rFonts w:hint="eastAsia"/>
                      <w:color w:val="auto"/>
                      <w:sz w:val="21"/>
                      <w:szCs w:val="21"/>
                      <w:highlight w:val="none"/>
                      <w:lang w:val="en-US" w:eastAsia="zh-CN"/>
                    </w:rPr>
                    <w:t>t/a</w:t>
                  </w:r>
                  <w:r>
                    <w:rPr>
                      <w:rFonts w:hint="eastAsia"/>
                      <w:color w:val="auto"/>
                      <w:sz w:val="21"/>
                      <w:szCs w:val="21"/>
                      <w:highlight w:val="none"/>
                      <w:lang w:eastAsia="zh-CN"/>
                    </w:rPr>
                    <w:t>）</w:t>
                  </w:r>
                </w:p>
              </w:tc>
              <w:tc>
                <w:tcPr>
                  <w:tcW w:w="51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技改完成后全厂产生量（</w:t>
                  </w:r>
                  <w:r>
                    <w:rPr>
                      <w:rFonts w:hint="eastAsia"/>
                      <w:color w:val="auto"/>
                      <w:sz w:val="21"/>
                      <w:szCs w:val="21"/>
                      <w:highlight w:val="none"/>
                      <w:lang w:eastAsia="zh-CN"/>
                    </w:rPr>
                    <w:t>（</w:t>
                  </w:r>
                  <w:r>
                    <w:rPr>
                      <w:rFonts w:hint="eastAsia"/>
                      <w:color w:val="auto"/>
                      <w:sz w:val="21"/>
                      <w:szCs w:val="21"/>
                      <w:highlight w:val="none"/>
                      <w:lang w:val="en-US" w:eastAsia="zh-CN"/>
                    </w:rPr>
                    <w:t>t/a）</w:t>
                  </w:r>
                </w:p>
              </w:tc>
              <w:tc>
                <w:tcPr>
                  <w:tcW w:w="39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产生工序及装置</w:t>
                  </w:r>
                </w:p>
              </w:tc>
              <w:tc>
                <w:tcPr>
                  <w:tcW w:w="29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形态</w:t>
                  </w:r>
                </w:p>
              </w:tc>
              <w:tc>
                <w:tcPr>
                  <w:tcW w:w="37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危险特性</w:t>
                  </w:r>
                </w:p>
              </w:tc>
              <w:tc>
                <w:tcPr>
                  <w:tcW w:w="35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eastAsia="zh-CN"/>
                    </w:rPr>
                  </w:pPr>
                  <w:r>
                    <w:rPr>
                      <w:rFonts w:hint="eastAsia"/>
                      <w:color w:val="auto"/>
                      <w:sz w:val="21"/>
                      <w:szCs w:val="21"/>
                      <w:highlight w:val="none"/>
                      <w:lang w:val="en-US" w:eastAsia="zh-CN"/>
                    </w:rPr>
                    <w:t>贮存周期</w:t>
                  </w:r>
                </w:p>
              </w:tc>
              <w:tc>
                <w:tcPr>
                  <w:tcW w:w="324"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防治</w:t>
                  </w:r>
                </w:p>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rFonts w:hint="default" w:ascii="Times New Roman" w:hAnsi="Times New Roman" w:cs="Times New Roman"/>
                      <w:color w:val="auto"/>
                      <w:sz w:val="21"/>
                      <w:szCs w:val="21"/>
                      <w:highlight w:val="none"/>
                      <w:lang w:val="en-US" w:eastAsia="zh-CN"/>
                    </w:rPr>
                    <w:t>废活性炭</w:t>
                  </w:r>
                </w:p>
              </w:tc>
              <w:tc>
                <w:tcPr>
                  <w:tcW w:w="427" w:type="pct"/>
                  <w:vMerge w:val="restar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lang w:val="en-US" w:eastAsia="zh-CN"/>
                    </w:rPr>
                    <w:t>HW</w:t>
                  </w:r>
                  <w:r>
                    <w:rPr>
                      <w:rFonts w:hint="eastAsia"/>
                      <w:color w:val="auto"/>
                      <w:sz w:val="21"/>
                      <w:szCs w:val="21"/>
                      <w:highlight w:val="none"/>
                      <w:lang w:val="en-US" w:eastAsia="zh-CN"/>
                    </w:rPr>
                    <w:t>49</w:t>
                  </w:r>
                </w:p>
              </w:tc>
              <w:tc>
                <w:tcPr>
                  <w:tcW w:w="6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900-039-49 </w:t>
                  </w:r>
                </w:p>
              </w:tc>
              <w:tc>
                <w:tcPr>
                  <w:tcW w:w="487" w:type="pct"/>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87" w:type="pct"/>
                  <w:noWrap w:val="0"/>
                  <w:vAlign w:val="center"/>
                </w:tcPr>
                <w:p>
                  <w:pPr>
                    <w:spacing w:line="240" w:lineRule="auto"/>
                    <w:jc w:val="center"/>
                    <w:rPr>
                      <w:rFonts w:hint="default"/>
                      <w:color w:val="auto"/>
                      <w:sz w:val="21"/>
                      <w:szCs w:val="21"/>
                      <w:highlight w:val="none"/>
                      <w:lang w:val="en-US"/>
                    </w:rPr>
                  </w:pPr>
                  <w:r>
                    <w:rPr>
                      <w:rFonts w:hint="eastAsia" w:cs="Times New Roman" w:eastAsiaTheme="minorEastAsia"/>
                      <w:color w:val="auto"/>
                      <w:sz w:val="21"/>
                      <w:szCs w:val="21"/>
                      <w:highlight w:val="none"/>
                      <w:lang w:val="en-US" w:eastAsia="zh-CN"/>
                    </w:rPr>
                    <w:t>9</w:t>
                  </w:r>
                </w:p>
              </w:tc>
              <w:tc>
                <w:tcPr>
                  <w:tcW w:w="51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391" w:type="pct"/>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废气处理</w:t>
                  </w:r>
                </w:p>
              </w:tc>
              <w:tc>
                <w:tcPr>
                  <w:tcW w:w="29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T</w:t>
                  </w:r>
                </w:p>
              </w:tc>
              <w:tc>
                <w:tcPr>
                  <w:tcW w:w="359"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1年</w:t>
                  </w:r>
                </w:p>
              </w:tc>
              <w:tc>
                <w:tcPr>
                  <w:tcW w:w="324" w:type="pct"/>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厂内暂存；委托处置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rFonts w:hint="default" w:ascii="Times New Roman" w:hAnsi="Times New Roman" w:cs="Times New Roman"/>
                      <w:color w:val="auto"/>
                      <w:sz w:val="21"/>
                      <w:szCs w:val="21"/>
                      <w:highlight w:val="none"/>
                      <w:lang w:val="en-US" w:eastAsia="zh-CN"/>
                    </w:rPr>
                    <w:t>2</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废过滤棉</w:t>
                  </w:r>
                </w:p>
              </w:tc>
              <w:tc>
                <w:tcPr>
                  <w:tcW w:w="427"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lang w:val="en-US" w:eastAsia="zh-CN"/>
                    </w:rPr>
                  </w:pPr>
                </w:p>
              </w:tc>
              <w:tc>
                <w:tcPr>
                  <w:tcW w:w="6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900-039-49 </w:t>
                  </w:r>
                </w:p>
              </w:tc>
              <w:tc>
                <w:tcPr>
                  <w:tcW w:w="487" w:type="pct"/>
                  <w:noWrap w:val="0"/>
                  <w:vAlign w:val="center"/>
                </w:tcPr>
                <w:p>
                  <w:pPr>
                    <w:spacing w:line="240" w:lineRule="auto"/>
                    <w:jc w:val="center"/>
                    <w:rPr>
                      <w:rFonts w:hint="default"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0</w:t>
                  </w:r>
                </w:p>
              </w:tc>
              <w:tc>
                <w:tcPr>
                  <w:tcW w:w="487" w:type="pct"/>
                  <w:noWrap w:val="0"/>
                  <w:vAlign w:val="center"/>
                </w:tcPr>
                <w:p>
                  <w:pPr>
                    <w:spacing w:line="240" w:lineRule="auto"/>
                    <w:jc w:val="center"/>
                    <w:rPr>
                      <w:rFonts w:hint="default"/>
                      <w:color w:val="auto"/>
                      <w:sz w:val="21"/>
                      <w:szCs w:val="21"/>
                      <w:highlight w:val="none"/>
                      <w:lang w:val="en-US"/>
                    </w:rPr>
                  </w:pPr>
                  <w:r>
                    <w:rPr>
                      <w:rFonts w:hint="eastAsia" w:cs="Times New Roman" w:eastAsiaTheme="minorEastAsia"/>
                      <w:color w:val="auto"/>
                      <w:sz w:val="21"/>
                      <w:szCs w:val="21"/>
                      <w:highlight w:val="none"/>
                      <w:lang w:val="en-US" w:eastAsia="zh-CN"/>
                    </w:rPr>
                    <w:t>1</w:t>
                  </w:r>
                </w:p>
              </w:tc>
              <w:tc>
                <w:tcPr>
                  <w:tcW w:w="51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w:t>
                  </w:r>
                </w:p>
              </w:tc>
              <w:tc>
                <w:tcPr>
                  <w:tcW w:w="391" w:type="pct"/>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29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液态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rPr>
                    <w:t>T</w:t>
                  </w:r>
                </w:p>
              </w:tc>
              <w:tc>
                <w:tcPr>
                  <w:tcW w:w="359" w:type="pct"/>
                  <w:vMerge w:val="continue"/>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Times New Roman" w:hAnsi="Times New Roman" w:cs="Times New Roman"/>
                      <w:color w:val="auto"/>
                      <w:sz w:val="21"/>
                      <w:szCs w:val="21"/>
                      <w:highlight w:val="none"/>
                      <w:lang w:val="en-US" w:eastAsia="zh-CN"/>
                    </w:rPr>
                    <w:t>3</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废漆桶</w:t>
                  </w:r>
                </w:p>
              </w:tc>
              <w:tc>
                <w:tcPr>
                  <w:tcW w:w="42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HW12</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SA"/>
                    </w:rPr>
                    <w:t>900-250-12</w:t>
                  </w:r>
                </w:p>
              </w:tc>
              <w:tc>
                <w:tcPr>
                  <w:tcW w:w="487" w:type="pct"/>
                  <w:noWrap w:val="0"/>
                  <w:vAlign w:val="center"/>
                </w:tcPr>
                <w:p>
                  <w:pPr>
                    <w:pStyle w:val="58"/>
                    <w:bidi w:val="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w:t>
                  </w:r>
                </w:p>
              </w:tc>
              <w:tc>
                <w:tcPr>
                  <w:tcW w:w="487" w:type="pct"/>
                  <w:noWrap w:val="0"/>
                  <w:vAlign w:val="center"/>
                </w:tcPr>
                <w:p>
                  <w:pPr>
                    <w:pStyle w:val="58"/>
                    <w:bidi w:val="0"/>
                    <w:rPr>
                      <w:color w:val="auto"/>
                      <w:sz w:val="21"/>
                      <w:szCs w:val="21"/>
                      <w:highlight w:val="none"/>
                    </w:rPr>
                  </w:pPr>
                  <w:r>
                    <w:rPr>
                      <w:rFonts w:hint="eastAsia" w:ascii="Times New Roman" w:hAnsi="Times New Roman" w:cs="Times New Roman"/>
                      <w:color w:val="auto"/>
                      <w:sz w:val="21"/>
                      <w:szCs w:val="21"/>
                      <w:highlight w:val="none"/>
                      <w:lang w:val="en-US" w:eastAsia="zh-CN" w:bidi="ar-SA"/>
                    </w:rPr>
                    <w:t>0.06t</w:t>
                  </w:r>
                </w:p>
              </w:tc>
              <w:tc>
                <w:tcPr>
                  <w:tcW w:w="519"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0.06</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包装物</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废稀释剂桶</w:t>
                  </w:r>
                </w:p>
              </w:tc>
              <w:tc>
                <w:tcPr>
                  <w:tcW w:w="42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HW12</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900-250-12</w:t>
                  </w:r>
                </w:p>
              </w:tc>
              <w:tc>
                <w:tcPr>
                  <w:tcW w:w="487" w:type="pct"/>
                  <w:noWrap w:val="0"/>
                  <w:vAlign w:val="center"/>
                </w:tcPr>
                <w:p>
                  <w:pPr>
                    <w:pStyle w:val="58"/>
                    <w:bidi w:val="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w:t>
                  </w:r>
                </w:p>
              </w:tc>
              <w:tc>
                <w:tcPr>
                  <w:tcW w:w="487" w:type="pct"/>
                  <w:noWrap w:val="0"/>
                  <w:vAlign w:val="center"/>
                </w:tcPr>
                <w:p>
                  <w:pPr>
                    <w:pStyle w:val="58"/>
                    <w:bidi w:val="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0.01</w:t>
                  </w:r>
                </w:p>
              </w:tc>
              <w:tc>
                <w:tcPr>
                  <w:tcW w:w="519"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color w:val="auto"/>
                      <w:sz w:val="21"/>
                      <w:szCs w:val="21"/>
                      <w:highlight w:val="none"/>
                    </w:rPr>
                    <w:t>包装物</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highlight w:val="none"/>
                    </w:rPr>
                    <w:t>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漆渣</w:t>
                  </w:r>
                </w:p>
              </w:tc>
              <w:tc>
                <w:tcPr>
                  <w:tcW w:w="42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HW12</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900-250-12</w:t>
                  </w:r>
                </w:p>
              </w:tc>
              <w:tc>
                <w:tcPr>
                  <w:tcW w:w="487" w:type="pct"/>
                  <w:noWrap w:val="0"/>
                  <w:vAlign w:val="center"/>
                </w:tcPr>
                <w:p>
                  <w:pPr>
                    <w:pStyle w:val="58"/>
                    <w:bidi w:val="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w:t>
                  </w:r>
                </w:p>
              </w:tc>
              <w:tc>
                <w:tcPr>
                  <w:tcW w:w="487" w:type="pct"/>
                  <w:noWrap w:val="0"/>
                  <w:vAlign w:val="center"/>
                </w:tcPr>
                <w:p>
                  <w:pPr>
                    <w:pStyle w:val="58"/>
                    <w:bidi w:val="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0.13</w:t>
                  </w:r>
                </w:p>
              </w:tc>
              <w:tc>
                <w:tcPr>
                  <w:tcW w:w="519"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0.13</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生产</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rPr>
                  </w:pPr>
                  <w:r>
                    <w:rPr>
                      <w:rFonts w:hint="default" w:ascii="Times New Roman" w:hAnsi="Times New Roman" w:eastAsia="宋体" w:cs="Times New Roman"/>
                      <w:color w:val="auto"/>
                      <w:sz w:val="21"/>
                      <w:szCs w:val="21"/>
                      <w:highlight w:val="none"/>
                    </w:rPr>
                    <w:t>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66"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废润滑油</w:t>
                  </w:r>
                </w:p>
              </w:tc>
              <w:tc>
                <w:tcPr>
                  <w:tcW w:w="427"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lang w:val="en-US" w:eastAsia="zh-CN"/>
                    </w:rPr>
                  </w:pPr>
                  <w:r>
                    <w:rPr>
                      <w:color w:val="auto"/>
                      <w:sz w:val="21"/>
                      <w:szCs w:val="21"/>
                      <w:highlight w:val="none"/>
                    </w:rPr>
                    <w:t>HW08</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Times New Roman" w:hAnsi="Times New Roman" w:cs="Times New Roman"/>
                      <w:color w:val="auto"/>
                      <w:sz w:val="21"/>
                      <w:szCs w:val="21"/>
                      <w:highlight w:val="none"/>
                      <w:lang w:val="en-US" w:eastAsia="zh-CN" w:bidi="ar-SA"/>
                    </w:rPr>
                    <w:t>900-218-08</w:t>
                  </w:r>
                </w:p>
              </w:tc>
              <w:tc>
                <w:tcPr>
                  <w:tcW w:w="487"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0.05</w:t>
                  </w:r>
                </w:p>
              </w:tc>
              <w:tc>
                <w:tcPr>
                  <w:tcW w:w="487"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0.01</w:t>
                  </w:r>
                </w:p>
              </w:tc>
              <w:tc>
                <w:tcPr>
                  <w:tcW w:w="519" w:type="pct"/>
                  <w:vMerge w:val="restar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0.06</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生产</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液态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48"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废液压油</w:t>
                  </w:r>
                </w:p>
              </w:tc>
              <w:tc>
                <w:tcPr>
                  <w:tcW w:w="427"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lang w:val="en-US" w:eastAsia="zh-CN"/>
                    </w:rPr>
                  </w:pP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SA"/>
                    </w:rPr>
                    <w:t>900-218-08</w:t>
                  </w:r>
                </w:p>
              </w:tc>
              <w:tc>
                <w:tcPr>
                  <w:tcW w:w="487"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487"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1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生产</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液态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48"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废机油</w:t>
                  </w:r>
                </w:p>
              </w:tc>
              <w:tc>
                <w:tcPr>
                  <w:tcW w:w="427"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SA"/>
                    </w:rPr>
                    <w:t>900-218-08</w:t>
                  </w:r>
                </w:p>
              </w:tc>
              <w:tc>
                <w:tcPr>
                  <w:tcW w:w="487"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487"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51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生产</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液态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48"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废油桶</w:t>
                  </w:r>
                </w:p>
              </w:tc>
              <w:tc>
                <w:tcPr>
                  <w:tcW w:w="427"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HW08</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bidi="ar-SA"/>
                    </w:rPr>
                    <w:t>900-249-08</w:t>
                  </w:r>
                </w:p>
              </w:tc>
              <w:tc>
                <w:tcPr>
                  <w:tcW w:w="48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0.5</w:t>
                  </w:r>
                </w:p>
              </w:tc>
              <w:tc>
                <w:tcPr>
                  <w:tcW w:w="48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0.1</w:t>
                  </w:r>
                </w:p>
              </w:tc>
              <w:tc>
                <w:tcPr>
                  <w:tcW w:w="519"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0.6</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包装桶</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highlight w:val="none"/>
                      <w:lang w:val="en-US" w:eastAsia="zh-CN"/>
                    </w:rPr>
                  </w:pPr>
                  <w:r>
                    <w:rPr>
                      <w:rFonts w:hint="default" w:ascii="Times New Roman" w:hAnsi="Times New Roman" w:eastAsia="宋体" w:cs="Times New Roman"/>
                      <w:color w:val="auto"/>
                      <w:sz w:val="21"/>
                      <w:szCs w:val="21"/>
                      <w:highlight w:val="none"/>
                    </w:rPr>
                    <w:t>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48"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10</w:t>
                  </w:r>
                </w:p>
              </w:tc>
              <w:tc>
                <w:tcPr>
                  <w:tcW w:w="437" w:type="pct"/>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含油抹布</w:t>
                  </w:r>
                </w:p>
              </w:tc>
              <w:tc>
                <w:tcPr>
                  <w:tcW w:w="427"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color w:val="auto"/>
                      <w:sz w:val="21"/>
                      <w:szCs w:val="21"/>
                      <w:highlight w:val="none"/>
                      <w:lang w:val="en-US" w:eastAsia="zh-CN"/>
                    </w:rPr>
                    <w:t>HW</w:t>
                  </w:r>
                  <w:r>
                    <w:rPr>
                      <w:rFonts w:hint="eastAsia"/>
                      <w:color w:val="auto"/>
                      <w:sz w:val="21"/>
                      <w:szCs w:val="21"/>
                      <w:highlight w:val="none"/>
                      <w:lang w:val="en-US" w:eastAsia="zh-CN"/>
                    </w:rPr>
                    <w:t>49</w:t>
                  </w:r>
                </w:p>
              </w:tc>
              <w:tc>
                <w:tcPr>
                  <w:tcW w:w="637" w:type="pct"/>
                  <w:noWrap w:val="0"/>
                  <w:vAlign w:val="center"/>
                </w:tcPr>
                <w:p>
                  <w:pPr>
                    <w:pStyle w:val="58"/>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900-0</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lang w:val="en-US" w:eastAsia="zh-CN"/>
                    </w:rPr>
                    <w:t>-49</w:t>
                  </w:r>
                </w:p>
              </w:tc>
              <w:tc>
                <w:tcPr>
                  <w:tcW w:w="48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0.02</w:t>
                  </w:r>
                </w:p>
              </w:tc>
              <w:tc>
                <w:tcPr>
                  <w:tcW w:w="48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0.001</w:t>
                  </w:r>
                </w:p>
              </w:tc>
              <w:tc>
                <w:tcPr>
                  <w:tcW w:w="519"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0.021</w:t>
                  </w:r>
                </w:p>
              </w:tc>
              <w:tc>
                <w:tcPr>
                  <w:tcW w:w="3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生产</w:t>
                  </w:r>
                </w:p>
              </w:tc>
              <w:tc>
                <w:tcPr>
                  <w:tcW w:w="291"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固态</w:t>
                  </w:r>
                </w:p>
              </w:tc>
              <w:tc>
                <w:tcPr>
                  <w:tcW w:w="371" w:type="pct"/>
                  <w:noWrap w:val="0"/>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c>
                <w:tcPr>
                  <w:tcW w:w="359"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324"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color w:val="auto"/>
                      <w:sz w:val="21"/>
                      <w:szCs w:val="21"/>
                      <w:highlight w:val="none"/>
                    </w:rPr>
                  </w:pPr>
                </w:p>
              </w:tc>
            </w:tr>
          </w:tbl>
          <w:p>
            <w:pPr>
              <w:keepNext w:val="0"/>
              <w:keepLines w:val="0"/>
              <w:widowControl/>
              <w:suppressLineNumbers w:val="0"/>
              <w:spacing w:line="240" w:lineRule="auto"/>
              <w:ind w:firstLine="480" w:firstLineChars="200"/>
              <w:jc w:val="left"/>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注：毒性（Toxicity, T）、</w:t>
            </w:r>
            <w:r>
              <w:rPr>
                <w:rFonts w:hint="eastAsia" w:cs="Times New Roman"/>
                <w:color w:val="auto"/>
                <w:highlight w:val="none"/>
                <w:lang w:val="en-US" w:eastAsia="zh-CN"/>
              </w:rPr>
              <w:t>易燃性</w:t>
            </w:r>
            <w:r>
              <w:rPr>
                <w:rFonts w:hint="default"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Ignitability</w:t>
            </w:r>
            <w:r>
              <w:rPr>
                <w:rFonts w:hint="default" w:ascii="Times New Roman" w:hAnsi="Times New Roman" w:cs="Times New Roman"/>
                <w:color w:val="auto"/>
                <w:highlight w:val="none"/>
                <w:lang w:val="en-US" w:eastAsia="zh-CN"/>
              </w:rPr>
              <w:t>, I）。</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4.2.5</w:t>
            </w:r>
            <w:r>
              <w:rPr>
                <w:rFonts w:hint="default" w:ascii="Times New Roman" w:hAnsi="Times New Roman" w:eastAsia="宋体" w:cs="Times New Roman"/>
                <w:color w:val="auto"/>
                <w:sz w:val="24"/>
                <w:highlight w:val="none"/>
                <w:lang w:val="en-US" w:eastAsia="zh-CN"/>
              </w:rPr>
              <w:t>危险废物管理要求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本项目现有危险废物管理制度完善，收集、贮存及处置均满足</w:t>
            </w:r>
            <w:r>
              <w:rPr>
                <w:rFonts w:hint="default" w:ascii="Times New Roman" w:hAnsi="Times New Roman" w:eastAsia="宋体" w:cs="Times New Roman"/>
                <w:b w:val="0"/>
                <w:color w:val="auto"/>
                <w:sz w:val="24"/>
                <w:szCs w:val="24"/>
                <w:highlight w:val="none"/>
                <w:lang w:val="en-US" w:eastAsia="zh-CN"/>
              </w:rPr>
              <w:t>《危险废物收集贮存运输技术规范》(HJ2025-2012)相关要求</w:t>
            </w:r>
            <w:r>
              <w:rPr>
                <w:rFonts w:hint="eastAsia" w:cs="Times New Roman"/>
                <w:b w:val="0"/>
                <w:color w:val="auto"/>
                <w:sz w:val="24"/>
                <w:szCs w:val="24"/>
                <w:highlight w:val="none"/>
                <w:lang w:val="en-US" w:eastAsia="zh-CN"/>
              </w:rPr>
              <w:t>，本项目建设完成后，新增危险废物应纳入现有管理制度中</w:t>
            </w:r>
            <w:r>
              <w:rPr>
                <w:rFonts w:hint="eastAsia" w:cs="Times New Roman"/>
                <w:color w:val="auto"/>
                <w:sz w:val="24"/>
                <w:highlight w:val="none"/>
                <w:lang w:val="en-US" w:eastAsia="zh-CN"/>
              </w:rPr>
              <w:t>。</w:t>
            </w:r>
          </w:p>
          <w:p>
            <w:pPr>
              <w:pStyle w:val="11"/>
              <w:keepNext/>
              <w:pageBreakBefore w:val="0"/>
              <w:widowControl w:val="0"/>
              <w:kinsoku/>
              <w:wordWrap/>
              <w:topLinePunct w:val="0"/>
              <w:autoSpaceDE/>
              <w:autoSpaceDN/>
              <w:bidi w:val="0"/>
              <w:adjustRightInd/>
              <w:spacing w:line="360" w:lineRule="auto"/>
              <w:jc w:val="both"/>
              <w:textAlignment w:val="auto"/>
              <w:rPr>
                <w:rFonts w:hint="default" w:ascii="Times New Roman" w:hAnsi="Times New Roman" w:eastAsia="宋体" w:cs="Times New Roman"/>
                <w:b w:val="0"/>
                <w:color w:val="auto"/>
                <w:sz w:val="24"/>
                <w:szCs w:val="24"/>
                <w:highlight w:val="none"/>
                <w:lang w:val="en-US" w:eastAsia="zh-CN"/>
              </w:rPr>
            </w:pPr>
            <w:r>
              <w:rPr>
                <w:rFonts w:hint="eastAsia" w:ascii="Times New Roman" w:hAnsi="Times New Roman" w:eastAsia="宋体" w:cs="Times New Roman"/>
                <w:b w:val="0"/>
                <w:color w:val="auto"/>
                <w:sz w:val="24"/>
                <w:szCs w:val="24"/>
                <w:highlight w:val="none"/>
                <w:lang w:val="en-US" w:eastAsia="zh-CN"/>
              </w:rPr>
              <w:t>4.</w:t>
            </w:r>
            <w:r>
              <w:rPr>
                <w:rFonts w:hint="eastAsia" w:cs="Times New Roman"/>
                <w:b w:val="0"/>
                <w:color w:val="auto"/>
                <w:sz w:val="24"/>
                <w:szCs w:val="24"/>
                <w:highlight w:val="none"/>
                <w:lang w:val="en-US" w:eastAsia="zh-CN"/>
              </w:rPr>
              <w:t>2</w:t>
            </w:r>
            <w:r>
              <w:rPr>
                <w:rFonts w:hint="eastAsia" w:ascii="Times New Roman" w:hAnsi="Times New Roman" w:cs="Times New Roman"/>
                <w:b w:val="0"/>
                <w:color w:val="auto"/>
                <w:sz w:val="24"/>
                <w:szCs w:val="24"/>
                <w:highlight w:val="none"/>
                <w:lang w:val="en-US" w:eastAsia="zh-CN"/>
              </w:rPr>
              <w:t>.</w:t>
            </w:r>
            <w:r>
              <w:rPr>
                <w:rFonts w:hint="eastAsia" w:cs="Times New Roman"/>
                <w:b w:val="0"/>
                <w:color w:val="auto"/>
                <w:sz w:val="24"/>
                <w:szCs w:val="24"/>
                <w:highlight w:val="none"/>
                <w:lang w:val="en-US" w:eastAsia="zh-CN"/>
              </w:rPr>
              <w:t>6</w:t>
            </w:r>
            <w:r>
              <w:rPr>
                <w:rFonts w:hint="default" w:ascii="Times New Roman" w:hAnsi="Times New Roman" w:eastAsia="宋体" w:cs="Times New Roman"/>
                <w:b w:val="0"/>
                <w:color w:val="auto"/>
                <w:sz w:val="24"/>
                <w:szCs w:val="24"/>
                <w:highlight w:val="none"/>
                <w:lang w:val="en-US" w:eastAsia="zh-CN"/>
              </w:rPr>
              <w:t>危险废物</w:t>
            </w:r>
            <w:r>
              <w:rPr>
                <w:rFonts w:hint="eastAsia" w:cs="Times New Roman"/>
                <w:b w:val="0"/>
                <w:color w:val="auto"/>
                <w:sz w:val="24"/>
                <w:szCs w:val="24"/>
                <w:highlight w:val="none"/>
                <w:lang w:val="en-US" w:eastAsia="zh-CN"/>
              </w:rPr>
              <w:t>外部</w:t>
            </w:r>
            <w:r>
              <w:rPr>
                <w:rFonts w:hint="default" w:ascii="Times New Roman" w:hAnsi="Times New Roman" w:eastAsia="宋体" w:cs="Times New Roman"/>
                <w:b w:val="0"/>
                <w:color w:val="auto"/>
                <w:sz w:val="24"/>
                <w:szCs w:val="24"/>
                <w:highlight w:val="none"/>
                <w:lang w:val="en-US" w:eastAsia="zh-CN"/>
              </w:rPr>
              <w:t>运输过程的环境影响分析</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eastAsia" w:cs="Times New Roman"/>
                <w:b w:val="0"/>
                <w:color w:val="auto"/>
                <w:sz w:val="24"/>
                <w:szCs w:val="24"/>
                <w:highlight w:val="none"/>
                <w:lang w:val="en-US" w:eastAsia="zh-CN"/>
              </w:rPr>
              <w:t>公司现有危险废物委托秦皇岛徐山口危险废物处理有限公司，外部运输由委托单位负责</w:t>
            </w:r>
            <w:r>
              <w:rPr>
                <w:rFonts w:hint="default" w:ascii="Times New Roman" w:hAnsi="Times New Roman" w:eastAsia="宋体" w:cs="Times New Roman"/>
                <w:b w:val="0"/>
                <w:color w:val="auto"/>
                <w:sz w:val="24"/>
                <w:szCs w:val="24"/>
                <w:highlight w:val="none"/>
                <w:lang w:val="en-US" w:eastAsia="zh-CN"/>
              </w:rPr>
              <w:t>。</w:t>
            </w:r>
          </w:p>
          <w:p>
            <w:pPr>
              <w:pStyle w:val="11"/>
              <w:keepNext/>
              <w:pageBreakBefore w:val="0"/>
              <w:widowControl w:val="0"/>
              <w:kinsoku/>
              <w:wordWrap/>
              <w:topLinePunct w:val="0"/>
              <w:autoSpaceDE/>
              <w:autoSpaceDN/>
              <w:bidi w:val="0"/>
              <w:adjustRightInd/>
              <w:spacing w:line="360" w:lineRule="auto"/>
              <w:jc w:val="both"/>
              <w:textAlignment w:val="auto"/>
              <w:rPr>
                <w:rFonts w:hint="default" w:ascii="Times New Roman" w:hAnsi="Times New Roman" w:eastAsia="宋体" w:cs="Times New Roman"/>
                <w:b w:val="0"/>
                <w:color w:val="auto"/>
                <w:sz w:val="24"/>
                <w:szCs w:val="24"/>
                <w:highlight w:val="none"/>
                <w:lang w:val="en-US" w:eastAsia="zh-CN"/>
              </w:rPr>
            </w:pPr>
            <w:r>
              <w:rPr>
                <w:rFonts w:hint="eastAsia" w:ascii="Times New Roman" w:hAnsi="Times New Roman" w:eastAsia="宋体" w:cs="Times New Roman"/>
                <w:b w:val="0"/>
                <w:color w:val="auto"/>
                <w:sz w:val="24"/>
                <w:szCs w:val="24"/>
                <w:highlight w:val="none"/>
                <w:lang w:val="en-US" w:eastAsia="zh-CN"/>
              </w:rPr>
              <w:t>4.</w:t>
            </w:r>
            <w:r>
              <w:rPr>
                <w:rFonts w:hint="eastAsia" w:cs="Times New Roman"/>
                <w:b w:val="0"/>
                <w:color w:val="auto"/>
                <w:sz w:val="24"/>
                <w:szCs w:val="24"/>
                <w:highlight w:val="none"/>
                <w:lang w:val="en-US" w:eastAsia="zh-CN"/>
              </w:rPr>
              <w:t>2</w:t>
            </w:r>
            <w:r>
              <w:rPr>
                <w:rFonts w:hint="eastAsia" w:ascii="Times New Roman" w:hAnsi="Times New Roman" w:cs="Times New Roman"/>
                <w:b w:val="0"/>
                <w:color w:val="auto"/>
                <w:sz w:val="24"/>
                <w:szCs w:val="24"/>
                <w:highlight w:val="none"/>
                <w:lang w:val="en-US" w:eastAsia="zh-CN"/>
              </w:rPr>
              <w:t>.7</w:t>
            </w:r>
            <w:r>
              <w:rPr>
                <w:rFonts w:hint="default" w:ascii="Times New Roman" w:hAnsi="Times New Roman" w:eastAsia="宋体" w:cs="Times New Roman"/>
                <w:b w:val="0"/>
                <w:color w:val="auto"/>
                <w:sz w:val="24"/>
                <w:szCs w:val="24"/>
                <w:highlight w:val="none"/>
                <w:lang w:val="en-US" w:eastAsia="zh-CN"/>
              </w:rPr>
              <w:t>危险废物内部转运环境影响分析</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eastAsia" w:cs="Times New Roman"/>
                <w:b w:val="0"/>
                <w:color w:val="auto"/>
                <w:sz w:val="24"/>
                <w:szCs w:val="24"/>
                <w:highlight w:val="none"/>
                <w:lang w:val="en-US" w:eastAsia="zh-CN"/>
              </w:rPr>
              <w:t>本次技改新增</w:t>
            </w:r>
            <w:r>
              <w:rPr>
                <w:rFonts w:hint="default" w:ascii="Times New Roman" w:hAnsi="Times New Roman" w:eastAsia="宋体" w:cs="Times New Roman"/>
                <w:b w:val="0"/>
                <w:color w:val="auto"/>
                <w:sz w:val="24"/>
                <w:szCs w:val="24"/>
                <w:highlight w:val="none"/>
                <w:lang w:val="en-US" w:eastAsia="zh-CN"/>
              </w:rPr>
              <w:t>危险废物内部转运作业必须按照《危险废物收集、贮存、运输技术规范》（HJ2025-2012；2013-3-1实施）相关规定执行，重点内容如下：</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①危险废物内部转运应综合考虑厂区的实际情况确定转运路线，应避开办公区和生活区。</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②危险废物内部转运作业应采用专用的工具，并填写《危险废物厂内转运记录表》。</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③危险废物内部转运结束后，应对转运路线进行检查和清理，确保无危险废物遗失在转运路线上，并对转运工具进行清洗。项目产生的危险废物经封闭容器收集后通过厂区道路运至危废间。危险废物运输过程中全部采用封闭容器储存，运输道路较短，且路线不经过办公区等人员密集区，转运结束后及时对转运路线进行检查和清理，确保无危险废物散落或泄漏在转运路线上。危险废物运输过程中全部采用封闭容器储存，正常情况下不会发生散落或泄漏，同时本项目厂区道路均进行了硬化，可有效阻止泄漏后危险废物的下渗，因此危险废物在运输过程中发生散落或泄漏时，及时清理，不会对周边环境产生明显影响。由于</w:t>
            </w:r>
            <w:r>
              <w:rPr>
                <w:rFonts w:hint="eastAsia" w:cs="Times New Roman"/>
                <w:b w:val="0"/>
                <w:color w:val="auto"/>
                <w:sz w:val="24"/>
                <w:szCs w:val="24"/>
                <w:highlight w:val="none"/>
                <w:lang w:val="en-US" w:eastAsia="zh-CN"/>
              </w:rPr>
              <w:t>危废</w:t>
            </w:r>
            <w:r>
              <w:rPr>
                <w:rFonts w:hint="default" w:ascii="Times New Roman" w:hAnsi="Times New Roman" w:eastAsia="宋体" w:cs="Times New Roman"/>
                <w:b w:val="0"/>
                <w:color w:val="auto"/>
                <w:sz w:val="24"/>
                <w:szCs w:val="24"/>
                <w:highlight w:val="none"/>
                <w:lang w:val="en-US" w:eastAsia="zh-CN"/>
              </w:rPr>
              <w:t>不易挥发，且危废暂存间满足防风、防雨、防晒、防渗漏等要求，并设置渗漏收集措施；一旦发生泄漏事故，应立即启动突发环境事件应急预案，不会对周围环境造成影响。</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eastAsia" w:ascii="Times New Roman" w:hAnsi="Times New Roman" w:eastAsia="宋体" w:cs="Times New Roman"/>
                <w:b w:val="0"/>
                <w:color w:val="auto"/>
                <w:sz w:val="24"/>
                <w:szCs w:val="24"/>
                <w:highlight w:val="none"/>
                <w:lang w:val="en-US" w:eastAsia="zh-CN"/>
              </w:rPr>
            </w:pPr>
            <w:r>
              <w:rPr>
                <w:rFonts w:hint="eastAsia" w:ascii="Times New Roman" w:hAnsi="Times New Roman" w:eastAsia="宋体" w:cs="Times New Roman"/>
                <w:b w:val="0"/>
                <w:color w:val="auto"/>
                <w:sz w:val="24"/>
                <w:szCs w:val="24"/>
                <w:highlight w:val="none"/>
                <w:lang w:val="en-US" w:eastAsia="zh-CN"/>
              </w:rPr>
              <w:t>4.</w:t>
            </w:r>
            <w:r>
              <w:rPr>
                <w:rFonts w:hint="eastAsia" w:cs="Times New Roman"/>
                <w:b w:val="0"/>
                <w:color w:val="auto"/>
                <w:sz w:val="24"/>
                <w:szCs w:val="24"/>
                <w:highlight w:val="none"/>
                <w:lang w:val="en-US" w:eastAsia="zh-CN"/>
              </w:rPr>
              <w:t>2</w:t>
            </w:r>
            <w:r>
              <w:rPr>
                <w:rFonts w:hint="eastAsia" w:ascii="Times New Roman" w:hAnsi="Times New Roman" w:eastAsia="宋体" w:cs="Times New Roman"/>
                <w:b w:val="0"/>
                <w:color w:val="auto"/>
                <w:sz w:val="24"/>
                <w:szCs w:val="24"/>
                <w:highlight w:val="none"/>
                <w:lang w:val="en-US" w:eastAsia="zh-CN"/>
              </w:rPr>
              <w:t>.</w:t>
            </w:r>
            <w:r>
              <w:rPr>
                <w:rFonts w:hint="eastAsia" w:cs="Times New Roman"/>
                <w:b w:val="0"/>
                <w:color w:val="auto"/>
                <w:sz w:val="24"/>
                <w:szCs w:val="24"/>
                <w:highlight w:val="none"/>
                <w:lang w:val="en-US" w:eastAsia="zh-CN"/>
              </w:rPr>
              <w:t>8</w:t>
            </w:r>
            <w:r>
              <w:rPr>
                <w:rFonts w:hint="eastAsia" w:ascii="Times New Roman" w:hAnsi="Times New Roman" w:eastAsia="宋体" w:cs="Times New Roman"/>
                <w:b w:val="0"/>
                <w:color w:val="auto"/>
                <w:sz w:val="24"/>
                <w:szCs w:val="24"/>
                <w:highlight w:val="none"/>
                <w:lang w:val="en-US" w:eastAsia="zh-CN"/>
              </w:rPr>
              <w:t>危险废物处置单位情况分析</w:t>
            </w:r>
          </w:p>
          <w:p>
            <w:pPr>
              <w:pStyle w:val="11"/>
              <w:keepNext/>
              <w:pageBreakBefore w:val="0"/>
              <w:widowControl w:val="0"/>
              <w:kinsoku/>
              <w:wordWrap/>
              <w:topLinePunct w:val="0"/>
              <w:autoSpaceDE/>
              <w:autoSpaceDN/>
              <w:bidi w:val="0"/>
              <w:adjustRightInd/>
              <w:spacing w:line="360" w:lineRule="auto"/>
              <w:ind w:firstLine="482"/>
              <w:jc w:val="both"/>
              <w:textAlignment w:val="auto"/>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项目签署协议的</w:t>
            </w:r>
            <w:r>
              <w:rPr>
                <w:rFonts w:hint="eastAsia" w:cs="Times New Roman"/>
                <w:b w:val="0"/>
                <w:color w:val="auto"/>
                <w:sz w:val="24"/>
                <w:szCs w:val="24"/>
                <w:highlight w:val="none"/>
                <w:lang w:val="en-US" w:eastAsia="zh-CN"/>
              </w:rPr>
              <w:t>秦皇岛徐山口危险废物处理有限公司</w:t>
            </w:r>
            <w:r>
              <w:rPr>
                <w:rFonts w:hint="default" w:ascii="Times New Roman" w:hAnsi="Times New Roman" w:eastAsia="宋体" w:cs="Times New Roman"/>
                <w:b w:val="0"/>
                <w:color w:val="auto"/>
                <w:sz w:val="24"/>
                <w:szCs w:val="24"/>
                <w:highlight w:val="none"/>
                <w:lang w:val="en-US" w:eastAsia="zh-CN"/>
              </w:rPr>
              <w:t>应获得由河北省环境保护厅颁发的河北省危险废物经营许可证，具有危险废物处置资格，同时应具有处理 HW</w:t>
            </w:r>
            <w:r>
              <w:rPr>
                <w:rFonts w:hint="eastAsia" w:ascii="Times New Roman" w:hAnsi="Times New Roman" w:eastAsia="宋体" w:cs="Times New Roman"/>
                <w:b w:val="0"/>
                <w:color w:val="auto"/>
                <w:sz w:val="24"/>
                <w:szCs w:val="24"/>
                <w:highlight w:val="none"/>
                <w:lang w:val="en-US" w:eastAsia="zh-CN"/>
              </w:rPr>
              <w:t>49其他废物（</w:t>
            </w:r>
            <w:r>
              <w:rPr>
                <w:rFonts w:hint="default" w:ascii="Times New Roman" w:hAnsi="Times New Roman" w:eastAsia="宋体" w:cs="Times New Roman"/>
                <w:b w:val="0"/>
                <w:color w:val="auto"/>
                <w:sz w:val="24"/>
                <w:szCs w:val="24"/>
                <w:highlight w:val="none"/>
                <w:lang w:val="en-US" w:eastAsia="zh-CN"/>
              </w:rPr>
              <w:t>900-039-49</w:t>
            </w:r>
            <w:r>
              <w:rPr>
                <w:rFonts w:hint="eastAsia" w:ascii="Times New Roman" w:hAnsi="Times New Roman" w:eastAsia="宋体" w:cs="Times New Roman"/>
                <w:b w:val="0"/>
                <w:color w:val="auto"/>
                <w:sz w:val="24"/>
                <w:szCs w:val="24"/>
                <w:highlight w:val="none"/>
                <w:lang w:val="en-US" w:eastAsia="zh-CN"/>
              </w:rPr>
              <w:t>、</w:t>
            </w:r>
            <w:r>
              <w:rPr>
                <w:rFonts w:hint="default" w:ascii="Times New Roman" w:hAnsi="Times New Roman" w:eastAsia="宋体" w:cs="Times New Roman"/>
                <w:b w:val="0"/>
                <w:color w:val="auto"/>
                <w:sz w:val="24"/>
                <w:szCs w:val="24"/>
                <w:highlight w:val="none"/>
                <w:lang w:val="en-US" w:eastAsia="zh-CN"/>
              </w:rPr>
              <w:t>900-04</w:t>
            </w:r>
            <w:r>
              <w:rPr>
                <w:rFonts w:hint="eastAsia" w:ascii="Times New Roman" w:hAnsi="Times New Roman" w:eastAsia="宋体" w:cs="Times New Roman"/>
                <w:b w:val="0"/>
                <w:color w:val="auto"/>
                <w:sz w:val="24"/>
                <w:szCs w:val="24"/>
                <w:highlight w:val="none"/>
                <w:lang w:val="en-US" w:eastAsia="zh-CN"/>
              </w:rPr>
              <w:t>1</w:t>
            </w:r>
            <w:r>
              <w:rPr>
                <w:rFonts w:hint="default" w:ascii="Times New Roman" w:hAnsi="Times New Roman" w:eastAsia="宋体" w:cs="Times New Roman"/>
                <w:b w:val="0"/>
                <w:color w:val="auto"/>
                <w:sz w:val="24"/>
                <w:szCs w:val="24"/>
                <w:highlight w:val="none"/>
                <w:lang w:val="en-US" w:eastAsia="zh-CN"/>
              </w:rPr>
              <w:t>-49</w:t>
            </w:r>
            <w:r>
              <w:rPr>
                <w:rFonts w:hint="eastAsia" w:ascii="Times New Roman" w:hAnsi="Times New Roman" w:eastAsia="宋体" w:cs="Times New Roman"/>
                <w:b w:val="0"/>
                <w:color w:val="auto"/>
                <w:sz w:val="24"/>
                <w:szCs w:val="24"/>
                <w:highlight w:val="none"/>
                <w:lang w:val="en-US" w:eastAsia="zh-CN"/>
              </w:rPr>
              <w:t>）</w:t>
            </w:r>
            <w:r>
              <w:rPr>
                <w:rFonts w:hint="default" w:ascii="Times New Roman" w:hAnsi="Times New Roman" w:eastAsia="宋体" w:cs="Times New Roman"/>
                <w:b w:val="0"/>
                <w:color w:val="auto"/>
                <w:sz w:val="24"/>
                <w:szCs w:val="24"/>
                <w:highlight w:val="none"/>
                <w:lang w:val="en-US" w:eastAsia="zh-CN"/>
              </w:rPr>
              <w:t>的资格，且处理能力能够达到要求。项目与上述符合要求的危险废物处置单位签署处置协议后，项目危险废物可以得到合理处置</w:t>
            </w:r>
            <w:r>
              <w:rPr>
                <w:rFonts w:hint="eastAsia" w:cs="Times New Roman"/>
                <w:b w:val="0"/>
                <w:color w:val="auto"/>
                <w:sz w:val="24"/>
                <w:szCs w:val="24"/>
                <w:highlight w:val="none"/>
                <w:lang w:val="en-US" w:eastAsia="zh-CN"/>
              </w:rPr>
              <w:t>。</w:t>
            </w:r>
          </w:p>
          <w:p>
            <w:pPr>
              <w:pStyle w:val="1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可行性分析</w:t>
            </w:r>
          </w:p>
          <w:p>
            <w:pPr>
              <w:pStyle w:val="50"/>
              <w:bidi w:val="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现有危废间已于2021年6月21日完成验收，参照</w:t>
            </w:r>
            <w:r>
              <w:rPr>
                <w:rFonts w:hint="default" w:ascii="Times New Roman" w:hAnsi="Times New Roman" w:cs="Times New Roman"/>
                <w:color w:val="auto"/>
                <w:highlight w:val="none"/>
              </w:rPr>
              <w:t>《危险废物贮存污染控制标准》（GB18597-20</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rPr>
              <w:t>）对危险废物贮存设施的选址提出要求对比表如下：</w:t>
            </w:r>
          </w:p>
          <w:p>
            <w:pPr>
              <w:pStyle w:val="51"/>
              <w:bidi w:val="0"/>
              <w:ind w:firstLine="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表4-1</w:t>
            </w:r>
            <w:r>
              <w:rPr>
                <w:rFonts w:hint="eastAsia" w:cs="Times New Roman"/>
                <w:color w:val="auto"/>
                <w:highlight w:val="none"/>
                <w:lang w:val="en-US" w:eastAsia="zh-CN"/>
              </w:rPr>
              <w:t>0</w:t>
            </w:r>
            <w:r>
              <w:rPr>
                <w:rFonts w:hint="default" w:ascii="Times New Roman" w:hAnsi="Times New Roman" w:eastAsia="宋体" w:cs="Times New Roman"/>
                <w:color w:val="auto"/>
                <w:highlight w:val="none"/>
              </w:rPr>
              <w:t xml:space="preserve">   危险废物贮存选址分析一览表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
              <w:gridCol w:w="4347"/>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4464"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危险废物贮存污染控制标准</w:t>
                  </w:r>
                </w:p>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（GB18597-20</w:t>
                  </w:r>
                  <w:r>
                    <w:rPr>
                      <w:rFonts w:hint="eastAsia" w:ascii="Times New Roman" w:hAnsi="Times New Roman" w:eastAsia="宋体" w:cs="Times New Roman"/>
                      <w:color w:val="auto"/>
                      <w:highlight w:val="none"/>
                      <w:lang w:val="en-US" w:eastAsia="zh-CN"/>
                    </w:rPr>
                    <w:t>23</w:t>
                  </w:r>
                  <w:r>
                    <w:rPr>
                      <w:rFonts w:hint="default" w:ascii="Times New Roman" w:hAnsi="Times New Roman" w:eastAsia="宋体" w:cs="Times New Roman"/>
                      <w:color w:val="auto"/>
                      <w:highlight w:val="none"/>
                      <w:lang w:val="en-US" w:eastAsia="zh-CN"/>
                    </w:rPr>
                    <w:t>）</w:t>
                  </w:r>
                </w:p>
              </w:tc>
              <w:tc>
                <w:tcPr>
                  <w:tcW w:w="3691"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项目危险废物暂存间情况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4464"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贮存设施选址应满足生态环境保护法律法规、规划和“三线一单”生态环境分区管控的要求，建设项目应依法进行环境影响评价</w:t>
                  </w:r>
                  <w:r>
                    <w:rPr>
                      <w:rFonts w:hint="default" w:ascii="Times New Roman" w:hAnsi="Times New Roman" w:eastAsia="宋体" w:cs="Times New Roman"/>
                      <w:color w:val="auto"/>
                      <w:highlight w:val="none"/>
                      <w:lang w:val="en-US" w:eastAsia="zh-CN"/>
                    </w:rPr>
                    <w:t>。</w:t>
                  </w:r>
                </w:p>
              </w:tc>
              <w:tc>
                <w:tcPr>
                  <w:tcW w:w="3691"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w:t>
                  </w:r>
                </w:p>
              </w:tc>
              <w:tc>
                <w:tcPr>
                  <w:tcW w:w="4464"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不应选在生态环境保护红线区域、永久基本农田和其他需要特别保护的区域内，不应建在溶洞区或易遭受洪水、滑坡、泥石流、潮汐等严重自然灾害影响的地区</w:t>
                  </w:r>
                  <w:r>
                    <w:rPr>
                      <w:rFonts w:hint="default" w:ascii="Times New Roman" w:hAnsi="Times New Roman" w:eastAsia="宋体" w:cs="Times New Roman"/>
                      <w:color w:val="auto"/>
                      <w:highlight w:val="none"/>
                      <w:lang w:val="en-US" w:eastAsia="zh-CN"/>
                    </w:rPr>
                    <w:t>。</w:t>
                  </w:r>
                </w:p>
              </w:tc>
              <w:tc>
                <w:tcPr>
                  <w:tcW w:w="3691"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在生产厂房内建设危废间，不涉及提及区域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w:t>
                  </w:r>
                </w:p>
              </w:tc>
              <w:tc>
                <w:tcPr>
                  <w:tcW w:w="4464"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不应选在江河、湖泊、运河、渠道、水库及其最高水位线以下的滩地和岸坡，以及法律法规规定禁止贮存危险废物的其他地点</w:t>
                  </w:r>
                  <w:r>
                    <w:rPr>
                      <w:rFonts w:hint="default" w:ascii="Times New Roman" w:hAnsi="Times New Roman" w:eastAsia="宋体" w:cs="Times New Roman"/>
                      <w:color w:val="auto"/>
                      <w:highlight w:val="none"/>
                      <w:lang w:val="en-US" w:eastAsia="zh-CN"/>
                    </w:rPr>
                    <w:t>。</w:t>
                  </w:r>
                </w:p>
              </w:tc>
              <w:tc>
                <w:tcPr>
                  <w:tcW w:w="3691"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不涉及提及区域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3"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w:t>
                  </w:r>
                </w:p>
              </w:tc>
              <w:tc>
                <w:tcPr>
                  <w:tcW w:w="4464"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依据环境影响评价文件确定</w:t>
                  </w:r>
                  <w:r>
                    <w:rPr>
                      <w:rFonts w:hint="default" w:ascii="Times New Roman" w:hAnsi="Times New Roman" w:eastAsia="宋体" w:cs="Times New Roman"/>
                      <w:color w:val="auto"/>
                      <w:highlight w:val="none"/>
                      <w:lang w:val="en-US" w:eastAsia="zh-CN"/>
                    </w:rPr>
                    <w:t>。</w:t>
                  </w:r>
                </w:p>
              </w:tc>
              <w:tc>
                <w:tcPr>
                  <w:tcW w:w="3691" w:type="dxa"/>
                  <w:noWrap w:val="0"/>
                  <w:vAlign w:val="center"/>
                </w:tcPr>
                <w:p>
                  <w:pPr>
                    <w:pStyle w:val="111"/>
                    <w:bidi w:val="0"/>
                    <w:ind w:firstLine="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已完成验收，符合要求</w:t>
                  </w:r>
                </w:p>
              </w:tc>
            </w:tr>
          </w:tbl>
          <w:p>
            <w:pPr>
              <w:pStyle w:val="50"/>
              <w:bidi w:val="0"/>
              <w:ind w:left="0" w:leftChars="0"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由上表可知本项目符合最新环保要求，本项目产生的危废利旧进行暂存措施可行。</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本项目现有危险废物种类为废机油、废润滑油、废矿物油及废油桶0.06t/a。分类贮存在现有10m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危废暂存间内。油类均装在油桶内，油桶容积约为170kg，危险废物每年处置1次。</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本次技改新增废机油、废润滑油、废矿物油及废油桶0.01t/a，与现有理化性质相同，可依托现有暂存容器进行存放，现有容器可满足使用。</w:t>
            </w:r>
          </w:p>
          <w:p>
            <w:pPr>
              <w:pStyle w:val="50"/>
              <w:bidi w:val="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本次技改新增危险废物种类为废油漆桶0.06t/a、废稀释剂桶0.01t/a、废活性炭9t/a、废过滤棉1t/a、漆渣0.13t/a，根据现场踏勘，现有危险废物暂存间面积利用率约为50%，本次新增危险废物可在未利用面积处进行暂存。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综上所述，只要企业在项目建成后落实上述固废处理措施，做到及时清运，则固废不会对环境造成较大影响。项目所有固体废物均得到了合理处置，对周围环境影响较小。</w:t>
            </w:r>
          </w:p>
          <w:p>
            <w:pPr>
              <w:pStyle w:val="10"/>
              <w:bidi w:val="0"/>
              <w:rPr>
                <w:rFonts w:hint="default" w:ascii="Times New Roman" w:hAnsi="Times New Roman" w:cs="Times New Roman"/>
                <w:color w:val="auto"/>
                <w:sz w:val="24"/>
                <w:szCs w:val="28"/>
                <w:highlight w:val="none"/>
              </w:rPr>
            </w:pPr>
            <w:r>
              <w:rPr>
                <w:rFonts w:hint="default" w:ascii="Times New Roman" w:hAnsi="Times New Roman" w:cs="Times New Roman"/>
                <w:color w:val="auto"/>
                <w:sz w:val="24"/>
                <w:szCs w:val="28"/>
                <w:highlight w:val="none"/>
              </w:rPr>
              <w:t>5</w:t>
            </w:r>
            <w:r>
              <w:rPr>
                <w:rFonts w:hint="eastAsia" w:cs="Times New Roman"/>
                <w:color w:val="auto"/>
                <w:sz w:val="24"/>
                <w:szCs w:val="28"/>
                <w:highlight w:val="none"/>
                <w:lang w:eastAsia="zh-CN"/>
              </w:rPr>
              <w:t>、</w:t>
            </w:r>
            <w:r>
              <w:rPr>
                <w:rFonts w:hint="default" w:ascii="Times New Roman" w:hAnsi="Times New Roman" w:cs="Times New Roman"/>
                <w:color w:val="auto"/>
                <w:sz w:val="24"/>
                <w:szCs w:val="28"/>
                <w:highlight w:val="none"/>
              </w:rPr>
              <w:t>土壤、地下水环境影响分析</w:t>
            </w:r>
          </w:p>
          <w:p>
            <w:pPr>
              <w:spacing w:line="360" w:lineRule="auto"/>
              <w:ind w:firstLine="480" w:firstLineChars="200"/>
              <w:rPr>
                <w:color w:val="auto"/>
                <w:highlight w:val="none"/>
              </w:rPr>
            </w:pPr>
            <w:r>
              <w:rPr>
                <w:rFonts w:hint="default" w:ascii="Times New Roman" w:hAnsi="Times New Roman" w:eastAsia="宋体" w:cs="Times New Roman"/>
                <w:color w:val="auto"/>
                <w:highlight w:val="none"/>
              </w:rPr>
              <w:t>本项目车间内均已采用水泥硬化，使地面可以达到简单防渗的要求。在设备维修保养时应设置防渗钢板托盘，危险废物暂存间内部按照相关要求</w:t>
            </w:r>
            <w:r>
              <w:rPr>
                <w:rFonts w:hint="eastAsia" w:eastAsia="宋体" w:cs="Times New Roman"/>
                <w:color w:val="auto"/>
                <w:highlight w:val="none"/>
                <w:lang w:val="en-US" w:eastAsia="zh-CN"/>
              </w:rPr>
              <w:t>已</w:t>
            </w:r>
            <w:r>
              <w:rPr>
                <w:rFonts w:hint="default" w:ascii="Times New Roman" w:hAnsi="Times New Roman" w:eastAsia="宋体" w:cs="Times New Roman"/>
                <w:color w:val="auto"/>
                <w:highlight w:val="none"/>
              </w:rPr>
              <w:t>做好防渗防漏措施</w:t>
            </w:r>
            <w:r>
              <w:rPr>
                <w:rFonts w:hint="eastAsia" w:eastAsia="宋体" w:cs="Times New Roman"/>
                <w:color w:val="auto"/>
                <w:highlight w:val="none"/>
                <w:lang w:eastAsia="zh-CN"/>
              </w:rPr>
              <w:t>，</w:t>
            </w:r>
            <w:r>
              <w:rPr>
                <w:rFonts w:hint="eastAsia" w:eastAsia="宋体" w:cs="Times New Roman"/>
                <w:color w:val="auto"/>
                <w:highlight w:val="none"/>
                <w:lang w:val="en-US" w:eastAsia="zh-CN"/>
              </w:rPr>
              <w:t>并通过环保验收</w:t>
            </w:r>
            <w:r>
              <w:rPr>
                <w:rFonts w:hint="default" w:ascii="Times New Roman" w:hAnsi="Times New Roman" w:eastAsia="宋体" w:cs="Times New Roman"/>
                <w:color w:val="auto"/>
                <w:highlight w:val="none"/>
              </w:rPr>
              <w:t>。本项目对土壤、地下水环境的影响在可接受范围内</w:t>
            </w:r>
            <w:r>
              <w:rPr>
                <w:color w:val="auto"/>
                <w:highlight w:val="none"/>
              </w:rPr>
              <w:t>。</w:t>
            </w:r>
          </w:p>
          <w:p>
            <w:pPr>
              <w:pStyle w:val="2"/>
              <w:ind w:left="0" w:leftChars="0" w:firstLine="0" w:firstLineChars="0"/>
              <w:jc w:val="center"/>
              <w:rPr>
                <w:rFonts w:hint="eastAsia" w:eastAsia="宋体"/>
                <w:color w:val="auto"/>
                <w:highlight w:val="none"/>
                <w:lang w:eastAsia="zh-CN"/>
              </w:rPr>
            </w:pPr>
            <w:r>
              <w:rPr>
                <w:color w:val="auto"/>
                <w:sz w:val="24"/>
                <w:highlight w:val="none"/>
              </w:rPr>
              <mc:AlternateContent>
                <mc:Choice Requires="wps">
                  <w:drawing>
                    <wp:anchor distT="0" distB="0" distL="114300" distR="114300" simplePos="0" relativeHeight="251667456" behindDoc="0" locked="0" layoutInCell="1" allowOverlap="1">
                      <wp:simplePos x="0" y="0"/>
                      <wp:positionH relativeFrom="column">
                        <wp:posOffset>3062605</wp:posOffset>
                      </wp:positionH>
                      <wp:positionV relativeFrom="paragraph">
                        <wp:posOffset>1433195</wp:posOffset>
                      </wp:positionV>
                      <wp:extent cx="589280" cy="501650"/>
                      <wp:effectExtent l="0" t="0" r="1270" b="12700"/>
                      <wp:wrapNone/>
                      <wp:docPr id="19" name="文本框 19"/>
                      <wp:cNvGraphicFramePr/>
                      <a:graphic xmlns:a="http://schemas.openxmlformats.org/drawingml/2006/main">
                        <a:graphicData uri="http://schemas.microsoft.com/office/word/2010/wordprocessingShape">
                          <wps:wsp>
                            <wps:cNvSpPr txBox="1"/>
                            <wps:spPr>
                              <a:xfrm>
                                <a:off x="4441825" y="8231505"/>
                                <a:ext cx="589280" cy="501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0"/>
                                      <w:szCs w:val="20"/>
                                      <w:lang w:val="en-US" w:eastAsia="zh-CN"/>
                                    </w:rPr>
                                  </w:pPr>
                                  <w:r>
                                    <w:rPr>
                                      <w:rFonts w:hint="eastAsia"/>
                                      <w:sz w:val="20"/>
                                      <w:szCs w:val="20"/>
                                      <w:lang w:val="en-US" w:eastAsia="zh-CN"/>
                                    </w:rPr>
                                    <w:t>危废暂存间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15pt;margin-top:112.85pt;height:39.5pt;width:46.4pt;z-index:251667456;mso-width-relative:page;mso-height-relative:page;" filled="f" stroked="f" coordsize="21600,21600" o:gfxdata="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ktLu/cAAAACwEAAA8AAAAA&#10;AAAAAQAgAAAAIgAAAGRycy9kb3ducmV2LnhtbFBLAQIUABQAAAAIAIdO4kCr0YiqSQIAAHMEAAAO&#10;AAAAAAAAAAEAIAAAACsBAABkcnMvZTJvRG9jLnhtbFBLBQYAAAAABgAGAFkBAADmBQAAAAA=&#10;">
                      <v:fill on="f" focussize="0,0"/>
                      <v:stroke on="f" weight="0.5pt"/>
                      <v:imagedata o:title=""/>
                      <o:lock v:ext="edit" aspectratio="f"/>
                      <v:textbox>
                        <w:txbxContent>
                          <w:p>
                            <w:pPr>
                              <w:rPr>
                                <w:rFonts w:hint="eastAsia" w:eastAsia="宋体"/>
                                <w:sz w:val="20"/>
                                <w:szCs w:val="20"/>
                                <w:lang w:val="en-US" w:eastAsia="zh-CN"/>
                              </w:rPr>
                            </w:pPr>
                            <w:r>
                              <w:rPr>
                                <w:rFonts w:hint="eastAsia"/>
                                <w:sz w:val="20"/>
                                <w:szCs w:val="20"/>
                                <w:lang w:val="en-US" w:eastAsia="zh-CN"/>
                              </w:rPr>
                              <w:t>危废暂存间</w:t>
                            </w:r>
                          </w:p>
                        </w:txbxContent>
                      </v:textbox>
                    </v:shape>
                  </w:pict>
                </mc:Fallback>
              </mc:AlternateContent>
            </w:r>
            <w:r>
              <w:rPr>
                <w:color w:val="auto"/>
                <w:sz w:val="24"/>
                <w:highlight w:val="none"/>
              </w:rPr>
              <mc:AlternateContent>
                <mc:Choice Requires="wps">
                  <w:drawing>
                    <wp:anchor distT="0" distB="0" distL="114300" distR="114300" simplePos="0" relativeHeight="251665408" behindDoc="0" locked="0" layoutInCell="1" allowOverlap="1">
                      <wp:simplePos x="0" y="0"/>
                      <wp:positionH relativeFrom="column">
                        <wp:posOffset>3876675</wp:posOffset>
                      </wp:positionH>
                      <wp:positionV relativeFrom="paragraph">
                        <wp:posOffset>1442085</wp:posOffset>
                      </wp:positionV>
                      <wp:extent cx="233680" cy="389255"/>
                      <wp:effectExtent l="12700" t="12700" r="20320" b="17145"/>
                      <wp:wrapNone/>
                      <wp:docPr id="17" name="矩形 17"/>
                      <wp:cNvGraphicFramePr/>
                      <a:graphic xmlns:a="http://schemas.openxmlformats.org/drawingml/2006/main">
                        <a:graphicData uri="http://schemas.microsoft.com/office/word/2010/wordprocessingShape">
                          <wps:wsp>
                            <wps:cNvSpPr/>
                            <wps:spPr>
                              <a:xfrm>
                                <a:off x="5134610" y="8136255"/>
                                <a:ext cx="233680" cy="389255"/>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25pt;margin-top:113.55pt;height:30.65pt;width:18.4pt;z-index:251665408;v-text-anchor:middle;mso-width-relative:page;mso-height-relative:page;" fillcolor="#FFFF00" filled="t" stroked="t" coordsize="21600,21600" o:gfxdata="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z9X22wAAAAsBAAAPAAAAAAAAAAEAIAAAACIAAABkcnMvZG93bnJl&#10;di54bWxQSwECFAAUAAAACACHTuJAJC400WwCAADqBAAADgAAAAAAAAABACAAAAAqAQAAZHJzL2Uy&#10;b0RvYy54bWxQSwUGAAAAAAYABgBZAQAACAYAAAAA&#10;">
                      <v:fill on="t" focussize="0,0"/>
                      <v:stroke weight="2pt" color="#FFFF00 [3204]" joinstyle="round"/>
                      <v:imagedata o:title=""/>
                      <o:lock v:ext="edit" aspectratio="f"/>
                    </v:rect>
                  </w:pict>
                </mc:Fallback>
              </mc:AlternateContent>
            </w:r>
            <w:r>
              <w:rPr>
                <w:color w:val="auto"/>
                <w:sz w:val="24"/>
                <w:highlight w:val="none"/>
              </w:rPr>
              <mc:AlternateContent>
                <mc:Choice Requires="wps">
                  <w:drawing>
                    <wp:anchor distT="0" distB="0" distL="114300" distR="114300" simplePos="0" relativeHeight="251666432" behindDoc="0" locked="0" layoutInCell="1" allowOverlap="1">
                      <wp:simplePos x="0" y="0"/>
                      <wp:positionH relativeFrom="column">
                        <wp:posOffset>3660140</wp:posOffset>
                      </wp:positionH>
                      <wp:positionV relativeFrom="paragraph">
                        <wp:posOffset>1637030</wp:posOffset>
                      </wp:positionV>
                      <wp:extent cx="216535" cy="12700"/>
                      <wp:effectExtent l="0" t="41275" r="12065" b="60325"/>
                      <wp:wrapNone/>
                      <wp:docPr id="18" name="直接箭头连接符 18"/>
                      <wp:cNvGraphicFramePr/>
                      <a:graphic xmlns:a="http://schemas.openxmlformats.org/drawingml/2006/main">
                        <a:graphicData uri="http://schemas.microsoft.com/office/word/2010/wordprocessingShape">
                          <wps:wsp>
                            <wps:cNvCnPr>
                              <a:stCxn id="17" idx="1"/>
                            </wps:cNvCnPr>
                            <wps:spPr>
                              <a:xfrm flipH="1">
                                <a:off x="4918075" y="8331200"/>
                                <a:ext cx="216535" cy="1270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88.2pt;margin-top:128.9pt;height:1pt;width:17.05pt;z-index:251666432;mso-width-relative:page;mso-height-relative:page;" filled="f" stroked="t" coordsize="21600,21600" o:gfxdata="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qka8tgA&#10;AAALAQAADwAAAAAAAAABACAAAAAiAAAAZHJzL2Rvd25yZXYueG1sUEsBAhQAFAAAAAgAh07iQEoh&#10;iigfAgAACQQAAA4AAAAAAAAAAQAgAAAAJwEAAGRycy9lMm9Eb2MueG1sUEsFBgAAAAAGAAYAWQEA&#10;ALgFAAAAAA==&#10;">
                      <v:fill on="f" focussize="0,0"/>
                      <v:stroke color="#FFFF00 [3204]" joinstyle="round" endarrow="open"/>
                      <v:imagedata o:title=""/>
                      <o:lock v:ext="edit" aspectratio="f"/>
                    </v:shape>
                  </w:pict>
                </mc:Fallback>
              </mc:AlternateContent>
            </w:r>
            <w:r>
              <w:rPr>
                <w:color w:val="auto"/>
                <w:sz w:val="24"/>
                <w:highlight w:val="none"/>
              </w:rPr>
              <mc:AlternateContent>
                <mc:Choice Requires="wpg">
                  <w:drawing>
                    <wp:anchor distT="0" distB="0" distL="114300" distR="114300" simplePos="0" relativeHeight="251664384" behindDoc="0" locked="0" layoutInCell="1" allowOverlap="1">
                      <wp:simplePos x="0" y="0"/>
                      <wp:positionH relativeFrom="column">
                        <wp:posOffset>4258310</wp:posOffset>
                      </wp:positionH>
                      <wp:positionV relativeFrom="paragraph">
                        <wp:posOffset>2108200</wp:posOffset>
                      </wp:positionV>
                      <wp:extent cx="1012190" cy="986790"/>
                      <wp:effectExtent l="5080" t="4445" r="11430" b="18415"/>
                      <wp:wrapNone/>
                      <wp:docPr id="15" name="组合 15"/>
                      <wp:cNvGraphicFramePr/>
                      <a:graphic xmlns:a="http://schemas.openxmlformats.org/drawingml/2006/main">
                        <a:graphicData uri="http://schemas.microsoft.com/office/word/2010/wordprocessingGroup">
                          <wpg:wgp>
                            <wpg:cNvGrpSpPr/>
                            <wpg:grpSpPr>
                              <a:xfrm>
                                <a:off x="0" y="0"/>
                                <a:ext cx="1012190" cy="986790"/>
                                <a:chOff x="15409" y="851452"/>
                                <a:chExt cx="1594" cy="1554"/>
                              </a:xfrm>
                            </wpg:grpSpPr>
                            <wps:wsp>
                              <wps:cNvPr id="10" name="文本框 10"/>
                              <wps:cNvSpPr txBox="1"/>
                              <wps:spPr>
                                <a:xfrm>
                                  <a:off x="15409" y="851452"/>
                                  <a:ext cx="1594" cy="1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 xml:space="preserve">   图例</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right="0" w:firstLine="420" w:firstLineChars="200"/>
                                      <w:textAlignment w:val="auto"/>
                                      <w:rPr>
                                        <w:rFonts w:hint="default"/>
                                        <w:sz w:val="21"/>
                                        <w:szCs w:val="21"/>
                                        <w:lang w:val="en-US" w:eastAsia="zh-CN"/>
                                      </w:rPr>
                                    </w:pPr>
                                    <w:r>
                                      <w:rPr>
                                        <w:rFonts w:hint="eastAsia"/>
                                        <w:sz w:val="21"/>
                                        <w:szCs w:val="21"/>
                                        <w:lang w:val="en-US" w:eastAsia="zh-CN"/>
                                      </w:rPr>
                                      <w:t>简单防渗</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right="0" w:firstLine="420" w:firstLineChars="200"/>
                                      <w:textAlignment w:val="auto"/>
                                      <w:rPr>
                                        <w:rFonts w:hint="eastAsia"/>
                                        <w:sz w:val="21"/>
                                        <w:szCs w:val="21"/>
                                        <w:lang w:val="en-US" w:eastAsia="zh-CN"/>
                                      </w:rPr>
                                    </w:pPr>
                                    <w:r>
                                      <w:rPr>
                                        <w:rFonts w:hint="eastAsia"/>
                                        <w:sz w:val="21"/>
                                        <w:szCs w:val="21"/>
                                        <w:lang w:val="en-US" w:eastAsia="zh-CN"/>
                                      </w:rPr>
                                      <w:t>一般防渗</w:t>
                                    </w:r>
                                  </w:p>
                                  <w:p>
                                    <w:pPr>
                                      <w:pStyle w:val="6"/>
                                      <w:keepNext w:val="0"/>
                                      <w:keepLines w:val="0"/>
                                      <w:pageBreakBefore w:val="0"/>
                                      <w:kinsoku/>
                                      <w:wordWrap/>
                                      <w:overflowPunct/>
                                      <w:topLinePunct w:val="0"/>
                                      <w:autoSpaceDE/>
                                      <w:autoSpaceDN/>
                                      <w:bidi w:val="0"/>
                                      <w:adjustRightInd w:val="0"/>
                                      <w:snapToGrid w:val="0"/>
                                      <w:spacing w:before="0" w:after="0" w:line="240" w:lineRule="auto"/>
                                      <w:ind w:right="0" w:firstLine="420" w:firstLineChars="200"/>
                                      <w:textAlignment w:val="auto"/>
                                      <w:rPr>
                                        <w:rFonts w:hint="default"/>
                                        <w:sz w:val="21"/>
                                        <w:szCs w:val="21"/>
                                        <w:lang w:val="en-US" w:eastAsia="zh-CN"/>
                                      </w:rPr>
                                    </w:pPr>
                                    <w:r>
                                      <w:rPr>
                                        <w:rFonts w:hint="eastAsia"/>
                                        <w:sz w:val="21"/>
                                        <w:szCs w:val="21"/>
                                        <w:lang w:val="en-US" w:eastAsia="zh-CN"/>
                                      </w:rPr>
                                      <w:t>重点防渗</w:t>
                                    </w:r>
                                  </w:p>
                                  <w:p>
                                    <w:pPr>
                                      <w:pStyle w:val="9"/>
                                      <w:rPr>
                                        <w:rFonts w:hint="eastAsia"/>
                                        <w:lang w:val="en-US" w:eastAsia="zh-CN"/>
                                      </w:rPr>
                                    </w:pPr>
                                  </w:p>
                                  <w:p>
                                    <w:pPr>
                                      <w:pStyle w:val="6"/>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 name="矩形 11"/>
                              <wps:cNvSpPr/>
                              <wps:spPr>
                                <a:xfrm>
                                  <a:off x="15491" y="852312"/>
                                  <a:ext cx="300" cy="164"/>
                                </a:xfrm>
                                <a:prstGeom prst="rect">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5491" y="852039"/>
                                  <a:ext cx="300" cy="164"/>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15491" y="852599"/>
                                  <a:ext cx="300" cy="164"/>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5.3pt;margin-top:166pt;height:77.7pt;width:79.7pt;z-index:251664384;mso-width-relative:page;mso-height-relative:page;" coordorigin="15409,851452" coordsize="1594,1554" o:gfxdata="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AhO&#10;gjDbAAAACwEAAA8AAAAAAAAAAQAgAAAAIgAAAGRycy9kb3ducmV2LnhtbFBLAQIUABQAAAAIAIdO&#10;4kBsYGngrwMAAD8PAAAOAAAAAAAAAAEAIAAAACoBAABkcnMvZTJvRG9jLnhtbFBLBQYAAAAABgAG&#10;AFkBAABLBwAAAAA=&#10;">
                      <o:lock v:ext="edit" aspectratio="f"/>
                      <v:shape id="_x0000_s1026" o:spid="_x0000_s1026" o:spt="202" type="#_x0000_t202" style="position:absolute;left:15409;top:851452;height:1555;width:1594;" fillcolor="#FFFFFF [3201]" filled="t" stroked="t" coordsize="21600,21600" o:gfxdata="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CJrgAAADbAAAA&#10;DwAAAAAAAAABACAAAAAiAAAAZHJzL2Rvd25yZXYueG1sUEsBAhQAFAAAAAgAh07iQDMvBZ47AAAA&#10;OQAAABAAAAAAAAAAAQAgAAAABwEAAGRycy9zaGFwZXhtbC54bWxQSwUGAAAAAAYABgBbAQAAsQMA&#10;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 xml:space="preserve">   图例</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right="0" w:firstLine="420" w:firstLineChars="200"/>
                                <w:textAlignment w:val="auto"/>
                                <w:rPr>
                                  <w:rFonts w:hint="default"/>
                                  <w:sz w:val="21"/>
                                  <w:szCs w:val="21"/>
                                  <w:lang w:val="en-US" w:eastAsia="zh-CN"/>
                                </w:rPr>
                              </w:pPr>
                              <w:r>
                                <w:rPr>
                                  <w:rFonts w:hint="eastAsia"/>
                                  <w:sz w:val="21"/>
                                  <w:szCs w:val="21"/>
                                  <w:lang w:val="en-US" w:eastAsia="zh-CN"/>
                                </w:rPr>
                                <w:t>简单防渗</w:t>
                              </w:r>
                            </w:p>
                            <w:p>
                              <w:pPr>
                                <w:pStyle w:val="2"/>
                                <w:keepNext w:val="0"/>
                                <w:keepLines w:val="0"/>
                                <w:pageBreakBefore w:val="0"/>
                                <w:kinsoku/>
                                <w:wordWrap/>
                                <w:overflowPunct/>
                                <w:topLinePunct w:val="0"/>
                                <w:autoSpaceDE/>
                                <w:autoSpaceDN/>
                                <w:bidi w:val="0"/>
                                <w:adjustRightInd w:val="0"/>
                                <w:snapToGrid w:val="0"/>
                                <w:spacing w:after="0" w:line="240" w:lineRule="auto"/>
                                <w:ind w:left="0" w:leftChars="0" w:right="0" w:firstLine="420" w:firstLineChars="200"/>
                                <w:textAlignment w:val="auto"/>
                                <w:rPr>
                                  <w:rFonts w:hint="eastAsia"/>
                                  <w:sz w:val="21"/>
                                  <w:szCs w:val="21"/>
                                  <w:lang w:val="en-US" w:eastAsia="zh-CN"/>
                                </w:rPr>
                              </w:pPr>
                              <w:r>
                                <w:rPr>
                                  <w:rFonts w:hint="eastAsia"/>
                                  <w:sz w:val="21"/>
                                  <w:szCs w:val="21"/>
                                  <w:lang w:val="en-US" w:eastAsia="zh-CN"/>
                                </w:rPr>
                                <w:t>一般防渗</w:t>
                              </w:r>
                            </w:p>
                            <w:p>
                              <w:pPr>
                                <w:pStyle w:val="6"/>
                                <w:keepNext w:val="0"/>
                                <w:keepLines w:val="0"/>
                                <w:pageBreakBefore w:val="0"/>
                                <w:kinsoku/>
                                <w:wordWrap/>
                                <w:overflowPunct/>
                                <w:topLinePunct w:val="0"/>
                                <w:autoSpaceDE/>
                                <w:autoSpaceDN/>
                                <w:bidi w:val="0"/>
                                <w:adjustRightInd w:val="0"/>
                                <w:snapToGrid w:val="0"/>
                                <w:spacing w:before="0" w:after="0" w:line="240" w:lineRule="auto"/>
                                <w:ind w:right="0" w:firstLine="420" w:firstLineChars="200"/>
                                <w:textAlignment w:val="auto"/>
                                <w:rPr>
                                  <w:rFonts w:hint="default"/>
                                  <w:sz w:val="21"/>
                                  <w:szCs w:val="21"/>
                                  <w:lang w:val="en-US" w:eastAsia="zh-CN"/>
                                </w:rPr>
                              </w:pPr>
                              <w:r>
                                <w:rPr>
                                  <w:rFonts w:hint="eastAsia"/>
                                  <w:sz w:val="21"/>
                                  <w:szCs w:val="21"/>
                                  <w:lang w:val="en-US" w:eastAsia="zh-CN"/>
                                </w:rPr>
                                <w:t>重点防渗</w:t>
                              </w:r>
                            </w:p>
                            <w:p>
                              <w:pPr>
                                <w:pStyle w:val="9"/>
                                <w:rPr>
                                  <w:rFonts w:hint="eastAsia"/>
                                  <w:lang w:val="en-US" w:eastAsia="zh-CN"/>
                                </w:rPr>
                              </w:pPr>
                            </w:p>
                            <w:p>
                              <w:pPr>
                                <w:pStyle w:val="6"/>
                                <w:rPr>
                                  <w:rFonts w:hint="default"/>
                                  <w:lang w:val="en-US" w:eastAsia="zh-CN"/>
                                </w:rPr>
                              </w:pPr>
                            </w:p>
                          </w:txbxContent>
                        </v:textbox>
                      </v:shape>
                      <v:rect id="_x0000_s1026" o:spid="_x0000_s1026" o:spt="1" style="position:absolute;left:15491;top:852312;height:164;width:300;v-text-anchor:middle;" fillcolor="#77933C [2406]" filled="t" stroked="t" coordsize="21600,21600" o:gfxdata="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aJugAAANsA&#10;AAAPAAAAAAAAAAEAIAAAACIAAABkcnMvZG93bnJldi54bWxQSwECFAAUAAAACACHTuJAMy8FnjsA&#10;AAA5AAAAEAAAAAAAAAABACAAAAAJAQAAZHJzL3NoYXBleG1sLnhtbFBLBQYAAAAABgAGAFsBAACz&#10;AwAAAAA=&#10;">
                        <v:fill on="t" focussize="0,0"/>
                        <v:stroke weight="2pt" color="#77933C [2406]" joinstyle="round"/>
                        <v:imagedata o:title=""/>
                        <o:lock v:ext="edit" aspectratio="f"/>
                      </v:rect>
                      <v:rect id="_x0000_s1026" o:spid="_x0000_s1026" o:spt="1" style="position:absolute;left:15491;top:852039;height:164;width:300;v-text-anchor:middle;" fillcolor="#92D050" filled="t" stroked="t" coordsize="21600,21600" o:gfxdata="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HjejrgAAADbAAAA&#10;DwAAAAAAAAABACAAAAAiAAAAZHJzL2Rvd25yZXYueG1sUEsBAhQAFAAAAAgAh07iQDMvBZ47AAAA&#10;OQAAABAAAAAAAAAAAQAgAAAABwEAAGRycy9zaGFwZXhtbC54bWxQSwUGAAAAAAYABgBbAQAAsQMA&#10;AAAA&#10;">
                        <v:fill on="t" focussize="0,0"/>
                        <v:stroke weight="2pt" color="#92D050 [3204]" joinstyle="round"/>
                        <v:imagedata o:title=""/>
                        <o:lock v:ext="edit" aspectratio="f"/>
                      </v:rect>
                      <v:rect id="_x0000_s1026" o:spid="_x0000_s1026" o:spt="1" style="position:absolute;left:15491;top:852599;height:164;width:300;v-text-anchor:middle;" fillcolor="#FFFF00" filled="t" stroked="t" coordsize="21600,21600" o:gfxdata="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0QvLsAAADb&#10;AAAADwAAAAAAAAABACAAAAAiAAAAZHJzL2Rvd25yZXYueG1sUEsBAhQAFAAAAAgAh07iQDMvBZ47&#10;AAAAOQAAABAAAAAAAAAAAQAgAAAACgEAAGRycy9zaGFwZXhtbC54bWxQSwUGAAAAAAYABgBbAQAA&#10;tAMAAAAA&#10;">
                        <v:fill on="t" focussize="0,0"/>
                        <v:stroke weight="2pt" color="#FFFF00 [3204]" joinstyle="round"/>
                        <v:imagedata o:title=""/>
                        <o:lock v:ext="edit" aspectratio="f"/>
                      </v:rect>
                    </v:group>
                  </w:pict>
                </mc:Fallback>
              </mc:AlternateContent>
            </w:r>
            <w:r>
              <w:rPr>
                <w:rFonts w:hint="eastAsia" w:eastAsia="宋体"/>
                <w:color w:val="auto"/>
                <w:highlight w:val="none"/>
                <w:lang w:eastAsia="zh-CN"/>
              </w:rPr>
              <w:drawing>
                <wp:inline distT="0" distB="0" distL="114300" distR="114300">
                  <wp:extent cx="3148965" cy="3334385"/>
                  <wp:effectExtent l="0" t="0" r="13335" b="18415"/>
                  <wp:docPr id="14" name="图片 14" descr="167878593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785933440"/>
                          <pic:cNvPicPr>
                            <a:picLocks noChangeAspect="1"/>
                          </pic:cNvPicPr>
                        </pic:nvPicPr>
                        <pic:blipFill>
                          <a:blip r:embed="rId115"/>
                          <a:stretch>
                            <a:fillRect/>
                          </a:stretch>
                        </pic:blipFill>
                        <pic:spPr>
                          <a:xfrm>
                            <a:off x="0" y="0"/>
                            <a:ext cx="3148965" cy="33343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eastAsia="宋体"/>
                <w:b/>
                <w:bCs/>
                <w:color w:val="auto"/>
                <w:highlight w:val="none"/>
                <w:lang w:val="en-US" w:eastAsia="zh-CN"/>
              </w:rPr>
            </w:pPr>
            <w:r>
              <w:rPr>
                <w:rFonts w:hint="eastAsia"/>
                <w:b/>
                <w:bCs/>
                <w:color w:val="auto"/>
                <w:highlight w:val="none"/>
                <w:lang w:val="en-US" w:eastAsia="zh-CN"/>
              </w:rPr>
              <w:t>图4-1  分区防渗图</w:t>
            </w:r>
          </w:p>
          <w:p>
            <w:pPr>
              <w:pStyle w:val="9"/>
              <w:rPr>
                <w:color w:val="auto"/>
                <w:highlight w:val="none"/>
              </w:rPr>
            </w:pPr>
          </w:p>
          <w:p>
            <w:pPr>
              <w:pStyle w:val="10"/>
              <w:bidi w:val="0"/>
              <w:rPr>
                <w:rFonts w:hint="default" w:ascii="Times New Roman" w:hAnsi="Times New Roman" w:cs="Times New Roman"/>
                <w:color w:val="auto"/>
                <w:sz w:val="24"/>
                <w:szCs w:val="28"/>
                <w:highlight w:val="none"/>
                <w:lang w:val="en-US" w:eastAsia="zh-CN"/>
              </w:rPr>
            </w:pPr>
            <w:r>
              <w:rPr>
                <w:rFonts w:hint="eastAsia" w:cs="Times New Roman"/>
                <w:color w:val="auto"/>
                <w:sz w:val="24"/>
                <w:szCs w:val="28"/>
                <w:highlight w:val="none"/>
                <w:lang w:val="en-US" w:eastAsia="zh-CN"/>
              </w:rPr>
              <w:t>6</w:t>
            </w:r>
            <w:r>
              <w:rPr>
                <w:rFonts w:hint="default" w:ascii="Times New Roman" w:hAnsi="Times New Roman" w:cs="Times New Roman"/>
                <w:color w:val="auto"/>
                <w:sz w:val="24"/>
                <w:szCs w:val="28"/>
                <w:highlight w:val="none"/>
                <w:lang w:val="en-US" w:eastAsia="zh-CN"/>
              </w:rPr>
              <w:t>、环境风险分析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环境风险是指突发性事故对环境(或健康)的危害程度。建设项目环境风险评价，主要是对建设项目建设和运行期间发生的可预测突发性事件或事故</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一般不包括人为破坏及自然灾害</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6"/>
              <w:spacing w:before="0" w:after="0" w:line="360" w:lineRule="auto"/>
              <w:ind w:left="0" w:leftChars="0" w:firstLine="0" w:firstLineChars="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6</w:t>
            </w:r>
            <w:r>
              <w:rPr>
                <w:rFonts w:hint="default" w:ascii="Times New Roman" w:hAnsi="Times New Roman" w:cs="Times New Roman"/>
                <w:b/>
                <w:bCs/>
                <w:color w:val="auto"/>
                <w:sz w:val="24"/>
                <w:highlight w:val="none"/>
              </w:rPr>
              <w:t>.1风险调查</w:t>
            </w:r>
          </w:p>
          <w:p>
            <w:pPr>
              <w:bidi w:val="0"/>
              <w:ind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本项目主要风险物质为</w:t>
            </w:r>
            <w:r>
              <w:rPr>
                <w:rFonts w:hint="eastAsia" w:eastAsia="宋体" w:cs="Times New Roman"/>
                <w:color w:val="auto"/>
                <w:highlight w:val="none"/>
                <w:lang w:val="en-US" w:eastAsia="zh-CN"/>
              </w:rPr>
              <w:t>机油、液压油、润滑剂、油漆、稀释剂、</w:t>
            </w:r>
            <w:r>
              <w:rPr>
                <w:rFonts w:hint="default" w:ascii="Times New Roman" w:hAnsi="Times New Roman" w:eastAsia="宋体" w:cs="Times New Roman"/>
                <w:color w:val="auto"/>
                <w:highlight w:val="none"/>
                <w:lang w:val="en-US" w:eastAsia="zh-CN"/>
              </w:rPr>
              <w:t>废机油、废机油桶、</w:t>
            </w:r>
            <w:r>
              <w:rPr>
                <w:rFonts w:hint="eastAsia" w:eastAsia="宋体" w:cs="Times New Roman"/>
                <w:color w:val="auto"/>
                <w:highlight w:val="none"/>
                <w:lang w:val="en-US" w:eastAsia="zh-CN"/>
              </w:rPr>
              <w:t>废</w:t>
            </w:r>
            <w:r>
              <w:rPr>
                <w:rFonts w:hint="default" w:ascii="Times New Roman" w:hAnsi="Times New Roman" w:eastAsia="宋体" w:cs="Times New Roman"/>
                <w:color w:val="auto"/>
                <w:highlight w:val="none"/>
                <w:lang w:val="en-US" w:eastAsia="zh-CN"/>
              </w:rPr>
              <w:t>润滑剂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废液压油</w:t>
            </w:r>
            <w:r>
              <w:rPr>
                <w:rFonts w:hint="eastAsia" w:eastAsia="宋体" w:cs="Times New Roman"/>
                <w:color w:val="auto"/>
                <w:highlight w:val="none"/>
                <w:lang w:val="en-US" w:eastAsia="zh-CN"/>
              </w:rPr>
              <w:t>、废油桶、漆渣、漆桶、</w:t>
            </w:r>
            <w:r>
              <w:rPr>
                <w:rFonts w:hint="eastAsia" w:eastAsia="宋体" w:cs="Times New Roman"/>
                <w:color w:val="auto"/>
                <w:sz w:val="24"/>
                <w:szCs w:val="24"/>
                <w:highlight w:val="none"/>
                <w:lang w:val="en-US" w:eastAsia="zh-CN"/>
              </w:rPr>
              <w:t>废稀释剂桶、废活性炭、废过滤棉</w:t>
            </w:r>
            <w:r>
              <w:rPr>
                <w:rFonts w:hint="eastAsia" w:cs="Times New Roman"/>
                <w:b w:val="0"/>
                <w:bCs w:val="0"/>
                <w:color w:val="auto"/>
                <w:sz w:val="24"/>
                <w:szCs w:val="24"/>
                <w:highlight w:val="none"/>
                <w:lang w:val="en-US" w:eastAsia="zh-CN"/>
              </w:rPr>
              <w:t>。</w:t>
            </w:r>
          </w:p>
          <w:p>
            <w:pPr>
              <w:pStyle w:val="11"/>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风险源分布情况及可能影响途径</w:t>
            </w:r>
          </w:p>
          <w:p>
            <w:pPr>
              <w:bidi w:val="0"/>
              <w:ind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本项目的主要</w:t>
            </w:r>
            <w:r>
              <w:rPr>
                <w:rFonts w:hint="eastAsia" w:cs="Times New Roman"/>
                <w:color w:val="auto"/>
                <w:highlight w:val="none"/>
                <w:lang w:val="en-US" w:eastAsia="zh-CN"/>
              </w:rPr>
              <w:t>风险物质</w:t>
            </w:r>
            <w:r>
              <w:rPr>
                <w:rFonts w:hint="default" w:ascii="Times New Roman" w:hAnsi="Times New Roman" w:cs="Times New Roman"/>
                <w:color w:val="auto"/>
                <w:highlight w:val="none"/>
                <w:lang w:val="en-US" w:eastAsia="zh-CN"/>
              </w:rPr>
              <w:t>为危废间内的危废</w:t>
            </w:r>
            <w:r>
              <w:rPr>
                <w:rFonts w:hint="eastAsia" w:cs="Times New Roman"/>
                <w:color w:val="auto"/>
                <w:highlight w:val="none"/>
                <w:lang w:val="en-US" w:eastAsia="zh-CN"/>
              </w:rPr>
              <w:t>、库房内原辅料等</w:t>
            </w:r>
            <w:r>
              <w:rPr>
                <w:rFonts w:hint="default" w:ascii="Times New Roman" w:hAnsi="Times New Roman" w:cs="Times New Roman"/>
                <w:color w:val="auto"/>
                <w:highlight w:val="none"/>
                <w:lang w:val="en-US" w:eastAsia="zh-CN"/>
              </w:rPr>
              <w:t>。具体分布及影响途径如下表：</w:t>
            </w:r>
          </w:p>
          <w:p>
            <w:pPr>
              <w:numPr>
                <w:ilvl w:val="0"/>
                <w:numId w:val="0"/>
              </w:numPr>
              <w:spacing w:line="240" w:lineRule="auto"/>
              <w:ind w:left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4-1</w:t>
            </w:r>
            <w:r>
              <w:rPr>
                <w:rFonts w:hint="eastAsia" w:cs="Times New Roman"/>
                <w:b/>
                <w:bCs/>
                <w:color w:val="auto"/>
                <w:kern w:val="2"/>
                <w:sz w:val="24"/>
                <w:szCs w:val="24"/>
                <w:highlight w:val="none"/>
                <w:lang w:val="en-US" w:eastAsia="zh-CN" w:bidi="ar-SA"/>
              </w:rPr>
              <w:t>0</w:t>
            </w:r>
            <w:r>
              <w:rPr>
                <w:rFonts w:hint="default" w:ascii="Times New Roman" w:hAnsi="Times New Roman" w:eastAsia="宋体" w:cs="Times New Roman"/>
                <w:b/>
                <w:bCs/>
                <w:color w:val="auto"/>
                <w:kern w:val="2"/>
                <w:sz w:val="24"/>
                <w:szCs w:val="24"/>
                <w:highlight w:val="none"/>
                <w:lang w:val="en-US" w:eastAsia="zh-CN" w:bidi="ar-SA"/>
              </w:rPr>
              <w:t xml:space="preserve"> 本项目风险物质具体分布及影响途径</w:t>
            </w:r>
          </w:p>
          <w:tbl>
            <w:tblPr>
              <w:tblStyle w:val="32"/>
              <w:tblpPr w:leftFromText="180" w:rightFromText="180" w:vertAnchor="text" w:tblpXSpec="center" w:tblpY="1"/>
              <w:tblOverlap w:val="never"/>
              <w:tblW w:w="499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685"/>
              <w:gridCol w:w="1578"/>
              <w:gridCol w:w="1035"/>
              <w:gridCol w:w="1253"/>
              <w:gridCol w:w="1170"/>
              <w:gridCol w:w="840"/>
              <w:gridCol w:w="1095"/>
              <w:gridCol w:w="742"/>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60" w:hRule="atLeast"/>
              </w:trPr>
              <w:tc>
                <w:tcPr>
                  <w:tcW w:w="4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939"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危险废物名称</w:t>
                  </w:r>
                </w:p>
              </w:tc>
              <w:tc>
                <w:tcPr>
                  <w:tcW w:w="61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危险废物类别</w:t>
                  </w:r>
                </w:p>
              </w:tc>
              <w:tc>
                <w:tcPr>
                  <w:tcW w:w="74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危险废物代码</w:t>
                  </w:r>
                </w:p>
              </w:tc>
              <w:tc>
                <w:tcPr>
                  <w:tcW w:w="69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全厂最大储存量/q2</w:t>
                  </w:r>
                </w:p>
              </w:tc>
              <w:tc>
                <w:tcPr>
                  <w:tcW w:w="50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临界量</w:t>
                  </w:r>
                  <w:r>
                    <w:rPr>
                      <w:rFonts w:hint="default" w:ascii="Times New Roman" w:hAnsi="Times New Roman" w:eastAsia="宋体" w:cs="Times New Roman"/>
                      <w:color w:val="auto"/>
                      <w:sz w:val="21"/>
                      <w:szCs w:val="21"/>
                      <w:highlight w:val="none"/>
                    </w:rPr>
                    <w:t>Qn/t</w:t>
                  </w:r>
                </w:p>
              </w:tc>
              <w:tc>
                <w:tcPr>
                  <w:tcW w:w="65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q/Q</w:t>
                  </w:r>
                </w:p>
              </w:tc>
              <w:tc>
                <w:tcPr>
                  <w:tcW w:w="441"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储存位置</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15" w:hRule="atLeast"/>
              </w:trPr>
              <w:tc>
                <w:tcPr>
                  <w:tcW w:w="4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废活性炭</w:t>
                  </w:r>
                </w:p>
              </w:tc>
              <w:tc>
                <w:tcPr>
                  <w:tcW w:w="616" w:type="pct"/>
                  <w:vMerge w:val="restar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HW49</w:t>
                  </w:r>
                </w:p>
              </w:tc>
              <w:tc>
                <w:tcPr>
                  <w:tcW w:w="746"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900-039-49 </w:t>
                  </w:r>
                </w:p>
              </w:tc>
              <w:tc>
                <w:tcPr>
                  <w:tcW w:w="69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w:t>
                  </w:r>
                </w:p>
              </w:tc>
              <w:tc>
                <w:tcPr>
                  <w:tcW w:w="50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cs="Times New Roman"/>
                      <w:i w:val="0"/>
                      <w:iCs w:val="0"/>
                      <w:color w:val="auto"/>
                      <w:kern w:val="0"/>
                      <w:sz w:val="21"/>
                      <w:szCs w:val="21"/>
                      <w:highlight w:val="none"/>
                      <w:u w:val="none"/>
                      <w:lang w:val="en-US" w:eastAsia="zh-CN" w:bidi="ar"/>
                    </w:rPr>
                    <w:t>8</w:t>
                  </w:r>
                </w:p>
              </w:tc>
              <w:tc>
                <w:tcPr>
                  <w:tcW w:w="441" w:type="pct"/>
                  <w:vMerge w:val="restar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46" w:hRule="atLeast"/>
              </w:trPr>
              <w:tc>
                <w:tcPr>
                  <w:tcW w:w="407"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废过滤棉</w:t>
                  </w:r>
                </w:p>
              </w:tc>
              <w:tc>
                <w:tcPr>
                  <w:tcW w:w="616"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46"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900-039-49 </w:t>
                  </w:r>
                </w:p>
              </w:tc>
              <w:tc>
                <w:tcPr>
                  <w:tcW w:w="696"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1</w:t>
                  </w:r>
                </w:p>
              </w:tc>
              <w:tc>
                <w:tcPr>
                  <w:tcW w:w="500" w:type="pct"/>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85" w:hRule="atLeast"/>
              </w:trPr>
              <w:tc>
                <w:tcPr>
                  <w:tcW w:w="40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废漆桶</w:t>
                  </w:r>
                </w:p>
              </w:tc>
              <w:tc>
                <w:tcPr>
                  <w:tcW w:w="61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HW12</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bidi="ar-SA"/>
                    </w:rPr>
                    <w:t>900-250-12</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0.06</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55" w:hRule="atLeast"/>
              </w:trPr>
              <w:tc>
                <w:tcPr>
                  <w:tcW w:w="40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939" w:type="pct"/>
                  <w:tcBorders>
                    <w:bottom w:val="single" w:color="auto" w:sz="4" w:space="0"/>
                  </w:tcBorders>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废稀释剂桶</w:t>
                  </w:r>
                </w:p>
              </w:tc>
              <w:tc>
                <w:tcPr>
                  <w:tcW w:w="616" w:type="pct"/>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HW12</w:t>
                  </w:r>
                </w:p>
              </w:tc>
              <w:tc>
                <w:tcPr>
                  <w:tcW w:w="746" w:type="pct"/>
                  <w:tcBorders>
                    <w:bottom w:val="single" w:color="auto" w:sz="4" w:space="0"/>
                  </w:tcBorders>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900-250-12</w:t>
                  </w:r>
                </w:p>
              </w:tc>
              <w:tc>
                <w:tcPr>
                  <w:tcW w:w="696" w:type="pct"/>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500" w:type="pct"/>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0.0002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407"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939" w:type="pct"/>
                  <w:tcBorders>
                    <w:top w:val="single" w:color="auto" w:sz="4" w:space="0"/>
                    <w:bottom w:val="single" w:color="auto" w:sz="4" w:space="0"/>
                  </w:tcBorders>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漆渣</w:t>
                  </w:r>
                </w:p>
              </w:tc>
              <w:tc>
                <w:tcPr>
                  <w:tcW w:w="616" w:type="pct"/>
                  <w:tcBorders>
                    <w:top w:val="single" w:color="auto" w:sz="4" w:space="0"/>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HW12</w:t>
                  </w:r>
                </w:p>
              </w:tc>
              <w:tc>
                <w:tcPr>
                  <w:tcW w:w="746" w:type="pct"/>
                  <w:tcBorders>
                    <w:top w:val="single" w:color="auto" w:sz="4" w:space="0"/>
                    <w:bottom w:val="single" w:color="auto" w:sz="4" w:space="0"/>
                  </w:tcBorders>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900-250-12</w:t>
                  </w:r>
                </w:p>
              </w:tc>
              <w:tc>
                <w:tcPr>
                  <w:tcW w:w="696" w:type="pct"/>
                  <w:tcBorders>
                    <w:top w:val="single" w:color="auto" w:sz="4" w:space="0"/>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13</w:t>
                  </w:r>
                </w:p>
              </w:tc>
              <w:tc>
                <w:tcPr>
                  <w:tcW w:w="500" w:type="pct"/>
                  <w:tcBorders>
                    <w:top w:val="single" w:color="auto" w:sz="4" w:space="0"/>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eastAsia" w:cs="Times New Roman"/>
                      <w:i w:val="0"/>
                      <w:iCs w:val="0"/>
                      <w:color w:val="auto"/>
                      <w:kern w:val="0"/>
                      <w:sz w:val="21"/>
                      <w:szCs w:val="21"/>
                      <w:highlight w:val="none"/>
                      <w:u w:val="none"/>
                      <w:lang w:val="en-US" w:eastAsia="zh-CN" w:bidi="ar"/>
                    </w:rPr>
                    <w:t>26</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939" w:type="pct"/>
                  <w:tcBorders>
                    <w:top w:val="single" w:color="auto" w:sz="4" w:space="0"/>
                  </w:tcBorders>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废润滑油</w:t>
                  </w:r>
                </w:p>
              </w:tc>
              <w:tc>
                <w:tcPr>
                  <w:tcW w:w="616" w:type="pct"/>
                  <w:vMerge w:val="restart"/>
                  <w:tcBorders>
                    <w:top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HW08</w:t>
                  </w:r>
                </w:p>
              </w:tc>
              <w:tc>
                <w:tcPr>
                  <w:tcW w:w="746" w:type="pct"/>
                  <w:tcBorders>
                    <w:top w:val="single" w:color="auto" w:sz="4" w:space="0"/>
                  </w:tcBorders>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bidi="ar-SA"/>
                    </w:rPr>
                    <w:t>900-218-08</w:t>
                  </w:r>
                </w:p>
              </w:tc>
              <w:tc>
                <w:tcPr>
                  <w:tcW w:w="696" w:type="pct"/>
                  <w:vMerge w:val="restart"/>
                  <w:tcBorders>
                    <w:top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0.06</w:t>
                  </w:r>
                </w:p>
              </w:tc>
              <w:tc>
                <w:tcPr>
                  <w:tcW w:w="500" w:type="pct"/>
                  <w:vMerge w:val="restart"/>
                  <w:tcBorders>
                    <w:top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vMerge w:val="restar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废液压油</w:t>
                  </w:r>
                </w:p>
              </w:tc>
              <w:tc>
                <w:tcPr>
                  <w:tcW w:w="616"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900-218-08</w:t>
                  </w:r>
                </w:p>
              </w:tc>
              <w:tc>
                <w:tcPr>
                  <w:tcW w:w="69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00"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1" w:type="pct"/>
                  <w:vMerge w:val="continue"/>
                  <w:noWrap w:val="0"/>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废机油</w:t>
                  </w:r>
                </w:p>
              </w:tc>
              <w:tc>
                <w:tcPr>
                  <w:tcW w:w="616" w:type="pct"/>
                  <w:vMerge w:val="continue"/>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900-218-08</w:t>
                  </w:r>
                </w:p>
              </w:tc>
              <w:tc>
                <w:tcPr>
                  <w:tcW w:w="69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500"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651" w:type="pct"/>
                  <w:vMerge w:val="continue"/>
                  <w:noWrap w:val="0"/>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废油桶</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HW08</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bidi="ar-SA"/>
                    </w:rPr>
                    <w:t>900-249-08</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含油抹布</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HW49</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900-039-49</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0.021</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p>
              </w:tc>
              <w:tc>
                <w:tcPr>
                  <w:tcW w:w="651" w:type="pct"/>
                  <w:tcBorders>
                    <w:bottom w:val="single" w:color="auto" w:sz="4" w:space="0"/>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0.00042</w:t>
                  </w:r>
                </w:p>
              </w:tc>
              <w:tc>
                <w:tcPr>
                  <w:tcW w:w="441" w:type="pct"/>
                  <w:vMerge w:val="continue"/>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11</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润滑油</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0.15</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651" w:type="pct"/>
                  <w:tcBorders>
                    <w:top w:val="single" w:color="auto" w:sz="4" w:space="0"/>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0.00006</w:t>
                  </w:r>
                </w:p>
              </w:tc>
              <w:tc>
                <w:tcPr>
                  <w:tcW w:w="441" w:type="pct"/>
                  <w:vMerge w:val="restart"/>
                  <w:tcBorders>
                    <w:top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库房</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液压油</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0.035</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0.000014</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机油</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0.00012</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油漆</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1.25</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51" w:type="pct"/>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0.125</w:t>
                  </w:r>
                </w:p>
              </w:tc>
              <w:tc>
                <w:tcPr>
                  <w:tcW w:w="441" w:type="pct"/>
                  <w:vMerge w:val="continue"/>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稀释剂</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tcBorders>
                    <w:right w:val="single" w:color="auto" w:sz="4" w:space="0"/>
                  </w:tcBorders>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51" w:type="pct"/>
                  <w:tcBorders>
                    <w:bottom w:val="single" w:color="auto" w:sz="4" w:space="0"/>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0.005</w:t>
                  </w:r>
                </w:p>
              </w:tc>
              <w:tc>
                <w:tcPr>
                  <w:tcW w:w="441" w:type="pct"/>
                  <w:vMerge w:val="continue"/>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685" w:type="dxa"/>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16</w:t>
                  </w:r>
                </w:p>
              </w:tc>
              <w:tc>
                <w:tcPr>
                  <w:tcW w:w="939" w:type="pct"/>
                  <w:noWrap w:val="0"/>
                  <w:vAlign w:val="center"/>
                </w:tcPr>
                <w:p>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丙烷</w:t>
                  </w:r>
                </w:p>
              </w:tc>
              <w:tc>
                <w:tcPr>
                  <w:tcW w:w="616" w:type="pct"/>
                  <w:noWrap w:val="0"/>
                  <w:vAlign w:val="center"/>
                </w:tcPr>
                <w:p>
                  <w:pPr>
                    <w:pStyle w:val="106"/>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46" w:type="pct"/>
                  <w:tcBorders>
                    <w:right w:val="single" w:color="auto" w:sz="4" w:space="0"/>
                  </w:tcBorders>
                  <w:noWrap w:val="0"/>
                  <w:vAlign w:val="center"/>
                </w:tcPr>
                <w:p>
                  <w:pPr>
                    <w:pStyle w:val="58"/>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6" w:type="pct"/>
                  <w:tcBorders>
                    <w:left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0.12</w:t>
                  </w:r>
                </w:p>
              </w:tc>
              <w:tc>
                <w:tcPr>
                  <w:tcW w:w="500" w:type="pct"/>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651" w:type="pct"/>
                  <w:tcBorders>
                    <w:bottom w:val="single" w:color="auto" w:sz="4" w:space="0"/>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c>
                <w:tcPr>
                  <w:tcW w:w="441" w:type="pct"/>
                  <w:tcBorders>
                    <w:bottom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70" w:hRule="atLeast"/>
              </w:trPr>
              <w:tc>
                <w:tcPr>
                  <w:tcW w:w="3906" w:type="pct"/>
                  <w:gridSpan w:val="6"/>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651" w:type="pct"/>
                  <w:tcBorders>
                    <w:top w:val="single" w:color="auto" w:sz="4" w:space="0"/>
                  </w:tcBorders>
                  <w:noWrap w:val="0"/>
                  <w:vAlign w:val="center"/>
                </w:tcPr>
                <w:p>
                  <w:pPr>
                    <w:keepNext w:val="0"/>
                    <w:keepLines w:val="0"/>
                    <w:pageBreakBefore w:val="0"/>
                    <w:widowControl/>
                    <w:suppressLineNumbers w:val="0"/>
                    <w:kinsoku/>
                    <w:wordWrap/>
                    <w:overflowPunct/>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w:t>
                  </w:r>
                  <w:r>
                    <w:rPr>
                      <w:rFonts w:hint="eastAsia" w:cs="Times New Roman"/>
                      <w:i w:val="0"/>
                      <w:iCs w:val="0"/>
                      <w:color w:val="auto"/>
                      <w:kern w:val="0"/>
                      <w:sz w:val="21"/>
                      <w:szCs w:val="21"/>
                      <w:highlight w:val="none"/>
                      <w:u w:val="none"/>
                      <w:lang w:val="en-US" w:eastAsia="zh-CN" w:bidi="ar"/>
                    </w:rPr>
                    <w:t>59814</w:t>
                  </w:r>
                </w:p>
              </w:tc>
              <w:tc>
                <w:tcPr>
                  <w:tcW w:w="441" w:type="pct"/>
                  <w:tcBorders>
                    <w:top w:val="single" w:color="auto" w:sz="4" w:space="0"/>
                  </w:tcBorders>
                  <w:noWrap w:val="0"/>
                  <w:vAlign w:val="center"/>
                </w:tcPr>
                <w:p>
                  <w:pPr>
                    <w:keepNext w:val="0"/>
                    <w:keepLines w:val="0"/>
                    <w:pageBreakBefore w:val="0"/>
                    <w:widowControl w:val="0"/>
                    <w:kinsoku/>
                    <w:wordWrap/>
                    <w:overflowPunct/>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pPr>
              <w:pStyle w:val="12"/>
              <w:keepNext w:val="0"/>
              <w:keepLines w:val="0"/>
              <w:pageBreakBefore w:val="0"/>
              <w:widowControl w:val="0"/>
              <w:kinsoku/>
              <w:wordWrap/>
              <w:overflowPunct/>
              <w:topLinePunct w:val="0"/>
              <w:autoSpaceDE/>
              <w:autoSpaceDN/>
              <w:bidi w:val="0"/>
              <w:adjustRightInd w:val="0"/>
              <w:snapToGrid w:val="0"/>
              <w:spacing w:before="0" w:after="0" w:line="360" w:lineRule="auto"/>
              <w:ind w:firstLine="480"/>
              <w:textAlignment w:val="auto"/>
              <w:rPr>
                <w:rFonts w:hint="eastAsia" w:cs="Times New Roman"/>
                <w:color w:val="auto"/>
                <w:highlight w:val="none"/>
                <w:lang w:val="en-US" w:eastAsia="zh-CN"/>
              </w:rPr>
            </w:pPr>
            <w:r>
              <w:rPr>
                <w:color w:val="auto"/>
                <w:sz w:val="24"/>
                <w:highlight w:val="none"/>
              </w:rPr>
              <w:t>根据上表得</w:t>
            </w:r>
            <w:r>
              <w:rPr>
                <w:rFonts w:hint="eastAsia"/>
                <w:color w:val="auto"/>
                <w:sz w:val="24"/>
                <w:highlight w:val="none"/>
                <w:lang w:val="en-US" w:eastAsia="zh-CN"/>
              </w:rPr>
              <w:t>本项目建设完成后全厂</w:t>
            </w:r>
            <w:r>
              <w:rPr>
                <w:color w:val="auto"/>
                <w:sz w:val="24"/>
                <w:highlight w:val="none"/>
              </w:rPr>
              <w:t>危险物质数量与临界值比值</w:t>
            </w:r>
            <w:r>
              <w:rPr>
                <w:rFonts w:hint="eastAsia"/>
                <w:color w:val="auto"/>
                <w:sz w:val="24"/>
                <w:highlight w:val="none"/>
                <w:lang w:val="en-US" w:eastAsia="zh-CN"/>
              </w:rPr>
              <w:t>Q=0.359814</w:t>
            </w:r>
            <w:r>
              <w:rPr>
                <w:color w:val="auto"/>
                <w:sz w:val="24"/>
                <w:highlight w:val="none"/>
              </w:rPr>
              <w:t>＜1</w:t>
            </w:r>
            <w:r>
              <w:rPr>
                <w:rFonts w:hint="eastAsia"/>
                <w:color w:val="auto"/>
                <w:sz w:val="24"/>
                <w:highlight w:val="none"/>
                <w:lang w:eastAsia="zh-CN"/>
              </w:rPr>
              <w:t>。</w:t>
            </w:r>
            <w:r>
              <w:rPr>
                <w:color w:val="auto"/>
                <w:sz w:val="24"/>
                <w:highlight w:val="none"/>
              </w:rPr>
              <w:t>则本项目风险潜势为Ⅰ，</w:t>
            </w:r>
            <w:r>
              <w:rPr>
                <w:rFonts w:hint="eastAsia"/>
                <w:color w:val="auto"/>
                <w:sz w:val="24"/>
                <w:highlight w:val="none"/>
                <w:lang w:val="en-US" w:eastAsia="zh-CN"/>
              </w:rPr>
              <w:t>只需对</w:t>
            </w:r>
            <w:r>
              <w:rPr>
                <w:color w:val="auto"/>
                <w:sz w:val="24"/>
                <w:highlight w:val="none"/>
              </w:rPr>
              <w:t>项目展开简单分析。</w:t>
            </w:r>
          </w:p>
          <w:p>
            <w:pPr>
              <w:pStyle w:val="11"/>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.3防范措施</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现场应当有警戒标识；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设置专人保管，保管员要详细核对产品名称、规格、牌号、质量、数量、查清危险性质。遇有包装不良、质量异变、标号不符合等情况，应及时进行安全处理；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避免无任何防护措施直接接触、工作区域保持良好通风状态；</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容器包装要密闭，完整无损、放置处防火防高温；</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厂区内禁止吸烟，严禁明火作业；</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进行定期和不定期的安全检查，查出隐患，要及时整改和上报。如发现不安全的紧急情况，应先停止工作，再报有关部门研究处理；</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各种安全防护装置设备要定期检查，不得随意拆除和非法占用；</w:t>
            </w:r>
          </w:p>
          <w:p>
            <w:pPr>
              <w:pStyle w:val="5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危废间做好防渗防漏措施，各个危险物质分类存放，且设置钢板托盘，防止泄露。</w:t>
            </w:r>
            <w:r>
              <w:rPr>
                <w:rFonts w:hint="eastAsia" w:ascii="Times New Roman" w:hAnsi="Times New Roman" w:cs="Times New Roman"/>
                <w:color w:val="auto"/>
                <w:highlight w:val="none"/>
                <w:lang w:val="en-US" w:eastAsia="zh-CN"/>
              </w:rPr>
              <w:t>本项目建设完成后及时对</w:t>
            </w:r>
            <w:r>
              <w:rPr>
                <w:rFonts w:hint="default" w:ascii="Times New Roman" w:hAnsi="Times New Roman" w:cs="Times New Roman"/>
                <w:color w:val="auto"/>
                <w:highlight w:val="none"/>
                <w:lang w:val="en-US" w:eastAsia="zh-CN"/>
              </w:rPr>
              <w:t>应急预案</w:t>
            </w:r>
            <w:r>
              <w:rPr>
                <w:rFonts w:hint="eastAsia" w:ascii="Times New Roman" w:hAnsi="Times New Roman" w:cs="Times New Roman"/>
                <w:color w:val="auto"/>
                <w:highlight w:val="none"/>
                <w:lang w:val="en-US" w:eastAsia="zh-CN"/>
              </w:rPr>
              <w:t>进行修订</w:t>
            </w:r>
            <w:r>
              <w:rPr>
                <w:rFonts w:hint="default" w:ascii="Times New Roman" w:hAnsi="Times New Roman" w:cs="Times New Roman"/>
                <w:color w:val="auto"/>
                <w:highlight w:val="none"/>
                <w:lang w:val="en-US" w:eastAsia="zh-CN"/>
              </w:rPr>
              <w:t>并备案。</w:t>
            </w:r>
          </w:p>
          <w:p>
            <w:pPr>
              <w:pStyle w:val="11"/>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环境风险简单分析</w:t>
            </w:r>
          </w:p>
          <w:p>
            <w:pPr>
              <w:numPr>
                <w:ilvl w:val="0"/>
                <w:numId w:val="0"/>
              </w:numPr>
              <w:spacing w:line="240" w:lineRule="auto"/>
              <w:ind w:leftChars="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w:t>
            </w:r>
            <w:r>
              <w:rPr>
                <w:rFonts w:hint="eastAsia" w:ascii="Times New Roman" w:hAnsi="Times New Roman" w:eastAsia="宋体" w:cs="Times New Roman"/>
                <w:b/>
                <w:bCs/>
                <w:color w:val="auto"/>
                <w:kern w:val="2"/>
                <w:sz w:val="24"/>
                <w:szCs w:val="24"/>
                <w:highlight w:val="none"/>
                <w:lang w:val="en-US" w:eastAsia="zh-CN" w:bidi="ar-SA"/>
              </w:rPr>
              <w:t>4-1</w:t>
            </w:r>
            <w:r>
              <w:rPr>
                <w:rFonts w:hint="eastAsia"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建设项目环境风险简单分析内容表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6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4055"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特种机械设备生产线</w:t>
                  </w:r>
                  <w:r>
                    <w:rPr>
                      <w:rFonts w:hint="eastAsia" w:cs="Times New Roman"/>
                      <w:color w:val="auto"/>
                      <w:highlight w:val="none"/>
                      <w:lang w:val="en-US" w:eastAsia="zh-CN"/>
                    </w:rPr>
                    <w:t>技改</w:t>
                  </w:r>
                  <w:r>
                    <w:rPr>
                      <w:rFonts w:hint="default" w:ascii="Times New Roman" w:hAnsi="Times New Roman" w:cs="Times New Roman"/>
                      <w:color w:val="auto"/>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4055"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抚宁经济开发区北规一街南创业路东 秦皇岛联安机械科技有限公司院内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4055"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highlight w:val="none"/>
                    </w:rPr>
                    <w:t>北纬39°55′17.170″，东经119°13′53.83</w:t>
                  </w:r>
                  <w:r>
                    <w:rPr>
                      <w:rFonts w:hint="eastAsia" w:eastAsia="宋体" w:cs="Times New Roman"/>
                      <w:color w:val="auto"/>
                      <w:highlight w:val="none"/>
                      <w:lang w:val="en-US" w:eastAsia="zh-CN"/>
                    </w:rPr>
                    <w:t>0</w:t>
                  </w: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主要危险物质及分布</w:t>
                  </w:r>
                </w:p>
              </w:tc>
              <w:tc>
                <w:tcPr>
                  <w:tcW w:w="4055" w:type="pct"/>
                  <w:tcBorders>
                    <w:tl2br w:val="nil"/>
                    <w:tr2bl w:val="nil"/>
                  </w:tcBorders>
                  <w:noWrap/>
                  <w:vAlign w:val="center"/>
                </w:tcPr>
                <w:p>
                  <w:pPr>
                    <w:pStyle w:val="60"/>
                    <w:bidi w:val="0"/>
                    <w:spacing w:line="240" w:lineRule="auto"/>
                    <w:jc w:val="both"/>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风险</w:t>
                  </w:r>
                  <w:r>
                    <w:rPr>
                      <w:rFonts w:hint="default" w:ascii="Times New Roman" w:hAnsi="Times New Roman" w:cs="Times New Roman"/>
                      <w:color w:val="auto"/>
                      <w:highlight w:val="none"/>
                      <w:lang w:val="en-US" w:eastAsia="zh-CN"/>
                    </w:rPr>
                    <w:t>物质：</w:t>
                  </w:r>
                  <w:r>
                    <w:rPr>
                      <w:rFonts w:hint="eastAsia" w:eastAsia="宋体" w:cs="Times New Roman"/>
                      <w:color w:val="auto"/>
                      <w:highlight w:val="none"/>
                      <w:lang w:val="en-US" w:eastAsia="zh-CN"/>
                    </w:rPr>
                    <w:t>机油、液压油、润滑剂、油漆、稀释剂、</w:t>
                  </w:r>
                  <w:r>
                    <w:rPr>
                      <w:rFonts w:hint="default" w:ascii="Times New Roman" w:hAnsi="Times New Roman" w:eastAsia="宋体" w:cs="Times New Roman"/>
                      <w:color w:val="auto"/>
                      <w:highlight w:val="none"/>
                      <w:lang w:val="en-US" w:eastAsia="zh-CN"/>
                    </w:rPr>
                    <w:t>废机油、废机油桶、</w:t>
                  </w:r>
                  <w:r>
                    <w:rPr>
                      <w:rFonts w:hint="eastAsia" w:eastAsia="宋体" w:cs="Times New Roman"/>
                      <w:color w:val="auto"/>
                      <w:highlight w:val="none"/>
                      <w:lang w:val="en-US" w:eastAsia="zh-CN"/>
                    </w:rPr>
                    <w:t>废</w:t>
                  </w:r>
                  <w:r>
                    <w:rPr>
                      <w:rFonts w:hint="default" w:ascii="Times New Roman" w:hAnsi="Times New Roman" w:eastAsia="宋体" w:cs="Times New Roman"/>
                      <w:color w:val="auto"/>
                      <w:highlight w:val="none"/>
                      <w:lang w:val="en-US" w:eastAsia="zh-CN"/>
                    </w:rPr>
                    <w:t>润滑剂</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废液压油</w:t>
                  </w:r>
                  <w:r>
                    <w:rPr>
                      <w:rFonts w:hint="eastAsia" w:eastAsia="宋体" w:cs="Times New Roman"/>
                      <w:color w:val="auto"/>
                      <w:highlight w:val="none"/>
                      <w:lang w:val="en-US" w:eastAsia="zh-CN"/>
                    </w:rPr>
                    <w:t>、废油桶、漆渣、漆桶、</w:t>
                  </w:r>
                  <w:r>
                    <w:rPr>
                      <w:rFonts w:hint="eastAsia" w:eastAsia="宋体" w:cs="Times New Roman"/>
                      <w:color w:val="auto"/>
                      <w:sz w:val="21"/>
                      <w:szCs w:val="21"/>
                      <w:highlight w:val="none"/>
                      <w:lang w:val="en-US" w:eastAsia="zh-CN"/>
                    </w:rPr>
                    <w:t>废稀释剂桶、废活性炭、废过滤棉</w:t>
                  </w:r>
                </w:p>
                <w:p>
                  <w:pPr>
                    <w:pStyle w:val="60"/>
                    <w:bidi w:val="0"/>
                    <w:spacing w:line="240" w:lineRule="auto"/>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分布：</w:t>
                  </w:r>
                  <w:r>
                    <w:rPr>
                      <w:rFonts w:hint="eastAsia" w:cs="Times New Roman"/>
                      <w:color w:val="auto"/>
                      <w:highlight w:val="none"/>
                      <w:lang w:val="en-US" w:eastAsia="zh-CN"/>
                    </w:rPr>
                    <w:t>危废间、库房</w:t>
                  </w: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环境影响途径及危害后果</w:t>
                  </w:r>
                </w:p>
              </w:tc>
              <w:tc>
                <w:tcPr>
                  <w:tcW w:w="4055" w:type="pct"/>
                  <w:tcBorders>
                    <w:tl2br w:val="nil"/>
                    <w:tr2bl w:val="nil"/>
                  </w:tcBorders>
                  <w:noWrap/>
                  <w:vAlign w:val="center"/>
                </w:tcPr>
                <w:p>
                  <w:pPr>
                    <w:pStyle w:val="60"/>
                    <w:bidi w:val="0"/>
                    <w:spacing w:line="240" w:lineRule="auto"/>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若危废间</w:t>
                  </w:r>
                  <w:r>
                    <w:rPr>
                      <w:rFonts w:hint="eastAsia" w:cs="Times New Roman"/>
                      <w:color w:val="auto"/>
                      <w:highlight w:val="none"/>
                      <w:lang w:val="en-US" w:eastAsia="zh-CN"/>
                    </w:rPr>
                    <w:t>、库房</w:t>
                  </w:r>
                  <w:r>
                    <w:rPr>
                      <w:rFonts w:hint="default" w:ascii="Times New Roman" w:hAnsi="Times New Roman" w:cs="Times New Roman"/>
                      <w:color w:val="auto"/>
                      <w:highlight w:val="none"/>
                      <w:lang w:val="en-US" w:eastAsia="zh-CN"/>
                    </w:rPr>
                    <w:t>发生火灾，引燃风险物质，随消防废水影响地下水环境。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风险防范措施要求</w:t>
                  </w:r>
                </w:p>
              </w:tc>
              <w:tc>
                <w:tcPr>
                  <w:tcW w:w="4055" w:type="pct"/>
                  <w:tcBorders>
                    <w:tl2br w:val="nil"/>
                    <w:tr2bl w:val="nil"/>
                  </w:tcBorders>
                  <w:noWrap/>
                  <w:vAlign w:val="center"/>
                </w:tcPr>
                <w:p>
                  <w:pPr>
                    <w:pStyle w:val="60"/>
                    <w:bidi w:val="0"/>
                    <w:spacing w:line="240" w:lineRule="auto"/>
                    <w:jc w:val="both"/>
                    <w:rPr>
                      <w:rFonts w:hint="default"/>
                      <w:color w:val="auto"/>
                      <w:highlight w:val="none"/>
                      <w:lang w:val="en-US" w:eastAsia="zh-CN"/>
                    </w:rPr>
                  </w:pPr>
                  <w:r>
                    <w:rPr>
                      <w:rFonts w:hint="default"/>
                      <w:color w:val="auto"/>
                      <w:highlight w:val="none"/>
                      <w:lang w:val="en-US" w:eastAsia="zh-CN"/>
                    </w:rPr>
                    <w:t>1、危废间非工作人员不得靠近；</w:t>
                  </w:r>
                </w:p>
                <w:p>
                  <w:pPr>
                    <w:pStyle w:val="60"/>
                    <w:bidi w:val="0"/>
                    <w:spacing w:line="240" w:lineRule="auto"/>
                    <w:jc w:val="both"/>
                    <w:rPr>
                      <w:rFonts w:hint="default"/>
                      <w:color w:val="auto"/>
                      <w:highlight w:val="none"/>
                      <w:lang w:val="en-US" w:eastAsia="zh-CN"/>
                    </w:rPr>
                  </w:pPr>
                  <w:r>
                    <w:rPr>
                      <w:rFonts w:hint="default"/>
                      <w:color w:val="auto"/>
                      <w:highlight w:val="none"/>
                      <w:lang w:val="en-US" w:eastAsia="zh-CN"/>
                    </w:rPr>
                    <w:t>2、环境风险物质必须分类妥善存放，严格管理，保持通风良好，并设置明显标志。</w:t>
                  </w:r>
                  <w:r>
                    <w:rPr>
                      <w:rFonts w:hint="eastAsia"/>
                      <w:color w:val="auto"/>
                      <w:highlight w:val="none"/>
                      <w:lang w:val="en-US" w:eastAsia="zh-CN"/>
                    </w:rPr>
                    <w:t>车间、库房</w:t>
                  </w:r>
                  <w:r>
                    <w:rPr>
                      <w:rFonts w:hint="default"/>
                      <w:color w:val="auto"/>
                      <w:highlight w:val="none"/>
                      <w:lang w:val="en-US" w:eastAsia="zh-CN"/>
                    </w:rPr>
                    <w:t>以及危废间</w:t>
                  </w:r>
                  <w:r>
                    <w:rPr>
                      <w:rFonts w:hint="eastAsia"/>
                      <w:color w:val="auto"/>
                      <w:highlight w:val="none"/>
                      <w:lang w:val="en-US" w:eastAsia="zh-CN"/>
                    </w:rPr>
                    <w:t>等风险单元</w:t>
                  </w:r>
                  <w:r>
                    <w:rPr>
                      <w:rFonts w:hint="default"/>
                      <w:color w:val="auto"/>
                      <w:highlight w:val="none"/>
                      <w:lang w:val="en-US" w:eastAsia="zh-CN"/>
                    </w:rPr>
                    <w:t>使用防爆灯具</w:t>
                  </w:r>
                  <w:r>
                    <w:rPr>
                      <w:rFonts w:hint="eastAsia"/>
                      <w:color w:val="auto"/>
                      <w:highlight w:val="none"/>
                      <w:lang w:val="en-US" w:eastAsia="zh-CN"/>
                    </w:rPr>
                    <w:t>，</w:t>
                  </w:r>
                  <w:r>
                    <w:rPr>
                      <w:rFonts w:hint="default"/>
                      <w:color w:val="auto"/>
                      <w:highlight w:val="none"/>
                      <w:lang w:val="en-US" w:eastAsia="zh-CN"/>
                    </w:rPr>
                    <w:t>区域禁止明火。　　</w:t>
                  </w:r>
                </w:p>
                <w:p>
                  <w:pPr>
                    <w:pStyle w:val="60"/>
                    <w:bidi w:val="0"/>
                    <w:spacing w:line="240" w:lineRule="auto"/>
                    <w:jc w:val="both"/>
                    <w:rPr>
                      <w:rFonts w:hint="default"/>
                      <w:color w:val="auto"/>
                      <w:highlight w:val="none"/>
                      <w:lang w:val="en-US" w:eastAsia="zh-CN"/>
                    </w:rPr>
                  </w:pPr>
                  <w:r>
                    <w:rPr>
                      <w:rFonts w:hint="default"/>
                      <w:color w:val="auto"/>
                      <w:highlight w:val="none"/>
                      <w:lang w:val="en-US" w:eastAsia="zh-CN"/>
                    </w:rPr>
                    <w:t>3、设置专人保管，保管员要详细核对产品名称、规格、牌号、质量、数量、查清危险性质。遇有包装不良、质量异变、标号不符合等情况，应及时进行安全处理。</w:t>
                  </w:r>
                </w:p>
                <w:p>
                  <w:pPr>
                    <w:pStyle w:val="60"/>
                    <w:bidi w:val="0"/>
                    <w:spacing w:line="240" w:lineRule="auto"/>
                    <w:jc w:val="both"/>
                    <w:rPr>
                      <w:rFonts w:hint="default"/>
                      <w:color w:val="auto"/>
                      <w:highlight w:val="none"/>
                      <w:lang w:val="en-US" w:eastAsia="zh-CN"/>
                    </w:rPr>
                  </w:pPr>
                  <w:r>
                    <w:rPr>
                      <w:rFonts w:hint="default"/>
                      <w:color w:val="auto"/>
                      <w:highlight w:val="none"/>
                      <w:lang w:val="en-US" w:eastAsia="zh-CN"/>
                    </w:rPr>
                    <w:t>4、容器包装要密闭，完整无损。</w:t>
                  </w:r>
                </w:p>
                <w:p>
                  <w:pPr>
                    <w:pStyle w:val="60"/>
                    <w:bidi w:val="0"/>
                    <w:spacing w:line="240" w:lineRule="auto"/>
                    <w:jc w:val="both"/>
                    <w:rPr>
                      <w:rFonts w:hint="default"/>
                      <w:color w:val="auto"/>
                      <w:highlight w:val="none"/>
                      <w:lang w:val="en-US" w:eastAsia="zh-CN"/>
                    </w:rPr>
                  </w:pPr>
                  <w:r>
                    <w:rPr>
                      <w:rFonts w:hint="default"/>
                      <w:color w:val="auto"/>
                      <w:highlight w:val="none"/>
                      <w:lang w:val="en-US" w:eastAsia="zh-CN"/>
                    </w:rPr>
                    <w:t>5、厂区内禁止吸烟，储存区及危废间周围严禁明火作业。</w:t>
                  </w:r>
                </w:p>
                <w:p>
                  <w:pPr>
                    <w:pStyle w:val="60"/>
                    <w:pageBreakBefore w:val="0"/>
                    <w:widowControl w:val="0"/>
                    <w:kinsoku/>
                    <w:wordWrap/>
                    <w:overflowPunct/>
                    <w:topLinePunct w:val="0"/>
                    <w:autoSpaceDE/>
                    <w:autoSpaceDN/>
                    <w:bidi w:val="0"/>
                    <w:adjustRightInd/>
                    <w:snapToGrid/>
                    <w:spacing w:beforeLines="0" w:afterLines="0" w:line="240" w:lineRule="auto"/>
                    <w:jc w:val="both"/>
                    <w:textAlignment w:val="auto"/>
                    <w:rPr>
                      <w:rFonts w:hint="default" w:ascii="Times New Roman" w:hAnsi="Times New Roman" w:cs="Times New Roman"/>
                      <w:color w:val="auto"/>
                      <w:highlight w:val="none"/>
                      <w:lang w:val="en-US" w:eastAsia="zh-CN"/>
                    </w:rPr>
                  </w:pPr>
                  <w:r>
                    <w:rPr>
                      <w:rFonts w:hint="default"/>
                      <w:color w:val="auto"/>
                      <w:highlight w:val="none"/>
                      <w:lang w:val="en-US" w:eastAsia="zh-CN"/>
                    </w:rPr>
                    <w:t>6</w:t>
                  </w:r>
                  <w:r>
                    <w:rPr>
                      <w:rFonts w:hint="default" w:ascii="Times New Roman" w:hAnsi="Times New Roman" w:cs="Times New Roman"/>
                      <w:color w:val="auto"/>
                      <w:highlight w:val="none"/>
                      <w:lang w:val="en-US" w:eastAsia="zh-CN"/>
                    </w:rPr>
                    <w:t>、进行定期和不定期的安全检查，查出隐患，要及时整改和上报。如发现不安全的紧急情况，应先停止工作，再报有关部门研究处理。</w:t>
                  </w:r>
                </w:p>
                <w:p>
                  <w:pPr>
                    <w:pStyle w:val="60"/>
                    <w:pageBreakBefore w:val="0"/>
                    <w:widowControl w:val="0"/>
                    <w:kinsoku/>
                    <w:wordWrap/>
                    <w:overflowPunct/>
                    <w:topLinePunct w:val="0"/>
                    <w:autoSpaceDE/>
                    <w:autoSpaceDN/>
                    <w:bidi w:val="0"/>
                    <w:adjustRightInd/>
                    <w:snapToGrid/>
                    <w:spacing w:beforeLines="0" w:afterLines="0" w:line="24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7、各种安全防护装置设备要定期检查，不得随意拆除和非法占用。</w:t>
                  </w:r>
                </w:p>
                <w:p>
                  <w:pPr>
                    <w:pageBreakBefore w:val="0"/>
                    <w:widowControl w:val="0"/>
                    <w:kinsoku/>
                    <w:wordWrap/>
                    <w:overflowPunct/>
                    <w:topLinePunct w:val="0"/>
                    <w:autoSpaceDE/>
                    <w:autoSpaceDN/>
                    <w:bidi w:val="0"/>
                    <w:adjustRightInd/>
                    <w:snapToGrid/>
                    <w:spacing w:line="240" w:lineRule="auto"/>
                    <w:textAlignment w:val="auto"/>
                    <w:rPr>
                      <w:rFonts w:hint="default"/>
                      <w:color w:val="auto"/>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8、公司已编制环境突发事件应急预案，配备应急物资，</w:t>
                  </w:r>
                  <w:r>
                    <w:rPr>
                      <w:rFonts w:hint="default" w:ascii="Times New Roman" w:hAnsi="Times New Roman" w:cs="Times New Roman"/>
                      <w:color w:val="auto"/>
                      <w:kern w:val="2"/>
                      <w:sz w:val="21"/>
                      <w:szCs w:val="21"/>
                      <w:highlight w:val="none"/>
                      <w:lang w:val="en-US" w:eastAsia="zh-CN" w:bidi="ar-SA"/>
                    </w:rPr>
                    <w:t>如发生火灾产生消防废水，应立即使用储备的沙袋进行拦截。并使用水泵将消防废水收集至桶内，防止流出厂界，对土壤及地下水环境造成影响。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4"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填表说明（列出项目相关信息及评价说明）</w:t>
                  </w:r>
                </w:p>
              </w:tc>
              <w:tc>
                <w:tcPr>
                  <w:tcW w:w="4055" w:type="pct"/>
                  <w:tcBorders>
                    <w:tl2br w:val="nil"/>
                    <w:tr2bl w:val="nil"/>
                  </w:tcBorders>
                  <w:noWrap/>
                  <w:vAlign w:val="center"/>
                </w:tcPr>
                <w:p>
                  <w:pPr>
                    <w:pStyle w:val="6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textAlignment w:val="auto"/>
              <w:rPr>
                <w:rFonts w:hint="default" w:eastAsia="宋体"/>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kern w:val="44"/>
                <w:sz w:val="24"/>
                <w:szCs w:val="24"/>
                <w:highlight w:val="none"/>
                <w:lang w:val="en-US" w:eastAsia="zh-CN" w:bidi="ar-SA"/>
              </w:rPr>
              <w:t>碳排放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国务院关于印发“十三五”控制温室气体排放工作方案的通知》(国发[2016]61号)中提出：“顺应绿色低碳发展国际潮流，把低碳发展作为我国经济社会发展的重大战略和生态文明建设的重要途径，采取积极措施，有效控制温室气体排放。加快科技创新和制度创新，健全激励和约束机制，发挥市场配置资源的决定性作用和更好发挥政府作用，加强碳排放和大气污染物排放协同控制，强化低碳引领，推动能源革命和产业革命，推动供给侧结构性改革和消费端转型，推动区域协调发展，深度参与全球气候治理，为促进我国经济社会可持续发展和维护全球生态安全作出新贡献”。</w:t>
            </w:r>
          </w:p>
          <w:p>
            <w:pPr>
              <w:adjustRightInd w:val="0"/>
              <w:snapToGrid w:val="0"/>
              <w:spacing w:line="360" w:lineRule="auto"/>
              <w:ind w:firstLine="480" w:firstLineChars="200"/>
              <w:rPr>
                <w:rFonts w:ascii="Times New Roman" w:hAnsi="Times New Roman"/>
                <w:snapToGrid w:val="0"/>
                <w:color w:val="auto"/>
                <w:sz w:val="24"/>
                <w:szCs w:val="24"/>
                <w:highlight w:val="none"/>
              </w:rPr>
            </w:pPr>
            <w:r>
              <w:rPr>
                <w:rFonts w:hint="eastAsia" w:ascii="Times New Roman" w:hAnsi="Times New Roman" w:cs="Times New Roman"/>
                <w:color w:val="auto"/>
                <w:sz w:val="24"/>
                <w:szCs w:val="24"/>
                <w:highlight w:val="none"/>
                <w:lang w:val="en-US" w:eastAsia="zh-CN"/>
              </w:rPr>
              <w:t>本项目生产过程仅消耗部分电能，不使用燃料。</w:t>
            </w:r>
            <w:bookmarkStart w:id="0" w:name="_Toc465954898"/>
            <w:r>
              <w:rPr>
                <w:rFonts w:ascii="Times New Roman" w:hAnsi="Times New Roman"/>
                <w:snapToGrid w:val="0"/>
                <w:color w:val="auto"/>
                <w:sz w:val="24"/>
                <w:szCs w:val="24"/>
                <w:highlight w:val="none"/>
              </w:rPr>
              <w:t>根据《秦皇岛市深入打好污染防治攻坚战实施方案》（秦皇岛市委、市政府2022年7月9日发布）</w:t>
            </w:r>
            <w:bookmarkEnd w:id="0"/>
            <w:r>
              <w:rPr>
                <w:rFonts w:ascii="Times New Roman" w:hAnsi="Times New Roman"/>
                <w:snapToGrid w:val="0"/>
                <w:color w:val="auto"/>
                <w:sz w:val="24"/>
                <w:szCs w:val="24"/>
                <w:highlight w:val="none"/>
              </w:rPr>
              <w:t>相关要求，开展碳排放影响评价。</w:t>
            </w:r>
          </w:p>
          <w:p>
            <w:pPr>
              <w:adjustRightInd w:val="0"/>
              <w:snapToGrid w:val="0"/>
              <w:spacing w:line="360" w:lineRule="auto"/>
              <w:ind w:firstLine="480" w:firstLineChars="200"/>
              <w:rPr>
                <w:rFonts w:ascii="Times New Roman" w:hAnsi="Times New Roman"/>
                <w:snapToGrid w:val="0"/>
                <w:color w:val="auto"/>
                <w:sz w:val="24"/>
                <w:szCs w:val="24"/>
                <w:highlight w:val="none"/>
              </w:rPr>
            </w:pPr>
            <w:r>
              <w:rPr>
                <w:rFonts w:ascii="Times New Roman" w:hAnsi="Times New Roman"/>
                <w:snapToGrid w:val="0"/>
                <w:color w:val="auto"/>
                <w:sz w:val="24"/>
                <w:szCs w:val="24"/>
                <w:highlight w:val="none"/>
              </w:rPr>
              <w:t>根据项目特点，碳排放核算范围包括电力</w:t>
            </w:r>
            <w:r>
              <w:rPr>
                <w:rFonts w:hint="eastAsia" w:ascii="Times New Roman" w:hAnsi="Times New Roman"/>
                <w:snapToGrid w:val="0"/>
                <w:color w:val="auto"/>
                <w:sz w:val="24"/>
                <w:szCs w:val="24"/>
                <w:highlight w:val="none"/>
                <w:lang w:val="en-US" w:eastAsia="zh-CN"/>
              </w:rPr>
              <w:t>使用</w:t>
            </w:r>
            <w:r>
              <w:rPr>
                <w:rFonts w:ascii="Times New Roman" w:hAnsi="Times New Roman"/>
                <w:snapToGrid w:val="0"/>
                <w:color w:val="auto"/>
                <w:sz w:val="24"/>
                <w:szCs w:val="24"/>
                <w:highlight w:val="none"/>
              </w:rPr>
              <w:t>、柴油燃烧产生二氧化碳排放。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公式如下：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AE</w:t>
            </w:r>
            <w:r>
              <w:rPr>
                <w:rFonts w:hint="default" w:ascii="Times New Roman" w:hAnsi="Times New Roman" w:cs="Times New Roman"/>
                <w:color w:val="auto"/>
                <w:sz w:val="24"/>
                <w:szCs w:val="24"/>
                <w:highlight w:val="none"/>
                <w:vertAlign w:val="subscript"/>
                <w:lang w:val="en-US" w:eastAsia="zh-CN"/>
              </w:rPr>
              <w:t>净调入电力</w:t>
            </w:r>
            <w:r>
              <w:rPr>
                <w:rFonts w:hint="default" w:ascii="Times New Roman" w:hAnsi="Times New Roman" w:cs="Times New Roman"/>
                <w:color w:val="auto"/>
                <w:sz w:val="24"/>
                <w:szCs w:val="24"/>
                <w:highlight w:val="none"/>
                <w:lang w:val="en-US" w:eastAsia="zh-CN"/>
              </w:rPr>
              <w:t>=AD</w:t>
            </w:r>
            <w:r>
              <w:rPr>
                <w:rFonts w:hint="default" w:ascii="Times New Roman" w:hAnsi="Times New Roman" w:cs="Times New Roman"/>
                <w:color w:val="auto"/>
                <w:sz w:val="24"/>
                <w:szCs w:val="24"/>
                <w:highlight w:val="none"/>
                <w:vertAlign w:val="subscript"/>
                <w:lang w:val="en-US" w:eastAsia="zh-CN"/>
              </w:rPr>
              <w:t>净调入电量</w:t>
            </w:r>
            <w:r>
              <w:rPr>
                <w:rFonts w:hint="default" w:ascii="Times New Roman" w:hAnsi="Times New Roman" w:cs="Times New Roman"/>
                <w:color w:val="auto"/>
                <w:sz w:val="24"/>
                <w:szCs w:val="24"/>
                <w:highlight w:val="none"/>
                <w:lang w:val="en-US" w:eastAsia="zh-CN"/>
              </w:rPr>
              <w:t>×EF</w:t>
            </w:r>
            <w:r>
              <w:rPr>
                <w:rFonts w:hint="default" w:ascii="Times New Roman" w:hAnsi="Times New Roman" w:cs="Times New Roman"/>
                <w:color w:val="auto"/>
                <w:sz w:val="24"/>
                <w:szCs w:val="24"/>
                <w:highlight w:val="none"/>
                <w:vertAlign w:val="subscript"/>
                <w:lang w:val="en-US" w:eastAsia="zh-CN"/>
              </w:rPr>
              <w:t>电力</w:t>
            </w:r>
          </w:p>
          <w:p>
            <w:pPr>
              <w:pStyle w:val="12"/>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式中：AD</w:t>
            </w:r>
            <w:r>
              <w:rPr>
                <w:rFonts w:hint="default" w:ascii="Times New Roman" w:hAnsi="Times New Roman" w:cs="Times New Roman"/>
                <w:color w:val="auto"/>
                <w:sz w:val="24"/>
                <w:szCs w:val="24"/>
                <w:highlight w:val="none"/>
                <w:vertAlign w:val="subscript"/>
                <w:lang w:val="en-US" w:eastAsia="zh-CN"/>
              </w:rPr>
              <w:t>净调入电量</w:t>
            </w:r>
            <w:r>
              <w:rPr>
                <w:rFonts w:hint="default" w:ascii="Times New Roman" w:hAnsi="Times New Roman" w:cs="Times New Roman"/>
                <w:color w:val="auto"/>
                <w:sz w:val="24"/>
                <w:szCs w:val="24"/>
                <w:highlight w:val="none"/>
                <w:lang w:val="en-US" w:eastAsia="zh-CN"/>
              </w:rPr>
              <w:t>=净调入电力消耗量（WMh）</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EF</w:t>
            </w:r>
            <w:r>
              <w:rPr>
                <w:rFonts w:hint="default" w:ascii="Times New Roman" w:hAnsi="Times New Roman" w:cs="Times New Roman"/>
                <w:color w:val="auto"/>
                <w:sz w:val="24"/>
                <w:szCs w:val="24"/>
                <w:highlight w:val="none"/>
                <w:vertAlign w:val="subscript"/>
                <w:lang w:val="en-US" w:eastAsia="zh-CN"/>
              </w:rPr>
              <w:t>电力——</w:t>
            </w:r>
            <w:r>
              <w:rPr>
                <w:rFonts w:hint="default" w:ascii="Times New Roman" w:hAnsi="Times New Roman" w:cs="Times New Roman"/>
                <w:color w:val="auto"/>
                <w:sz w:val="24"/>
                <w:szCs w:val="24"/>
                <w:highlight w:val="none"/>
                <w:vertAlign w:val="baseline"/>
                <w:lang w:val="en-US" w:eastAsia="zh-CN"/>
              </w:rPr>
              <w:t>电子排放因子（tCO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eWMh），为0.58</w:t>
            </w:r>
            <w:r>
              <w:rPr>
                <w:rFonts w:hint="eastAsia" w:cs="Times New Roman"/>
                <w:color w:val="auto"/>
                <w:sz w:val="24"/>
                <w:szCs w:val="24"/>
                <w:highlight w:val="none"/>
                <w:vertAlign w:val="baseline"/>
                <w:lang w:val="en-US" w:eastAsia="zh-CN"/>
              </w:rPr>
              <w:t>03</w:t>
            </w:r>
            <w:r>
              <w:rPr>
                <w:rFonts w:hint="default" w:ascii="Times New Roman" w:hAnsi="Times New Roman" w:cs="Times New Roman"/>
                <w:color w:val="auto"/>
                <w:sz w:val="24"/>
                <w:szCs w:val="24"/>
                <w:highlight w:val="none"/>
                <w:vertAlign w:val="baseline"/>
                <w:lang w:val="en-US" w:eastAsia="zh-CN"/>
              </w:rPr>
              <w:t>tCO</w:t>
            </w:r>
            <w:r>
              <w:rPr>
                <w:rFonts w:hint="default"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vertAlign w:val="baseline"/>
                <w:lang w:val="en-US" w:eastAsia="zh-CN"/>
              </w:rPr>
              <w:t>/WMh</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本项目用电量为</w:t>
            </w:r>
            <w:r>
              <w:rPr>
                <w:rFonts w:hint="eastAsia" w:cs="Times New Roman"/>
                <w:color w:val="auto"/>
                <w:sz w:val="24"/>
                <w:szCs w:val="24"/>
                <w:highlight w:val="none"/>
                <w:lang w:val="en-US" w:eastAsia="zh-CN"/>
              </w:rPr>
              <w:t>2000</w:t>
            </w:r>
            <w:r>
              <w:rPr>
                <w:rFonts w:hint="eastAsia" w:ascii="Times New Roman" w:hAnsi="Times New Roman" w:cs="Times New Roman"/>
                <w:color w:val="auto"/>
                <w:sz w:val="24"/>
                <w:szCs w:val="24"/>
                <w:highlight w:val="none"/>
                <w:lang w:val="en-US" w:eastAsia="zh-CN"/>
              </w:rPr>
              <w:t>kWh/a，净调入电力消耗碳排放量</w:t>
            </w:r>
            <w:r>
              <w:rPr>
                <w:rFonts w:hint="eastAsia" w:cs="Times New Roman"/>
                <w:color w:val="auto"/>
                <w:sz w:val="24"/>
                <w:szCs w:val="24"/>
                <w:highlight w:val="none"/>
                <w:lang w:val="en-US" w:eastAsia="zh-CN"/>
              </w:rPr>
              <w:t>1.1606t</w:t>
            </w:r>
            <w:r>
              <w:rPr>
                <w:rFonts w:hint="eastAsia" w:ascii="Times New Roman" w:hAnsi="Times New Roman" w:cs="Times New Roman"/>
                <w:color w:val="auto"/>
                <w:sz w:val="24"/>
                <w:szCs w:val="24"/>
                <w:highlight w:val="none"/>
                <w:lang w:val="en-US" w:eastAsia="zh-CN"/>
              </w:rPr>
              <w:t>CO</w:t>
            </w:r>
            <w:r>
              <w:rPr>
                <w:rFonts w:hint="eastAsia" w:ascii="Times New Roman" w:hAnsi="Times New Roman" w:cs="Times New Roman"/>
                <w:color w:val="auto"/>
                <w:sz w:val="24"/>
                <w:szCs w:val="24"/>
                <w:highlight w:val="none"/>
                <w:vertAlign w:val="subscript"/>
                <w:lang w:val="en-US" w:eastAsia="zh-CN"/>
              </w:rPr>
              <w:t>2</w:t>
            </w:r>
            <w:r>
              <w:rPr>
                <w:rFonts w:hint="eastAsia" w:ascii="Times New Roman" w:hAnsi="Times New Roman" w:cs="Times New Roman"/>
                <w:color w:val="auto"/>
                <w:sz w:val="24"/>
                <w:szCs w:val="24"/>
                <w:highlight w:val="none"/>
                <w:lang w:val="en-US"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针对项目碳排放，采取如下碳减排措施：</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采用节能电气化设施：项目生产用电机、风机、照明灯全部采用节能设施，降低能源消耗，根据设计资料及工程分析，项目综合能耗均满足清洁生产要求和单位产品能源消耗限额要求；</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合理平面布置，各工序之间有效衔接，减少物料转运距离及转运时间；</w:t>
            </w:r>
          </w:p>
          <w:p>
            <w:pPr>
              <w:pStyle w:val="55"/>
              <w:ind w:firstLine="480"/>
              <w:rPr>
                <w:rFonts w:hint="eastAsia" w:cs="Times New Roman"/>
                <w:b/>
                <w:bCs/>
                <w:color w:val="auto"/>
                <w:sz w:val="24"/>
                <w:szCs w:val="24"/>
                <w:highlight w:val="none"/>
                <w:lang w:val="en-US" w:eastAsia="zh-CN"/>
              </w:rPr>
            </w:pPr>
            <w:r>
              <w:rPr>
                <w:rFonts w:hint="eastAsia"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建立健全的能源管理机构和管理制度，定期开展清洁生产审核以及节能减排等活动</w:t>
            </w:r>
            <w:r>
              <w:rPr>
                <w:rFonts w:hint="eastAsia" w:cs="Times New Roman"/>
                <w:color w:val="auto"/>
                <w:sz w:val="24"/>
                <w:szCs w:val="24"/>
                <w:highlight w:val="none"/>
                <w:lang w:val="en-US" w:eastAsia="zh-CN"/>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leftChars="0" w:right="0" w:firstLine="0" w:firstLineChars="0"/>
              <w:rPr>
                <w:rFonts w:hint="eastAsia"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8、</w:t>
            </w:r>
            <w:r>
              <w:rPr>
                <w:rFonts w:ascii="Times New Roman" w:hAnsi="Times New Roman"/>
                <w:b/>
                <w:bCs/>
                <w:snapToGrid w:val="0"/>
                <w:color w:val="auto"/>
                <w:sz w:val="24"/>
                <w:szCs w:val="24"/>
                <w:highlight w:val="none"/>
              </w:rPr>
              <w:t>排污口规范化</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（1）落实按证排污责任 </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（2）实行自行监测和定期报告制度 </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依法开展自行监测，安装或使用监测设备应符合国家有关环境监测、计量认证规定和技术规范，保障数据合法有效，保证设备正常运行，妥善保存原始记录，建立准确完整的环境管理台账。如实向环境保护部门报告排污许可证执行情况，依法向社会公开污染物排放数据并对数据真实性负责。排放情况与排污许可证要求不符的，应及时向环境保护部门报告。</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（3）排污许可证管理</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①排污口位置和数量、排放方式、排放去向、排放污染物种类、排放浓度和排放量、执行的排放标准等符合排污许可证的规定，不得私设暗管或以其他方式逃避监管。</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②落实重污染天气应急管控措施、遵守法律规定的最新环境保护要求等。</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③按排污许可证规定的监测点位、监测因子、监测频次和相关监测技术规范开展自行监测并公开。</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④按规范进行台账记录，主要内容包括生产信息、原辅材料使用情况、污染防治设施运行记录、监测数据等。</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⑤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⑥按照国家环境保护相关法律法规以及排污许可证申请与核发技术规范要求申请排污许可证，不得无证排污或不按证排污。申请排污许可证后，排污单位应按照自行监测方案开展自行监测；按照排污许可证中环境管理台账记录要求记录相关内容，记录频次形式等；按照排污许可证中执行报告要求定期上报等；按照排污许可证要求定期开展信息公开；排污单位应满足特殊时段污染防治要求。</w:t>
            </w:r>
          </w:p>
          <w:p>
            <w:pPr>
              <w:adjustRightInd w:val="0"/>
              <w:snapToGrid w:val="0"/>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排污口图形符号见下表。</w:t>
            </w:r>
          </w:p>
          <w:p>
            <w:pPr>
              <w:pStyle w:val="107"/>
              <w:adjustRightInd w:val="0"/>
              <w:snapToGrid w:val="0"/>
              <w:spacing w:line="240" w:lineRule="auto"/>
              <w:ind w:firstLine="0" w:firstLineChars="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表</w:t>
            </w:r>
            <w:r>
              <w:rPr>
                <w:rFonts w:hint="eastAsia" w:ascii="Times New Roman" w:hAnsi="Times New Roman" w:cs="Times New Roman"/>
                <w:b/>
                <w:color w:val="auto"/>
                <w:sz w:val="24"/>
                <w:szCs w:val="24"/>
                <w:highlight w:val="none"/>
                <w:lang w:val="en-US" w:eastAsia="zh-CN"/>
              </w:rPr>
              <w:t xml:space="preserve">4-12 </w:t>
            </w:r>
            <w:r>
              <w:rPr>
                <w:rFonts w:ascii="Times New Roman" w:hAnsi="Times New Roman" w:cs="Times New Roman"/>
                <w:b/>
                <w:color w:val="auto"/>
                <w:sz w:val="24"/>
                <w:szCs w:val="24"/>
                <w:highlight w:val="none"/>
              </w:rPr>
              <w:t xml:space="preserve"> 厂区排污口图形符号（提示标志）一览表</w:t>
            </w:r>
          </w:p>
          <w:tbl>
            <w:tblPr>
              <w:tblStyle w:val="32"/>
              <w:tblW w:w="8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575"/>
              <w:gridCol w:w="1841"/>
              <w:gridCol w:w="1800"/>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排放部位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项目</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噪声排放源</w:t>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废气排放源</w:t>
                  </w:r>
                </w:p>
              </w:tc>
              <w:tc>
                <w:tcPr>
                  <w:tcW w:w="18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固体废物</w:t>
                  </w:r>
                </w:p>
              </w:tc>
              <w:tc>
                <w:tcPr>
                  <w:tcW w:w="18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2" w:hRule="atLeast"/>
                <w:jc w:val="center"/>
              </w:trPr>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图形符号</w:t>
                  </w:r>
                </w:p>
              </w:tc>
              <w:tc>
                <w:tcPr>
                  <w:tcW w:w="15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rPr>
                    <w:drawing>
                      <wp:inline distT="0" distB="0" distL="114300" distR="114300">
                        <wp:extent cx="723900" cy="723900"/>
                        <wp:effectExtent l="0" t="0" r="0" b="0"/>
                        <wp:docPr id="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0"/>
                                <pic:cNvPicPr>
                                  <a:picLocks noChangeAspect="1"/>
                                </pic:cNvPicPr>
                              </pic:nvPicPr>
                              <pic:blipFill>
                                <a:blip r:embed="rId116"/>
                                <a:stretch>
                                  <a:fillRect/>
                                </a:stretch>
                              </pic:blipFill>
                              <pic:spPr>
                                <a:xfrm>
                                  <a:off x="0" y="0"/>
                                  <a:ext cx="723900" cy="723900"/>
                                </a:xfrm>
                                <a:prstGeom prst="rect">
                                  <a:avLst/>
                                </a:prstGeom>
                                <a:noFill/>
                                <a:ln>
                                  <a:noFill/>
                                </a:ln>
                              </pic:spPr>
                            </pic:pic>
                          </a:graphicData>
                        </a:graphic>
                      </wp:inline>
                    </w:drawing>
                  </w:r>
                </w:p>
              </w:tc>
              <w:tc>
                <w:tcPr>
                  <w:tcW w:w="18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drawing>
                      <wp:inline distT="0" distB="0" distL="114300" distR="114300">
                        <wp:extent cx="780415" cy="786130"/>
                        <wp:effectExtent l="0" t="0" r="635" b="13970"/>
                        <wp:docPr id="26" name="图片 26" descr="16703801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70380100453"/>
                                <pic:cNvPicPr>
                                  <a:picLocks noChangeAspect="1"/>
                                </pic:cNvPicPr>
                              </pic:nvPicPr>
                              <pic:blipFill>
                                <a:blip r:embed="rId117"/>
                                <a:stretch>
                                  <a:fillRect/>
                                </a:stretch>
                              </pic:blipFill>
                              <pic:spPr>
                                <a:xfrm>
                                  <a:off x="0" y="0"/>
                                  <a:ext cx="780415" cy="786130"/>
                                </a:xfrm>
                                <a:prstGeom prst="rect">
                                  <a:avLst/>
                                </a:prstGeom>
                              </pic:spPr>
                            </pic:pic>
                          </a:graphicData>
                        </a:graphic>
                      </wp:inline>
                    </w:drawing>
                  </w:r>
                </w:p>
              </w:tc>
              <w:tc>
                <w:tcPr>
                  <w:tcW w:w="18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rPr>
                    <w:drawing>
                      <wp:inline distT="0" distB="0" distL="114300" distR="114300">
                        <wp:extent cx="723900" cy="723900"/>
                        <wp:effectExtent l="0" t="0" r="0" b="0"/>
                        <wp:docPr id="2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1"/>
                                <pic:cNvPicPr>
                                  <a:picLocks noChangeAspect="1"/>
                                </pic:cNvPicPr>
                              </pic:nvPicPr>
                              <pic:blipFill>
                                <a:blip r:embed="rId118"/>
                                <a:stretch>
                                  <a:fillRect/>
                                </a:stretch>
                              </pic:blipFill>
                              <pic:spPr>
                                <a:xfrm>
                                  <a:off x="0" y="0"/>
                                  <a:ext cx="723900" cy="723900"/>
                                </a:xfrm>
                                <a:prstGeom prst="rect">
                                  <a:avLst/>
                                </a:prstGeom>
                                <a:noFill/>
                                <a:ln>
                                  <a:noFill/>
                                </a:ln>
                              </pic:spPr>
                            </pic:pic>
                          </a:graphicData>
                        </a:graphic>
                      </wp:inline>
                    </w:drawing>
                  </w:r>
                </w:p>
              </w:tc>
              <w:tc>
                <w:tcPr>
                  <w:tcW w:w="18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rPr>
                  </w:pPr>
                  <w:r>
                    <w:drawing>
                      <wp:inline distT="0" distB="0" distL="114300" distR="114300">
                        <wp:extent cx="842010" cy="782320"/>
                        <wp:effectExtent l="0" t="0" r="15240" b="17780"/>
                        <wp:docPr id="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pic:cNvPicPr>
                                  <a:picLocks noChangeAspect="1"/>
                                </pic:cNvPicPr>
                              </pic:nvPicPr>
                              <pic:blipFill>
                                <a:blip r:embed="rId119"/>
                                <a:stretch>
                                  <a:fillRect/>
                                </a:stretch>
                              </pic:blipFill>
                              <pic:spPr>
                                <a:xfrm>
                                  <a:off x="0" y="0"/>
                                  <a:ext cx="842010" cy="782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形状</w:t>
                  </w:r>
                </w:p>
              </w:tc>
              <w:tc>
                <w:tcPr>
                  <w:tcW w:w="521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正方形边框</w:t>
                  </w:r>
                </w:p>
              </w:tc>
              <w:tc>
                <w:tcPr>
                  <w:tcW w:w="18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等边三角形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背景颜色</w:t>
                  </w:r>
                </w:p>
              </w:tc>
              <w:tc>
                <w:tcPr>
                  <w:tcW w:w="521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绿色</w:t>
                  </w:r>
                </w:p>
              </w:tc>
              <w:tc>
                <w:tcPr>
                  <w:tcW w:w="18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14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图形颜色</w:t>
                  </w:r>
                </w:p>
              </w:tc>
              <w:tc>
                <w:tcPr>
                  <w:tcW w:w="521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白色</w:t>
                  </w:r>
                </w:p>
              </w:tc>
              <w:tc>
                <w:tcPr>
                  <w:tcW w:w="18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szCs w:val="21"/>
                      <w:highlight w:val="none"/>
                      <w:lang w:val="en-GB"/>
                    </w:rPr>
                  </w:pPr>
                  <w:r>
                    <w:rPr>
                      <w:rFonts w:ascii="Times New Roman" w:hAnsi="Times New Roman"/>
                      <w:color w:val="auto"/>
                      <w:sz w:val="21"/>
                      <w:szCs w:val="21"/>
                      <w:highlight w:val="none"/>
                      <w:lang w:val="en-GB"/>
                    </w:rPr>
                    <w:t>黑色</w:t>
                  </w:r>
                </w:p>
              </w:tc>
            </w:tr>
          </w:tbl>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台账管理制度：</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①台账录入要及时、准确、清晰，便于查看。</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②台账要专人录入，数据、信息、记录内容要真实，与实际相符。</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③台账要设专人管理，定点存放。无关人员不得随意移动、查看。</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④重要台账必须纸版与电子版两种形式保存。</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⑤环保部定期对台账数据进行审核，定期检查台账录入内容，确保台账数据的准确性、及时性和完整性。</w:t>
            </w:r>
          </w:p>
          <w:p>
            <w:pPr>
              <w:pStyle w:val="55"/>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⑥环保台账应与其他台账分开放置，由专职环保员亲自管理。</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⑦所有台账盒签必须统一打印，名称清楚、完整。</w:t>
            </w:r>
          </w:p>
          <w:p>
            <w:pPr>
              <w:pStyle w:val="109"/>
              <w:rPr>
                <w:rFonts w:hint="eastAsia" w:ascii="Times New Roman" w:hAnsi="Times New Roman" w:cs="Times New Roman" w:eastAsiaTheme="minorEastAsia"/>
                <w:b/>
                <w:bCs/>
                <w:color w:val="auto"/>
                <w:kern w:val="2"/>
                <w:sz w:val="28"/>
                <w:szCs w:val="72"/>
                <w:highlight w:val="none"/>
                <w:lang w:val="en-US" w:eastAsia="zh-CN" w:bidi="ar-SA"/>
              </w:rPr>
            </w:pPr>
            <w:r>
              <w:rPr>
                <w:rFonts w:hint="eastAsia" w:cs="Times New Roman" w:eastAsiaTheme="minorEastAsia"/>
                <w:b/>
                <w:bCs/>
                <w:color w:val="auto"/>
                <w:kern w:val="2"/>
                <w:sz w:val="28"/>
                <w:szCs w:val="72"/>
                <w:highlight w:val="none"/>
                <w:lang w:val="en-US" w:eastAsia="zh-CN" w:bidi="ar-SA"/>
              </w:rPr>
              <w:t>9</w:t>
            </w:r>
            <w:r>
              <w:rPr>
                <w:rFonts w:hint="eastAsia" w:ascii="Times New Roman" w:hAnsi="Times New Roman" w:cs="Times New Roman" w:eastAsiaTheme="minorEastAsia"/>
                <w:b/>
                <w:bCs/>
                <w:color w:val="auto"/>
                <w:kern w:val="2"/>
                <w:sz w:val="28"/>
                <w:szCs w:val="72"/>
                <w:highlight w:val="none"/>
                <w:lang w:val="en-US" w:eastAsia="zh-CN" w:bidi="ar-SA"/>
              </w:rPr>
              <w:t xml:space="preserve"> </w:t>
            </w:r>
            <w:r>
              <w:rPr>
                <w:rFonts w:hint="eastAsia" w:ascii="Times New Roman" w:hAnsi="Times New Roman" w:cs="Times New Roman" w:eastAsiaTheme="minorEastAsia"/>
                <w:color w:val="auto"/>
                <w:highlight w:val="none"/>
                <w:lang w:val="en-US" w:eastAsia="zh-CN"/>
              </w:rPr>
              <w:t>环境</w:t>
            </w:r>
            <w:r>
              <w:rPr>
                <w:rFonts w:hint="eastAsia" w:ascii="Times New Roman" w:hAnsi="Times New Roman" w:cs="Times New Roman" w:eastAsiaTheme="minorEastAsia"/>
                <w:b/>
                <w:bCs/>
                <w:color w:val="auto"/>
                <w:kern w:val="2"/>
                <w:sz w:val="28"/>
                <w:szCs w:val="72"/>
                <w:highlight w:val="none"/>
                <w:lang w:val="en-US" w:eastAsia="zh-CN" w:bidi="ar-SA"/>
              </w:rPr>
              <w:t>管理</w:t>
            </w:r>
          </w:p>
          <w:p>
            <w:pPr>
              <w:rPr>
                <w:rFonts w:hint="eastAsia"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 xml:space="preserve">.1环境管理组织机构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rFonts w:hint="eastAsia" w:ascii="宋体" w:hAnsi="宋体" w:cs="宋体"/>
                <w:color w:val="auto"/>
                <w:kern w:val="0"/>
                <w:sz w:val="24"/>
                <w:szCs w:val="24"/>
                <w:highlight w:val="none"/>
                <w:lang w:val="en-US" w:eastAsia="zh-CN" w:bidi="ar"/>
              </w:rPr>
              <w:t>企业指定负责人，对</w:t>
            </w:r>
            <w:r>
              <w:rPr>
                <w:rFonts w:hint="eastAsia" w:ascii="宋体" w:hAnsi="宋体" w:eastAsia="宋体" w:cs="宋体"/>
                <w:color w:val="auto"/>
                <w:kern w:val="0"/>
                <w:sz w:val="24"/>
                <w:szCs w:val="24"/>
                <w:highlight w:val="none"/>
                <w:lang w:val="en-US" w:eastAsia="zh-CN" w:bidi="ar"/>
              </w:rPr>
              <w:t xml:space="preserve">项目整个过程（包括施工期和运行期）的环境保护工作。 </w:t>
            </w:r>
          </w:p>
          <w:p>
            <w:pPr>
              <w:rPr>
                <w:rFonts w:hint="eastAsia"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 xml:space="preserve">.2环境管理台账要求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将</w:t>
            </w:r>
            <w:r>
              <w:rPr>
                <w:rFonts w:hint="eastAsia" w:ascii="宋体" w:hAnsi="宋体" w:cs="宋体"/>
                <w:color w:val="auto"/>
                <w:kern w:val="0"/>
                <w:sz w:val="24"/>
                <w:szCs w:val="24"/>
                <w:highlight w:val="none"/>
                <w:lang w:val="en-US" w:eastAsia="zh-CN" w:bidi="ar"/>
              </w:rPr>
              <w:t>非甲烷总烃治理设施</w:t>
            </w:r>
            <w:r>
              <w:rPr>
                <w:rFonts w:hint="eastAsia" w:ascii="宋体" w:hAnsi="宋体" w:eastAsia="宋体" w:cs="宋体"/>
                <w:color w:val="auto"/>
                <w:kern w:val="0"/>
                <w:sz w:val="24"/>
                <w:szCs w:val="24"/>
                <w:highlight w:val="none"/>
                <w:lang w:val="en-US" w:eastAsia="zh-CN" w:bidi="ar"/>
              </w:rPr>
              <w:t xml:space="preserve">的运行情况、环保设备日常检查、环境事件等建立环境管理台账。 </w:t>
            </w:r>
          </w:p>
          <w:p>
            <w:pPr>
              <w:rPr>
                <w:rFonts w:hint="default" w:ascii="Times New Roman" w:hAnsi="Times New Roman" w:eastAsia="宋体" w:cs="Times New Roman"/>
                <w:b/>
                <w:bCs/>
                <w:color w:val="auto"/>
                <w:highlight w:val="none"/>
                <w:lang w:val="en-US" w:eastAsia="zh-CN"/>
              </w:rPr>
            </w:pPr>
            <w:r>
              <w:rPr>
                <w:rFonts w:hint="eastAsia" w:eastAsia="宋体"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 xml:space="preserve">.3环保设备及措施运行及维护费用保障计划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项目营运期主要运行费用为人工定期检修维护费等，运行费用较小，处于企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业可接受范围内。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环境监测环境监测是环境管理的依据和基础，为环境统计和环境定量评价提供科学依据，根据项目特点和主要污染源及污染物排放情况，提出如下监测要求：厂方应定期对噪声进行监测；定期向环境管理部门上报监测结果；监测中发现其它异常情况，及时报告企业环保管理部门查找原因、解决处理，遇有特殊情况时应随时监测</w:t>
            </w:r>
            <w:r>
              <w:rPr>
                <w:rFonts w:hint="eastAsia" w:ascii="宋体" w:hAnsi="宋体" w:eastAsia="宋体" w:cs="宋体"/>
                <w:color w:val="auto"/>
                <w:kern w:val="0"/>
                <w:sz w:val="24"/>
                <w:szCs w:val="24"/>
                <w:highlight w:val="none"/>
                <w:lang w:val="en-US" w:eastAsia="zh-CN" w:bidi="ar"/>
              </w:rPr>
              <w:t>。</w:t>
            </w: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监测要求：监测工作中涉及监测点位布设、监测时段、采样方法、化验室分析、质量控制、数据统计等按照《建设项目环境保护设施竣工验收监测技术要求 （试行）》、《环境影响评价技术导则》、《环境监测技术规范》和相应的环境标准要求进行。监测结果应及时建立档案，并定期向当地环保部门汇报，对于常规监测数据应该进行公开，如发现异常或者发生事故时应加密监测频次，并分析污染原因，及时采取应对措施</w:t>
            </w:r>
            <w:r>
              <w:rPr>
                <w:rFonts w:hint="eastAsia" w:ascii="宋体" w:hAnsi="宋体" w:cs="宋体"/>
                <w:color w:val="auto"/>
                <w:kern w:val="0"/>
                <w:sz w:val="24"/>
                <w:szCs w:val="24"/>
                <w:highlight w:val="none"/>
                <w:lang w:val="en-US" w:eastAsia="zh-CN" w:bidi="ar"/>
              </w:rPr>
              <w:t>。</w:t>
            </w:r>
          </w:p>
          <w:p>
            <w:pPr>
              <w:pStyle w:val="9"/>
              <w:rPr>
                <w:rFonts w:hint="eastAsia" w:ascii="宋体" w:hAnsi="宋体" w:cs="宋体"/>
                <w:color w:val="auto"/>
                <w:kern w:val="0"/>
                <w:sz w:val="24"/>
                <w:szCs w:val="24"/>
                <w:highlight w:val="none"/>
                <w:lang w:val="en-US" w:eastAsia="zh-CN" w:bidi="ar"/>
              </w:rPr>
            </w:pPr>
          </w:p>
          <w:p>
            <w:pPr>
              <w:rPr>
                <w:rFonts w:hint="eastAsia" w:ascii="宋体" w:hAnsi="宋体" w:cs="宋体"/>
                <w:color w:val="auto"/>
                <w:kern w:val="0"/>
                <w:sz w:val="24"/>
                <w:szCs w:val="24"/>
                <w:highlight w:val="none"/>
                <w:lang w:val="en-US" w:eastAsia="zh-CN" w:bidi="ar"/>
              </w:rPr>
            </w:pPr>
          </w:p>
          <w:p>
            <w:pPr>
              <w:pStyle w:val="2"/>
              <w:rPr>
                <w:rFonts w:hint="eastAsia" w:ascii="宋体" w:hAnsi="宋体" w:cs="宋体"/>
                <w:color w:val="auto"/>
                <w:kern w:val="0"/>
                <w:sz w:val="24"/>
                <w:szCs w:val="24"/>
                <w:highlight w:val="none"/>
                <w:lang w:val="en-US" w:eastAsia="zh-CN" w:bidi="ar"/>
              </w:rPr>
            </w:pPr>
          </w:p>
          <w:p>
            <w:pPr>
              <w:pStyle w:val="6"/>
              <w:rPr>
                <w:rFonts w:hint="eastAsia"/>
                <w:color w:val="auto"/>
                <w:highlight w:val="none"/>
                <w:lang w:val="en-US" w:eastAsia="zh-CN"/>
              </w:rPr>
            </w:pP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cs="宋体"/>
                <w:color w:val="auto"/>
                <w:kern w:val="0"/>
                <w:sz w:val="24"/>
                <w:szCs w:val="24"/>
                <w:highlight w:val="none"/>
                <w:lang w:val="en-US" w:eastAsia="zh-CN" w:bidi="ar"/>
              </w:rPr>
            </w:pP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cs="宋体"/>
                <w:color w:val="auto"/>
                <w:kern w:val="0"/>
                <w:sz w:val="24"/>
                <w:szCs w:val="24"/>
                <w:highlight w:val="none"/>
                <w:lang w:val="en-US" w:eastAsia="zh-CN" w:bidi="ar"/>
              </w:rPr>
            </w:pP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rPr>
                <w:rFonts w:hint="eastAsia" w:ascii="宋体" w:hAnsi="宋体" w:cs="宋体"/>
                <w:color w:val="auto"/>
                <w:kern w:val="0"/>
                <w:sz w:val="24"/>
                <w:szCs w:val="24"/>
                <w:highlight w:val="none"/>
                <w:lang w:val="en-US" w:eastAsia="zh-CN" w:bidi="ar"/>
              </w:rPr>
            </w:pPr>
          </w:p>
          <w:p>
            <w:pPr>
              <w:keepNext w:val="0"/>
              <w:keepLines w:val="0"/>
              <w:pageBreakBefore w:val="0"/>
              <w:suppressLineNumbers w:val="0"/>
              <w:kinsoku/>
              <w:wordWrap/>
              <w:overflowPunct/>
              <w:topLinePunct w:val="0"/>
              <w:autoSpaceDE/>
              <w:autoSpaceDN/>
              <w:bidi w:val="0"/>
              <w:spacing w:before="0" w:beforeAutospacing="0" w:after="0" w:afterAutospacing="0" w:line="360" w:lineRule="auto"/>
              <w:ind w:right="0"/>
              <w:rPr>
                <w:rFonts w:hint="default" w:ascii="Times New Roman" w:hAnsi="Times New Roman" w:eastAsia="宋体" w:cs="Times New Roman"/>
                <w:bCs/>
                <w:color w:val="auto"/>
                <w:spacing w:val="4"/>
                <w:kern w:val="0"/>
                <w:sz w:val="24"/>
                <w:szCs w:val="24"/>
                <w:highlight w:val="none"/>
                <w:lang w:val="en-US" w:eastAsia="zh-CN"/>
              </w:rPr>
            </w:pPr>
          </w:p>
        </w:tc>
      </w:tr>
    </w:tbl>
    <w:p>
      <w:pPr>
        <w:bidi w:val="0"/>
        <w:rPr>
          <w:rFonts w:hint="default" w:ascii="Times New Roman" w:hAnsi="Times New Roman" w:cs="Times New Roman"/>
          <w:color w:val="auto"/>
          <w:highlight w:val="none"/>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10"/>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五、</w:t>
      </w:r>
      <w:bookmarkStart w:id="1" w:name="_Hlk54167917"/>
      <w:r>
        <w:rPr>
          <w:rFonts w:hint="default" w:ascii="Times New Roman" w:hAnsi="Times New Roman" w:cs="Times New Roman"/>
          <w:color w:val="auto"/>
          <w:highlight w:val="none"/>
        </w:rPr>
        <w:t>环境保护措施监督检查清单</w:t>
      </w:r>
      <w:bookmarkEnd w:id="1"/>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1162"/>
        <w:gridCol w:w="1200"/>
        <w:gridCol w:w="1488"/>
        <w:gridCol w:w="38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tcBorders>
              <w:tl2br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内容</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要素</w:t>
            </w:r>
          </w:p>
        </w:tc>
        <w:tc>
          <w:tcPr>
            <w:tcW w:w="1162"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排放口(编号、</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名称)/污染源</w:t>
            </w:r>
          </w:p>
        </w:tc>
        <w:tc>
          <w:tcPr>
            <w:tcW w:w="120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污染物项目</w:t>
            </w:r>
          </w:p>
        </w:tc>
        <w:tc>
          <w:tcPr>
            <w:tcW w:w="148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环境保护措施</w:t>
            </w:r>
          </w:p>
        </w:tc>
        <w:tc>
          <w:tcPr>
            <w:tcW w:w="38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12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lang w:val="en-US" w:eastAsia="zh-CN"/>
              </w:rPr>
            </w:pPr>
            <w:r>
              <w:rPr>
                <w:rFonts w:hint="default" w:ascii="Times New Roman" w:hAnsi="Times New Roman" w:cs="Times New Roman"/>
                <w:b/>
                <w:bCs/>
                <w:color w:val="auto"/>
                <w:sz w:val="21"/>
                <w:szCs w:val="18"/>
                <w:highlight w:val="none"/>
                <w:lang w:val="en-US" w:eastAsia="zh-CN"/>
              </w:rPr>
              <w:t>大气环境</w:t>
            </w:r>
          </w:p>
        </w:tc>
        <w:tc>
          <w:tcPr>
            <w:tcW w:w="11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喷漆（</w:t>
            </w:r>
            <w:r>
              <w:rPr>
                <w:rFonts w:hint="eastAsia" w:eastAsia="宋体" w:cs="Times New Roman"/>
                <w:color w:val="auto"/>
                <w:kern w:val="2"/>
                <w:sz w:val="21"/>
                <w:szCs w:val="21"/>
                <w:highlight w:val="none"/>
                <w:lang w:val="en-US" w:eastAsia="zh-CN" w:bidi="ar-SA"/>
              </w:rPr>
              <w:t>调漆、喷漆、晾干</w:t>
            </w:r>
            <w:r>
              <w:rPr>
                <w:rFonts w:hint="eastAsia" w:cs="Times New Roman"/>
                <w:color w:val="auto"/>
                <w:sz w:val="21"/>
                <w:szCs w:val="21"/>
                <w:highlight w:val="none"/>
                <w:lang w:val="en-US" w:eastAsia="zh-CN"/>
              </w:rPr>
              <w:t>）</w:t>
            </w:r>
          </w:p>
        </w:tc>
        <w:tc>
          <w:tcPr>
            <w:tcW w:w="1200" w:type="dxa"/>
            <w:noWrap w:val="0"/>
            <w:vAlign w:val="center"/>
          </w:tcPr>
          <w:p>
            <w:pPr>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kern w:val="2"/>
                <w:sz w:val="21"/>
                <w:szCs w:val="21"/>
                <w:highlight w:val="none"/>
                <w:lang w:val="en-US" w:eastAsia="zh-CN" w:bidi="ar-SA"/>
              </w:rPr>
              <w:t>颗粒物</w:t>
            </w:r>
          </w:p>
        </w:tc>
        <w:tc>
          <w:tcPr>
            <w:tcW w:w="1488"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喷漆房有组织废气经过1套干式过滤器+二级</w:t>
            </w:r>
            <w:r>
              <w:rPr>
                <w:rFonts w:hint="default" w:ascii="Times New Roman" w:hAnsi="Times New Roman" w:cs="Times New Roman"/>
                <w:color w:val="auto"/>
                <w:sz w:val="21"/>
                <w:szCs w:val="21"/>
                <w:highlight w:val="none"/>
                <w:lang w:val="en-US" w:eastAsia="zh-CN"/>
              </w:rPr>
              <w:t>活性炭吸附装置</w:t>
            </w:r>
            <w:r>
              <w:rPr>
                <w:rFonts w:hint="eastAsia" w:cs="Times New Roman"/>
                <w:color w:val="auto"/>
                <w:sz w:val="21"/>
                <w:szCs w:val="21"/>
                <w:highlight w:val="none"/>
                <w:lang w:val="en-US" w:eastAsia="zh-CN"/>
              </w:rPr>
              <w:t>+1根</w:t>
            </w:r>
            <w:r>
              <w:rPr>
                <w:rFonts w:hint="default" w:ascii="Times New Roman" w:hAnsi="Times New Roman" w:cs="Times New Roman"/>
                <w:color w:val="auto"/>
                <w:sz w:val="21"/>
                <w:szCs w:val="21"/>
                <w:highlight w:val="none"/>
                <w:lang w:val="en-US" w:eastAsia="zh-CN"/>
              </w:rPr>
              <w:t>15m高排气筒排放</w:t>
            </w:r>
            <w:r>
              <w:rPr>
                <w:rFonts w:hint="eastAsia" w:cs="Times New Roman"/>
                <w:color w:val="auto"/>
                <w:sz w:val="21"/>
                <w:szCs w:val="21"/>
                <w:highlight w:val="none"/>
                <w:lang w:val="en-US" w:eastAsia="zh-CN"/>
              </w:rPr>
              <w:t>，风机风量为15120m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/h</w:t>
            </w:r>
            <w:r>
              <w:rPr>
                <w:rFonts w:hint="eastAsia" w:ascii="Times New Roman" w:hAnsi="Times New Roman" w:cs="Times New Roman"/>
                <w:color w:val="auto"/>
                <w:sz w:val="21"/>
                <w:szCs w:val="21"/>
                <w:highlight w:val="none"/>
                <w:lang w:val="en-US" w:eastAsia="zh-CN"/>
              </w:rPr>
              <w:t>（DA001）</w:t>
            </w:r>
            <w:r>
              <w:rPr>
                <w:rFonts w:hint="eastAsia"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废气治理设施中活性炭每半年更换1次，要足量添加，并选择碘值不低于800毫克/克的活性炭；</w:t>
            </w:r>
          </w:p>
        </w:tc>
        <w:tc>
          <w:tcPr>
            <w:tcW w:w="38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snapToGrid/>
                <w:color w:val="auto"/>
                <w:kern w:val="2"/>
                <w:sz w:val="21"/>
                <w:szCs w:val="21"/>
                <w:highlight w:val="none"/>
                <w:lang w:val="en-US" w:eastAsia="zh-CN" w:bidi="ar-SA"/>
              </w:rPr>
              <w:t>《大气污染物综合排放标准》（GB16297-1996）表2中颗粒物（染料尘）二级最高允许排放浓度≤</w:t>
            </w:r>
            <w:r>
              <w:rPr>
                <w:rFonts w:hint="eastAsia" w:ascii="Times New Roman" w:hAnsi="Times New Roman" w:eastAsia="宋体" w:cs="Times New Roman"/>
                <w:b w:val="0"/>
                <w:snapToGrid/>
                <w:color w:val="auto"/>
                <w:kern w:val="2"/>
                <w:sz w:val="21"/>
                <w:szCs w:val="21"/>
                <w:highlight w:val="none"/>
                <w:lang w:val="en-US" w:eastAsia="zh-CN" w:bidi="ar-SA"/>
              </w:rPr>
              <w:t>18</w:t>
            </w:r>
            <w:r>
              <w:rPr>
                <w:rFonts w:hint="default" w:ascii="Times New Roman" w:hAnsi="Times New Roman" w:eastAsia="宋体" w:cs="Times New Roman"/>
                <w:b w:val="0"/>
                <w:snapToGrid/>
                <w:color w:val="auto"/>
                <w:kern w:val="2"/>
                <w:sz w:val="21"/>
                <w:szCs w:val="21"/>
                <w:highlight w:val="none"/>
                <w:lang w:val="en-US" w:eastAsia="zh-CN" w:bidi="ar-SA"/>
              </w:rPr>
              <w:t>mg/m³，排放速率≤</w:t>
            </w:r>
            <w:r>
              <w:rPr>
                <w:rFonts w:hint="eastAsia" w:ascii="Times New Roman" w:hAnsi="Times New Roman" w:eastAsia="宋体" w:cs="Times New Roman"/>
                <w:b w:val="0"/>
                <w:snapToGrid/>
                <w:color w:val="auto"/>
                <w:kern w:val="2"/>
                <w:sz w:val="21"/>
                <w:szCs w:val="21"/>
                <w:highlight w:val="none"/>
                <w:lang w:val="en-US" w:eastAsia="zh-CN" w:bidi="ar-SA"/>
              </w:rPr>
              <w:t>0.51</w:t>
            </w:r>
            <w:r>
              <w:rPr>
                <w:rFonts w:hint="default" w:ascii="Times New Roman" w:hAnsi="Times New Roman" w:eastAsia="宋体" w:cs="Times New Roman"/>
                <w:b w:val="0"/>
                <w:snapToGrid/>
                <w:color w:val="auto"/>
                <w:kern w:val="2"/>
                <w:sz w:val="21"/>
                <w:szCs w:val="21"/>
                <w:highlight w:val="none"/>
                <w:lang w:val="en-US" w:eastAsia="zh-CN" w:bidi="ar-SA"/>
              </w:rPr>
              <w:t>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18"/>
                <w:highlight w:val="none"/>
                <w:lang w:val="en-US" w:eastAsia="zh-CN"/>
              </w:rPr>
            </w:pPr>
          </w:p>
        </w:tc>
        <w:tc>
          <w:tcPr>
            <w:tcW w:w="1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1200" w:type="dxa"/>
            <w:noWrap w:val="0"/>
            <w:vAlign w:val="center"/>
          </w:tcPr>
          <w:p>
            <w:pPr>
              <w:pageBreakBefore w:val="0"/>
              <w:widowControl w:val="0"/>
              <w:kinsoku/>
              <w:wordWrap/>
              <w:overflowPunct/>
              <w:topLinePunct w:val="0"/>
              <w:autoSpaceDE/>
              <w:autoSpaceDN/>
              <w:bidi w:val="0"/>
              <w:spacing w:line="240" w:lineRule="auto"/>
              <w:ind w:left="0" w:left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eastAsia="宋体" w:cs="Times New Roman"/>
                <w:color w:val="auto"/>
                <w:kern w:val="2"/>
                <w:sz w:val="21"/>
                <w:szCs w:val="21"/>
                <w:highlight w:val="none"/>
                <w:lang w:val="en-US" w:eastAsia="zh-CN" w:bidi="ar-SA"/>
              </w:rPr>
              <w:t>非甲烷总烃</w:t>
            </w:r>
          </w:p>
        </w:tc>
        <w:tc>
          <w:tcPr>
            <w:tcW w:w="1488"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38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《工业企业挥发性有机物排放控制标准》（DB13/2322-2016）</w:t>
            </w:r>
            <w:r>
              <w:rPr>
                <w:rFonts w:hint="eastAsia" w:cs="Times New Roman"/>
                <w:color w:val="auto"/>
                <w:sz w:val="21"/>
                <w:szCs w:val="21"/>
                <w:highlight w:val="none"/>
                <w:lang w:val="en-US" w:eastAsia="zh-CN"/>
              </w:rPr>
              <w:t>表面涂装业</w:t>
            </w:r>
            <w:r>
              <w:rPr>
                <w:rFonts w:hint="default" w:ascii="Times New Roman" w:hAnsi="Times New Roman" w:eastAsia="宋体" w:cs="Times New Roman"/>
                <w:color w:val="auto"/>
                <w:sz w:val="21"/>
                <w:szCs w:val="21"/>
                <w:highlight w:val="none"/>
                <w:lang w:val="en-US" w:eastAsia="zh-CN"/>
              </w:rPr>
              <w:t>挥发性有机物排放浓度限值要求（有组织</w:t>
            </w:r>
            <w:r>
              <w:rPr>
                <w:rFonts w:hint="eastAsia"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mg/m³、效率≥70%，企业边界2.0mg/m³，生产车间或生产设备任意一小时浓度4.0mg/m³）与《挥发性有机物无组织排放控制标准》（GB37822-2019）相关要求（监控点处1h平均浓度为6.0mg/m³，监控点处任意一次浓度20mg/m³）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18"/>
                <w:highlight w:val="none"/>
                <w:lang w:val="en-US" w:eastAsia="zh-CN"/>
              </w:rPr>
            </w:pPr>
          </w:p>
        </w:tc>
        <w:tc>
          <w:tcPr>
            <w:tcW w:w="11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厂界</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焊接无组织颗粒物</w:t>
            </w:r>
          </w:p>
        </w:tc>
        <w:tc>
          <w:tcPr>
            <w:tcW w:w="14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2台移动式焊烟净化机处理后车间内无组织排放</w:t>
            </w:r>
          </w:p>
        </w:tc>
        <w:tc>
          <w:tcPr>
            <w:tcW w:w="388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color w:val="auto"/>
                <w:sz w:val="21"/>
                <w:szCs w:val="21"/>
                <w:highlight w:val="none"/>
              </w:rPr>
              <w:t>《大气污染物综合排放标准》（GB16297-1996）</w:t>
            </w:r>
            <w:r>
              <w:rPr>
                <w:rFonts w:hint="eastAsia"/>
                <w:color w:val="auto"/>
                <w:sz w:val="21"/>
                <w:szCs w:val="21"/>
                <w:highlight w:val="none"/>
              </w:rPr>
              <w:t>以及《秦皇岛市人民政府办公室关于执行钢铁等行业大气污染物排放特别要求的通知》：0.3mg/m</w:t>
            </w:r>
            <w:r>
              <w:rPr>
                <w:rFonts w:hint="eastAsia"/>
                <w:color w:val="auto"/>
                <w:sz w:val="21"/>
                <w:szCs w:val="21"/>
                <w:highlight w:val="none"/>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18"/>
                <w:highlight w:val="none"/>
                <w:lang w:val="en-US" w:eastAsia="zh-CN"/>
              </w:rPr>
            </w:pPr>
          </w:p>
        </w:tc>
        <w:tc>
          <w:tcPr>
            <w:tcW w:w="1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喷漆房无组织颗粒物</w:t>
            </w:r>
          </w:p>
        </w:tc>
        <w:tc>
          <w:tcPr>
            <w:tcW w:w="14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84"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lang w:val="en-US" w:eastAsia="zh-CN"/>
              </w:rPr>
            </w:pPr>
            <w:r>
              <w:rPr>
                <w:rFonts w:hint="default" w:ascii="Times New Roman" w:hAnsi="Times New Roman" w:cs="Times New Roman"/>
                <w:b/>
                <w:bCs/>
                <w:color w:val="auto"/>
                <w:sz w:val="21"/>
                <w:szCs w:val="18"/>
                <w:highlight w:val="none"/>
                <w:lang w:val="en-US" w:eastAsia="zh-CN"/>
              </w:rPr>
              <w:t>水环境</w:t>
            </w:r>
          </w:p>
        </w:tc>
        <w:tc>
          <w:tcPr>
            <w:tcW w:w="1162"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200"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4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88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声环境</w:t>
            </w:r>
          </w:p>
        </w:tc>
        <w:tc>
          <w:tcPr>
            <w:tcW w:w="1162"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车间</w:t>
            </w:r>
          </w:p>
        </w:tc>
        <w:tc>
          <w:tcPr>
            <w:tcW w:w="1200"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等效A声级</w:t>
            </w:r>
          </w:p>
        </w:tc>
        <w:tc>
          <w:tcPr>
            <w:tcW w:w="1488"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建筑隔声、距离衰减、安装减振基础</w:t>
            </w:r>
          </w:p>
        </w:tc>
        <w:tc>
          <w:tcPr>
            <w:tcW w:w="3884"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《工业企业厂界环境噪声排放标准》(GB12348—2008)中的</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类标准</w:t>
            </w:r>
            <w:r>
              <w:rPr>
                <w:rFonts w:hint="default" w:ascii="Times New Roman" w:hAnsi="Times New Roman" w:cs="Times New Roman"/>
                <w:color w:val="auto"/>
                <w:sz w:val="21"/>
                <w:szCs w:val="21"/>
                <w:highlight w:val="none"/>
                <w:lang w:val="en-US" w:eastAsia="zh-CN"/>
              </w:rPr>
              <w:t>，昼间≤</w:t>
            </w:r>
            <w:r>
              <w:rPr>
                <w:rFonts w:hint="eastAsia" w:cs="Times New Roman"/>
                <w:color w:val="auto"/>
                <w:sz w:val="21"/>
                <w:szCs w:val="21"/>
                <w:highlight w:val="none"/>
                <w:lang w:val="en-US" w:eastAsia="zh-CN"/>
              </w:rPr>
              <w:t>65</w:t>
            </w:r>
            <w:r>
              <w:rPr>
                <w:rFonts w:hint="default" w:ascii="Times New Roman" w:hAnsi="Times New Roman" w:cs="Times New Roman"/>
                <w:color w:val="auto"/>
                <w:sz w:val="21"/>
                <w:szCs w:val="21"/>
                <w:highlight w:val="none"/>
                <w:lang w:val="en-US" w:eastAsia="zh-CN"/>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电磁辐射</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固体废物</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边角料、</w:t>
            </w:r>
            <w:r>
              <w:rPr>
                <w:rFonts w:hint="eastAsia" w:cs="Times New Roman"/>
                <w:color w:val="auto"/>
                <w:sz w:val="21"/>
                <w:szCs w:val="21"/>
                <w:highlight w:val="none"/>
                <w:lang w:val="en-US" w:eastAsia="zh-CN"/>
              </w:rPr>
              <w:t>金属屑</w:t>
            </w:r>
            <w:r>
              <w:rPr>
                <w:rFonts w:hint="default" w:ascii="Times New Roman" w:hAnsi="Times New Roman" w:cs="Times New Roman"/>
                <w:color w:val="auto"/>
                <w:sz w:val="21"/>
                <w:szCs w:val="21"/>
                <w:highlight w:val="none"/>
                <w:lang w:val="en-US" w:eastAsia="zh-CN"/>
              </w:rPr>
              <w:t>、废焊头</w:t>
            </w:r>
            <w:r>
              <w:rPr>
                <w:rFonts w:hint="eastAsia" w:cs="Times New Roman"/>
                <w:color w:val="auto"/>
                <w:sz w:val="21"/>
                <w:szCs w:val="21"/>
                <w:highlight w:val="none"/>
                <w:lang w:val="en-US" w:eastAsia="zh-CN"/>
              </w:rPr>
              <w:t>、除尘灰收集后统一外售；含油抹布与生活垃圾一起交由环卫部门处置。</w:t>
            </w:r>
            <w:r>
              <w:rPr>
                <w:rFonts w:hint="default" w:ascii="Times New Roman" w:hAnsi="Times New Roman" w:cs="Times New Roman"/>
                <w:color w:val="auto"/>
                <w:sz w:val="21"/>
                <w:szCs w:val="21"/>
                <w:highlight w:val="none"/>
                <w:lang w:val="en-US" w:eastAsia="zh-CN"/>
              </w:rPr>
              <w:t>依据《中华人民共和国固体废物污染环境防治法》第十六条规定：收集、贮存、运输、利用、处置固体废物的单位和个人，必须采取防扬散、防流失、防渗漏或者其他防止污染环境的措施。不得在运输过程中沿途丢弃、遗撒固体废物</w:t>
            </w: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废机油、</w:t>
            </w:r>
            <w:r>
              <w:rPr>
                <w:rFonts w:hint="eastAsia"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lang w:eastAsia="zh-CN"/>
              </w:rPr>
              <w:t>润滑剂、</w:t>
            </w:r>
            <w:r>
              <w:rPr>
                <w:rFonts w:hint="eastAsia"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lang w:eastAsia="zh-CN"/>
              </w:rPr>
              <w:t>液压油</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废油桶、漆渣、漆桶、废稀释剂桶、废活性炭、废过滤棉属于危险废物</w:t>
            </w:r>
            <w:r>
              <w:rPr>
                <w:rFonts w:hint="eastAsia" w:cs="Times New Roman"/>
                <w:color w:val="auto"/>
                <w:sz w:val="21"/>
                <w:szCs w:val="21"/>
                <w:highlight w:val="none"/>
                <w:lang w:val="en-US" w:eastAsia="zh-CN"/>
              </w:rPr>
              <w:t>，危险废物收集后暂存现有危废暂存间内，定期交由有资质单位进行处置。</w:t>
            </w:r>
            <w:r>
              <w:rPr>
                <w:rFonts w:hint="eastAsia" w:ascii="Times New Roman" w:hAnsi="Times New Roman" w:eastAsia="宋体" w:cs="Times New Roman"/>
                <w:color w:val="auto"/>
                <w:sz w:val="21"/>
                <w:szCs w:val="21"/>
                <w:highlight w:val="none"/>
                <w:lang w:val="en-US" w:eastAsia="zh-CN"/>
              </w:rPr>
              <w:t>危险废物</w:t>
            </w:r>
            <w:r>
              <w:rPr>
                <w:rFonts w:hint="default" w:ascii="Times New Roman" w:hAnsi="Times New Roman" w:eastAsia="宋体" w:cs="Times New Roman"/>
                <w:color w:val="auto"/>
                <w:sz w:val="21"/>
                <w:szCs w:val="21"/>
                <w:highlight w:val="none"/>
                <w:lang w:val="en-US" w:eastAsia="zh-CN"/>
              </w:rPr>
              <w:t>处置</w:t>
            </w:r>
            <w:r>
              <w:rPr>
                <w:rFonts w:hint="default" w:ascii="Times New Roman" w:hAnsi="Times New Roman" w:cs="Times New Roman"/>
                <w:color w:val="auto"/>
                <w:sz w:val="21"/>
                <w:szCs w:val="21"/>
                <w:highlight w:val="none"/>
                <w:lang w:val="en-US" w:eastAsia="zh-CN"/>
              </w:rPr>
              <w:t>执行《危险废物贮存污染控制标准》（GB18597-2023）规定。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土壤及地下水污染防治措施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库房</w:t>
            </w:r>
            <w:r>
              <w:rPr>
                <w:rFonts w:hint="eastAsia" w:eastAsia="宋体" w:cs="Times New Roman"/>
                <w:color w:val="auto"/>
                <w:sz w:val="21"/>
                <w:szCs w:val="21"/>
                <w:highlight w:val="none"/>
                <w:lang w:val="en-US" w:eastAsia="zh-CN"/>
              </w:rPr>
              <w:t>以及</w:t>
            </w:r>
            <w:r>
              <w:rPr>
                <w:rFonts w:hint="default" w:ascii="Times New Roman" w:hAnsi="Times New Roman" w:eastAsia="宋体" w:cs="Times New Roman"/>
                <w:color w:val="auto"/>
                <w:sz w:val="21"/>
                <w:szCs w:val="21"/>
                <w:highlight w:val="none"/>
              </w:rPr>
              <w:t>危险废物暂存间地面</w:t>
            </w:r>
            <w:r>
              <w:rPr>
                <w:rFonts w:hint="eastAsia" w:eastAsia="宋体" w:cs="Times New Roman"/>
                <w:color w:val="auto"/>
                <w:sz w:val="21"/>
                <w:szCs w:val="21"/>
                <w:highlight w:val="none"/>
                <w:lang w:val="en-US" w:eastAsia="zh-CN"/>
              </w:rPr>
              <w:t>采区</w:t>
            </w:r>
            <w:r>
              <w:rPr>
                <w:rFonts w:hint="default" w:ascii="Times New Roman" w:hAnsi="Times New Roman" w:eastAsia="宋体" w:cs="Times New Roman"/>
                <w:color w:val="auto"/>
                <w:sz w:val="21"/>
                <w:szCs w:val="21"/>
                <w:highlight w:val="none"/>
              </w:rPr>
              <w:t>严格防渗</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车间及厂区采区一般防渗措施。</w:t>
            </w:r>
            <w:r>
              <w:rPr>
                <w:rFonts w:hint="default" w:ascii="Times New Roman" w:hAnsi="Times New Roman" w:eastAsia="宋体" w:cs="Times New Roman"/>
                <w:color w:val="auto"/>
                <w:sz w:val="21"/>
                <w:szCs w:val="21"/>
                <w:highlight w:val="none"/>
              </w:rPr>
              <w:t>无地下水、土壤和大气污染途径。对地下水和土壤的影响很小。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1213"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18"/>
                <w:highlight w:val="none"/>
              </w:rPr>
            </w:pPr>
            <w:r>
              <w:rPr>
                <w:rFonts w:hint="default" w:ascii="Times New Roman" w:hAnsi="Times New Roman" w:eastAsia="宋体" w:cs="Times New Roman"/>
                <w:b/>
                <w:bCs/>
                <w:color w:val="auto"/>
                <w:sz w:val="21"/>
                <w:szCs w:val="18"/>
                <w:highlight w:val="none"/>
              </w:rPr>
              <w:t>生态保护措施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2" w:hRule="atLeast"/>
          <w:jc w:val="center"/>
        </w:trPr>
        <w:tc>
          <w:tcPr>
            <w:tcW w:w="1213" w:type="dxa"/>
            <w:noWrap w:val="0"/>
            <w:vAlign w:val="center"/>
          </w:tcPr>
          <w:p>
            <w:pPr>
              <w:pStyle w:val="11"/>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18"/>
                <w:highlight w:val="none"/>
              </w:rPr>
            </w:pPr>
            <w:r>
              <w:rPr>
                <w:rFonts w:hint="default" w:ascii="Times New Roman" w:hAnsi="Times New Roman" w:eastAsia="宋体" w:cs="Times New Roman"/>
                <w:color w:val="auto"/>
                <w:sz w:val="21"/>
                <w:szCs w:val="18"/>
                <w:highlight w:val="none"/>
              </w:rPr>
              <w:t>环境风险</w:t>
            </w:r>
          </w:p>
          <w:p>
            <w:pPr>
              <w:pStyle w:val="11"/>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8"/>
                <w:sz w:val="21"/>
                <w:szCs w:val="18"/>
                <w:highlight w:val="none"/>
              </w:rPr>
            </w:pPr>
            <w:r>
              <w:rPr>
                <w:rFonts w:hint="default" w:ascii="Times New Roman" w:hAnsi="Times New Roman" w:eastAsia="宋体" w:cs="Times New Roman"/>
                <w:color w:val="auto"/>
                <w:sz w:val="21"/>
                <w:szCs w:val="18"/>
                <w:highlight w:val="none"/>
              </w:rPr>
              <w:t>防范措施</w:t>
            </w:r>
          </w:p>
        </w:tc>
        <w:tc>
          <w:tcPr>
            <w:tcW w:w="7734" w:type="dxa"/>
            <w:gridSpan w:val="4"/>
            <w:noWrap w:val="0"/>
            <w:vAlign w:val="center"/>
          </w:tcPr>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现场应当有警戒标识；</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设置专人保管，保管员要详细核对产品名称、规格、牌号、质量、数量、查清危险性质。遇有包装不良、质量异变、标号不符合等情况，应及时进行安全处理；</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避免无任何防护措施直接接触、工作区域保持良好通风状态；</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容器包装要密闭，完整无损、放置处防火防高温；</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厂区内禁止吸烟，严禁明火作业；</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进行定期和不定期的安全检查，查出隐患，要及时整改和上报。如发现不安全的紧急情况，应先停止工作，再报有关部门研究处理；</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各种安全防护装置设备要定期检查，不得随意拆除和非法占用；</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cs="Times New Roman"/>
                <w:color w:val="auto"/>
                <w:sz w:val="21"/>
                <w:szCs w:val="21"/>
                <w:highlight w:val="none"/>
                <w:lang w:val="en-US" w:eastAsia="zh-CN"/>
              </w:rPr>
            </w:pPr>
            <w:r>
              <w:rPr>
                <w:rFonts w:hint="default" w:cs="Times New Roman"/>
                <w:color w:val="auto"/>
                <w:sz w:val="21"/>
                <w:szCs w:val="21"/>
                <w:highlight w:val="none"/>
                <w:lang w:val="en-US" w:eastAsia="zh-CN"/>
              </w:rPr>
              <w:t>危废间做好防渗防漏措施，各个危险物质分类存放，且设置钢板托盘，防止</w:t>
            </w:r>
            <w:r>
              <w:rPr>
                <w:rFonts w:hint="eastAsia" w:cs="Times New Roman"/>
                <w:color w:val="auto"/>
                <w:sz w:val="21"/>
                <w:szCs w:val="21"/>
                <w:highlight w:val="none"/>
                <w:lang w:val="en-US" w:eastAsia="zh-CN"/>
              </w:rPr>
              <w:t>泄漏，危废暂存间按照《危险废物识别标志设置技术规范》(HJ1276-2022)中要求粘贴标签；</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default"/>
                <w:color w:val="auto"/>
                <w:highlight w:val="none"/>
                <w:lang w:val="en-US" w:eastAsia="zh-CN"/>
              </w:rPr>
            </w:pPr>
            <w:r>
              <w:rPr>
                <w:rFonts w:hint="eastAsia" w:cs="Times New Roman"/>
                <w:color w:val="auto"/>
                <w:sz w:val="21"/>
                <w:szCs w:val="21"/>
                <w:highlight w:val="none"/>
                <w:lang w:val="en-US" w:eastAsia="zh-CN"/>
              </w:rPr>
              <w:t>厂区内增加沙袋储备量，并定期检查，防止沙袋破损。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3"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pacing w:val="-8"/>
                <w:sz w:val="21"/>
                <w:szCs w:val="18"/>
                <w:highlight w:val="none"/>
              </w:rPr>
            </w:pPr>
            <w:r>
              <w:rPr>
                <w:rFonts w:hint="default" w:ascii="Times New Roman" w:hAnsi="Times New Roman" w:eastAsia="宋体" w:cs="Times New Roman"/>
                <w:b/>
                <w:bCs/>
                <w:color w:val="auto"/>
                <w:spacing w:val="-8"/>
                <w:sz w:val="21"/>
                <w:szCs w:val="18"/>
                <w:highlight w:val="none"/>
              </w:rPr>
              <w:t>其他环境</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8"/>
                <w:sz w:val="21"/>
                <w:szCs w:val="18"/>
                <w:highlight w:val="none"/>
              </w:rPr>
            </w:pPr>
            <w:r>
              <w:rPr>
                <w:rFonts w:hint="default" w:ascii="Times New Roman" w:hAnsi="Times New Roman" w:eastAsia="宋体" w:cs="Times New Roman"/>
                <w:b/>
                <w:bCs/>
                <w:color w:val="auto"/>
                <w:spacing w:val="-8"/>
                <w:sz w:val="21"/>
                <w:szCs w:val="18"/>
                <w:highlight w:val="none"/>
              </w:rPr>
              <w:t>管理要求</w:t>
            </w:r>
          </w:p>
        </w:tc>
        <w:tc>
          <w:tcPr>
            <w:tcW w:w="7734"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喷漆房管理要求：</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①加强生产车间密闭管理，在符合安全生产、职业卫生相关规定前提下，采用自动卷帘门、密闭性好的塑钢门窗等，在非必要时保持关闭。</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②采用活性炭吸附技术的，应选择碘值不低于800毫克/克的活性炭，并按设计要求足量添加、</w:t>
            </w:r>
            <w:r>
              <w:rPr>
                <w:rFonts w:hint="eastAsia" w:cs="Times New Roman"/>
                <w:color w:val="auto"/>
                <w:sz w:val="21"/>
                <w:szCs w:val="21"/>
                <w:highlight w:val="none"/>
                <w:lang w:val="en-US" w:eastAsia="zh-CN"/>
              </w:rPr>
              <w:t>每4个月更换1次</w:t>
            </w:r>
            <w:r>
              <w:rPr>
                <w:rFonts w:hint="default" w:ascii="Times New Roman" w:hAnsi="Times New Roman" w:eastAsia="宋体" w:cs="Times New Roman"/>
                <w:color w:val="auto"/>
                <w:sz w:val="21"/>
                <w:szCs w:val="21"/>
                <w:highlight w:val="none"/>
              </w:rPr>
              <w:t>；</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w:t>
            </w:r>
            <w:r>
              <w:rPr>
                <w:rFonts w:hint="eastAsia" w:cs="Times New Roman"/>
                <w:color w:val="auto"/>
                <w:sz w:val="21"/>
                <w:szCs w:val="21"/>
                <w:highlight w:val="none"/>
                <w:lang w:val="en-US" w:eastAsia="zh-CN"/>
              </w:rPr>
              <w:t>按照</w:t>
            </w:r>
            <w:r>
              <w:rPr>
                <w:rFonts w:hint="eastAsia" w:ascii="Times New Roman" w:hAnsi="Times New Roman" w:eastAsia="宋体" w:cs="Times New Roman"/>
                <w:color w:val="auto"/>
                <w:kern w:val="0"/>
                <w:sz w:val="21"/>
                <w:szCs w:val="21"/>
                <w:highlight w:val="none"/>
                <w:lang w:val="en-US" w:eastAsia="zh-CN" w:bidi="ar-SA"/>
              </w:rPr>
              <w:t>《低挥发性有机化合物含量涂料产品技术要求》（ GBT 38597-2020）</w:t>
            </w:r>
            <w:r>
              <w:rPr>
                <w:rFonts w:hint="eastAsia" w:cs="Times New Roman"/>
                <w:color w:val="auto"/>
                <w:kern w:val="0"/>
                <w:sz w:val="21"/>
                <w:szCs w:val="21"/>
                <w:highlight w:val="none"/>
                <w:lang w:val="en-US" w:eastAsia="zh-CN" w:bidi="ar-SA"/>
              </w:rPr>
              <w:t>中非甲烷总烃含量要求，选择低VOCs含量的油漆进行使用</w:t>
            </w:r>
            <w:r>
              <w:rPr>
                <w:rFonts w:hint="eastAsia"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6" w:hRule="atLeast"/>
          <w:jc w:val="center"/>
        </w:trPr>
        <w:tc>
          <w:tcPr>
            <w:tcW w:w="1213"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pacing w:val="-8"/>
                <w:sz w:val="21"/>
                <w:szCs w:val="18"/>
                <w:highlight w:val="none"/>
              </w:rPr>
            </w:pPr>
          </w:p>
        </w:tc>
        <w:tc>
          <w:tcPr>
            <w:tcW w:w="7734" w:type="dxa"/>
            <w:gridSpan w:val="4"/>
            <w:noWrap w:val="0"/>
            <w:vAlign w:val="center"/>
          </w:tcPr>
          <w:p>
            <w:pPr>
              <w:pageBreakBefore w:val="0"/>
              <w:widowControl w:val="0"/>
              <w:kinsoku/>
              <w:wordWrap/>
              <w:overflowPunct/>
              <w:topLinePunct w:val="0"/>
              <w:autoSpaceDE/>
              <w:autoSpaceDN/>
              <w:bidi w:val="0"/>
              <w:spacing w:line="240" w:lineRule="auto"/>
              <w:ind w:left="0" w:leftChars="0"/>
              <w:jc w:val="both"/>
              <w:textAlignment w:val="auto"/>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其他管理要求：</w:t>
            </w:r>
          </w:p>
          <w:p>
            <w:pPr>
              <w:pageBreakBefore w:val="0"/>
              <w:widowControl w:val="0"/>
              <w:kinsoku/>
              <w:wordWrap/>
              <w:overflowPunct/>
              <w:topLinePunct w:val="0"/>
              <w:autoSpaceDE/>
              <w:autoSpaceDN/>
              <w:bidi w:val="0"/>
              <w:spacing w:line="240" w:lineRule="auto"/>
              <w:ind w:left="0" w:lef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①排污口规范化：按照《排污口规范化要求》设置便于采样、监测的采样口。采样口设置应符合《污染源监测技术规范》要求；必须按照国家标准《环境保护图形标志》（GB15562.1-1995）的规定。</w:t>
            </w:r>
          </w:p>
          <w:p>
            <w:pPr>
              <w:pageBreakBefore w:val="0"/>
              <w:widowControl w:val="0"/>
              <w:kinsoku/>
              <w:wordWrap/>
              <w:overflowPunct/>
              <w:topLinePunct w:val="0"/>
              <w:autoSpaceDE/>
              <w:autoSpaceDN/>
              <w:bidi w:val="0"/>
              <w:spacing w:line="240" w:lineRule="auto"/>
              <w:ind w:left="0" w:left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②环保管理制度：企业应制定环境保护规章制度，由专人负责，环保管理制度。</w:t>
            </w:r>
          </w:p>
          <w:p>
            <w:pPr>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③竣工验收制度：根据《建设项目竣工环境保护验收暂行办法》，建设项目配套建设的环境保护设施竣工后，公开竣工日期；对配套建设的环境保护设施进行调试前，公开调试的起止日期；验收报告编制完成后5个工作日内，公开验收报告，公示的期限不得少于20个工作日；建设单位公开上述信息的同时，应当向所在地县级以上环境保护主管部门报送相关信息，并接受监督检查。根据《排污许可证申请与核发技术规范》</w:t>
            </w:r>
            <w:r>
              <w:rPr>
                <w:rFonts w:hint="eastAsia" w:eastAsia="宋体" w:cs="Times New Roman"/>
                <w:color w:val="auto"/>
                <w:sz w:val="21"/>
                <w:szCs w:val="21"/>
                <w:highlight w:val="none"/>
                <w:lang w:val="en-US" w:eastAsia="zh-CN"/>
              </w:rPr>
              <w:t>变更</w:t>
            </w:r>
            <w:r>
              <w:rPr>
                <w:rFonts w:hint="default" w:ascii="Times New Roman" w:hAnsi="Times New Roman" w:eastAsia="宋体" w:cs="Times New Roman"/>
                <w:color w:val="auto"/>
                <w:sz w:val="21"/>
                <w:szCs w:val="21"/>
                <w:highlight w:val="none"/>
              </w:rPr>
              <w:t>排污许可</w:t>
            </w:r>
            <w:r>
              <w:rPr>
                <w:rFonts w:hint="eastAsia" w:eastAsia="宋体" w:cs="Times New Roman"/>
                <w:color w:val="auto"/>
                <w:sz w:val="21"/>
                <w:szCs w:val="21"/>
                <w:highlight w:val="none"/>
                <w:lang w:val="en-US" w:eastAsia="zh-CN"/>
              </w:rPr>
              <w:t>登记。</w:t>
            </w:r>
          </w:p>
          <w:p>
            <w:pPr>
              <w:pageBreakBefore w:val="0"/>
              <w:widowControl w:val="0"/>
              <w:kinsoku/>
              <w:wordWrap/>
              <w:overflowPunct/>
              <w:topLinePunct w:val="0"/>
              <w:autoSpaceDE/>
              <w:autoSpaceDN/>
              <w:bidi w:val="0"/>
              <w:adjustRightInd w:val="0"/>
              <w:snapToGrid w:val="0"/>
              <w:spacing w:line="240" w:lineRule="auto"/>
              <w:ind w:left="0" w:leftChars="0"/>
              <w:jc w:val="both"/>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④按相关要求安装VOCs报警装置以及</w:t>
            </w:r>
            <w:r>
              <w:rPr>
                <w:rFonts w:hint="eastAsia" w:cs="Times New Roman"/>
                <w:color w:val="auto"/>
                <w:sz w:val="21"/>
                <w:szCs w:val="21"/>
                <w:highlight w:val="none"/>
                <w:lang w:val="en-US" w:eastAsia="zh-CN"/>
              </w:rPr>
              <w:t>在线监测装置，并进行“</w:t>
            </w:r>
            <w:r>
              <w:rPr>
                <w:rFonts w:hint="eastAsia" w:eastAsia="宋体" w:cs="Times New Roman"/>
                <w:color w:val="auto"/>
                <w:sz w:val="21"/>
                <w:szCs w:val="21"/>
                <w:highlight w:val="none"/>
                <w:lang w:val="en-US" w:eastAsia="zh-CN"/>
              </w:rPr>
              <w:t>分表计电</w:t>
            </w:r>
            <w:r>
              <w:rPr>
                <w:rFonts w:hint="eastAsia"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spacing w:line="240" w:lineRule="auto"/>
              <w:jc w:val="both"/>
              <w:textAlignment w:val="auto"/>
              <w:rPr>
                <w:rFonts w:hint="eastAsia"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⑤</w:t>
            </w:r>
            <w:r>
              <w:rPr>
                <w:rFonts w:hint="eastAsia" w:cs="Times New Roman"/>
                <w:color w:val="auto"/>
                <w:sz w:val="21"/>
                <w:szCs w:val="21"/>
                <w:highlight w:val="none"/>
                <w:lang w:val="en-US" w:eastAsia="zh-CN"/>
              </w:rPr>
              <w:t>排气筒设置监测平台及检测口，方便运营期进行监测；</w:t>
            </w:r>
          </w:p>
          <w:p>
            <w:pPr>
              <w:pageBreakBefore w:val="0"/>
              <w:widowControl w:val="0"/>
              <w:kinsoku/>
              <w:wordWrap/>
              <w:overflowPunct/>
              <w:topLinePunct w:val="0"/>
              <w:autoSpaceDE/>
              <w:autoSpaceDN/>
              <w:bidi w:val="0"/>
              <w:spacing w:line="240" w:lineRule="auto"/>
              <w:ind w:left="0" w:leftChars="0"/>
              <w:jc w:val="both"/>
              <w:textAlignment w:val="auto"/>
              <w:rPr>
                <w:rFonts w:hint="eastAsia" w:cs="Times New Roman"/>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⑥</w:t>
            </w:r>
            <w:r>
              <w:rPr>
                <w:rFonts w:hint="eastAsia" w:eastAsia="宋体" w:cs="Times New Roman"/>
                <w:color w:val="auto"/>
                <w:sz w:val="21"/>
                <w:szCs w:val="21"/>
                <w:highlight w:val="none"/>
                <w:lang w:val="en-US" w:eastAsia="zh-CN"/>
              </w:rPr>
              <w:t>按相关要求</w:t>
            </w:r>
            <w:r>
              <w:rPr>
                <w:rFonts w:hint="eastAsia" w:ascii="Times New Roman" w:hAnsi="Times New Roman" w:eastAsia="宋体" w:cs="Times New Roman"/>
                <w:color w:val="auto"/>
                <w:sz w:val="21"/>
                <w:szCs w:val="21"/>
                <w:highlight w:val="none"/>
                <w:lang w:val="en-US" w:eastAsia="zh-CN"/>
              </w:rPr>
              <w:t>修订应急预案</w:t>
            </w:r>
            <w:r>
              <w:rPr>
                <w:rFonts w:hint="eastAsia" w:cs="Times New Roman"/>
                <w:color w:val="auto"/>
                <w:sz w:val="21"/>
                <w:szCs w:val="21"/>
                <w:highlight w:val="none"/>
                <w:lang w:val="en-US" w:eastAsia="zh-CN"/>
              </w:rPr>
              <w:t>并备案</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kinsoku/>
              <w:wordWrap/>
              <w:overflowPunct/>
              <w:topLinePunct w:val="0"/>
              <w:autoSpaceDE/>
              <w:autoSpaceDN/>
              <w:bidi w:val="0"/>
              <w:spacing w:line="240" w:lineRule="auto"/>
              <w:jc w:val="both"/>
              <w:textAlignment w:val="auto"/>
              <w:rPr>
                <w:rFonts w:hint="default" w:ascii="Times New Roman" w:hAnsi="Times New Roman" w:cs="Times New Roman"/>
                <w:color w:val="auto"/>
                <w:sz w:val="21"/>
                <w:szCs w:val="21"/>
                <w:highlight w:val="none"/>
                <w:lang w:val="en-US" w:eastAsia="zh-CN"/>
              </w:rPr>
            </w:pPr>
          </w:p>
        </w:tc>
      </w:tr>
    </w:tbl>
    <w:p>
      <w:pPr>
        <w:pStyle w:val="10"/>
        <w:bidi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32"/>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该项目符合国家产业政策，厂址选择可行，工程采取了较为完善的污染防治措施，可确保达标排放，项目的建设不会对周围环境产生明显的污染影响。从环保角度分析项目的建设可行。</w:t>
            </w:r>
          </w:p>
          <w:p>
            <w:pPr>
              <w:pStyle w:val="6"/>
              <w:ind w:left="0" w:leftChars="0" w:firstLine="0" w:firstLineChars="0"/>
              <w:rPr>
                <w:rFonts w:hint="default" w:ascii="Times New Roman" w:hAnsi="Times New Roman" w:eastAsia="宋体" w:cs="Times New Roman"/>
                <w:color w:val="auto"/>
                <w:highlight w:val="none"/>
              </w:rPr>
            </w:pPr>
          </w:p>
        </w:tc>
      </w:tr>
    </w:tbl>
    <w:p>
      <w:pPr>
        <w:rPr>
          <w:rFonts w:hint="default" w:ascii="Times New Roman" w:hAnsi="Times New Roman" w:cs="Times New Roman"/>
          <w:color w:val="auto"/>
          <w:highlight w:val="none"/>
        </w:rPr>
        <w:sectPr>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p>
      <w:pPr>
        <w:pStyle w:val="10"/>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附表</w:t>
      </w:r>
    </w:p>
    <w:p>
      <w:pPr>
        <w:pStyle w:val="3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建设项目污染物排放量汇总表</w:t>
      </w:r>
    </w:p>
    <w:tbl>
      <w:tblPr>
        <w:tblStyle w:val="3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910"/>
        <w:gridCol w:w="1617"/>
        <w:gridCol w:w="1298"/>
        <w:gridCol w:w="1728"/>
        <w:gridCol w:w="1585"/>
        <w:gridCol w:w="1789"/>
        <w:gridCol w:w="1759"/>
        <w:gridCol w:w="10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tcBorders>
              <w:tl2br w:val="single" w:color="auto" w:sz="4" w:space="0"/>
            </w:tcBorders>
            <w:noWrap w:val="0"/>
            <w:tcMar>
              <w:left w:w="28" w:type="dxa"/>
              <w:right w:w="28" w:type="dxa"/>
            </w:tcMar>
            <w:vAlign w:val="center"/>
          </w:tcPr>
          <w:p>
            <w:pPr>
              <w:pStyle w:val="81"/>
              <w:bidi w:val="0"/>
              <w:spacing w:line="240" w:lineRule="auto"/>
              <w:ind w:firstLine="630" w:firstLineChars="3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p>
          <w:p>
            <w:pPr>
              <w:pStyle w:val="81"/>
              <w:bidi w:val="0"/>
              <w:spacing w:line="240" w:lineRule="auto"/>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分类</w:t>
            </w:r>
          </w:p>
        </w:tc>
        <w:tc>
          <w:tcPr>
            <w:tcW w:w="1910"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污染物名称</w:t>
            </w:r>
          </w:p>
        </w:tc>
        <w:tc>
          <w:tcPr>
            <w:tcW w:w="1617"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rPr>
              <w:fldChar w:fldCharType="end"/>
            </w:r>
          </w:p>
        </w:tc>
        <w:tc>
          <w:tcPr>
            <w:tcW w:w="1298"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现有工程</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许可排放量</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②</w:t>
            </w:r>
            <w:r>
              <w:rPr>
                <w:rFonts w:hint="default" w:ascii="Times New Roman" w:hAnsi="Times New Roman" w:cs="Times New Roman"/>
                <w:color w:val="auto"/>
                <w:highlight w:val="none"/>
              </w:rPr>
              <w:fldChar w:fldCharType="end"/>
            </w:r>
          </w:p>
        </w:tc>
        <w:tc>
          <w:tcPr>
            <w:tcW w:w="1728"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在建工程</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③</w:t>
            </w:r>
            <w:r>
              <w:rPr>
                <w:rFonts w:hint="default" w:ascii="Times New Roman" w:hAnsi="Times New Roman" w:cs="Times New Roman"/>
                <w:color w:val="auto"/>
                <w:highlight w:val="none"/>
              </w:rPr>
              <w:fldChar w:fldCharType="end"/>
            </w:r>
          </w:p>
        </w:tc>
        <w:tc>
          <w:tcPr>
            <w:tcW w:w="1585"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4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rPr>
              <w:fldChar w:fldCharType="end"/>
            </w:r>
          </w:p>
        </w:tc>
        <w:tc>
          <w:tcPr>
            <w:tcW w:w="1789"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以新带老削减量</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（新建项目不填）</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5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⑤</w:t>
            </w:r>
            <w:r>
              <w:rPr>
                <w:rFonts w:hint="default" w:ascii="Times New Roman" w:hAnsi="Times New Roman" w:cs="Times New Roman"/>
                <w:color w:val="auto"/>
                <w:highlight w:val="none"/>
              </w:rPr>
              <w:fldChar w:fldCharType="end"/>
            </w:r>
          </w:p>
        </w:tc>
        <w:tc>
          <w:tcPr>
            <w:tcW w:w="1759"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全厂排放量（固体废物产生量）</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6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⑥</w:t>
            </w:r>
            <w:r>
              <w:rPr>
                <w:rFonts w:hint="default" w:ascii="Times New Roman" w:hAnsi="Times New Roman" w:cs="Times New Roman"/>
                <w:color w:val="auto"/>
                <w:highlight w:val="none"/>
              </w:rPr>
              <w:fldChar w:fldCharType="end"/>
            </w:r>
          </w:p>
        </w:tc>
        <w:tc>
          <w:tcPr>
            <w:tcW w:w="1073" w:type="dxa"/>
            <w:noWrap w:val="0"/>
            <w:tcMar>
              <w:left w:w="28" w:type="dxa"/>
              <w:right w:w="28" w:type="dxa"/>
            </w:tcMar>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7 \* GB3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⑦</w:t>
            </w:r>
            <w:r>
              <w:rPr>
                <w:rFonts w:hint="default" w:ascii="Times New Roman" w:hAnsi="Times New Roman" w:cs="Times New Roman"/>
                <w:color w:val="auto"/>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255" w:type="dxa"/>
            <w:vMerge w:val="restart"/>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废气</w:t>
            </w: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非甲烷总烃</w:t>
            </w:r>
          </w:p>
        </w:tc>
        <w:tc>
          <w:tcPr>
            <w:tcW w:w="1617"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w:t>
            </w:r>
          </w:p>
        </w:tc>
        <w:tc>
          <w:tcPr>
            <w:tcW w:w="129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w:t>
            </w:r>
          </w:p>
        </w:tc>
        <w:tc>
          <w:tcPr>
            <w:tcW w:w="172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585"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0.1</w:t>
            </w:r>
            <w:r>
              <w:rPr>
                <w:rFonts w:hint="default" w:ascii="Times New Roman" w:hAnsi="Times New Roman" w:cs="Times New Roman"/>
                <w:color w:val="auto"/>
                <w:highlight w:val="none"/>
                <w:lang w:val="en-US" w:eastAsia="zh-CN"/>
              </w:rPr>
              <w:t>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highlight w:val="none"/>
                <w:lang w:val="en-US" w:eastAsia="zh-CN"/>
              </w:rPr>
              <w:t>0.1</w:t>
            </w:r>
            <w:r>
              <w:rPr>
                <w:rFonts w:hint="default" w:ascii="Times New Roman" w:hAnsi="Times New Roman" w:cs="Times New Roman"/>
                <w:color w:val="auto"/>
                <w:highlight w:val="none"/>
                <w:lang w:val="en-US" w:eastAsia="zh-CN"/>
              </w:rPr>
              <w:t>t/a</w:t>
            </w:r>
          </w:p>
        </w:tc>
        <w:tc>
          <w:tcPr>
            <w:tcW w:w="1073"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highlight w:val="none"/>
                <w:lang w:val="en-US" w:eastAsia="zh-CN"/>
              </w:rPr>
              <w:t>+0.1</w:t>
            </w:r>
            <w:r>
              <w:rPr>
                <w:rFonts w:hint="default" w:ascii="Times New Roman" w:hAnsi="Times New Roman" w:cs="Times New Roman"/>
                <w:color w:val="auto"/>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lang w:val="en-US" w:eastAsia="zh-CN"/>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颗粒物</w:t>
            </w:r>
          </w:p>
        </w:tc>
        <w:tc>
          <w:tcPr>
            <w:tcW w:w="1617"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w:t>
            </w:r>
          </w:p>
        </w:tc>
        <w:tc>
          <w:tcPr>
            <w:tcW w:w="129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w:t>
            </w:r>
          </w:p>
        </w:tc>
        <w:tc>
          <w:tcPr>
            <w:tcW w:w="172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0.09t/a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+0.09t/a</w:t>
            </w:r>
          </w:p>
        </w:tc>
        <w:tc>
          <w:tcPr>
            <w:tcW w:w="1073"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kern w:val="0"/>
                <w:sz w:val="21"/>
                <w:szCs w:val="20"/>
                <w:highlight w:val="none"/>
                <w:vertAlign w:val="baseline"/>
                <w:lang w:val="en-US" w:eastAsia="zh-CN" w:bidi="ar-SA"/>
              </w:rPr>
              <w:t>+0.09t/a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lang w:val="en-US" w:eastAsia="zh-CN"/>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二氧化硫</w:t>
            </w:r>
          </w:p>
        </w:tc>
        <w:tc>
          <w:tcPr>
            <w:tcW w:w="1617"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585"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073"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lang w:val="en-US" w:eastAsia="zh-CN"/>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氮氧化物</w:t>
            </w:r>
          </w:p>
        </w:tc>
        <w:tc>
          <w:tcPr>
            <w:tcW w:w="1617"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c>
          <w:tcPr>
            <w:tcW w:w="129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28"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073"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55" w:type="dxa"/>
            <w:vMerge w:val="restart"/>
            <w:noWrap w:val="0"/>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废水</w:t>
            </w: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COD</w:t>
            </w:r>
          </w:p>
        </w:tc>
        <w:tc>
          <w:tcPr>
            <w:tcW w:w="1617" w:type="dxa"/>
            <w:noWrap w:val="0"/>
            <w:vAlign w:val="center"/>
          </w:tcPr>
          <w:p>
            <w:pPr>
              <w:pStyle w:val="81"/>
              <w:bidi w:val="0"/>
              <w:spacing w:line="240" w:lineRule="auto"/>
              <w:rPr>
                <w:rFonts w:hint="default" w:ascii="Times New Roman" w:hAnsi="Times New Roman" w:cs="Times New Roman"/>
                <w:color w:val="auto"/>
                <w:highlight w:val="none"/>
                <w:vertAlign w:val="baseline"/>
                <w:lang w:val="en-US" w:eastAsia="zh-CN"/>
              </w:rPr>
            </w:pPr>
            <w:r>
              <w:rPr>
                <w:rFonts w:hint="eastAsia" w:ascii="Times New Roman" w:hAnsi="Times New Roman" w:cs="Times New Roman"/>
                <w:color w:val="auto"/>
                <w:highlight w:val="none"/>
                <w:vertAlign w:val="baseline"/>
                <w:lang w:val="en-US" w:eastAsia="zh-CN"/>
              </w:rPr>
              <w:t>0.16</w:t>
            </w:r>
            <w:r>
              <w:rPr>
                <w:rFonts w:hint="eastAsia" w:ascii="Times New Roman" w:hAnsi="Times New Roman" w:cs="Times New Roman"/>
                <w:color w:val="auto"/>
                <w:highlight w:val="none"/>
                <w:lang w:val="en-US" w:eastAsia="zh-CN"/>
              </w:rPr>
              <w:t>t/a</w:t>
            </w:r>
          </w:p>
        </w:tc>
        <w:tc>
          <w:tcPr>
            <w:tcW w:w="129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vertAlign w:val="baseline"/>
                <w:lang w:val="en-US" w:eastAsia="zh-CN"/>
              </w:rPr>
              <w:t>0.16</w:t>
            </w:r>
            <w:r>
              <w:rPr>
                <w:rFonts w:hint="eastAsia" w:ascii="Times New Roman" w:hAnsi="Times New Roman" w:cs="Times New Roman"/>
                <w:color w:val="auto"/>
                <w:highlight w:val="none"/>
                <w:lang w:val="en-US" w:eastAsia="zh-CN"/>
              </w:rPr>
              <w:t>t/a</w:t>
            </w:r>
          </w:p>
        </w:tc>
        <w:tc>
          <w:tcPr>
            <w:tcW w:w="172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highlight w:val="none"/>
                <w:vertAlign w:val="baseline"/>
                <w:lang w:val="en-US" w:eastAsia="zh-CN"/>
              </w:rPr>
              <w:t>0.16</w:t>
            </w:r>
            <w:r>
              <w:rPr>
                <w:rFonts w:hint="eastAsia" w:ascii="Times New Roman" w:hAnsi="Times New Roman" w:cs="Times New Roman"/>
                <w:color w:val="auto"/>
                <w:highlight w:val="none"/>
                <w:lang w:val="en-US" w:eastAsia="zh-CN"/>
              </w:rPr>
              <w:t>t/a</w:t>
            </w:r>
          </w:p>
        </w:tc>
        <w:tc>
          <w:tcPr>
            <w:tcW w:w="1073"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SS</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lang w:val="en-US" w:eastAsia="zh-CN"/>
              </w:rPr>
              <w:t>/</w:t>
            </w:r>
          </w:p>
        </w:tc>
        <w:tc>
          <w:tcPr>
            <w:tcW w:w="1073"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氨氮</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c>
          <w:tcPr>
            <w:tcW w:w="129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c>
          <w:tcPr>
            <w:tcW w:w="172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eastAsia" w:ascii="Times New Roman" w:hAnsi="Times New Roman" w:cs="Times New Roman"/>
                <w:color w:val="auto"/>
                <w:highlight w:val="none"/>
                <w:lang w:val="en-US" w:eastAsia="zh-CN"/>
              </w:rPr>
              <w:t>0.01t/a</w:t>
            </w:r>
          </w:p>
        </w:tc>
        <w:tc>
          <w:tcPr>
            <w:tcW w:w="1073"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BOD</w:t>
            </w:r>
            <w:r>
              <w:rPr>
                <w:rFonts w:hint="default" w:ascii="Times New Roman" w:hAnsi="Times New Roman" w:cs="Times New Roman"/>
                <w:color w:val="auto"/>
                <w:highlight w:val="none"/>
                <w:vertAlign w:val="subscript"/>
                <w:lang w:val="en-US" w:eastAsia="zh-CN"/>
              </w:rPr>
              <w:t>5</w:t>
            </w:r>
          </w:p>
        </w:tc>
        <w:tc>
          <w:tcPr>
            <w:tcW w:w="1617"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585"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759"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vertAlign w:val="baseline"/>
                <w:lang w:val="en-US" w:eastAsia="zh-CN" w:bidi="ar-SA"/>
              </w:rPr>
            </w:pPr>
            <w:r>
              <w:rPr>
                <w:rFonts w:hint="default" w:ascii="Times New Roman" w:hAnsi="Times New Roman" w:cs="Times New Roman"/>
                <w:color w:val="auto"/>
                <w:highlight w:val="none"/>
                <w:vertAlign w:val="baseline"/>
                <w:lang w:val="en-US" w:eastAsia="zh-CN"/>
              </w:rPr>
              <w:t>/</w:t>
            </w:r>
          </w:p>
        </w:tc>
        <w:tc>
          <w:tcPr>
            <w:tcW w:w="1073"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5" w:type="dxa"/>
            <w:vMerge w:val="restart"/>
            <w:noWrap w:val="0"/>
            <w:vAlign w:val="center"/>
          </w:tcPr>
          <w:p>
            <w:pPr>
              <w:pStyle w:val="81"/>
              <w:bidi w:val="0"/>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危险废物</w:t>
            </w:r>
          </w:p>
        </w:tc>
        <w:tc>
          <w:tcPr>
            <w:tcW w:w="1910" w:type="dxa"/>
            <w:noWrap w:val="0"/>
            <w:vAlign w:val="center"/>
          </w:tcPr>
          <w:p>
            <w:pPr>
              <w:pStyle w:val="60"/>
              <w:bidi w:val="0"/>
              <w:spacing w:line="240" w:lineRule="auto"/>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边角料、金属屑、废焊头</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0.55t/a</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0.55t/a</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0.05t/a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0.6t/a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60"/>
              <w:bidi w:val="0"/>
              <w:spacing w:line="240" w:lineRule="auto"/>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废抹布</w:t>
            </w:r>
          </w:p>
        </w:tc>
        <w:tc>
          <w:tcPr>
            <w:tcW w:w="1617"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highlight w:val="none"/>
                <w:lang w:val="en-US" w:eastAsia="zh-CN"/>
              </w:rPr>
              <w:t>0.02t/a</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0.02t/a</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0.001t/a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0.021</w:t>
            </w:r>
            <w:r>
              <w:rPr>
                <w:rFonts w:hint="eastAsia" w:ascii="Times New Roman" w:hAnsi="Times New Roman" w:cs="Times New Roman"/>
                <w:color w:val="auto"/>
                <w:highlight w:val="none"/>
                <w:lang w:val="en-US" w:eastAsia="zh-CN"/>
              </w:rPr>
              <w:t>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60"/>
              <w:bidi w:val="0"/>
              <w:spacing w:line="240" w:lineRule="auto"/>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废机油、废润滑油、废液压油及其包装物</w:t>
            </w:r>
          </w:p>
        </w:tc>
        <w:tc>
          <w:tcPr>
            <w:tcW w:w="1617" w:type="dxa"/>
            <w:noWrap w:val="0"/>
            <w:vAlign w:val="center"/>
          </w:tcPr>
          <w:p>
            <w:pPr>
              <w:pStyle w:val="81"/>
              <w:bidi w:val="0"/>
              <w:spacing w:line="240" w:lineRule="auto"/>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0.05</w:t>
            </w:r>
            <w:r>
              <w:rPr>
                <w:rFonts w:hint="eastAsia" w:ascii="Times New Roman" w:hAnsi="Times New Roman" w:cs="Times New Roman"/>
                <w:color w:val="auto"/>
                <w:highlight w:val="none"/>
                <w:lang w:val="en-US" w:eastAsia="zh-CN"/>
              </w:rPr>
              <w:t>t/a</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kern w:val="0"/>
                <w:sz w:val="21"/>
                <w:szCs w:val="20"/>
                <w:highlight w:val="none"/>
                <w:lang w:val="en-US" w:eastAsia="zh-CN" w:bidi="ar-SA"/>
              </w:rPr>
              <w:t>0.05</w:t>
            </w:r>
            <w:r>
              <w:rPr>
                <w:rFonts w:hint="eastAsia" w:ascii="Times New Roman" w:hAnsi="Times New Roman" w:cs="Times New Roman"/>
                <w:color w:val="auto"/>
                <w:highlight w:val="none"/>
                <w:lang w:val="en-US" w:eastAsia="zh-CN"/>
              </w:rPr>
              <w:t>t/a</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eastAsia="宋体" w:cs="Times New Roman"/>
                <w:color w:val="auto"/>
                <w:kern w:val="0"/>
                <w:sz w:val="21"/>
                <w:szCs w:val="20"/>
                <w:highlight w:val="none"/>
                <w:lang w:val="en-US" w:eastAsia="zh-CN" w:bidi="ar-SA"/>
              </w:rPr>
            </w:pPr>
            <w:r>
              <w:rPr>
                <w:rFonts w:hint="eastAsia" w:ascii="Times New Roman" w:hAnsi="Times New Roman" w:cs="Times New Roman"/>
                <w:color w:val="auto"/>
                <w:kern w:val="0"/>
                <w:sz w:val="21"/>
                <w:szCs w:val="20"/>
                <w:highlight w:val="none"/>
                <w:lang w:val="en-US" w:eastAsia="zh-CN" w:bidi="ar-SA"/>
              </w:rPr>
              <w:t>0.06</w:t>
            </w:r>
            <w:r>
              <w:rPr>
                <w:rFonts w:hint="eastAsia" w:ascii="Times New Roman" w:hAnsi="Times New Roman" w:cs="Times New Roman"/>
                <w:color w:val="auto"/>
                <w:highlight w:val="none"/>
                <w:lang w:val="en-US" w:eastAsia="zh-CN"/>
              </w:rPr>
              <w:t>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60"/>
              <w:bidi w:val="0"/>
              <w:spacing w:line="240" w:lineRule="auto"/>
              <w:ind w:firstLine="0" w:firstLineChars="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生活垃圾</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6.77t/a</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6.77t/a</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6.77t/a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废活性炭</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废过滤棉</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1t/a</w:t>
            </w:r>
          </w:p>
        </w:tc>
        <w:tc>
          <w:tcPr>
            <w:tcW w:w="1789"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59"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废漆桶</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0.06t/a</w:t>
            </w:r>
          </w:p>
        </w:tc>
        <w:tc>
          <w:tcPr>
            <w:tcW w:w="1789" w:type="dxa"/>
            <w:noWrap w:val="0"/>
            <w:vAlign w:val="center"/>
          </w:tcPr>
          <w:p>
            <w:pPr>
              <w:pStyle w:val="81"/>
              <w:bidi w:val="0"/>
              <w:spacing w:line="240" w:lineRule="auto"/>
              <w:rPr>
                <w:rFonts w:hint="eastAsia" w:ascii="Times New Roman" w:hAnsi="Times New Roman" w:cs="Times New Roman"/>
                <w:color w:val="auto"/>
                <w:highlight w:val="none"/>
                <w:lang w:val="en-US" w:eastAsia="zh-CN"/>
              </w:rPr>
            </w:pPr>
          </w:p>
        </w:tc>
        <w:tc>
          <w:tcPr>
            <w:tcW w:w="1759" w:type="dxa"/>
            <w:noWrap w:val="0"/>
            <w:vAlign w:val="center"/>
          </w:tcPr>
          <w:p>
            <w:pPr>
              <w:pStyle w:val="81"/>
              <w:spacing w:line="240" w:lineRule="auto"/>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0.06t/a</w:t>
            </w:r>
          </w:p>
        </w:tc>
        <w:tc>
          <w:tcPr>
            <w:tcW w:w="1073" w:type="dxa"/>
            <w:noWrap w:val="0"/>
            <w:vAlign w:val="center"/>
          </w:tcPr>
          <w:p>
            <w:pPr>
              <w:pStyle w:val="81"/>
              <w:spacing w:line="240" w:lineRule="auto"/>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废稀释剂桶</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c>
          <w:tcPr>
            <w:tcW w:w="1789" w:type="dxa"/>
            <w:noWrap w:val="0"/>
            <w:vAlign w:val="center"/>
          </w:tcPr>
          <w:p>
            <w:pPr>
              <w:pStyle w:val="81"/>
              <w:bidi w:val="0"/>
              <w:spacing w:line="240" w:lineRule="auto"/>
              <w:rPr>
                <w:rFonts w:hint="eastAsia" w:ascii="Times New Roman" w:hAnsi="Times New Roman" w:cs="Times New Roman"/>
                <w:color w:val="auto"/>
                <w:highlight w:val="none"/>
                <w:lang w:val="en-US" w:eastAsia="zh-CN"/>
              </w:rPr>
            </w:pPr>
          </w:p>
        </w:tc>
        <w:tc>
          <w:tcPr>
            <w:tcW w:w="1759" w:type="dxa"/>
            <w:noWrap w:val="0"/>
            <w:vAlign w:val="center"/>
          </w:tcPr>
          <w:p>
            <w:pPr>
              <w:pStyle w:val="81"/>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c>
          <w:tcPr>
            <w:tcW w:w="1073" w:type="dxa"/>
            <w:noWrap w:val="0"/>
            <w:vAlign w:val="center"/>
          </w:tcPr>
          <w:p>
            <w:pPr>
              <w:pStyle w:val="81"/>
              <w:spacing w:line="240" w:lineRule="auto"/>
              <w:ind w:firstLine="0" w:firstLineChars="0"/>
              <w:jc w:val="center"/>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漆渣</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lang w:val="en-US" w:eastAsia="zh-CN" w:bidi="ar-SA"/>
              </w:rPr>
              <w:t>0.13</w:t>
            </w:r>
            <w:r>
              <w:rPr>
                <w:rFonts w:hint="eastAsia" w:ascii="Times New Roman" w:hAnsi="Times New Roman" w:cs="Times New Roman"/>
                <w:color w:val="auto"/>
                <w:highlight w:val="none"/>
                <w:lang w:val="en-US" w:eastAsia="zh-CN"/>
              </w:rPr>
              <w:t>t/a</w:t>
            </w:r>
          </w:p>
        </w:tc>
        <w:tc>
          <w:tcPr>
            <w:tcW w:w="1789" w:type="dxa"/>
            <w:noWrap w:val="0"/>
            <w:vAlign w:val="center"/>
          </w:tcPr>
          <w:p>
            <w:pPr>
              <w:pStyle w:val="81"/>
              <w:bidi w:val="0"/>
              <w:spacing w:line="240" w:lineRule="auto"/>
              <w:rPr>
                <w:rFonts w:hint="eastAsia" w:ascii="Times New Roman" w:hAnsi="Times New Roman" w:cs="Times New Roman"/>
                <w:color w:val="auto"/>
                <w:highlight w:val="none"/>
                <w:lang w:val="en-US" w:eastAsia="zh-CN"/>
              </w:rPr>
            </w:pPr>
          </w:p>
        </w:tc>
        <w:tc>
          <w:tcPr>
            <w:tcW w:w="1759" w:type="dxa"/>
            <w:noWrap w:val="0"/>
            <w:vAlign w:val="center"/>
          </w:tcPr>
          <w:p>
            <w:pPr>
              <w:pStyle w:val="81"/>
              <w:spacing w:line="240" w:lineRule="auto"/>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sz w:val="21"/>
                <w:szCs w:val="21"/>
                <w:highlight w:val="none"/>
                <w:lang w:val="en-US" w:eastAsia="zh-CN" w:bidi="ar-SA"/>
              </w:rPr>
              <w:t>0.13</w:t>
            </w:r>
            <w:r>
              <w:rPr>
                <w:rFonts w:hint="eastAsia" w:ascii="Times New Roman" w:hAnsi="Times New Roman" w:cs="Times New Roman"/>
                <w:color w:val="auto"/>
                <w:highlight w:val="none"/>
                <w:lang w:val="en-US" w:eastAsia="zh-CN"/>
              </w:rPr>
              <w:t>t/a</w:t>
            </w:r>
          </w:p>
        </w:tc>
        <w:tc>
          <w:tcPr>
            <w:tcW w:w="1073" w:type="dxa"/>
            <w:noWrap w:val="0"/>
            <w:vAlign w:val="center"/>
          </w:tcPr>
          <w:p>
            <w:pPr>
              <w:pStyle w:val="81"/>
              <w:spacing w:line="240" w:lineRule="auto"/>
              <w:ind w:firstLine="0" w:firstLineChars="0"/>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sz w:val="21"/>
                <w:szCs w:val="21"/>
                <w:highlight w:val="none"/>
                <w:lang w:val="en-US" w:eastAsia="zh-CN" w:bidi="ar-SA"/>
              </w:rPr>
              <w:t>0.13t/a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1255" w:type="dxa"/>
            <w:vMerge w:val="continue"/>
            <w:noWrap w:val="0"/>
            <w:vAlign w:val="center"/>
          </w:tcPr>
          <w:p>
            <w:pPr>
              <w:pStyle w:val="81"/>
              <w:bidi w:val="0"/>
              <w:spacing w:line="240" w:lineRule="auto"/>
              <w:rPr>
                <w:rFonts w:hint="default" w:ascii="Times New Roman" w:hAnsi="Times New Roman" w:cs="Times New Roman"/>
                <w:color w:val="auto"/>
                <w:highlight w:val="none"/>
              </w:rPr>
            </w:pPr>
          </w:p>
        </w:tc>
        <w:tc>
          <w:tcPr>
            <w:tcW w:w="1910" w:type="dxa"/>
            <w:noWrap w:val="0"/>
            <w:vAlign w:val="center"/>
          </w:tcPr>
          <w:p>
            <w:pPr>
              <w:pStyle w:val="81"/>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除尘灰</w:t>
            </w:r>
          </w:p>
        </w:tc>
        <w:tc>
          <w:tcPr>
            <w:tcW w:w="1617"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0.00045t/a</w:t>
            </w:r>
          </w:p>
        </w:tc>
        <w:tc>
          <w:tcPr>
            <w:tcW w:w="129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0.00045t/a</w:t>
            </w:r>
          </w:p>
        </w:tc>
        <w:tc>
          <w:tcPr>
            <w:tcW w:w="1728" w:type="dxa"/>
            <w:noWrap w:val="0"/>
            <w:vAlign w:val="center"/>
          </w:tcPr>
          <w:p>
            <w:pPr>
              <w:pStyle w:val="81"/>
              <w:bidi w:val="0"/>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w:t>
            </w:r>
          </w:p>
        </w:tc>
        <w:tc>
          <w:tcPr>
            <w:tcW w:w="1585" w:type="dxa"/>
            <w:noWrap w:val="0"/>
            <w:vAlign w:val="center"/>
          </w:tcPr>
          <w:p>
            <w:pPr>
              <w:pStyle w:val="81"/>
              <w:spacing w:line="240" w:lineRule="auto"/>
              <w:ind w:firstLine="0" w:firstLineChars="0"/>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0.034t/a</w:t>
            </w:r>
          </w:p>
        </w:tc>
        <w:tc>
          <w:tcPr>
            <w:tcW w:w="1789" w:type="dxa"/>
            <w:noWrap w:val="0"/>
            <w:vAlign w:val="center"/>
          </w:tcPr>
          <w:p>
            <w:pPr>
              <w:pStyle w:val="81"/>
              <w:bidi w:val="0"/>
              <w:spacing w:line="240" w:lineRule="auto"/>
              <w:rPr>
                <w:rFonts w:hint="eastAsia" w:ascii="Times New Roman" w:hAnsi="Times New Roman" w:cs="Times New Roman"/>
                <w:color w:val="auto"/>
                <w:highlight w:val="none"/>
                <w:lang w:val="en-US" w:eastAsia="zh-CN"/>
              </w:rPr>
            </w:pPr>
          </w:p>
        </w:tc>
        <w:tc>
          <w:tcPr>
            <w:tcW w:w="1759" w:type="dxa"/>
            <w:noWrap w:val="0"/>
            <w:vAlign w:val="center"/>
          </w:tcPr>
          <w:p>
            <w:pPr>
              <w:pStyle w:val="81"/>
              <w:spacing w:line="240" w:lineRule="auto"/>
              <w:ind w:firstLine="0" w:firstLineChars="0"/>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highlight w:val="none"/>
                <w:lang w:val="en-US" w:eastAsia="zh-CN"/>
              </w:rPr>
              <w:t>0.03445t/a</w:t>
            </w:r>
          </w:p>
        </w:tc>
        <w:tc>
          <w:tcPr>
            <w:tcW w:w="1073" w:type="dxa"/>
            <w:noWrap w:val="0"/>
            <w:vAlign w:val="center"/>
          </w:tcPr>
          <w:p>
            <w:pPr>
              <w:pStyle w:val="81"/>
              <w:spacing w:line="240" w:lineRule="auto"/>
              <w:ind w:firstLine="0" w:firstLineChars="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+0.034t/a</w:t>
            </w:r>
          </w:p>
        </w:tc>
      </w:tr>
    </w:tbl>
    <w:p>
      <w:pPr>
        <w:pStyle w:val="81"/>
        <w:spacing w:before="192" w:beforeLines="80" w:after="24"/>
        <w:jc w:val="lef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rFonts w:hint="default" w:ascii="Times New Roman" w:hAnsi="Times New Roman" w:cs="Times New Roman"/>
          <w:color w:val="auto"/>
          <w:highlight w:val="none"/>
        </w:rPr>
        <w:sectPr>
          <w:footerReference r:id="rId8" w:type="default"/>
          <w:pgSz w:w="16838" w:h="11905" w:orient="landscape"/>
          <w:pgMar w:top="1587" w:right="1440" w:bottom="1587" w:left="1440" w:header="851" w:footer="850" w:gutter="0"/>
          <w:pgBorders>
            <w:top w:val="none" w:sz="0" w:space="0"/>
            <w:left w:val="none" w:sz="0" w:space="0"/>
            <w:bottom w:val="none" w:sz="0" w:space="0"/>
            <w:right w:val="none" w:sz="0" w:space="0"/>
          </w:pgBorders>
          <w:pgNumType w:fmt="decimal"/>
          <w:cols w:space="0" w:num="1"/>
          <w:rtlGutter w:val="0"/>
          <w:docGrid w:linePitch="312" w:charSpace="0"/>
        </w:sectPr>
      </w:pP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2" w:hRule="atLeast"/>
          <w:jc w:val="center"/>
        </w:trPr>
        <w:tc>
          <w:tcPr>
            <w:tcW w:w="9060" w:type="dxa"/>
            <w:noWrap w:val="0"/>
            <w:vAlign w:val="top"/>
          </w:tcPr>
          <w:p>
            <w:pPr>
              <w:pStyle w:val="10"/>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附图及附件</w:t>
            </w:r>
          </w:p>
          <w:p>
            <w:pPr>
              <w:bidi w:val="0"/>
              <w:rPr>
                <w:rFonts w:hint="default" w:ascii="Times New Roman" w:hAnsi="Times New Roman" w:cs="Times New Roman"/>
                <w:color w:val="auto"/>
                <w:highlight w:val="none"/>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附件1  </w:t>
            </w:r>
            <w:r>
              <w:rPr>
                <w:rFonts w:hint="default" w:ascii="Times New Roman" w:hAnsi="Times New Roman" w:cs="Times New Roman"/>
                <w:color w:val="auto"/>
                <w:highlight w:val="none"/>
                <w:lang w:val="en-US" w:eastAsia="zh-CN"/>
              </w:rPr>
              <w:t>投资备案</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附件2  营业执照</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附件3  现有工程环评批复、验收批复</w:t>
            </w:r>
          </w:p>
          <w:p>
            <w:pPr>
              <w:pStyle w:val="12"/>
              <w:keepNext w:val="0"/>
              <w:keepLines w:val="0"/>
              <w:pageBreakBefore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漆</w:t>
            </w:r>
            <w:r>
              <w:rPr>
                <w:rFonts w:hint="default" w:ascii="Times New Roman" w:hAnsi="Times New Roman" w:cs="Times New Roman"/>
                <w:color w:val="auto"/>
                <w:highlight w:val="none"/>
                <w:lang w:val="en-US" w:eastAsia="zh-CN"/>
              </w:rPr>
              <w:t>成分检测报告</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附件</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现状监测报告</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附件6  排污许可证</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附件7  应急预案备案表</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附件8  土地手续</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附件9  类比项目监测报告</w:t>
            </w:r>
          </w:p>
          <w:p>
            <w:pPr>
              <w:bidi w:val="0"/>
              <w:rPr>
                <w:rFonts w:hint="default" w:ascii="Times New Roman" w:hAnsi="Times New Roman" w:eastAsia="宋体" w:cs="Times New Roman"/>
                <w:color w:val="auto"/>
                <w:highlight w:val="none"/>
                <w:lang w:val="en-US" w:eastAsia="zh-CN"/>
              </w:rPr>
            </w:pPr>
          </w:p>
          <w:p>
            <w:p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附图1  项目地理位置图</w:t>
            </w:r>
          </w:p>
          <w:p>
            <w:p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附图2  项目周边关系图</w:t>
            </w:r>
          </w:p>
          <w:p>
            <w:pPr>
              <w:bidi w:val="0"/>
              <w:ind w:firstLine="48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 xml:space="preserve">附图3  </w:t>
            </w:r>
            <w:r>
              <w:rPr>
                <w:rFonts w:hint="default" w:ascii="Times New Roman" w:hAnsi="Times New Roman" w:eastAsia="宋体" w:cs="Times New Roman"/>
                <w:color w:val="auto"/>
                <w:highlight w:val="none"/>
                <w:lang w:val="en-US" w:eastAsia="zh-CN"/>
              </w:rPr>
              <w:t>厂区平面布置图</w:t>
            </w:r>
          </w:p>
          <w:p>
            <w:pPr>
              <w:bidi w:val="0"/>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附图</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eastAsia" w:ascii="Times New Roman" w:hAnsi="Times New Roman" w:eastAsia="宋体" w:cs="Times New Roman"/>
                <w:color w:val="auto"/>
                <w:highlight w:val="none"/>
                <w:lang w:val="en-US" w:eastAsia="zh-CN"/>
              </w:rPr>
              <w:t>项目与抚宁区规划位置关系图</w:t>
            </w:r>
            <w:r>
              <w:rPr>
                <w:rFonts w:hint="default" w:ascii="Times New Roman" w:hAnsi="Times New Roman" w:eastAsia="宋体" w:cs="Times New Roman"/>
                <w:color w:val="auto"/>
                <w:highlight w:val="none"/>
                <w:lang w:val="en-US" w:eastAsia="zh-CN"/>
              </w:rPr>
              <w:t xml:space="preserve">  </w:t>
            </w: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3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p>
          <w:p>
            <w:pPr>
              <w:pStyle w:val="10"/>
              <w:rPr>
                <w:rFonts w:hint="default" w:ascii="Times New Roman" w:hAnsi="Times New Roman" w:cs="Times New Roman"/>
                <w:color w:val="auto"/>
                <w:highlight w:val="none"/>
                <w:lang w:val="en-US" w:eastAsia="zh-CN"/>
              </w:rPr>
            </w:pPr>
          </w:p>
        </w:tc>
      </w:tr>
    </w:tbl>
    <w:p>
      <w:pPr>
        <w:pStyle w:val="51"/>
        <w:bidi w:val="0"/>
        <w:rPr>
          <w:rFonts w:hint="default" w:ascii="Times New Roman" w:hAnsi="Times New Roman" w:cs="Times New Roman"/>
          <w:color w:val="auto"/>
          <w:highlight w:val="none"/>
          <w:lang w:val="en-US" w:eastAsia="zh-CN"/>
        </w:rPr>
      </w:pPr>
    </w:p>
    <w:sectPr>
      <w:footerReference r:id="rId9" w:type="default"/>
      <w:pgSz w:w="11905" w:h="16838"/>
      <w:pgMar w:top="1440" w:right="1587" w:bottom="1440" w:left="1587"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FangSong_GB2312">
    <w:altName w:val="仿宋"/>
    <w:panose1 w:val="02010609060101010101"/>
    <w:charset w:val="86"/>
    <w:family w:val="modern"/>
    <w:pitch w:val="default"/>
    <w:sig w:usb0="00000000" w:usb1="00000000" w:usb2="00000016" w:usb3="00000000" w:csb0="00040001" w:csb1="00000000"/>
  </w:font>
  <w:font w:name="Arial Black">
    <w:panose1 w:val="020B0A04020102020204"/>
    <w:charset w:val="00"/>
    <w:family w:val="swiss"/>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BA843C"/>
    <w:multiLevelType w:val="singleLevel"/>
    <w:tmpl w:val="D3BA843C"/>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2YjQxOWRhZDQ2YzJiZTQ0YWFmNmEyZjM2YWYyNDYifQ=="/>
  </w:docVars>
  <w:rsids>
    <w:rsidRoot w:val="00A14947"/>
    <w:rsid w:val="000060B3"/>
    <w:rsid w:val="00013788"/>
    <w:rsid w:val="00020F38"/>
    <w:rsid w:val="00041E63"/>
    <w:rsid w:val="0004364B"/>
    <w:rsid w:val="00061B1F"/>
    <w:rsid w:val="000733C4"/>
    <w:rsid w:val="00074783"/>
    <w:rsid w:val="00076886"/>
    <w:rsid w:val="0008070B"/>
    <w:rsid w:val="000810AC"/>
    <w:rsid w:val="00081A02"/>
    <w:rsid w:val="00082231"/>
    <w:rsid w:val="00084804"/>
    <w:rsid w:val="00092D38"/>
    <w:rsid w:val="0009377B"/>
    <w:rsid w:val="000A20C9"/>
    <w:rsid w:val="000B058F"/>
    <w:rsid w:val="000B4467"/>
    <w:rsid w:val="000B44D3"/>
    <w:rsid w:val="000B4DB9"/>
    <w:rsid w:val="000C09AC"/>
    <w:rsid w:val="000C767F"/>
    <w:rsid w:val="000D5A44"/>
    <w:rsid w:val="000E3ED2"/>
    <w:rsid w:val="000E7B1F"/>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4C4"/>
    <w:rsid w:val="001A6F61"/>
    <w:rsid w:val="001B72B8"/>
    <w:rsid w:val="001C69B3"/>
    <w:rsid w:val="001D4206"/>
    <w:rsid w:val="001D5595"/>
    <w:rsid w:val="001D7874"/>
    <w:rsid w:val="001D7F22"/>
    <w:rsid w:val="001F0F17"/>
    <w:rsid w:val="001F3347"/>
    <w:rsid w:val="001F69E4"/>
    <w:rsid w:val="002125B4"/>
    <w:rsid w:val="002155B8"/>
    <w:rsid w:val="0022181C"/>
    <w:rsid w:val="00224839"/>
    <w:rsid w:val="002249B2"/>
    <w:rsid w:val="00226574"/>
    <w:rsid w:val="002278EC"/>
    <w:rsid w:val="0023280E"/>
    <w:rsid w:val="002377D1"/>
    <w:rsid w:val="00237A6E"/>
    <w:rsid w:val="002506BC"/>
    <w:rsid w:val="00253ACA"/>
    <w:rsid w:val="00254345"/>
    <w:rsid w:val="00264557"/>
    <w:rsid w:val="002805AB"/>
    <w:rsid w:val="00284204"/>
    <w:rsid w:val="00291773"/>
    <w:rsid w:val="002A168C"/>
    <w:rsid w:val="002A3DC7"/>
    <w:rsid w:val="002B49E2"/>
    <w:rsid w:val="002B7B00"/>
    <w:rsid w:val="002B7C44"/>
    <w:rsid w:val="002C2B17"/>
    <w:rsid w:val="002C3455"/>
    <w:rsid w:val="002D3DD0"/>
    <w:rsid w:val="002E1F3A"/>
    <w:rsid w:val="002E298A"/>
    <w:rsid w:val="00301978"/>
    <w:rsid w:val="0030332C"/>
    <w:rsid w:val="003051C2"/>
    <w:rsid w:val="00307A95"/>
    <w:rsid w:val="00312296"/>
    <w:rsid w:val="0031380D"/>
    <w:rsid w:val="00314F0E"/>
    <w:rsid w:val="00321D8E"/>
    <w:rsid w:val="00325928"/>
    <w:rsid w:val="00332863"/>
    <w:rsid w:val="0033684D"/>
    <w:rsid w:val="00337B42"/>
    <w:rsid w:val="00341B42"/>
    <w:rsid w:val="0034348F"/>
    <w:rsid w:val="003514E0"/>
    <w:rsid w:val="00356653"/>
    <w:rsid w:val="0035743F"/>
    <w:rsid w:val="00357BE2"/>
    <w:rsid w:val="0036170C"/>
    <w:rsid w:val="00366E0F"/>
    <w:rsid w:val="00381A72"/>
    <w:rsid w:val="00384676"/>
    <w:rsid w:val="00384B9C"/>
    <w:rsid w:val="00390857"/>
    <w:rsid w:val="003A4BF3"/>
    <w:rsid w:val="003A4DB8"/>
    <w:rsid w:val="003B420D"/>
    <w:rsid w:val="003C6C16"/>
    <w:rsid w:val="003D3DD7"/>
    <w:rsid w:val="003D794D"/>
    <w:rsid w:val="003D7B8A"/>
    <w:rsid w:val="003E3058"/>
    <w:rsid w:val="003E3A6C"/>
    <w:rsid w:val="003E76A9"/>
    <w:rsid w:val="003F0809"/>
    <w:rsid w:val="003F6A8C"/>
    <w:rsid w:val="003F755C"/>
    <w:rsid w:val="00406F01"/>
    <w:rsid w:val="00416D50"/>
    <w:rsid w:val="00416FD5"/>
    <w:rsid w:val="00417772"/>
    <w:rsid w:val="00420E6A"/>
    <w:rsid w:val="00425A1B"/>
    <w:rsid w:val="00425A9E"/>
    <w:rsid w:val="00426D6B"/>
    <w:rsid w:val="004277C9"/>
    <w:rsid w:val="00431E6C"/>
    <w:rsid w:val="00433CE7"/>
    <w:rsid w:val="00452738"/>
    <w:rsid w:val="00456091"/>
    <w:rsid w:val="00463FFF"/>
    <w:rsid w:val="00466321"/>
    <w:rsid w:val="004819B4"/>
    <w:rsid w:val="00484B9B"/>
    <w:rsid w:val="004855F6"/>
    <w:rsid w:val="0048661E"/>
    <w:rsid w:val="00494670"/>
    <w:rsid w:val="004A3823"/>
    <w:rsid w:val="004E0863"/>
    <w:rsid w:val="004E6946"/>
    <w:rsid w:val="004F189B"/>
    <w:rsid w:val="004F1AD8"/>
    <w:rsid w:val="005039CB"/>
    <w:rsid w:val="0050558F"/>
    <w:rsid w:val="00506286"/>
    <w:rsid w:val="00510813"/>
    <w:rsid w:val="00511990"/>
    <w:rsid w:val="00511DE0"/>
    <w:rsid w:val="00514870"/>
    <w:rsid w:val="00514B9B"/>
    <w:rsid w:val="00517F02"/>
    <w:rsid w:val="00524303"/>
    <w:rsid w:val="005258A2"/>
    <w:rsid w:val="00535E7A"/>
    <w:rsid w:val="005401AE"/>
    <w:rsid w:val="00542E07"/>
    <w:rsid w:val="00545424"/>
    <w:rsid w:val="00554A7B"/>
    <w:rsid w:val="0055572C"/>
    <w:rsid w:val="0056106A"/>
    <w:rsid w:val="00561F13"/>
    <w:rsid w:val="0057004C"/>
    <w:rsid w:val="005720AE"/>
    <w:rsid w:val="005862B8"/>
    <w:rsid w:val="00593490"/>
    <w:rsid w:val="00594D77"/>
    <w:rsid w:val="005969E4"/>
    <w:rsid w:val="005A06B7"/>
    <w:rsid w:val="005A1759"/>
    <w:rsid w:val="005A68A7"/>
    <w:rsid w:val="005D36AB"/>
    <w:rsid w:val="005D4603"/>
    <w:rsid w:val="00610597"/>
    <w:rsid w:val="00617CC3"/>
    <w:rsid w:val="00622CC5"/>
    <w:rsid w:val="006377A6"/>
    <w:rsid w:val="00637A3D"/>
    <w:rsid w:val="006411EF"/>
    <w:rsid w:val="00643BE3"/>
    <w:rsid w:val="006534CD"/>
    <w:rsid w:val="0066795B"/>
    <w:rsid w:val="006748B8"/>
    <w:rsid w:val="006775C3"/>
    <w:rsid w:val="0069290A"/>
    <w:rsid w:val="0069775A"/>
    <w:rsid w:val="00697813"/>
    <w:rsid w:val="006A3EE8"/>
    <w:rsid w:val="006A72BF"/>
    <w:rsid w:val="006B03F2"/>
    <w:rsid w:val="006B37DC"/>
    <w:rsid w:val="006B3EBE"/>
    <w:rsid w:val="006B4F68"/>
    <w:rsid w:val="006C0592"/>
    <w:rsid w:val="006C272E"/>
    <w:rsid w:val="006C5479"/>
    <w:rsid w:val="006D13B5"/>
    <w:rsid w:val="006D2E45"/>
    <w:rsid w:val="006E12FF"/>
    <w:rsid w:val="006E4A62"/>
    <w:rsid w:val="006E607E"/>
    <w:rsid w:val="00702588"/>
    <w:rsid w:val="00704336"/>
    <w:rsid w:val="00706C5D"/>
    <w:rsid w:val="0070754E"/>
    <w:rsid w:val="007256C0"/>
    <w:rsid w:val="00732922"/>
    <w:rsid w:val="00733452"/>
    <w:rsid w:val="0075162E"/>
    <w:rsid w:val="00754034"/>
    <w:rsid w:val="00756556"/>
    <w:rsid w:val="00757B9E"/>
    <w:rsid w:val="007618C4"/>
    <w:rsid w:val="00767980"/>
    <w:rsid w:val="00770B19"/>
    <w:rsid w:val="0077463F"/>
    <w:rsid w:val="007836EA"/>
    <w:rsid w:val="00784CDA"/>
    <w:rsid w:val="007906C4"/>
    <w:rsid w:val="00793B28"/>
    <w:rsid w:val="007940EA"/>
    <w:rsid w:val="007943A7"/>
    <w:rsid w:val="007967E8"/>
    <w:rsid w:val="007A2170"/>
    <w:rsid w:val="007A22BF"/>
    <w:rsid w:val="007A3323"/>
    <w:rsid w:val="007B72B8"/>
    <w:rsid w:val="007B7A58"/>
    <w:rsid w:val="007C21B5"/>
    <w:rsid w:val="007E4BD2"/>
    <w:rsid w:val="00801393"/>
    <w:rsid w:val="00802F88"/>
    <w:rsid w:val="00811008"/>
    <w:rsid w:val="0081293E"/>
    <w:rsid w:val="00815465"/>
    <w:rsid w:val="00817E9A"/>
    <w:rsid w:val="008306BD"/>
    <w:rsid w:val="008318E5"/>
    <w:rsid w:val="00831A80"/>
    <w:rsid w:val="00833743"/>
    <w:rsid w:val="008340A4"/>
    <w:rsid w:val="00853D49"/>
    <w:rsid w:val="008608E9"/>
    <w:rsid w:val="00861DAB"/>
    <w:rsid w:val="0087135F"/>
    <w:rsid w:val="00872D94"/>
    <w:rsid w:val="00880364"/>
    <w:rsid w:val="00883646"/>
    <w:rsid w:val="00891592"/>
    <w:rsid w:val="00891E9E"/>
    <w:rsid w:val="008953F8"/>
    <w:rsid w:val="008A1270"/>
    <w:rsid w:val="008A2F68"/>
    <w:rsid w:val="008B4FA6"/>
    <w:rsid w:val="008B5282"/>
    <w:rsid w:val="008B73C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3D9C"/>
    <w:rsid w:val="00954429"/>
    <w:rsid w:val="009563CE"/>
    <w:rsid w:val="00976328"/>
    <w:rsid w:val="0097680D"/>
    <w:rsid w:val="00982438"/>
    <w:rsid w:val="00983E09"/>
    <w:rsid w:val="0098404C"/>
    <w:rsid w:val="00985283"/>
    <w:rsid w:val="00995992"/>
    <w:rsid w:val="009A03E5"/>
    <w:rsid w:val="009A0F3B"/>
    <w:rsid w:val="009A1BB4"/>
    <w:rsid w:val="009A2628"/>
    <w:rsid w:val="009A3200"/>
    <w:rsid w:val="009A7B6B"/>
    <w:rsid w:val="009B0897"/>
    <w:rsid w:val="009B7BD9"/>
    <w:rsid w:val="009C7DD5"/>
    <w:rsid w:val="009D0EA3"/>
    <w:rsid w:val="009E227D"/>
    <w:rsid w:val="009E5019"/>
    <w:rsid w:val="009F2E6D"/>
    <w:rsid w:val="009F4C1B"/>
    <w:rsid w:val="00A010BF"/>
    <w:rsid w:val="00A04F1B"/>
    <w:rsid w:val="00A0501B"/>
    <w:rsid w:val="00A14947"/>
    <w:rsid w:val="00A32A83"/>
    <w:rsid w:val="00A368DB"/>
    <w:rsid w:val="00A423AA"/>
    <w:rsid w:val="00A53EC6"/>
    <w:rsid w:val="00A55C0F"/>
    <w:rsid w:val="00A8713F"/>
    <w:rsid w:val="00A90BA1"/>
    <w:rsid w:val="00A97848"/>
    <w:rsid w:val="00A97A9A"/>
    <w:rsid w:val="00AA0671"/>
    <w:rsid w:val="00AA2531"/>
    <w:rsid w:val="00AB1E09"/>
    <w:rsid w:val="00AB5330"/>
    <w:rsid w:val="00AB7747"/>
    <w:rsid w:val="00AC14CE"/>
    <w:rsid w:val="00AC2A56"/>
    <w:rsid w:val="00AD055E"/>
    <w:rsid w:val="00AD47A7"/>
    <w:rsid w:val="00AE4AC2"/>
    <w:rsid w:val="00AF0CBF"/>
    <w:rsid w:val="00AF257F"/>
    <w:rsid w:val="00AF33CF"/>
    <w:rsid w:val="00AF4D50"/>
    <w:rsid w:val="00AF6179"/>
    <w:rsid w:val="00B1295A"/>
    <w:rsid w:val="00B20A45"/>
    <w:rsid w:val="00B22C5C"/>
    <w:rsid w:val="00B24F30"/>
    <w:rsid w:val="00B31ABF"/>
    <w:rsid w:val="00B33BE3"/>
    <w:rsid w:val="00B34E98"/>
    <w:rsid w:val="00B53B5D"/>
    <w:rsid w:val="00B6055E"/>
    <w:rsid w:val="00B6317D"/>
    <w:rsid w:val="00B63E3D"/>
    <w:rsid w:val="00B71F65"/>
    <w:rsid w:val="00B7723F"/>
    <w:rsid w:val="00B80534"/>
    <w:rsid w:val="00B8433C"/>
    <w:rsid w:val="00B87491"/>
    <w:rsid w:val="00B93F2F"/>
    <w:rsid w:val="00BA29E9"/>
    <w:rsid w:val="00BA7142"/>
    <w:rsid w:val="00BB237C"/>
    <w:rsid w:val="00BB41A3"/>
    <w:rsid w:val="00BC32DC"/>
    <w:rsid w:val="00BC35B6"/>
    <w:rsid w:val="00BD1B51"/>
    <w:rsid w:val="00BD4596"/>
    <w:rsid w:val="00BE1405"/>
    <w:rsid w:val="00BE312D"/>
    <w:rsid w:val="00BF1C20"/>
    <w:rsid w:val="00BF706B"/>
    <w:rsid w:val="00C0158D"/>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0498"/>
    <w:rsid w:val="00CD2BCD"/>
    <w:rsid w:val="00CD3A4C"/>
    <w:rsid w:val="00CE10E9"/>
    <w:rsid w:val="00CE2910"/>
    <w:rsid w:val="00CE5393"/>
    <w:rsid w:val="00CF36BE"/>
    <w:rsid w:val="00CF6000"/>
    <w:rsid w:val="00D003F3"/>
    <w:rsid w:val="00D0364F"/>
    <w:rsid w:val="00D06834"/>
    <w:rsid w:val="00D074CA"/>
    <w:rsid w:val="00D23242"/>
    <w:rsid w:val="00D26D9F"/>
    <w:rsid w:val="00D308ED"/>
    <w:rsid w:val="00D348C5"/>
    <w:rsid w:val="00D36D86"/>
    <w:rsid w:val="00D428AA"/>
    <w:rsid w:val="00D50A34"/>
    <w:rsid w:val="00D53EFA"/>
    <w:rsid w:val="00D743B5"/>
    <w:rsid w:val="00D94A7C"/>
    <w:rsid w:val="00D95896"/>
    <w:rsid w:val="00DA7B3A"/>
    <w:rsid w:val="00DB2983"/>
    <w:rsid w:val="00DC1257"/>
    <w:rsid w:val="00DC3DC0"/>
    <w:rsid w:val="00DC5B2B"/>
    <w:rsid w:val="00DD318D"/>
    <w:rsid w:val="00DF2E12"/>
    <w:rsid w:val="00DF514A"/>
    <w:rsid w:val="00DF6690"/>
    <w:rsid w:val="00DF6804"/>
    <w:rsid w:val="00E0358D"/>
    <w:rsid w:val="00E04323"/>
    <w:rsid w:val="00E070A2"/>
    <w:rsid w:val="00E0770D"/>
    <w:rsid w:val="00E2656A"/>
    <w:rsid w:val="00E346D9"/>
    <w:rsid w:val="00E371FE"/>
    <w:rsid w:val="00E412D0"/>
    <w:rsid w:val="00E52F76"/>
    <w:rsid w:val="00E56322"/>
    <w:rsid w:val="00E60982"/>
    <w:rsid w:val="00E62C62"/>
    <w:rsid w:val="00E654C1"/>
    <w:rsid w:val="00E65D97"/>
    <w:rsid w:val="00E72A5A"/>
    <w:rsid w:val="00E73354"/>
    <w:rsid w:val="00E9242D"/>
    <w:rsid w:val="00EA3363"/>
    <w:rsid w:val="00EB1C0E"/>
    <w:rsid w:val="00EB5255"/>
    <w:rsid w:val="00EB5C47"/>
    <w:rsid w:val="00ED0639"/>
    <w:rsid w:val="00EF4755"/>
    <w:rsid w:val="00EF7135"/>
    <w:rsid w:val="00EF7141"/>
    <w:rsid w:val="00F027DB"/>
    <w:rsid w:val="00F04CFF"/>
    <w:rsid w:val="00F14A7A"/>
    <w:rsid w:val="00F22985"/>
    <w:rsid w:val="00F3383E"/>
    <w:rsid w:val="00F465A7"/>
    <w:rsid w:val="00F50B7C"/>
    <w:rsid w:val="00F550E6"/>
    <w:rsid w:val="00F74345"/>
    <w:rsid w:val="00F80A0A"/>
    <w:rsid w:val="00F82B19"/>
    <w:rsid w:val="00F9212D"/>
    <w:rsid w:val="00F965DA"/>
    <w:rsid w:val="00FA00A3"/>
    <w:rsid w:val="00FA406A"/>
    <w:rsid w:val="00FB503A"/>
    <w:rsid w:val="00FB516C"/>
    <w:rsid w:val="00FD0236"/>
    <w:rsid w:val="00FD18F4"/>
    <w:rsid w:val="00FD54DB"/>
    <w:rsid w:val="00FD619F"/>
    <w:rsid w:val="010351AA"/>
    <w:rsid w:val="01051E7D"/>
    <w:rsid w:val="01071EBF"/>
    <w:rsid w:val="01076F22"/>
    <w:rsid w:val="0109620A"/>
    <w:rsid w:val="010A795B"/>
    <w:rsid w:val="010F7494"/>
    <w:rsid w:val="01101675"/>
    <w:rsid w:val="01106122"/>
    <w:rsid w:val="011253ED"/>
    <w:rsid w:val="011750B1"/>
    <w:rsid w:val="01211B1D"/>
    <w:rsid w:val="01213882"/>
    <w:rsid w:val="01227D26"/>
    <w:rsid w:val="01233A9E"/>
    <w:rsid w:val="0125099B"/>
    <w:rsid w:val="012515C4"/>
    <w:rsid w:val="01290F7E"/>
    <w:rsid w:val="012A203D"/>
    <w:rsid w:val="01341807"/>
    <w:rsid w:val="0136566A"/>
    <w:rsid w:val="01370129"/>
    <w:rsid w:val="01395070"/>
    <w:rsid w:val="013C2EE0"/>
    <w:rsid w:val="01465CE2"/>
    <w:rsid w:val="01492D91"/>
    <w:rsid w:val="014A102B"/>
    <w:rsid w:val="014A2DD9"/>
    <w:rsid w:val="014B44AB"/>
    <w:rsid w:val="014D1F33"/>
    <w:rsid w:val="01536131"/>
    <w:rsid w:val="01560D42"/>
    <w:rsid w:val="01563427"/>
    <w:rsid w:val="01565C22"/>
    <w:rsid w:val="015754F6"/>
    <w:rsid w:val="0159301C"/>
    <w:rsid w:val="015A1F89"/>
    <w:rsid w:val="015A485D"/>
    <w:rsid w:val="015B3238"/>
    <w:rsid w:val="015B3C74"/>
    <w:rsid w:val="015D1E09"/>
    <w:rsid w:val="015E0632"/>
    <w:rsid w:val="01642258"/>
    <w:rsid w:val="016A6360"/>
    <w:rsid w:val="01791910"/>
    <w:rsid w:val="0179546C"/>
    <w:rsid w:val="017C09B1"/>
    <w:rsid w:val="017C621D"/>
    <w:rsid w:val="01804A4C"/>
    <w:rsid w:val="01826A17"/>
    <w:rsid w:val="01844520"/>
    <w:rsid w:val="018706A3"/>
    <w:rsid w:val="018A7679"/>
    <w:rsid w:val="018C100A"/>
    <w:rsid w:val="018E7B86"/>
    <w:rsid w:val="01902925"/>
    <w:rsid w:val="01956AAB"/>
    <w:rsid w:val="01966220"/>
    <w:rsid w:val="01987FE8"/>
    <w:rsid w:val="019B1886"/>
    <w:rsid w:val="019D50B0"/>
    <w:rsid w:val="01A22C15"/>
    <w:rsid w:val="01A3073B"/>
    <w:rsid w:val="01A87AFF"/>
    <w:rsid w:val="01A87C85"/>
    <w:rsid w:val="01A93FA3"/>
    <w:rsid w:val="01A9638A"/>
    <w:rsid w:val="01AA727F"/>
    <w:rsid w:val="01AC3A93"/>
    <w:rsid w:val="01AD3593"/>
    <w:rsid w:val="01AF4BA2"/>
    <w:rsid w:val="01B023F4"/>
    <w:rsid w:val="01B274F1"/>
    <w:rsid w:val="01B4518A"/>
    <w:rsid w:val="01B6221C"/>
    <w:rsid w:val="01BA68B2"/>
    <w:rsid w:val="01BB7833"/>
    <w:rsid w:val="01BE4DA9"/>
    <w:rsid w:val="01BF37C7"/>
    <w:rsid w:val="01C40DDD"/>
    <w:rsid w:val="01C42B8B"/>
    <w:rsid w:val="01C761D7"/>
    <w:rsid w:val="01C87BD5"/>
    <w:rsid w:val="01CA3F1A"/>
    <w:rsid w:val="01CF1530"/>
    <w:rsid w:val="01CF3D6E"/>
    <w:rsid w:val="01D21171"/>
    <w:rsid w:val="01D42121"/>
    <w:rsid w:val="01D542D8"/>
    <w:rsid w:val="01D86637"/>
    <w:rsid w:val="01DC6B6A"/>
    <w:rsid w:val="01DD59FB"/>
    <w:rsid w:val="01E025A9"/>
    <w:rsid w:val="01E36FD6"/>
    <w:rsid w:val="01E46D89"/>
    <w:rsid w:val="01E80594"/>
    <w:rsid w:val="01E811AC"/>
    <w:rsid w:val="01ED36E3"/>
    <w:rsid w:val="01F006CC"/>
    <w:rsid w:val="01F12967"/>
    <w:rsid w:val="01F758EA"/>
    <w:rsid w:val="01F85CDC"/>
    <w:rsid w:val="01F86CD9"/>
    <w:rsid w:val="01FA01CD"/>
    <w:rsid w:val="01FA290D"/>
    <w:rsid w:val="01FA65AD"/>
    <w:rsid w:val="02047A52"/>
    <w:rsid w:val="020C396B"/>
    <w:rsid w:val="020C4532"/>
    <w:rsid w:val="020C4B4B"/>
    <w:rsid w:val="020C62E0"/>
    <w:rsid w:val="020E3E06"/>
    <w:rsid w:val="020F7B7E"/>
    <w:rsid w:val="02160F0D"/>
    <w:rsid w:val="02175E3E"/>
    <w:rsid w:val="021F1398"/>
    <w:rsid w:val="021F4265"/>
    <w:rsid w:val="02245871"/>
    <w:rsid w:val="02251150"/>
    <w:rsid w:val="022A6766"/>
    <w:rsid w:val="022B2B73"/>
    <w:rsid w:val="022C0730"/>
    <w:rsid w:val="023575E5"/>
    <w:rsid w:val="023625B0"/>
    <w:rsid w:val="023747AF"/>
    <w:rsid w:val="023D5AE1"/>
    <w:rsid w:val="023E1BBB"/>
    <w:rsid w:val="023E381C"/>
    <w:rsid w:val="024263C4"/>
    <w:rsid w:val="02447828"/>
    <w:rsid w:val="024737BC"/>
    <w:rsid w:val="02493090"/>
    <w:rsid w:val="024944DB"/>
    <w:rsid w:val="024A0BB7"/>
    <w:rsid w:val="024A4418"/>
    <w:rsid w:val="02532620"/>
    <w:rsid w:val="02543D5F"/>
    <w:rsid w:val="02551A35"/>
    <w:rsid w:val="02571219"/>
    <w:rsid w:val="025832D3"/>
    <w:rsid w:val="02587777"/>
    <w:rsid w:val="02587900"/>
    <w:rsid w:val="025C1016"/>
    <w:rsid w:val="025C3E9F"/>
    <w:rsid w:val="025D2804"/>
    <w:rsid w:val="026003DA"/>
    <w:rsid w:val="02634E62"/>
    <w:rsid w:val="02656D0B"/>
    <w:rsid w:val="02685C0C"/>
    <w:rsid w:val="02697903"/>
    <w:rsid w:val="027345B1"/>
    <w:rsid w:val="02750329"/>
    <w:rsid w:val="0279651D"/>
    <w:rsid w:val="027D71DE"/>
    <w:rsid w:val="027E464F"/>
    <w:rsid w:val="02832A46"/>
    <w:rsid w:val="0284231A"/>
    <w:rsid w:val="0288005D"/>
    <w:rsid w:val="02894AF9"/>
    <w:rsid w:val="02897931"/>
    <w:rsid w:val="028C467A"/>
    <w:rsid w:val="028F05B2"/>
    <w:rsid w:val="02907D0A"/>
    <w:rsid w:val="02927447"/>
    <w:rsid w:val="02963F39"/>
    <w:rsid w:val="029702A0"/>
    <w:rsid w:val="0297204E"/>
    <w:rsid w:val="02976B3F"/>
    <w:rsid w:val="029B7D56"/>
    <w:rsid w:val="02A8425B"/>
    <w:rsid w:val="02B0310F"/>
    <w:rsid w:val="02B16677"/>
    <w:rsid w:val="02B81FC4"/>
    <w:rsid w:val="02BC1AB4"/>
    <w:rsid w:val="02BF068B"/>
    <w:rsid w:val="02C0431D"/>
    <w:rsid w:val="02C170CB"/>
    <w:rsid w:val="02CD1F73"/>
    <w:rsid w:val="02CF7A3A"/>
    <w:rsid w:val="02D05560"/>
    <w:rsid w:val="02D212D8"/>
    <w:rsid w:val="02D33214"/>
    <w:rsid w:val="02D61B95"/>
    <w:rsid w:val="02D74B40"/>
    <w:rsid w:val="02DC356B"/>
    <w:rsid w:val="02DF389F"/>
    <w:rsid w:val="02E334E5"/>
    <w:rsid w:val="02E35293"/>
    <w:rsid w:val="02E57C4C"/>
    <w:rsid w:val="02E62FD5"/>
    <w:rsid w:val="02E72E0B"/>
    <w:rsid w:val="02EA1AAE"/>
    <w:rsid w:val="02EA4873"/>
    <w:rsid w:val="02EB2811"/>
    <w:rsid w:val="02ED3BC6"/>
    <w:rsid w:val="02F128F0"/>
    <w:rsid w:val="02F32963"/>
    <w:rsid w:val="02F96569"/>
    <w:rsid w:val="02FC6355"/>
    <w:rsid w:val="02FD264E"/>
    <w:rsid w:val="02FE031F"/>
    <w:rsid w:val="03026B58"/>
    <w:rsid w:val="03047390"/>
    <w:rsid w:val="03055662"/>
    <w:rsid w:val="03065622"/>
    <w:rsid w:val="030C7DAC"/>
    <w:rsid w:val="030D088E"/>
    <w:rsid w:val="03165668"/>
    <w:rsid w:val="031721DC"/>
    <w:rsid w:val="031C69F7"/>
    <w:rsid w:val="032121AE"/>
    <w:rsid w:val="0321400D"/>
    <w:rsid w:val="03217B69"/>
    <w:rsid w:val="032322B7"/>
    <w:rsid w:val="032B6C3A"/>
    <w:rsid w:val="032C298F"/>
    <w:rsid w:val="032D4760"/>
    <w:rsid w:val="03307A30"/>
    <w:rsid w:val="03337206"/>
    <w:rsid w:val="03345AEF"/>
    <w:rsid w:val="03351867"/>
    <w:rsid w:val="033A78AB"/>
    <w:rsid w:val="03404493"/>
    <w:rsid w:val="03411FB9"/>
    <w:rsid w:val="034321D6"/>
    <w:rsid w:val="03432B90"/>
    <w:rsid w:val="03435D32"/>
    <w:rsid w:val="03437DB8"/>
    <w:rsid w:val="034675D0"/>
    <w:rsid w:val="034D03E3"/>
    <w:rsid w:val="03525F75"/>
    <w:rsid w:val="03541CED"/>
    <w:rsid w:val="036012DE"/>
    <w:rsid w:val="036208AE"/>
    <w:rsid w:val="036412FD"/>
    <w:rsid w:val="0364779F"/>
    <w:rsid w:val="03653EFA"/>
    <w:rsid w:val="036D2DAF"/>
    <w:rsid w:val="036D53D0"/>
    <w:rsid w:val="036D7252"/>
    <w:rsid w:val="036F4D79"/>
    <w:rsid w:val="037118F5"/>
    <w:rsid w:val="0375005C"/>
    <w:rsid w:val="037759DB"/>
    <w:rsid w:val="037831C2"/>
    <w:rsid w:val="03795981"/>
    <w:rsid w:val="037C7321"/>
    <w:rsid w:val="037E4FBC"/>
    <w:rsid w:val="03824AAC"/>
    <w:rsid w:val="03887BE8"/>
    <w:rsid w:val="038F0F77"/>
    <w:rsid w:val="039447DF"/>
    <w:rsid w:val="039700C6"/>
    <w:rsid w:val="039A1E78"/>
    <w:rsid w:val="039B5B6E"/>
    <w:rsid w:val="03A06FD4"/>
    <w:rsid w:val="03AA7B5F"/>
    <w:rsid w:val="03AC38D7"/>
    <w:rsid w:val="03AC3B74"/>
    <w:rsid w:val="03B15391"/>
    <w:rsid w:val="03B1713F"/>
    <w:rsid w:val="03B22EB7"/>
    <w:rsid w:val="03BB1D6C"/>
    <w:rsid w:val="03BC7892"/>
    <w:rsid w:val="03BD3D36"/>
    <w:rsid w:val="03BE185C"/>
    <w:rsid w:val="03BE360A"/>
    <w:rsid w:val="03C2134C"/>
    <w:rsid w:val="03C25721"/>
    <w:rsid w:val="03C31410"/>
    <w:rsid w:val="03C4237C"/>
    <w:rsid w:val="03CA0201"/>
    <w:rsid w:val="03CB018A"/>
    <w:rsid w:val="03CE720D"/>
    <w:rsid w:val="03D53088"/>
    <w:rsid w:val="03DA15F5"/>
    <w:rsid w:val="03DA1BCA"/>
    <w:rsid w:val="03E56DE9"/>
    <w:rsid w:val="03EA08A3"/>
    <w:rsid w:val="03EA6FAC"/>
    <w:rsid w:val="03EA7B21"/>
    <w:rsid w:val="03EC63C9"/>
    <w:rsid w:val="03F01A1B"/>
    <w:rsid w:val="03F10E17"/>
    <w:rsid w:val="03F552C0"/>
    <w:rsid w:val="03F82FC0"/>
    <w:rsid w:val="03FB5394"/>
    <w:rsid w:val="040354C1"/>
    <w:rsid w:val="040E189C"/>
    <w:rsid w:val="040F3E66"/>
    <w:rsid w:val="04113507"/>
    <w:rsid w:val="0416093D"/>
    <w:rsid w:val="041800B5"/>
    <w:rsid w:val="041A79F5"/>
    <w:rsid w:val="041B0A5C"/>
    <w:rsid w:val="041B7614"/>
    <w:rsid w:val="04202DC9"/>
    <w:rsid w:val="04275653"/>
    <w:rsid w:val="04293179"/>
    <w:rsid w:val="043A615C"/>
    <w:rsid w:val="043B2EAD"/>
    <w:rsid w:val="043C4D20"/>
    <w:rsid w:val="043D6C25"/>
    <w:rsid w:val="04402271"/>
    <w:rsid w:val="04406715"/>
    <w:rsid w:val="0442248D"/>
    <w:rsid w:val="04440EA5"/>
    <w:rsid w:val="04447FB3"/>
    <w:rsid w:val="04455CBC"/>
    <w:rsid w:val="04473600"/>
    <w:rsid w:val="04475814"/>
    <w:rsid w:val="0449381C"/>
    <w:rsid w:val="044955CA"/>
    <w:rsid w:val="044B1342"/>
    <w:rsid w:val="044E28EA"/>
    <w:rsid w:val="044F0706"/>
    <w:rsid w:val="04510922"/>
    <w:rsid w:val="0451447E"/>
    <w:rsid w:val="04555354"/>
    <w:rsid w:val="045A546C"/>
    <w:rsid w:val="045B70AB"/>
    <w:rsid w:val="045E5439"/>
    <w:rsid w:val="046142A1"/>
    <w:rsid w:val="04641540"/>
    <w:rsid w:val="0466617C"/>
    <w:rsid w:val="0469127A"/>
    <w:rsid w:val="046B19E4"/>
    <w:rsid w:val="046C3066"/>
    <w:rsid w:val="04726FC9"/>
    <w:rsid w:val="04736E13"/>
    <w:rsid w:val="04754611"/>
    <w:rsid w:val="04784101"/>
    <w:rsid w:val="047C599F"/>
    <w:rsid w:val="047F0FEB"/>
    <w:rsid w:val="04822175"/>
    <w:rsid w:val="04912ACD"/>
    <w:rsid w:val="049138CC"/>
    <w:rsid w:val="04932CE9"/>
    <w:rsid w:val="04980088"/>
    <w:rsid w:val="049820AD"/>
    <w:rsid w:val="049D3E9B"/>
    <w:rsid w:val="04A3012C"/>
    <w:rsid w:val="04A6254B"/>
    <w:rsid w:val="04A82751"/>
    <w:rsid w:val="04B54A0D"/>
    <w:rsid w:val="04B844FD"/>
    <w:rsid w:val="04BB304C"/>
    <w:rsid w:val="04BB34E1"/>
    <w:rsid w:val="04BE5FB8"/>
    <w:rsid w:val="04BE680D"/>
    <w:rsid w:val="04C13E58"/>
    <w:rsid w:val="04C2388A"/>
    <w:rsid w:val="04C2712A"/>
    <w:rsid w:val="04C64E6C"/>
    <w:rsid w:val="04C95821"/>
    <w:rsid w:val="04CE5ACF"/>
    <w:rsid w:val="04D035F5"/>
    <w:rsid w:val="04D5593C"/>
    <w:rsid w:val="04DA16C0"/>
    <w:rsid w:val="04DA26C6"/>
    <w:rsid w:val="04DB6016"/>
    <w:rsid w:val="04DB6D23"/>
    <w:rsid w:val="04E15802"/>
    <w:rsid w:val="04E377CC"/>
    <w:rsid w:val="04E452F2"/>
    <w:rsid w:val="04E4640D"/>
    <w:rsid w:val="04E50BB2"/>
    <w:rsid w:val="04E62E18"/>
    <w:rsid w:val="04E7552E"/>
    <w:rsid w:val="04E81B1A"/>
    <w:rsid w:val="04ED064B"/>
    <w:rsid w:val="04F3262C"/>
    <w:rsid w:val="04F419D9"/>
    <w:rsid w:val="05087233"/>
    <w:rsid w:val="05092FAB"/>
    <w:rsid w:val="05104339"/>
    <w:rsid w:val="051450E4"/>
    <w:rsid w:val="0515288D"/>
    <w:rsid w:val="05191440"/>
    <w:rsid w:val="05195C41"/>
    <w:rsid w:val="051A35F3"/>
    <w:rsid w:val="051B106F"/>
    <w:rsid w:val="051C2CDE"/>
    <w:rsid w:val="051C5B4A"/>
    <w:rsid w:val="051E6A56"/>
    <w:rsid w:val="051F457C"/>
    <w:rsid w:val="052027CE"/>
    <w:rsid w:val="05216546"/>
    <w:rsid w:val="052238FC"/>
    <w:rsid w:val="0522647B"/>
    <w:rsid w:val="05235AF4"/>
    <w:rsid w:val="05250A82"/>
    <w:rsid w:val="05281683"/>
    <w:rsid w:val="05290F57"/>
    <w:rsid w:val="052971A9"/>
    <w:rsid w:val="052B6311"/>
    <w:rsid w:val="052D0A47"/>
    <w:rsid w:val="052D3D60"/>
    <w:rsid w:val="052F3B0A"/>
    <w:rsid w:val="053022E6"/>
    <w:rsid w:val="05353DA0"/>
    <w:rsid w:val="05383F82"/>
    <w:rsid w:val="053C512E"/>
    <w:rsid w:val="054162A1"/>
    <w:rsid w:val="05465FAD"/>
    <w:rsid w:val="05474EC8"/>
    <w:rsid w:val="054933A7"/>
    <w:rsid w:val="05545FD4"/>
    <w:rsid w:val="05575AC4"/>
    <w:rsid w:val="055E6E53"/>
    <w:rsid w:val="055F6E81"/>
    <w:rsid w:val="05614B95"/>
    <w:rsid w:val="05634469"/>
    <w:rsid w:val="05692810"/>
    <w:rsid w:val="05695E15"/>
    <w:rsid w:val="056A623F"/>
    <w:rsid w:val="056D7096"/>
    <w:rsid w:val="056E5E3A"/>
    <w:rsid w:val="056F2E0E"/>
    <w:rsid w:val="05744BFD"/>
    <w:rsid w:val="05746676"/>
    <w:rsid w:val="05753B42"/>
    <w:rsid w:val="05755BC8"/>
    <w:rsid w:val="057A3390"/>
    <w:rsid w:val="057B6B0A"/>
    <w:rsid w:val="057D6F2B"/>
    <w:rsid w:val="057E3832"/>
    <w:rsid w:val="057F6DC9"/>
    <w:rsid w:val="05810D93"/>
    <w:rsid w:val="05845AA9"/>
    <w:rsid w:val="05850883"/>
    <w:rsid w:val="05852631"/>
    <w:rsid w:val="05860158"/>
    <w:rsid w:val="058D598A"/>
    <w:rsid w:val="058F050B"/>
    <w:rsid w:val="05924D4E"/>
    <w:rsid w:val="059341B1"/>
    <w:rsid w:val="059522D5"/>
    <w:rsid w:val="05983EBC"/>
    <w:rsid w:val="059900DE"/>
    <w:rsid w:val="05995C65"/>
    <w:rsid w:val="059A2B4E"/>
    <w:rsid w:val="059A3C03"/>
    <w:rsid w:val="059B55E5"/>
    <w:rsid w:val="059C373C"/>
    <w:rsid w:val="059C797B"/>
    <w:rsid w:val="059E7B97"/>
    <w:rsid w:val="05A54A82"/>
    <w:rsid w:val="05AE6545"/>
    <w:rsid w:val="05B13426"/>
    <w:rsid w:val="05B250B3"/>
    <w:rsid w:val="05B272AB"/>
    <w:rsid w:val="05B366B7"/>
    <w:rsid w:val="05B3687C"/>
    <w:rsid w:val="05B9052D"/>
    <w:rsid w:val="05B92502"/>
    <w:rsid w:val="05BB24F7"/>
    <w:rsid w:val="05BB54E1"/>
    <w:rsid w:val="05BD626F"/>
    <w:rsid w:val="05BE1FE7"/>
    <w:rsid w:val="05BF1B7D"/>
    <w:rsid w:val="05C0366A"/>
    <w:rsid w:val="05C05BA0"/>
    <w:rsid w:val="05C23886"/>
    <w:rsid w:val="05C650AD"/>
    <w:rsid w:val="05C74A0B"/>
    <w:rsid w:val="05CB3105"/>
    <w:rsid w:val="05CD222A"/>
    <w:rsid w:val="05D06823"/>
    <w:rsid w:val="05D11D1B"/>
    <w:rsid w:val="05D2339D"/>
    <w:rsid w:val="05D90BCF"/>
    <w:rsid w:val="05DB3E17"/>
    <w:rsid w:val="05DE1D42"/>
    <w:rsid w:val="05E27A84"/>
    <w:rsid w:val="05E31534"/>
    <w:rsid w:val="05E32C8F"/>
    <w:rsid w:val="05E355AA"/>
    <w:rsid w:val="05E4646D"/>
    <w:rsid w:val="05EA2DDC"/>
    <w:rsid w:val="05EA40D8"/>
    <w:rsid w:val="05EA4B8A"/>
    <w:rsid w:val="05EA6938"/>
    <w:rsid w:val="05EC0902"/>
    <w:rsid w:val="05EC26B0"/>
    <w:rsid w:val="05EC445F"/>
    <w:rsid w:val="05F0785B"/>
    <w:rsid w:val="05F25E9E"/>
    <w:rsid w:val="05F83EAE"/>
    <w:rsid w:val="05FB28F4"/>
    <w:rsid w:val="05FB7B8F"/>
    <w:rsid w:val="05FC5058"/>
    <w:rsid w:val="06056A6E"/>
    <w:rsid w:val="06072158"/>
    <w:rsid w:val="060914B4"/>
    <w:rsid w:val="060A7835"/>
    <w:rsid w:val="061439B5"/>
    <w:rsid w:val="06161775"/>
    <w:rsid w:val="06175254"/>
    <w:rsid w:val="061816F7"/>
    <w:rsid w:val="062416F2"/>
    <w:rsid w:val="06254B7F"/>
    <w:rsid w:val="06287461"/>
    <w:rsid w:val="062A4F87"/>
    <w:rsid w:val="063127B9"/>
    <w:rsid w:val="06316315"/>
    <w:rsid w:val="06346B7B"/>
    <w:rsid w:val="06350552"/>
    <w:rsid w:val="063522A9"/>
    <w:rsid w:val="06394017"/>
    <w:rsid w:val="063A78C0"/>
    <w:rsid w:val="063E7D85"/>
    <w:rsid w:val="06436049"/>
    <w:rsid w:val="06451A56"/>
    <w:rsid w:val="06497B03"/>
    <w:rsid w:val="064A5629"/>
    <w:rsid w:val="064F2C3F"/>
    <w:rsid w:val="06501872"/>
    <w:rsid w:val="065110EC"/>
    <w:rsid w:val="06523F87"/>
    <w:rsid w:val="06556671"/>
    <w:rsid w:val="06576494"/>
    <w:rsid w:val="0659586C"/>
    <w:rsid w:val="065B3392"/>
    <w:rsid w:val="065D35CC"/>
    <w:rsid w:val="06606BFB"/>
    <w:rsid w:val="0664493D"/>
    <w:rsid w:val="066761DB"/>
    <w:rsid w:val="066B5CCB"/>
    <w:rsid w:val="067508F8"/>
    <w:rsid w:val="06783F44"/>
    <w:rsid w:val="067A7CBC"/>
    <w:rsid w:val="067B5EB7"/>
    <w:rsid w:val="067B730A"/>
    <w:rsid w:val="0680600F"/>
    <w:rsid w:val="068310D8"/>
    <w:rsid w:val="06840B3B"/>
    <w:rsid w:val="068B011B"/>
    <w:rsid w:val="068D3C6C"/>
    <w:rsid w:val="068E0322"/>
    <w:rsid w:val="069049DC"/>
    <w:rsid w:val="069D65D0"/>
    <w:rsid w:val="069D7E4F"/>
    <w:rsid w:val="069F3BC7"/>
    <w:rsid w:val="06AA187C"/>
    <w:rsid w:val="06AD62E4"/>
    <w:rsid w:val="06B238FA"/>
    <w:rsid w:val="06B31420"/>
    <w:rsid w:val="06B3208A"/>
    <w:rsid w:val="06B70F10"/>
    <w:rsid w:val="06B86A37"/>
    <w:rsid w:val="06BA27AF"/>
    <w:rsid w:val="06BB7E85"/>
    <w:rsid w:val="06BC6527"/>
    <w:rsid w:val="06C453DB"/>
    <w:rsid w:val="06C53136"/>
    <w:rsid w:val="06C632A9"/>
    <w:rsid w:val="06CB3C0E"/>
    <w:rsid w:val="06CC0B36"/>
    <w:rsid w:val="06D22362"/>
    <w:rsid w:val="06D4255B"/>
    <w:rsid w:val="06D51397"/>
    <w:rsid w:val="06D51D52"/>
    <w:rsid w:val="06D73361"/>
    <w:rsid w:val="06DB3895"/>
    <w:rsid w:val="06DD14B3"/>
    <w:rsid w:val="06E62454"/>
    <w:rsid w:val="06EC66E0"/>
    <w:rsid w:val="06F07F7E"/>
    <w:rsid w:val="06F25E18"/>
    <w:rsid w:val="06F2699D"/>
    <w:rsid w:val="06F35CC1"/>
    <w:rsid w:val="06FD269B"/>
    <w:rsid w:val="06FF4665"/>
    <w:rsid w:val="0704456C"/>
    <w:rsid w:val="070B4DB8"/>
    <w:rsid w:val="070D6D82"/>
    <w:rsid w:val="070E48A8"/>
    <w:rsid w:val="0710139B"/>
    <w:rsid w:val="071023CF"/>
    <w:rsid w:val="07117EF5"/>
    <w:rsid w:val="07133C6D"/>
    <w:rsid w:val="071579E5"/>
    <w:rsid w:val="07177EEF"/>
    <w:rsid w:val="071A324D"/>
    <w:rsid w:val="071C6FC5"/>
    <w:rsid w:val="071E02A7"/>
    <w:rsid w:val="072442D7"/>
    <w:rsid w:val="072916E2"/>
    <w:rsid w:val="07293586"/>
    <w:rsid w:val="07295285"/>
    <w:rsid w:val="072B7208"/>
    <w:rsid w:val="072E6461"/>
    <w:rsid w:val="073065CD"/>
    <w:rsid w:val="073836D3"/>
    <w:rsid w:val="07397B77"/>
    <w:rsid w:val="073B3F81"/>
    <w:rsid w:val="073C1416"/>
    <w:rsid w:val="073E518E"/>
    <w:rsid w:val="073E6F3C"/>
    <w:rsid w:val="07435ABD"/>
    <w:rsid w:val="074402CA"/>
    <w:rsid w:val="0744651C"/>
    <w:rsid w:val="074836D0"/>
    <w:rsid w:val="074A3B33"/>
    <w:rsid w:val="074B78AB"/>
    <w:rsid w:val="07525BEC"/>
    <w:rsid w:val="0753050D"/>
    <w:rsid w:val="07533584"/>
    <w:rsid w:val="07571DAC"/>
    <w:rsid w:val="075C0948"/>
    <w:rsid w:val="075C5C7A"/>
    <w:rsid w:val="075E2523"/>
    <w:rsid w:val="0761419A"/>
    <w:rsid w:val="07630750"/>
    <w:rsid w:val="07636392"/>
    <w:rsid w:val="076444C8"/>
    <w:rsid w:val="07644E31"/>
    <w:rsid w:val="0768220B"/>
    <w:rsid w:val="076B2C9B"/>
    <w:rsid w:val="076B5857"/>
    <w:rsid w:val="076D13F6"/>
    <w:rsid w:val="0771024E"/>
    <w:rsid w:val="07724E37"/>
    <w:rsid w:val="077407D1"/>
    <w:rsid w:val="07770C56"/>
    <w:rsid w:val="077A1F3E"/>
    <w:rsid w:val="077C1812"/>
    <w:rsid w:val="078111D3"/>
    <w:rsid w:val="07833260"/>
    <w:rsid w:val="07862691"/>
    <w:rsid w:val="078E1545"/>
    <w:rsid w:val="078E5270"/>
    <w:rsid w:val="07926A32"/>
    <w:rsid w:val="07941252"/>
    <w:rsid w:val="07950B26"/>
    <w:rsid w:val="079511E1"/>
    <w:rsid w:val="0795267D"/>
    <w:rsid w:val="07970828"/>
    <w:rsid w:val="0797489E"/>
    <w:rsid w:val="079A2388"/>
    <w:rsid w:val="079A613C"/>
    <w:rsid w:val="079A7F04"/>
    <w:rsid w:val="079E5C2C"/>
    <w:rsid w:val="07A1571D"/>
    <w:rsid w:val="07A22BB8"/>
    <w:rsid w:val="07A50D69"/>
    <w:rsid w:val="07A5520D"/>
    <w:rsid w:val="07A94366"/>
    <w:rsid w:val="07AB20F7"/>
    <w:rsid w:val="07AF3996"/>
    <w:rsid w:val="07B11C80"/>
    <w:rsid w:val="07B2792A"/>
    <w:rsid w:val="07B43DE5"/>
    <w:rsid w:val="07C0102B"/>
    <w:rsid w:val="07C37441"/>
    <w:rsid w:val="07C37770"/>
    <w:rsid w:val="07C66F31"/>
    <w:rsid w:val="07C876CD"/>
    <w:rsid w:val="07C9301A"/>
    <w:rsid w:val="07CD6512"/>
    <w:rsid w:val="07D17DB0"/>
    <w:rsid w:val="07D433FC"/>
    <w:rsid w:val="07DA3499"/>
    <w:rsid w:val="07E37AE3"/>
    <w:rsid w:val="07E8334B"/>
    <w:rsid w:val="07E900D0"/>
    <w:rsid w:val="07EA63A8"/>
    <w:rsid w:val="07EA70C4"/>
    <w:rsid w:val="07EB0E6D"/>
    <w:rsid w:val="07F015F5"/>
    <w:rsid w:val="07F57C61"/>
    <w:rsid w:val="07F968F9"/>
    <w:rsid w:val="07FF31D7"/>
    <w:rsid w:val="080A371B"/>
    <w:rsid w:val="080C217E"/>
    <w:rsid w:val="080D4B60"/>
    <w:rsid w:val="080F08D8"/>
    <w:rsid w:val="081128A2"/>
    <w:rsid w:val="08145258"/>
    <w:rsid w:val="08163028"/>
    <w:rsid w:val="081A500E"/>
    <w:rsid w:val="081B727D"/>
    <w:rsid w:val="08204893"/>
    <w:rsid w:val="08207405"/>
    <w:rsid w:val="08294536"/>
    <w:rsid w:val="082C148A"/>
    <w:rsid w:val="082D4BF9"/>
    <w:rsid w:val="0838381A"/>
    <w:rsid w:val="08422A5C"/>
    <w:rsid w:val="084560A8"/>
    <w:rsid w:val="08464EE5"/>
    <w:rsid w:val="0849203C"/>
    <w:rsid w:val="084A0EA6"/>
    <w:rsid w:val="084C5688"/>
    <w:rsid w:val="084D609E"/>
    <w:rsid w:val="08564759"/>
    <w:rsid w:val="085B0D85"/>
    <w:rsid w:val="085B58CB"/>
    <w:rsid w:val="085D5AE7"/>
    <w:rsid w:val="085F64AC"/>
    <w:rsid w:val="085F78DA"/>
    <w:rsid w:val="08601134"/>
    <w:rsid w:val="086269CD"/>
    <w:rsid w:val="08627CDF"/>
    <w:rsid w:val="08645310"/>
    <w:rsid w:val="08646E76"/>
    <w:rsid w:val="086504F8"/>
    <w:rsid w:val="08675000"/>
    <w:rsid w:val="08682CA6"/>
    <w:rsid w:val="0869448C"/>
    <w:rsid w:val="0869623A"/>
    <w:rsid w:val="086A09FB"/>
    <w:rsid w:val="086E3851"/>
    <w:rsid w:val="086F1377"/>
    <w:rsid w:val="08703496"/>
    <w:rsid w:val="087150EF"/>
    <w:rsid w:val="08732C15"/>
    <w:rsid w:val="087B71B7"/>
    <w:rsid w:val="087D5842"/>
    <w:rsid w:val="087E1C1F"/>
    <w:rsid w:val="087F635C"/>
    <w:rsid w:val="08850B9A"/>
    <w:rsid w:val="08852948"/>
    <w:rsid w:val="08861368"/>
    <w:rsid w:val="0889068B"/>
    <w:rsid w:val="088968DD"/>
    <w:rsid w:val="088D6498"/>
    <w:rsid w:val="08993322"/>
    <w:rsid w:val="089D0CB1"/>
    <w:rsid w:val="089D7C92"/>
    <w:rsid w:val="089E4F6C"/>
    <w:rsid w:val="08A13C26"/>
    <w:rsid w:val="08B0518A"/>
    <w:rsid w:val="08B140CE"/>
    <w:rsid w:val="08B64478"/>
    <w:rsid w:val="08B73A59"/>
    <w:rsid w:val="08BC0A60"/>
    <w:rsid w:val="08BD20E2"/>
    <w:rsid w:val="08C20CCF"/>
    <w:rsid w:val="08C64073"/>
    <w:rsid w:val="08C64978"/>
    <w:rsid w:val="08C65D27"/>
    <w:rsid w:val="08C96CD9"/>
    <w:rsid w:val="08CE42EF"/>
    <w:rsid w:val="08D004EB"/>
    <w:rsid w:val="08D37B58"/>
    <w:rsid w:val="08D77648"/>
    <w:rsid w:val="08DF02AB"/>
    <w:rsid w:val="08E11D0F"/>
    <w:rsid w:val="08E23383"/>
    <w:rsid w:val="08E51639"/>
    <w:rsid w:val="08E7715F"/>
    <w:rsid w:val="08EB0A30"/>
    <w:rsid w:val="08EE04EE"/>
    <w:rsid w:val="08EE786F"/>
    <w:rsid w:val="08F06236"/>
    <w:rsid w:val="08F1563F"/>
    <w:rsid w:val="08F5187C"/>
    <w:rsid w:val="08F55D20"/>
    <w:rsid w:val="08F82F0D"/>
    <w:rsid w:val="08FE77F2"/>
    <w:rsid w:val="08FF201E"/>
    <w:rsid w:val="0902043D"/>
    <w:rsid w:val="09035AF7"/>
    <w:rsid w:val="0904744F"/>
    <w:rsid w:val="09052135"/>
    <w:rsid w:val="090C4E18"/>
    <w:rsid w:val="090D62B3"/>
    <w:rsid w:val="090F79F0"/>
    <w:rsid w:val="0913264A"/>
    <w:rsid w:val="09144729"/>
    <w:rsid w:val="09175A93"/>
    <w:rsid w:val="09195451"/>
    <w:rsid w:val="091F0FEF"/>
    <w:rsid w:val="091F34DF"/>
    <w:rsid w:val="09212671"/>
    <w:rsid w:val="092217DD"/>
    <w:rsid w:val="092403B3"/>
    <w:rsid w:val="09273A00"/>
    <w:rsid w:val="092B1742"/>
    <w:rsid w:val="092B77DC"/>
    <w:rsid w:val="092D370C"/>
    <w:rsid w:val="092E2FE0"/>
    <w:rsid w:val="09320D22"/>
    <w:rsid w:val="09322AD0"/>
    <w:rsid w:val="093323A4"/>
    <w:rsid w:val="09353050"/>
    <w:rsid w:val="093A7294"/>
    <w:rsid w:val="094E2F83"/>
    <w:rsid w:val="094E3197"/>
    <w:rsid w:val="094F5C0A"/>
    <w:rsid w:val="095073FA"/>
    <w:rsid w:val="09544E5F"/>
    <w:rsid w:val="09577D3C"/>
    <w:rsid w:val="095D5673"/>
    <w:rsid w:val="095E1B17"/>
    <w:rsid w:val="09615163"/>
    <w:rsid w:val="09642C78"/>
    <w:rsid w:val="096609CC"/>
    <w:rsid w:val="096F713B"/>
    <w:rsid w:val="09744D54"/>
    <w:rsid w:val="09772BD9"/>
    <w:rsid w:val="09795283"/>
    <w:rsid w:val="097A4477"/>
    <w:rsid w:val="097E5C8C"/>
    <w:rsid w:val="097E7AC3"/>
    <w:rsid w:val="098175B4"/>
    <w:rsid w:val="09866978"/>
    <w:rsid w:val="098708AE"/>
    <w:rsid w:val="0988684E"/>
    <w:rsid w:val="098A290C"/>
    <w:rsid w:val="09926C3F"/>
    <w:rsid w:val="099343EE"/>
    <w:rsid w:val="09970B85"/>
    <w:rsid w:val="099B68C7"/>
    <w:rsid w:val="09A10CB8"/>
    <w:rsid w:val="09A11A04"/>
    <w:rsid w:val="09A137B2"/>
    <w:rsid w:val="09A66A4D"/>
    <w:rsid w:val="09AF3FF1"/>
    <w:rsid w:val="09B2776D"/>
    <w:rsid w:val="09B41737"/>
    <w:rsid w:val="09B5177D"/>
    <w:rsid w:val="09BA00EB"/>
    <w:rsid w:val="09BB20BA"/>
    <w:rsid w:val="09BD7274"/>
    <w:rsid w:val="09C26DEF"/>
    <w:rsid w:val="09C3084B"/>
    <w:rsid w:val="09C315DC"/>
    <w:rsid w:val="09C37BCC"/>
    <w:rsid w:val="09C63218"/>
    <w:rsid w:val="09C83435"/>
    <w:rsid w:val="09CA0F5B"/>
    <w:rsid w:val="09CA5B4D"/>
    <w:rsid w:val="09CD45A7"/>
    <w:rsid w:val="09CF6571"/>
    <w:rsid w:val="09D33FF0"/>
    <w:rsid w:val="09DA1B8B"/>
    <w:rsid w:val="09E244F6"/>
    <w:rsid w:val="09E65669"/>
    <w:rsid w:val="09E761E6"/>
    <w:rsid w:val="09E85132"/>
    <w:rsid w:val="09EA33AB"/>
    <w:rsid w:val="09EF276F"/>
    <w:rsid w:val="09EF451D"/>
    <w:rsid w:val="09F1329C"/>
    <w:rsid w:val="09F20147"/>
    <w:rsid w:val="09F61D50"/>
    <w:rsid w:val="09F70366"/>
    <w:rsid w:val="09F71624"/>
    <w:rsid w:val="09FA032F"/>
    <w:rsid w:val="09FE6CA1"/>
    <w:rsid w:val="09FE6E56"/>
    <w:rsid w:val="09FE75F3"/>
    <w:rsid w:val="0A033C45"/>
    <w:rsid w:val="0A060E4D"/>
    <w:rsid w:val="0A0855DF"/>
    <w:rsid w:val="0A1002DE"/>
    <w:rsid w:val="0A183EA3"/>
    <w:rsid w:val="0A1B17B6"/>
    <w:rsid w:val="0A1B3564"/>
    <w:rsid w:val="0A1F46F4"/>
    <w:rsid w:val="0A1F7EE8"/>
    <w:rsid w:val="0A20501F"/>
    <w:rsid w:val="0A206DCD"/>
    <w:rsid w:val="0A2148F3"/>
    <w:rsid w:val="0A263993"/>
    <w:rsid w:val="0A285C81"/>
    <w:rsid w:val="0A2955CC"/>
    <w:rsid w:val="0A2D3298"/>
    <w:rsid w:val="0A2D3AC2"/>
    <w:rsid w:val="0A2F1568"/>
    <w:rsid w:val="0A2F1A39"/>
    <w:rsid w:val="0A343BE8"/>
    <w:rsid w:val="0A3463D4"/>
    <w:rsid w:val="0A396D80"/>
    <w:rsid w:val="0A430E0F"/>
    <w:rsid w:val="0A434869"/>
    <w:rsid w:val="0A4707FD"/>
    <w:rsid w:val="0A4800D1"/>
    <w:rsid w:val="0A4F320E"/>
    <w:rsid w:val="0A544CC8"/>
    <w:rsid w:val="0A560A40"/>
    <w:rsid w:val="0A570314"/>
    <w:rsid w:val="0A57754B"/>
    <w:rsid w:val="0A5B0944"/>
    <w:rsid w:val="0A6C034F"/>
    <w:rsid w:val="0A6C3DC0"/>
    <w:rsid w:val="0A7333A0"/>
    <w:rsid w:val="0A742C74"/>
    <w:rsid w:val="0A79028B"/>
    <w:rsid w:val="0A7A46D0"/>
    <w:rsid w:val="0A7B04A7"/>
    <w:rsid w:val="0A7B4003"/>
    <w:rsid w:val="0A7D5FCD"/>
    <w:rsid w:val="0A825391"/>
    <w:rsid w:val="0A834C59"/>
    <w:rsid w:val="0A8455AD"/>
    <w:rsid w:val="0A85631C"/>
    <w:rsid w:val="0A880C8F"/>
    <w:rsid w:val="0A894972"/>
    <w:rsid w:val="0A8C7CD5"/>
    <w:rsid w:val="0A913826"/>
    <w:rsid w:val="0A924382"/>
    <w:rsid w:val="0A935528"/>
    <w:rsid w:val="0A9652E1"/>
    <w:rsid w:val="0AA03A6A"/>
    <w:rsid w:val="0AA07F0D"/>
    <w:rsid w:val="0AA35401"/>
    <w:rsid w:val="0AA6251B"/>
    <w:rsid w:val="0AA71FBE"/>
    <w:rsid w:val="0AA755DF"/>
    <w:rsid w:val="0AAB0D8C"/>
    <w:rsid w:val="0AAB5B0D"/>
    <w:rsid w:val="0AAC7D0D"/>
    <w:rsid w:val="0AAE0E6D"/>
    <w:rsid w:val="0AAE14FD"/>
    <w:rsid w:val="0AAE5A3B"/>
    <w:rsid w:val="0AAF5AB2"/>
    <w:rsid w:val="0AB063A2"/>
    <w:rsid w:val="0AB15C77"/>
    <w:rsid w:val="0AB37C41"/>
    <w:rsid w:val="0AB539B9"/>
    <w:rsid w:val="0AB85257"/>
    <w:rsid w:val="0ABB4D47"/>
    <w:rsid w:val="0ABD461B"/>
    <w:rsid w:val="0AC05EBA"/>
    <w:rsid w:val="0AC47DDC"/>
    <w:rsid w:val="0AC515BB"/>
    <w:rsid w:val="0AC534D0"/>
    <w:rsid w:val="0AC57974"/>
    <w:rsid w:val="0AC839D5"/>
    <w:rsid w:val="0AC91212"/>
    <w:rsid w:val="0ACE1341"/>
    <w:rsid w:val="0AD55E09"/>
    <w:rsid w:val="0AEB573E"/>
    <w:rsid w:val="0AEC3153"/>
    <w:rsid w:val="0AF04447"/>
    <w:rsid w:val="0AF3628F"/>
    <w:rsid w:val="0AF81AF7"/>
    <w:rsid w:val="0AF938F6"/>
    <w:rsid w:val="0AF95A7B"/>
    <w:rsid w:val="0AFE0DCE"/>
    <w:rsid w:val="0B024724"/>
    <w:rsid w:val="0B093D05"/>
    <w:rsid w:val="0B112BB9"/>
    <w:rsid w:val="0B120D44"/>
    <w:rsid w:val="0B1A3243"/>
    <w:rsid w:val="0B1C57E6"/>
    <w:rsid w:val="0B1D59CE"/>
    <w:rsid w:val="0B21104E"/>
    <w:rsid w:val="0B27418B"/>
    <w:rsid w:val="0B2F0960"/>
    <w:rsid w:val="0B304DED"/>
    <w:rsid w:val="0B332B30"/>
    <w:rsid w:val="0B355638"/>
    <w:rsid w:val="0B374BED"/>
    <w:rsid w:val="0B386398"/>
    <w:rsid w:val="0B3A3EBE"/>
    <w:rsid w:val="0B3A5C6C"/>
    <w:rsid w:val="0B3B5CD0"/>
    <w:rsid w:val="0B3F14D4"/>
    <w:rsid w:val="0B3F3282"/>
    <w:rsid w:val="0B416FFB"/>
    <w:rsid w:val="0B424B21"/>
    <w:rsid w:val="0B462863"/>
    <w:rsid w:val="0B472137"/>
    <w:rsid w:val="0B4755FC"/>
    <w:rsid w:val="0B4844F7"/>
    <w:rsid w:val="0B505490"/>
    <w:rsid w:val="0B554854"/>
    <w:rsid w:val="0B584344"/>
    <w:rsid w:val="0B5F1B77"/>
    <w:rsid w:val="0B634B20"/>
    <w:rsid w:val="0B64718D"/>
    <w:rsid w:val="0B662F05"/>
    <w:rsid w:val="0B666A61"/>
    <w:rsid w:val="0B6947A3"/>
    <w:rsid w:val="0B6D2CDE"/>
    <w:rsid w:val="0B7373D0"/>
    <w:rsid w:val="0B745622"/>
    <w:rsid w:val="0B7531D8"/>
    <w:rsid w:val="0B7D1FFD"/>
    <w:rsid w:val="0B7D32E8"/>
    <w:rsid w:val="0B7F258B"/>
    <w:rsid w:val="0B7F5D75"/>
    <w:rsid w:val="0B811AED"/>
    <w:rsid w:val="0B815649"/>
    <w:rsid w:val="0B845139"/>
    <w:rsid w:val="0B864448"/>
    <w:rsid w:val="0B865355"/>
    <w:rsid w:val="0B882E7B"/>
    <w:rsid w:val="0B884C29"/>
    <w:rsid w:val="0B8B20B1"/>
    <w:rsid w:val="0B8B296C"/>
    <w:rsid w:val="0B8C1377"/>
    <w:rsid w:val="0B8E5FB8"/>
    <w:rsid w:val="0B957346"/>
    <w:rsid w:val="0B973A2F"/>
    <w:rsid w:val="0B980E3B"/>
    <w:rsid w:val="0B982A44"/>
    <w:rsid w:val="0B9B5B64"/>
    <w:rsid w:val="0B9D61FB"/>
    <w:rsid w:val="0B9F1F73"/>
    <w:rsid w:val="0BA04753"/>
    <w:rsid w:val="0BA61097"/>
    <w:rsid w:val="0BA63302"/>
    <w:rsid w:val="0BA650B0"/>
    <w:rsid w:val="0BAB0918"/>
    <w:rsid w:val="0BAD643E"/>
    <w:rsid w:val="0BAE4F74"/>
    <w:rsid w:val="0BAF665A"/>
    <w:rsid w:val="0BB43C70"/>
    <w:rsid w:val="0BB71100"/>
    <w:rsid w:val="0BBC5CBC"/>
    <w:rsid w:val="0BC1013B"/>
    <w:rsid w:val="0BCA5413"/>
    <w:rsid w:val="0BD0037E"/>
    <w:rsid w:val="0BD01216"/>
    <w:rsid w:val="0BD240F7"/>
    <w:rsid w:val="0BD27BF6"/>
    <w:rsid w:val="0BD47E6F"/>
    <w:rsid w:val="0BD55995"/>
    <w:rsid w:val="0BD7166A"/>
    <w:rsid w:val="0BD7795F"/>
    <w:rsid w:val="0BD97609"/>
    <w:rsid w:val="0BDE2A9B"/>
    <w:rsid w:val="0BDF05C2"/>
    <w:rsid w:val="0BE300B2"/>
    <w:rsid w:val="0BE77385"/>
    <w:rsid w:val="0BEB340A"/>
    <w:rsid w:val="0BF202F5"/>
    <w:rsid w:val="0BF71E7D"/>
    <w:rsid w:val="0BF978D5"/>
    <w:rsid w:val="0C004C5B"/>
    <w:rsid w:val="0C005ABF"/>
    <w:rsid w:val="0C012C2E"/>
    <w:rsid w:val="0C01678A"/>
    <w:rsid w:val="0C03009E"/>
    <w:rsid w:val="0C036249"/>
    <w:rsid w:val="0C0736A9"/>
    <w:rsid w:val="0C0A3890"/>
    <w:rsid w:val="0C0A5DFC"/>
    <w:rsid w:val="0C1313AE"/>
    <w:rsid w:val="0C142961"/>
    <w:rsid w:val="0C1C1DCA"/>
    <w:rsid w:val="0C1C520A"/>
    <w:rsid w:val="0C1E0CB3"/>
    <w:rsid w:val="0C222CFD"/>
    <w:rsid w:val="0C232BA4"/>
    <w:rsid w:val="0C234952"/>
    <w:rsid w:val="0C2A0948"/>
    <w:rsid w:val="0C2A7A8F"/>
    <w:rsid w:val="0C2B1A59"/>
    <w:rsid w:val="0C322DE7"/>
    <w:rsid w:val="0C3B3C7D"/>
    <w:rsid w:val="0C3C461F"/>
    <w:rsid w:val="0C421724"/>
    <w:rsid w:val="0C432E74"/>
    <w:rsid w:val="0C46551C"/>
    <w:rsid w:val="0C476893"/>
    <w:rsid w:val="0C48260B"/>
    <w:rsid w:val="0C4843B9"/>
    <w:rsid w:val="0C4C3EA9"/>
    <w:rsid w:val="0C4E067E"/>
    <w:rsid w:val="0C4E7DBD"/>
    <w:rsid w:val="0C4F3999"/>
    <w:rsid w:val="0C58208C"/>
    <w:rsid w:val="0C5B2FCE"/>
    <w:rsid w:val="0C5C7E64"/>
    <w:rsid w:val="0C5E1E2E"/>
    <w:rsid w:val="0C687599"/>
    <w:rsid w:val="0C6C43F7"/>
    <w:rsid w:val="0C6F5DE9"/>
    <w:rsid w:val="0C733FA8"/>
    <w:rsid w:val="0C7634FF"/>
    <w:rsid w:val="0C7751F3"/>
    <w:rsid w:val="0C7C45D5"/>
    <w:rsid w:val="0C8353F1"/>
    <w:rsid w:val="0C847BF0"/>
    <w:rsid w:val="0C8573BB"/>
    <w:rsid w:val="0C863A0B"/>
    <w:rsid w:val="0C886C9D"/>
    <w:rsid w:val="0C8E44C1"/>
    <w:rsid w:val="0C8F1FE8"/>
    <w:rsid w:val="0C945850"/>
    <w:rsid w:val="0C950E31"/>
    <w:rsid w:val="0C985340"/>
    <w:rsid w:val="0C9910B8"/>
    <w:rsid w:val="0CA05D40"/>
    <w:rsid w:val="0CA352C8"/>
    <w:rsid w:val="0CA35A93"/>
    <w:rsid w:val="0CAB2EAE"/>
    <w:rsid w:val="0CAC0DEC"/>
    <w:rsid w:val="0CAC4948"/>
    <w:rsid w:val="0CAE6912"/>
    <w:rsid w:val="0CB0762B"/>
    <w:rsid w:val="0CB8153E"/>
    <w:rsid w:val="0CB90E13"/>
    <w:rsid w:val="0CB97065"/>
    <w:rsid w:val="0CBA1929"/>
    <w:rsid w:val="0CC021A1"/>
    <w:rsid w:val="0CC2401A"/>
    <w:rsid w:val="0CC954FA"/>
    <w:rsid w:val="0CCA6C8C"/>
    <w:rsid w:val="0CCB4B63"/>
    <w:rsid w:val="0CCD74A5"/>
    <w:rsid w:val="0CCF3824"/>
    <w:rsid w:val="0CD345CA"/>
    <w:rsid w:val="0CD7229F"/>
    <w:rsid w:val="0CD76670"/>
    <w:rsid w:val="0CDC3332"/>
    <w:rsid w:val="0CDD0FA5"/>
    <w:rsid w:val="0CDE7168"/>
    <w:rsid w:val="0CE045F1"/>
    <w:rsid w:val="0CE20369"/>
    <w:rsid w:val="0CE560AB"/>
    <w:rsid w:val="0CE95B9C"/>
    <w:rsid w:val="0CEE61C4"/>
    <w:rsid w:val="0CF956B3"/>
    <w:rsid w:val="0CFB142B"/>
    <w:rsid w:val="0CFF716D"/>
    <w:rsid w:val="0D026C5D"/>
    <w:rsid w:val="0D0504FC"/>
    <w:rsid w:val="0D0B144E"/>
    <w:rsid w:val="0D0E115E"/>
    <w:rsid w:val="0D0F271F"/>
    <w:rsid w:val="0D0F4ED6"/>
    <w:rsid w:val="0D1349C7"/>
    <w:rsid w:val="0D142104"/>
    <w:rsid w:val="0D1606D7"/>
    <w:rsid w:val="0D164953"/>
    <w:rsid w:val="0D167843"/>
    <w:rsid w:val="0D1813BA"/>
    <w:rsid w:val="0D187D22"/>
    <w:rsid w:val="0D1B1ACD"/>
    <w:rsid w:val="0D215B8E"/>
    <w:rsid w:val="0D235A4F"/>
    <w:rsid w:val="0D237032"/>
    <w:rsid w:val="0D291DA3"/>
    <w:rsid w:val="0D2D522C"/>
    <w:rsid w:val="0D2E1801"/>
    <w:rsid w:val="0D2E35AF"/>
    <w:rsid w:val="0D3037CB"/>
    <w:rsid w:val="0D3112F1"/>
    <w:rsid w:val="0D336E17"/>
    <w:rsid w:val="0D3606B5"/>
    <w:rsid w:val="0D3B1B72"/>
    <w:rsid w:val="0D3F3B5F"/>
    <w:rsid w:val="0D3F756A"/>
    <w:rsid w:val="0D405202"/>
    <w:rsid w:val="0D4071B1"/>
    <w:rsid w:val="0D434FE4"/>
    <w:rsid w:val="0D441024"/>
    <w:rsid w:val="0D464D9C"/>
    <w:rsid w:val="0D483549"/>
    <w:rsid w:val="0D4B23B2"/>
    <w:rsid w:val="0D591E15"/>
    <w:rsid w:val="0D621C7D"/>
    <w:rsid w:val="0D645222"/>
    <w:rsid w:val="0D6B4803"/>
    <w:rsid w:val="0D6C3380"/>
    <w:rsid w:val="0D6E7E4F"/>
    <w:rsid w:val="0D705975"/>
    <w:rsid w:val="0D7511DD"/>
    <w:rsid w:val="0D782A7C"/>
    <w:rsid w:val="0D7E1B1D"/>
    <w:rsid w:val="0D811433"/>
    <w:rsid w:val="0D813912"/>
    <w:rsid w:val="0D817B82"/>
    <w:rsid w:val="0D84493F"/>
    <w:rsid w:val="0D933D59"/>
    <w:rsid w:val="0D951880"/>
    <w:rsid w:val="0D991A7F"/>
    <w:rsid w:val="0DA408D3"/>
    <w:rsid w:val="0DA41AC3"/>
    <w:rsid w:val="0DA47D15"/>
    <w:rsid w:val="0DA67E5A"/>
    <w:rsid w:val="0DA970D9"/>
    <w:rsid w:val="0DAB10A3"/>
    <w:rsid w:val="0DB02216"/>
    <w:rsid w:val="0DB02FF3"/>
    <w:rsid w:val="0DB22432"/>
    <w:rsid w:val="0DB5782C"/>
    <w:rsid w:val="0DB735A4"/>
    <w:rsid w:val="0DB86146"/>
    <w:rsid w:val="0DBA6D92"/>
    <w:rsid w:val="0DBB7938"/>
    <w:rsid w:val="0DBC505E"/>
    <w:rsid w:val="0DBD5DF4"/>
    <w:rsid w:val="0DBE4B1B"/>
    <w:rsid w:val="0DC363ED"/>
    <w:rsid w:val="0DC57273"/>
    <w:rsid w:val="0DC61A39"/>
    <w:rsid w:val="0DC950AB"/>
    <w:rsid w:val="0DCE08EE"/>
    <w:rsid w:val="0DD01B82"/>
    <w:rsid w:val="0DD423A8"/>
    <w:rsid w:val="0DD71E98"/>
    <w:rsid w:val="0DDB0985"/>
    <w:rsid w:val="0DDC125D"/>
    <w:rsid w:val="0DDC6028"/>
    <w:rsid w:val="0DDF0D4D"/>
    <w:rsid w:val="0DDF2AFB"/>
    <w:rsid w:val="0DE36A62"/>
    <w:rsid w:val="0DE819AF"/>
    <w:rsid w:val="0DED16BC"/>
    <w:rsid w:val="0DF02AC4"/>
    <w:rsid w:val="0DF12AD3"/>
    <w:rsid w:val="0DF2282E"/>
    <w:rsid w:val="0DF30D4B"/>
    <w:rsid w:val="0DF43158"/>
    <w:rsid w:val="0DF60895"/>
    <w:rsid w:val="0DFB0103"/>
    <w:rsid w:val="0DFE424A"/>
    <w:rsid w:val="0E042561"/>
    <w:rsid w:val="0E082052"/>
    <w:rsid w:val="0E083E00"/>
    <w:rsid w:val="0E0A5DCA"/>
    <w:rsid w:val="0E0B38F0"/>
    <w:rsid w:val="0E0D1416"/>
    <w:rsid w:val="0E100F06"/>
    <w:rsid w:val="0E1346F4"/>
    <w:rsid w:val="0E1409F6"/>
    <w:rsid w:val="0E194F31"/>
    <w:rsid w:val="0E1B67AA"/>
    <w:rsid w:val="0E1C78AB"/>
    <w:rsid w:val="0E1E7AC7"/>
    <w:rsid w:val="0E1F739B"/>
    <w:rsid w:val="0E236A3E"/>
    <w:rsid w:val="0E2624D8"/>
    <w:rsid w:val="0E2737AE"/>
    <w:rsid w:val="0E29397C"/>
    <w:rsid w:val="0E2A646C"/>
    <w:rsid w:val="0E321257"/>
    <w:rsid w:val="0E340CB9"/>
    <w:rsid w:val="0E3453D2"/>
    <w:rsid w:val="0E353C3B"/>
    <w:rsid w:val="0E372937"/>
    <w:rsid w:val="0E3869E3"/>
    <w:rsid w:val="0E395454"/>
    <w:rsid w:val="0E3966AF"/>
    <w:rsid w:val="0E3C619F"/>
    <w:rsid w:val="0E3E5A73"/>
    <w:rsid w:val="0E4017EB"/>
    <w:rsid w:val="0E417312"/>
    <w:rsid w:val="0E43308A"/>
    <w:rsid w:val="0E440BB0"/>
    <w:rsid w:val="0E4534B6"/>
    <w:rsid w:val="0E4806A0"/>
    <w:rsid w:val="0E4A4418"/>
    <w:rsid w:val="0E4D215A"/>
    <w:rsid w:val="0E515C60"/>
    <w:rsid w:val="0E544313"/>
    <w:rsid w:val="0E554C8F"/>
    <w:rsid w:val="0E562298"/>
    <w:rsid w:val="0E5868FB"/>
    <w:rsid w:val="0E5B241B"/>
    <w:rsid w:val="0E5E4367"/>
    <w:rsid w:val="0E6354DA"/>
    <w:rsid w:val="0E695DB1"/>
    <w:rsid w:val="0E6B5AF4"/>
    <w:rsid w:val="0E705A8D"/>
    <w:rsid w:val="0E71575C"/>
    <w:rsid w:val="0E727ADE"/>
    <w:rsid w:val="0E73034D"/>
    <w:rsid w:val="0E76520D"/>
    <w:rsid w:val="0E7D21DC"/>
    <w:rsid w:val="0E7E2314"/>
    <w:rsid w:val="0E7E40C2"/>
    <w:rsid w:val="0E87741A"/>
    <w:rsid w:val="0E8A0CB9"/>
    <w:rsid w:val="0E8D07A9"/>
    <w:rsid w:val="0E8E60D1"/>
    <w:rsid w:val="0E947D89"/>
    <w:rsid w:val="0E9658AF"/>
    <w:rsid w:val="0E9B6C94"/>
    <w:rsid w:val="0E9C09EC"/>
    <w:rsid w:val="0E9C6708"/>
    <w:rsid w:val="0E9F1EDC"/>
    <w:rsid w:val="0E9F3E09"/>
    <w:rsid w:val="0EA25651"/>
    <w:rsid w:val="0EA34998"/>
    <w:rsid w:val="0EA75CFA"/>
    <w:rsid w:val="0EA93835"/>
    <w:rsid w:val="0EAA1CD0"/>
    <w:rsid w:val="0EAA4EB7"/>
    <w:rsid w:val="0EAA66D7"/>
    <w:rsid w:val="0EAC3B1F"/>
    <w:rsid w:val="0EBB1E9B"/>
    <w:rsid w:val="0EBB37EE"/>
    <w:rsid w:val="0EC046DA"/>
    <w:rsid w:val="0EC35F79"/>
    <w:rsid w:val="0EC57F43"/>
    <w:rsid w:val="0EC81817"/>
    <w:rsid w:val="0EC95C85"/>
    <w:rsid w:val="0EC97353"/>
    <w:rsid w:val="0ECA37AB"/>
    <w:rsid w:val="0ECA7307"/>
    <w:rsid w:val="0ECA7500"/>
    <w:rsid w:val="0ED2520F"/>
    <w:rsid w:val="0ED308B1"/>
    <w:rsid w:val="0ED40186"/>
    <w:rsid w:val="0ED63EFE"/>
    <w:rsid w:val="0ED97170"/>
    <w:rsid w:val="0EDB32C2"/>
    <w:rsid w:val="0EE160C8"/>
    <w:rsid w:val="0EE17A34"/>
    <w:rsid w:val="0EE228A3"/>
    <w:rsid w:val="0EE26D46"/>
    <w:rsid w:val="0EE3661B"/>
    <w:rsid w:val="0EE46AFC"/>
    <w:rsid w:val="0EE63C63"/>
    <w:rsid w:val="0EE7435D"/>
    <w:rsid w:val="0EE7610B"/>
    <w:rsid w:val="0EEC1973"/>
    <w:rsid w:val="0EED4A7D"/>
    <w:rsid w:val="0EEF4FBF"/>
    <w:rsid w:val="0EF030FF"/>
    <w:rsid w:val="0EF44384"/>
    <w:rsid w:val="0EF549B6"/>
    <w:rsid w:val="0EF663A8"/>
    <w:rsid w:val="0EFA1939"/>
    <w:rsid w:val="0EFA4090"/>
    <w:rsid w:val="0F046CBD"/>
    <w:rsid w:val="0F06752C"/>
    <w:rsid w:val="0F06764E"/>
    <w:rsid w:val="0F074F68"/>
    <w:rsid w:val="0F094998"/>
    <w:rsid w:val="0F0A5D32"/>
    <w:rsid w:val="0F0B425C"/>
    <w:rsid w:val="0F0C1EE6"/>
    <w:rsid w:val="0F0D5446"/>
    <w:rsid w:val="0F0D6BEA"/>
    <w:rsid w:val="0F0E3698"/>
    <w:rsid w:val="0F0E7B3C"/>
    <w:rsid w:val="0F13775A"/>
    <w:rsid w:val="0F1669F0"/>
    <w:rsid w:val="0F1D1B2D"/>
    <w:rsid w:val="0F1F0A19"/>
    <w:rsid w:val="0F203B0D"/>
    <w:rsid w:val="0F205179"/>
    <w:rsid w:val="0F220B5F"/>
    <w:rsid w:val="0F220EF1"/>
    <w:rsid w:val="0F2365E1"/>
    <w:rsid w:val="0F242EBB"/>
    <w:rsid w:val="0F274759"/>
    <w:rsid w:val="0F2E5AE8"/>
    <w:rsid w:val="0F2E71B6"/>
    <w:rsid w:val="0F300B36"/>
    <w:rsid w:val="0F340C24"/>
    <w:rsid w:val="0F392184"/>
    <w:rsid w:val="0F3A448D"/>
    <w:rsid w:val="0F3C53C7"/>
    <w:rsid w:val="0F3C7675"/>
    <w:rsid w:val="0F3F3B86"/>
    <w:rsid w:val="0F40581B"/>
    <w:rsid w:val="0F452E31"/>
    <w:rsid w:val="0F4B669A"/>
    <w:rsid w:val="0F566DED"/>
    <w:rsid w:val="0F585998"/>
    <w:rsid w:val="0F5A0DB5"/>
    <w:rsid w:val="0F5A4B2F"/>
    <w:rsid w:val="0F5A68DD"/>
    <w:rsid w:val="0F5F45FE"/>
    <w:rsid w:val="0F6432FC"/>
    <w:rsid w:val="0F6C44B5"/>
    <w:rsid w:val="0F73174D"/>
    <w:rsid w:val="0F76123D"/>
    <w:rsid w:val="0F7718EE"/>
    <w:rsid w:val="0F784FB5"/>
    <w:rsid w:val="0F7B0F31"/>
    <w:rsid w:val="0F7D25CB"/>
    <w:rsid w:val="0F7F00F1"/>
    <w:rsid w:val="0F7F18EB"/>
    <w:rsid w:val="0F803E6A"/>
    <w:rsid w:val="0F8676D2"/>
    <w:rsid w:val="0F8B4CE8"/>
    <w:rsid w:val="0F9124C0"/>
    <w:rsid w:val="0F916077"/>
    <w:rsid w:val="0F96368D"/>
    <w:rsid w:val="0F9A112B"/>
    <w:rsid w:val="0F9B0CA3"/>
    <w:rsid w:val="0F9E6FA7"/>
    <w:rsid w:val="0FA233AC"/>
    <w:rsid w:val="0FA27856"/>
    <w:rsid w:val="0FA47B58"/>
    <w:rsid w:val="0FB87AA7"/>
    <w:rsid w:val="0FB96D88"/>
    <w:rsid w:val="0FBC10A0"/>
    <w:rsid w:val="0FBC30F4"/>
    <w:rsid w:val="0FBF485C"/>
    <w:rsid w:val="0FC34B1C"/>
    <w:rsid w:val="0FC6203C"/>
    <w:rsid w:val="0FCE0B27"/>
    <w:rsid w:val="0FCE2E27"/>
    <w:rsid w:val="0FD03043"/>
    <w:rsid w:val="0FD03282"/>
    <w:rsid w:val="0FD44A79"/>
    <w:rsid w:val="0FD85A54"/>
    <w:rsid w:val="0FD865A0"/>
    <w:rsid w:val="0FDD12BC"/>
    <w:rsid w:val="0FDD6C19"/>
    <w:rsid w:val="0FDF3BF3"/>
    <w:rsid w:val="0FDF6856"/>
    <w:rsid w:val="0FDF6DE2"/>
    <w:rsid w:val="0FEA03E5"/>
    <w:rsid w:val="0FEB18E2"/>
    <w:rsid w:val="0FED7751"/>
    <w:rsid w:val="0FEE6C5F"/>
    <w:rsid w:val="0FF56606"/>
    <w:rsid w:val="0FF705D0"/>
    <w:rsid w:val="0FF860F6"/>
    <w:rsid w:val="0FF94348"/>
    <w:rsid w:val="0FFB485C"/>
    <w:rsid w:val="0FFD18DA"/>
    <w:rsid w:val="0FFE195E"/>
    <w:rsid w:val="0FFF7484"/>
    <w:rsid w:val="100131FC"/>
    <w:rsid w:val="10013DD4"/>
    <w:rsid w:val="10020DC3"/>
    <w:rsid w:val="10021FC9"/>
    <w:rsid w:val="10030D22"/>
    <w:rsid w:val="100625C1"/>
    <w:rsid w:val="10095C86"/>
    <w:rsid w:val="100A7E2A"/>
    <w:rsid w:val="1010343F"/>
    <w:rsid w:val="10134CDE"/>
    <w:rsid w:val="10152804"/>
    <w:rsid w:val="101953C4"/>
    <w:rsid w:val="101C3B92"/>
    <w:rsid w:val="101E1E72"/>
    <w:rsid w:val="10240C99"/>
    <w:rsid w:val="10274F9A"/>
    <w:rsid w:val="102A1525"/>
    <w:rsid w:val="1030763E"/>
    <w:rsid w:val="10321608"/>
    <w:rsid w:val="103706A7"/>
    <w:rsid w:val="10390BE8"/>
    <w:rsid w:val="103E6140"/>
    <w:rsid w:val="1041305A"/>
    <w:rsid w:val="10435365"/>
    <w:rsid w:val="1045758D"/>
    <w:rsid w:val="104A6951"/>
    <w:rsid w:val="104B091B"/>
    <w:rsid w:val="104C2BCB"/>
    <w:rsid w:val="104F55CF"/>
    <w:rsid w:val="10505F32"/>
    <w:rsid w:val="105A46BB"/>
    <w:rsid w:val="105A6AE1"/>
    <w:rsid w:val="105F74AA"/>
    <w:rsid w:val="106169ED"/>
    <w:rsid w:val="10640EFB"/>
    <w:rsid w:val="1068327B"/>
    <w:rsid w:val="106D2F64"/>
    <w:rsid w:val="106E29B8"/>
    <w:rsid w:val="106F6659"/>
    <w:rsid w:val="10790FE5"/>
    <w:rsid w:val="107C6D27"/>
    <w:rsid w:val="107F4121"/>
    <w:rsid w:val="1081433D"/>
    <w:rsid w:val="108340FB"/>
    <w:rsid w:val="10863702"/>
    <w:rsid w:val="108A1444"/>
    <w:rsid w:val="108A31F2"/>
    <w:rsid w:val="108C51BC"/>
    <w:rsid w:val="108C6F6A"/>
    <w:rsid w:val="108F0808"/>
    <w:rsid w:val="108F6A5A"/>
    <w:rsid w:val="1090579E"/>
    <w:rsid w:val="10933536"/>
    <w:rsid w:val="10945E1E"/>
    <w:rsid w:val="10963F46"/>
    <w:rsid w:val="10964E8F"/>
    <w:rsid w:val="1097590F"/>
    <w:rsid w:val="109776BD"/>
    <w:rsid w:val="109852EA"/>
    <w:rsid w:val="109A0CCD"/>
    <w:rsid w:val="109C4CD3"/>
    <w:rsid w:val="10A047C3"/>
    <w:rsid w:val="10A118FD"/>
    <w:rsid w:val="10A143C7"/>
    <w:rsid w:val="10A32505"/>
    <w:rsid w:val="10A50CAE"/>
    <w:rsid w:val="10AC13BA"/>
    <w:rsid w:val="10AD196B"/>
    <w:rsid w:val="10B14AEE"/>
    <w:rsid w:val="10B14C22"/>
    <w:rsid w:val="10B63710"/>
    <w:rsid w:val="10B65D95"/>
    <w:rsid w:val="10B95885"/>
    <w:rsid w:val="10BC7123"/>
    <w:rsid w:val="10BD35C7"/>
    <w:rsid w:val="10BE4C49"/>
    <w:rsid w:val="10C20BDE"/>
    <w:rsid w:val="10C36704"/>
    <w:rsid w:val="10C75DB2"/>
    <w:rsid w:val="10C77FE7"/>
    <w:rsid w:val="10CD30DE"/>
    <w:rsid w:val="10D53900"/>
    <w:rsid w:val="10D63C69"/>
    <w:rsid w:val="10DC18BD"/>
    <w:rsid w:val="10DD5B5F"/>
    <w:rsid w:val="10DF2AE5"/>
    <w:rsid w:val="10E02E12"/>
    <w:rsid w:val="10E723F2"/>
    <w:rsid w:val="10E818A1"/>
    <w:rsid w:val="10EC5C5A"/>
    <w:rsid w:val="10F10820"/>
    <w:rsid w:val="10F171B9"/>
    <w:rsid w:val="10F25D7A"/>
    <w:rsid w:val="10F60887"/>
    <w:rsid w:val="10F66AD9"/>
    <w:rsid w:val="10F82343"/>
    <w:rsid w:val="10F93ED3"/>
    <w:rsid w:val="10FB40F0"/>
    <w:rsid w:val="10FD7E68"/>
    <w:rsid w:val="10FE14EA"/>
    <w:rsid w:val="10FE7AA1"/>
    <w:rsid w:val="110247D3"/>
    <w:rsid w:val="1102538C"/>
    <w:rsid w:val="11050ACA"/>
    <w:rsid w:val="1109680C"/>
    <w:rsid w:val="110A77C2"/>
    <w:rsid w:val="110F7B9B"/>
    <w:rsid w:val="11143D76"/>
    <w:rsid w:val="11162CD7"/>
    <w:rsid w:val="11171090"/>
    <w:rsid w:val="11182DC8"/>
    <w:rsid w:val="111B02EE"/>
    <w:rsid w:val="111C2F7A"/>
    <w:rsid w:val="1122167C"/>
    <w:rsid w:val="11234E2D"/>
    <w:rsid w:val="11254CC9"/>
    <w:rsid w:val="112B7416"/>
    <w:rsid w:val="112C7AF5"/>
    <w:rsid w:val="1131366D"/>
    <w:rsid w:val="11382C4E"/>
    <w:rsid w:val="113B44EC"/>
    <w:rsid w:val="113B6A1A"/>
    <w:rsid w:val="11401B02"/>
    <w:rsid w:val="11427629"/>
    <w:rsid w:val="11457119"/>
    <w:rsid w:val="114F14E4"/>
    <w:rsid w:val="11511F61"/>
    <w:rsid w:val="11512899"/>
    <w:rsid w:val="1153554D"/>
    <w:rsid w:val="11625F1D"/>
    <w:rsid w:val="11641C95"/>
    <w:rsid w:val="11651569"/>
    <w:rsid w:val="11665CA1"/>
    <w:rsid w:val="11687794"/>
    <w:rsid w:val="116C0AA4"/>
    <w:rsid w:val="116C6C61"/>
    <w:rsid w:val="116F23E8"/>
    <w:rsid w:val="11790ACA"/>
    <w:rsid w:val="117D384D"/>
    <w:rsid w:val="11800151"/>
    <w:rsid w:val="1182686E"/>
    <w:rsid w:val="11845235"/>
    <w:rsid w:val="118770D0"/>
    <w:rsid w:val="118A7ADB"/>
    <w:rsid w:val="118C4243"/>
    <w:rsid w:val="118F65E6"/>
    <w:rsid w:val="1191235E"/>
    <w:rsid w:val="1193257A"/>
    <w:rsid w:val="119341A2"/>
    <w:rsid w:val="119360D6"/>
    <w:rsid w:val="119A56B6"/>
    <w:rsid w:val="11A2456B"/>
    <w:rsid w:val="11A61B83"/>
    <w:rsid w:val="11A622AD"/>
    <w:rsid w:val="11AA3420"/>
    <w:rsid w:val="11AC0F46"/>
    <w:rsid w:val="11AE5779"/>
    <w:rsid w:val="11B541BA"/>
    <w:rsid w:val="11B5429E"/>
    <w:rsid w:val="11B80A1E"/>
    <w:rsid w:val="11BB562D"/>
    <w:rsid w:val="11BC387F"/>
    <w:rsid w:val="11BD2408"/>
    <w:rsid w:val="11BF511D"/>
    <w:rsid w:val="11C12C43"/>
    <w:rsid w:val="11C529F0"/>
    <w:rsid w:val="11C93442"/>
    <w:rsid w:val="11C95F9C"/>
    <w:rsid w:val="11CE3FD3"/>
    <w:rsid w:val="11D0732A"/>
    <w:rsid w:val="11D471CF"/>
    <w:rsid w:val="11DA1F57"/>
    <w:rsid w:val="11DA3D05"/>
    <w:rsid w:val="11DD1A47"/>
    <w:rsid w:val="11E22008"/>
    <w:rsid w:val="11E46932"/>
    <w:rsid w:val="11E55436"/>
    <w:rsid w:val="11E626AA"/>
    <w:rsid w:val="11EB7CC0"/>
    <w:rsid w:val="11EC6E3B"/>
    <w:rsid w:val="11F44DD4"/>
    <w:rsid w:val="11F96D38"/>
    <w:rsid w:val="11FD6FEC"/>
    <w:rsid w:val="11FF099D"/>
    <w:rsid w:val="12046915"/>
    <w:rsid w:val="12057475"/>
    <w:rsid w:val="120C7C36"/>
    <w:rsid w:val="120E39AF"/>
    <w:rsid w:val="120E7E53"/>
    <w:rsid w:val="12135D6D"/>
    <w:rsid w:val="12137217"/>
    <w:rsid w:val="12154213"/>
    <w:rsid w:val="1215457F"/>
    <w:rsid w:val="121645D8"/>
    <w:rsid w:val="12180EE5"/>
    <w:rsid w:val="121865DB"/>
    <w:rsid w:val="121C431D"/>
    <w:rsid w:val="12220029"/>
    <w:rsid w:val="12227E1C"/>
    <w:rsid w:val="122356AC"/>
    <w:rsid w:val="12241424"/>
    <w:rsid w:val="1226519C"/>
    <w:rsid w:val="1226647F"/>
    <w:rsid w:val="12303925"/>
    <w:rsid w:val="12307DC9"/>
    <w:rsid w:val="1234071A"/>
    <w:rsid w:val="12342B72"/>
    <w:rsid w:val="123478B9"/>
    <w:rsid w:val="1237541F"/>
    <w:rsid w:val="12380A2C"/>
    <w:rsid w:val="12411FD6"/>
    <w:rsid w:val="12432C07"/>
    <w:rsid w:val="124473D0"/>
    <w:rsid w:val="124A6DC8"/>
    <w:rsid w:val="124B69B1"/>
    <w:rsid w:val="12554B80"/>
    <w:rsid w:val="12582E7C"/>
    <w:rsid w:val="125A186E"/>
    <w:rsid w:val="125C6E10"/>
    <w:rsid w:val="125F3A56"/>
    <w:rsid w:val="12615F10"/>
    <w:rsid w:val="12641821"/>
    <w:rsid w:val="12643E93"/>
    <w:rsid w:val="126857B5"/>
    <w:rsid w:val="12696BAB"/>
    <w:rsid w:val="126D4B79"/>
    <w:rsid w:val="126E19A9"/>
    <w:rsid w:val="126F6B43"/>
    <w:rsid w:val="1272218F"/>
    <w:rsid w:val="12753A2E"/>
    <w:rsid w:val="12771554"/>
    <w:rsid w:val="127759F8"/>
    <w:rsid w:val="127777A6"/>
    <w:rsid w:val="127B4651"/>
    <w:rsid w:val="127C4DBC"/>
    <w:rsid w:val="127E6D86"/>
    <w:rsid w:val="1283439D"/>
    <w:rsid w:val="12881C08"/>
    <w:rsid w:val="1288550F"/>
    <w:rsid w:val="128B14A3"/>
    <w:rsid w:val="129739A4"/>
    <w:rsid w:val="1298482E"/>
    <w:rsid w:val="129A2ECD"/>
    <w:rsid w:val="129A3494"/>
    <w:rsid w:val="12A86FD9"/>
    <w:rsid w:val="12A90717"/>
    <w:rsid w:val="12AA7B7B"/>
    <w:rsid w:val="12B329C3"/>
    <w:rsid w:val="12B409FA"/>
    <w:rsid w:val="12BA662B"/>
    <w:rsid w:val="12C56763"/>
    <w:rsid w:val="12CA5B28"/>
    <w:rsid w:val="12D544CC"/>
    <w:rsid w:val="12D964D9"/>
    <w:rsid w:val="12E52961"/>
    <w:rsid w:val="12E65211"/>
    <w:rsid w:val="12E86732"/>
    <w:rsid w:val="12EC6B21"/>
    <w:rsid w:val="12F10346"/>
    <w:rsid w:val="12F2507E"/>
    <w:rsid w:val="12F45AF5"/>
    <w:rsid w:val="12F62F06"/>
    <w:rsid w:val="12F9465F"/>
    <w:rsid w:val="12FB3F33"/>
    <w:rsid w:val="12FB6C31"/>
    <w:rsid w:val="13012132"/>
    <w:rsid w:val="130645D2"/>
    <w:rsid w:val="13070B2A"/>
    <w:rsid w:val="13082AF4"/>
    <w:rsid w:val="130A1AF0"/>
    <w:rsid w:val="130B12A4"/>
    <w:rsid w:val="130B7EEE"/>
    <w:rsid w:val="130D010A"/>
    <w:rsid w:val="13111911"/>
    <w:rsid w:val="13145B25"/>
    <w:rsid w:val="13151109"/>
    <w:rsid w:val="1319260B"/>
    <w:rsid w:val="131E2317"/>
    <w:rsid w:val="132A0434"/>
    <w:rsid w:val="132C233E"/>
    <w:rsid w:val="132E2E40"/>
    <w:rsid w:val="1331204B"/>
    <w:rsid w:val="133135DB"/>
    <w:rsid w:val="133236CD"/>
    <w:rsid w:val="133832E8"/>
    <w:rsid w:val="13392190"/>
    <w:rsid w:val="133A6A8F"/>
    <w:rsid w:val="133E6515"/>
    <w:rsid w:val="13444297"/>
    <w:rsid w:val="13446F06"/>
    <w:rsid w:val="1346254F"/>
    <w:rsid w:val="13474DA3"/>
    <w:rsid w:val="13482EF0"/>
    <w:rsid w:val="134E074F"/>
    <w:rsid w:val="1351449B"/>
    <w:rsid w:val="13517FF7"/>
    <w:rsid w:val="135676BD"/>
    <w:rsid w:val="135950FD"/>
    <w:rsid w:val="135F19E2"/>
    <w:rsid w:val="13662116"/>
    <w:rsid w:val="13670789"/>
    <w:rsid w:val="136E1C65"/>
    <w:rsid w:val="1370280E"/>
    <w:rsid w:val="13714672"/>
    <w:rsid w:val="13786781"/>
    <w:rsid w:val="137E6912"/>
    <w:rsid w:val="137F2DB6"/>
    <w:rsid w:val="13806921"/>
    <w:rsid w:val="13874E0C"/>
    <w:rsid w:val="138A40EE"/>
    <w:rsid w:val="138C2C9D"/>
    <w:rsid w:val="138E4DA7"/>
    <w:rsid w:val="13924778"/>
    <w:rsid w:val="139323BD"/>
    <w:rsid w:val="13951726"/>
    <w:rsid w:val="1399374C"/>
    <w:rsid w:val="139D0ED0"/>
    <w:rsid w:val="139D4FEA"/>
    <w:rsid w:val="139D7F0F"/>
    <w:rsid w:val="139F5206"/>
    <w:rsid w:val="13A22598"/>
    <w:rsid w:val="13A9398F"/>
    <w:rsid w:val="13AB3BAB"/>
    <w:rsid w:val="13AD3F51"/>
    <w:rsid w:val="13AD6463"/>
    <w:rsid w:val="13AF3EEB"/>
    <w:rsid w:val="13BA0DB6"/>
    <w:rsid w:val="13BB36C2"/>
    <w:rsid w:val="13BF31B2"/>
    <w:rsid w:val="13C609E5"/>
    <w:rsid w:val="13CF3260"/>
    <w:rsid w:val="13D331F7"/>
    <w:rsid w:val="13D72FEA"/>
    <w:rsid w:val="13D84274"/>
    <w:rsid w:val="13DD7ADC"/>
    <w:rsid w:val="13E250F3"/>
    <w:rsid w:val="13E470BD"/>
    <w:rsid w:val="13E72709"/>
    <w:rsid w:val="13EC5F71"/>
    <w:rsid w:val="13EE372C"/>
    <w:rsid w:val="13F015BE"/>
    <w:rsid w:val="14004E57"/>
    <w:rsid w:val="140212F1"/>
    <w:rsid w:val="14071F8B"/>
    <w:rsid w:val="14074B59"/>
    <w:rsid w:val="14076907"/>
    <w:rsid w:val="1408243B"/>
    <w:rsid w:val="14096B23"/>
    <w:rsid w:val="140B1CD7"/>
    <w:rsid w:val="1410477D"/>
    <w:rsid w:val="141125DE"/>
    <w:rsid w:val="141334FE"/>
    <w:rsid w:val="14140A00"/>
    <w:rsid w:val="14150C68"/>
    <w:rsid w:val="141554C8"/>
    <w:rsid w:val="14171240"/>
    <w:rsid w:val="14184FB8"/>
    <w:rsid w:val="141A2ADF"/>
    <w:rsid w:val="141C258C"/>
    <w:rsid w:val="141C6857"/>
    <w:rsid w:val="14216C3A"/>
    <w:rsid w:val="142474B9"/>
    <w:rsid w:val="142868B8"/>
    <w:rsid w:val="14294AD0"/>
    <w:rsid w:val="142B4CEC"/>
    <w:rsid w:val="142C0494"/>
    <w:rsid w:val="142D3110"/>
    <w:rsid w:val="142F7A55"/>
    <w:rsid w:val="14333BA0"/>
    <w:rsid w:val="1433594E"/>
    <w:rsid w:val="143771ED"/>
    <w:rsid w:val="14396509"/>
    <w:rsid w:val="143A0A8B"/>
    <w:rsid w:val="14451738"/>
    <w:rsid w:val="144813FA"/>
    <w:rsid w:val="144A5D9E"/>
    <w:rsid w:val="144D4C62"/>
    <w:rsid w:val="144D6397"/>
    <w:rsid w:val="14537D9F"/>
    <w:rsid w:val="14557541"/>
    <w:rsid w:val="145C0F6E"/>
    <w:rsid w:val="145D29CB"/>
    <w:rsid w:val="145E6E6F"/>
    <w:rsid w:val="145F04F1"/>
    <w:rsid w:val="14641FAC"/>
    <w:rsid w:val="14643D5A"/>
    <w:rsid w:val="14665D24"/>
    <w:rsid w:val="146850FA"/>
    <w:rsid w:val="14693FA2"/>
    <w:rsid w:val="147072F3"/>
    <w:rsid w:val="147553B3"/>
    <w:rsid w:val="14787805"/>
    <w:rsid w:val="14794DDB"/>
    <w:rsid w:val="147A0B01"/>
    <w:rsid w:val="147A357D"/>
    <w:rsid w:val="147C5547"/>
    <w:rsid w:val="147F2942"/>
    <w:rsid w:val="148431E7"/>
    <w:rsid w:val="14847F58"/>
    <w:rsid w:val="14860174"/>
    <w:rsid w:val="14861F22"/>
    <w:rsid w:val="14863420"/>
    <w:rsid w:val="148B7538"/>
    <w:rsid w:val="148C3C1A"/>
    <w:rsid w:val="148D1784"/>
    <w:rsid w:val="14902DA1"/>
    <w:rsid w:val="14935A4E"/>
    <w:rsid w:val="1495152F"/>
    <w:rsid w:val="14956609"/>
    <w:rsid w:val="14983A03"/>
    <w:rsid w:val="149908D3"/>
    <w:rsid w:val="14991C55"/>
    <w:rsid w:val="14A02886"/>
    <w:rsid w:val="14A04AA9"/>
    <w:rsid w:val="14AA20B4"/>
    <w:rsid w:val="14AE1593"/>
    <w:rsid w:val="14B00D4D"/>
    <w:rsid w:val="14B1001D"/>
    <w:rsid w:val="14B20F69"/>
    <w:rsid w:val="14B367D3"/>
    <w:rsid w:val="14B4083D"/>
    <w:rsid w:val="14BA7E1E"/>
    <w:rsid w:val="14C111AC"/>
    <w:rsid w:val="14C33176"/>
    <w:rsid w:val="14C95F28"/>
    <w:rsid w:val="14CB202B"/>
    <w:rsid w:val="14CB44CC"/>
    <w:rsid w:val="14D733A0"/>
    <w:rsid w:val="14D94748"/>
    <w:rsid w:val="14DC1B42"/>
    <w:rsid w:val="14DD2C3C"/>
    <w:rsid w:val="14E153AA"/>
    <w:rsid w:val="14E46C49"/>
    <w:rsid w:val="14E632DA"/>
    <w:rsid w:val="14E74EAF"/>
    <w:rsid w:val="14E82BDD"/>
    <w:rsid w:val="14E909DB"/>
    <w:rsid w:val="14EF3F6B"/>
    <w:rsid w:val="14F34490"/>
    <w:rsid w:val="14F72E20"/>
    <w:rsid w:val="14FA3B77"/>
    <w:rsid w:val="14FA3EE2"/>
    <w:rsid w:val="14FC3F92"/>
    <w:rsid w:val="150115A9"/>
    <w:rsid w:val="15062716"/>
    <w:rsid w:val="150712B5"/>
    <w:rsid w:val="15080B89"/>
    <w:rsid w:val="15086354"/>
    <w:rsid w:val="150A66AF"/>
    <w:rsid w:val="15107A3E"/>
    <w:rsid w:val="151237B6"/>
    <w:rsid w:val="15153797"/>
    <w:rsid w:val="15155054"/>
    <w:rsid w:val="151632A6"/>
    <w:rsid w:val="15187A19"/>
    <w:rsid w:val="151B6B0E"/>
    <w:rsid w:val="15205468"/>
    <w:rsid w:val="152118C2"/>
    <w:rsid w:val="15237771"/>
    <w:rsid w:val="1525627F"/>
    <w:rsid w:val="15286142"/>
    <w:rsid w:val="1534372C"/>
    <w:rsid w:val="153616E3"/>
    <w:rsid w:val="15367B08"/>
    <w:rsid w:val="1537146E"/>
    <w:rsid w:val="15372F18"/>
    <w:rsid w:val="154020D1"/>
    <w:rsid w:val="15406575"/>
    <w:rsid w:val="154A2F50"/>
    <w:rsid w:val="154B2707"/>
    <w:rsid w:val="154E1A04"/>
    <w:rsid w:val="154E6766"/>
    <w:rsid w:val="154F0566"/>
    <w:rsid w:val="154F4A0A"/>
    <w:rsid w:val="15510782"/>
    <w:rsid w:val="155142DE"/>
    <w:rsid w:val="15516BAB"/>
    <w:rsid w:val="155344FA"/>
    <w:rsid w:val="15603C4A"/>
    <w:rsid w:val="15604521"/>
    <w:rsid w:val="156127C7"/>
    <w:rsid w:val="1565422D"/>
    <w:rsid w:val="15681628"/>
    <w:rsid w:val="15696D39"/>
    <w:rsid w:val="156A504C"/>
    <w:rsid w:val="156F29B6"/>
    <w:rsid w:val="15703383"/>
    <w:rsid w:val="15712BD2"/>
    <w:rsid w:val="157B37CD"/>
    <w:rsid w:val="157D3B2A"/>
    <w:rsid w:val="15802E15"/>
    <w:rsid w:val="158C2113"/>
    <w:rsid w:val="158D1A80"/>
    <w:rsid w:val="15961DF8"/>
    <w:rsid w:val="159643E7"/>
    <w:rsid w:val="159C41BD"/>
    <w:rsid w:val="159D39C7"/>
    <w:rsid w:val="15A3568B"/>
    <w:rsid w:val="15A543F6"/>
    <w:rsid w:val="15A611F9"/>
    <w:rsid w:val="15A72150"/>
    <w:rsid w:val="15A9236C"/>
    <w:rsid w:val="15AA7A35"/>
    <w:rsid w:val="15B13177"/>
    <w:rsid w:val="15B1441F"/>
    <w:rsid w:val="15B4486D"/>
    <w:rsid w:val="15B6280D"/>
    <w:rsid w:val="15B66837"/>
    <w:rsid w:val="15C2342E"/>
    <w:rsid w:val="15C303A3"/>
    <w:rsid w:val="15C34AB0"/>
    <w:rsid w:val="15C56A7A"/>
    <w:rsid w:val="15CE2D0A"/>
    <w:rsid w:val="15CF6BB0"/>
    <w:rsid w:val="15D1541F"/>
    <w:rsid w:val="15D466AF"/>
    <w:rsid w:val="15D46CBD"/>
    <w:rsid w:val="15D649A0"/>
    <w:rsid w:val="15D849FF"/>
    <w:rsid w:val="15DB629E"/>
    <w:rsid w:val="15DD5CFC"/>
    <w:rsid w:val="15E21563"/>
    <w:rsid w:val="15E300E0"/>
    <w:rsid w:val="15E3044B"/>
    <w:rsid w:val="15E62266"/>
    <w:rsid w:val="15E96C0C"/>
    <w:rsid w:val="15EC04AB"/>
    <w:rsid w:val="15EE4223"/>
    <w:rsid w:val="15EF58A5"/>
    <w:rsid w:val="15F1161D"/>
    <w:rsid w:val="15F5735F"/>
    <w:rsid w:val="15F61B2D"/>
    <w:rsid w:val="15F80BFE"/>
    <w:rsid w:val="15FD2AA2"/>
    <w:rsid w:val="15FD4466"/>
    <w:rsid w:val="160349AB"/>
    <w:rsid w:val="1606331B"/>
    <w:rsid w:val="16087E1D"/>
    <w:rsid w:val="160C7507"/>
    <w:rsid w:val="160F4043"/>
    <w:rsid w:val="161C2B3E"/>
    <w:rsid w:val="161E0D86"/>
    <w:rsid w:val="1626576B"/>
    <w:rsid w:val="16290DB7"/>
    <w:rsid w:val="162B56CB"/>
    <w:rsid w:val="16355BC9"/>
    <w:rsid w:val="163836F0"/>
    <w:rsid w:val="163B7F38"/>
    <w:rsid w:val="163C4DDE"/>
    <w:rsid w:val="163E14A2"/>
    <w:rsid w:val="163F4A7E"/>
    <w:rsid w:val="163F682C"/>
    <w:rsid w:val="164B6F7F"/>
    <w:rsid w:val="16504596"/>
    <w:rsid w:val="165247B2"/>
    <w:rsid w:val="1654783B"/>
    <w:rsid w:val="165916C2"/>
    <w:rsid w:val="165A3666"/>
    <w:rsid w:val="165B5A0B"/>
    <w:rsid w:val="165C118C"/>
    <w:rsid w:val="166401E6"/>
    <w:rsid w:val="1666025D"/>
    <w:rsid w:val="166827DF"/>
    <w:rsid w:val="1670755D"/>
    <w:rsid w:val="16721D4D"/>
    <w:rsid w:val="1675655A"/>
    <w:rsid w:val="1678091D"/>
    <w:rsid w:val="16783AEC"/>
    <w:rsid w:val="16791CF8"/>
    <w:rsid w:val="167C538B"/>
    <w:rsid w:val="167F131F"/>
    <w:rsid w:val="16810BF3"/>
    <w:rsid w:val="16816E45"/>
    <w:rsid w:val="16897AA8"/>
    <w:rsid w:val="168A6775"/>
    <w:rsid w:val="168D3A3C"/>
    <w:rsid w:val="168E50BE"/>
    <w:rsid w:val="16953304"/>
    <w:rsid w:val="169B2189"/>
    <w:rsid w:val="169B2A50"/>
    <w:rsid w:val="16A448E1"/>
    <w:rsid w:val="16A47A48"/>
    <w:rsid w:val="16A62408"/>
    <w:rsid w:val="16A7036B"/>
    <w:rsid w:val="16A86180"/>
    <w:rsid w:val="16AD19E8"/>
    <w:rsid w:val="16AD7ED1"/>
    <w:rsid w:val="16AE1F94"/>
    <w:rsid w:val="16B0772A"/>
    <w:rsid w:val="16B75B67"/>
    <w:rsid w:val="16BC4771"/>
    <w:rsid w:val="16BD20F3"/>
    <w:rsid w:val="16C15493"/>
    <w:rsid w:val="16C569DD"/>
    <w:rsid w:val="16C84A74"/>
    <w:rsid w:val="16D52CED"/>
    <w:rsid w:val="16D72F09"/>
    <w:rsid w:val="16DC051F"/>
    <w:rsid w:val="16DC22CD"/>
    <w:rsid w:val="16DC6599"/>
    <w:rsid w:val="16DD125A"/>
    <w:rsid w:val="16DE6045"/>
    <w:rsid w:val="16EC4928"/>
    <w:rsid w:val="16F13FCB"/>
    <w:rsid w:val="16F45869"/>
    <w:rsid w:val="16F87F55"/>
    <w:rsid w:val="16F969DB"/>
    <w:rsid w:val="1701104A"/>
    <w:rsid w:val="17011D34"/>
    <w:rsid w:val="17011ED8"/>
    <w:rsid w:val="17013AE2"/>
    <w:rsid w:val="17026ACC"/>
    <w:rsid w:val="17045380"/>
    <w:rsid w:val="170D2487"/>
    <w:rsid w:val="171001C9"/>
    <w:rsid w:val="17103863"/>
    <w:rsid w:val="17120B56"/>
    <w:rsid w:val="17125CEF"/>
    <w:rsid w:val="17127A9D"/>
    <w:rsid w:val="17142BD0"/>
    <w:rsid w:val="17163A31"/>
    <w:rsid w:val="17173305"/>
    <w:rsid w:val="1720040C"/>
    <w:rsid w:val="17242328"/>
    <w:rsid w:val="17252655"/>
    <w:rsid w:val="17254D7D"/>
    <w:rsid w:val="172A294C"/>
    <w:rsid w:val="172B0B5F"/>
    <w:rsid w:val="172D0D7B"/>
    <w:rsid w:val="173405BE"/>
    <w:rsid w:val="17347687"/>
    <w:rsid w:val="17367C2F"/>
    <w:rsid w:val="17385080"/>
    <w:rsid w:val="173A55C7"/>
    <w:rsid w:val="1740460A"/>
    <w:rsid w:val="17417E0B"/>
    <w:rsid w:val="174D4F79"/>
    <w:rsid w:val="17516817"/>
    <w:rsid w:val="17530F82"/>
    <w:rsid w:val="17546308"/>
    <w:rsid w:val="17550AD5"/>
    <w:rsid w:val="17553AE0"/>
    <w:rsid w:val="17577BA6"/>
    <w:rsid w:val="175932C8"/>
    <w:rsid w:val="17596F43"/>
    <w:rsid w:val="17602EFE"/>
    <w:rsid w:val="17606A5A"/>
    <w:rsid w:val="17607069"/>
    <w:rsid w:val="176076A5"/>
    <w:rsid w:val="17650169"/>
    <w:rsid w:val="17681DB3"/>
    <w:rsid w:val="176A6FE5"/>
    <w:rsid w:val="176A78D9"/>
    <w:rsid w:val="17701D14"/>
    <w:rsid w:val="17735226"/>
    <w:rsid w:val="17740758"/>
    <w:rsid w:val="17760F8C"/>
    <w:rsid w:val="177B4364"/>
    <w:rsid w:val="177C13BA"/>
    <w:rsid w:val="177E548D"/>
    <w:rsid w:val="178070FD"/>
    <w:rsid w:val="17822E75"/>
    <w:rsid w:val="17896C0C"/>
    <w:rsid w:val="178F10EE"/>
    <w:rsid w:val="17907E5E"/>
    <w:rsid w:val="17930621"/>
    <w:rsid w:val="17944BDB"/>
    <w:rsid w:val="1796529C"/>
    <w:rsid w:val="179901BE"/>
    <w:rsid w:val="17996410"/>
    <w:rsid w:val="179B5CE4"/>
    <w:rsid w:val="179D1A5D"/>
    <w:rsid w:val="179E7583"/>
    <w:rsid w:val="17A1086E"/>
    <w:rsid w:val="17A27073"/>
    <w:rsid w:val="17A70B2D"/>
    <w:rsid w:val="17A7505C"/>
    <w:rsid w:val="17A821AF"/>
    <w:rsid w:val="17B943BD"/>
    <w:rsid w:val="17BD5C5B"/>
    <w:rsid w:val="17BE0BF0"/>
    <w:rsid w:val="17C3207F"/>
    <w:rsid w:val="17CE0CD4"/>
    <w:rsid w:val="17D631C0"/>
    <w:rsid w:val="17D905BB"/>
    <w:rsid w:val="17DF7A1A"/>
    <w:rsid w:val="17E53404"/>
    <w:rsid w:val="17E63EC8"/>
    <w:rsid w:val="17EA27C8"/>
    <w:rsid w:val="17EF1B5C"/>
    <w:rsid w:val="17F17FFA"/>
    <w:rsid w:val="17FB7198"/>
    <w:rsid w:val="17FF6273"/>
    <w:rsid w:val="18010269"/>
    <w:rsid w:val="180169FF"/>
    <w:rsid w:val="18055854"/>
    <w:rsid w:val="18095344"/>
    <w:rsid w:val="180970F2"/>
    <w:rsid w:val="180B438F"/>
    <w:rsid w:val="180C68D7"/>
    <w:rsid w:val="180D7409"/>
    <w:rsid w:val="180F3786"/>
    <w:rsid w:val="181056DF"/>
    <w:rsid w:val="18106714"/>
    <w:rsid w:val="1811244B"/>
    <w:rsid w:val="181141F9"/>
    <w:rsid w:val="18142EE1"/>
    <w:rsid w:val="1815603A"/>
    <w:rsid w:val="181A539A"/>
    <w:rsid w:val="181B2E1C"/>
    <w:rsid w:val="181D2B9D"/>
    <w:rsid w:val="181E50BB"/>
    <w:rsid w:val="181F6915"/>
    <w:rsid w:val="18216F24"/>
    <w:rsid w:val="18234518"/>
    <w:rsid w:val="182A36DF"/>
    <w:rsid w:val="182B350C"/>
    <w:rsid w:val="182B589C"/>
    <w:rsid w:val="183103F7"/>
    <w:rsid w:val="18324341"/>
    <w:rsid w:val="18340143"/>
    <w:rsid w:val="18363C5F"/>
    <w:rsid w:val="183775BA"/>
    <w:rsid w:val="18381785"/>
    <w:rsid w:val="18383533"/>
    <w:rsid w:val="183923CC"/>
    <w:rsid w:val="183A09B0"/>
    <w:rsid w:val="18414D58"/>
    <w:rsid w:val="18455C50"/>
    <w:rsid w:val="18491BE4"/>
    <w:rsid w:val="18534811"/>
    <w:rsid w:val="185651DF"/>
    <w:rsid w:val="18592901"/>
    <w:rsid w:val="185D11EC"/>
    <w:rsid w:val="185F4F64"/>
    <w:rsid w:val="18607150"/>
    <w:rsid w:val="18615571"/>
    <w:rsid w:val="18626802"/>
    <w:rsid w:val="186500A0"/>
    <w:rsid w:val="18695DC6"/>
    <w:rsid w:val="186A3229"/>
    <w:rsid w:val="186D58D3"/>
    <w:rsid w:val="186E51A7"/>
    <w:rsid w:val="187325D8"/>
    <w:rsid w:val="1875452B"/>
    <w:rsid w:val="18770228"/>
    <w:rsid w:val="187C5B16"/>
    <w:rsid w:val="18836B72"/>
    <w:rsid w:val="1885001A"/>
    <w:rsid w:val="18890233"/>
    <w:rsid w:val="18891FE1"/>
    <w:rsid w:val="18894F20"/>
    <w:rsid w:val="188D32BC"/>
    <w:rsid w:val="18925339"/>
    <w:rsid w:val="18925EAF"/>
    <w:rsid w:val="189A5F9C"/>
    <w:rsid w:val="189F624C"/>
    <w:rsid w:val="18A23810"/>
    <w:rsid w:val="18A76679"/>
    <w:rsid w:val="18AD3F21"/>
    <w:rsid w:val="18AF5EEB"/>
    <w:rsid w:val="18B057C0"/>
    <w:rsid w:val="18B21538"/>
    <w:rsid w:val="18B51028"/>
    <w:rsid w:val="18B65219"/>
    <w:rsid w:val="18B74823"/>
    <w:rsid w:val="18BC2B7E"/>
    <w:rsid w:val="18BC4164"/>
    <w:rsid w:val="18BC6B72"/>
    <w:rsid w:val="18C13529"/>
    <w:rsid w:val="18C35E8F"/>
    <w:rsid w:val="18C80D5B"/>
    <w:rsid w:val="18CB084B"/>
    <w:rsid w:val="18D07C10"/>
    <w:rsid w:val="18D314AE"/>
    <w:rsid w:val="18D47700"/>
    <w:rsid w:val="18D53478"/>
    <w:rsid w:val="18D55226"/>
    <w:rsid w:val="18D72D4C"/>
    <w:rsid w:val="18DF34D5"/>
    <w:rsid w:val="18E45469"/>
    <w:rsid w:val="18E65685"/>
    <w:rsid w:val="18E762A1"/>
    <w:rsid w:val="18ED431E"/>
    <w:rsid w:val="18ED732C"/>
    <w:rsid w:val="18F0644B"/>
    <w:rsid w:val="18F23EAD"/>
    <w:rsid w:val="18F41B50"/>
    <w:rsid w:val="18F54C3F"/>
    <w:rsid w:val="18F953B8"/>
    <w:rsid w:val="18FA6A3B"/>
    <w:rsid w:val="1903037F"/>
    <w:rsid w:val="19037E5E"/>
    <w:rsid w:val="190434D7"/>
    <w:rsid w:val="19052A19"/>
    <w:rsid w:val="19094ED0"/>
    <w:rsid w:val="190F33D3"/>
    <w:rsid w:val="190F6432"/>
    <w:rsid w:val="191044B0"/>
    <w:rsid w:val="191127F1"/>
    <w:rsid w:val="19120228"/>
    <w:rsid w:val="1913483F"/>
    <w:rsid w:val="191F4337"/>
    <w:rsid w:val="19202945"/>
    <w:rsid w:val="192455D8"/>
    <w:rsid w:val="19263CD4"/>
    <w:rsid w:val="19297320"/>
    <w:rsid w:val="192A5572"/>
    <w:rsid w:val="192E7E81"/>
    <w:rsid w:val="192F4830"/>
    <w:rsid w:val="1930620A"/>
    <w:rsid w:val="193261D5"/>
    <w:rsid w:val="193463F1"/>
    <w:rsid w:val="19394190"/>
    <w:rsid w:val="193E2DCB"/>
    <w:rsid w:val="194505FE"/>
    <w:rsid w:val="19450901"/>
    <w:rsid w:val="19461C80"/>
    <w:rsid w:val="194B4A92"/>
    <w:rsid w:val="194D3FA9"/>
    <w:rsid w:val="194F4FD8"/>
    <w:rsid w:val="19540841"/>
    <w:rsid w:val="19560D8E"/>
    <w:rsid w:val="195645B9"/>
    <w:rsid w:val="19572765"/>
    <w:rsid w:val="19580697"/>
    <w:rsid w:val="195A572B"/>
    <w:rsid w:val="196548DC"/>
    <w:rsid w:val="19667E4D"/>
    <w:rsid w:val="19677412"/>
    <w:rsid w:val="19692B2C"/>
    <w:rsid w:val="19706CFD"/>
    <w:rsid w:val="19764CEA"/>
    <w:rsid w:val="197759B0"/>
    <w:rsid w:val="1980048D"/>
    <w:rsid w:val="19831126"/>
    <w:rsid w:val="19853E1D"/>
    <w:rsid w:val="19864975"/>
    <w:rsid w:val="198A6011"/>
    <w:rsid w:val="198B0CFD"/>
    <w:rsid w:val="19940C3D"/>
    <w:rsid w:val="19946F79"/>
    <w:rsid w:val="199D1016"/>
    <w:rsid w:val="19A97A12"/>
    <w:rsid w:val="19AC41D9"/>
    <w:rsid w:val="19AE3232"/>
    <w:rsid w:val="19AF3CC9"/>
    <w:rsid w:val="19AF5A77"/>
    <w:rsid w:val="19B47531"/>
    <w:rsid w:val="19B72B7E"/>
    <w:rsid w:val="19BC7892"/>
    <w:rsid w:val="19BE443D"/>
    <w:rsid w:val="19C1019B"/>
    <w:rsid w:val="19C71013"/>
    <w:rsid w:val="19C76EF5"/>
    <w:rsid w:val="19CE33AA"/>
    <w:rsid w:val="19CF7EC7"/>
    <w:rsid w:val="19D0048B"/>
    <w:rsid w:val="19D85778"/>
    <w:rsid w:val="19DE1D9F"/>
    <w:rsid w:val="19E535E5"/>
    <w:rsid w:val="19EB5B60"/>
    <w:rsid w:val="19ED659F"/>
    <w:rsid w:val="19EE47F1"/>
    <w:rsid w:val="19F45BB5"/>
    <w:rsid w:val="19F8672A"/>
    <w:rsid w:val="19F90548"/>
    <w:rsid w:val="19FB7430"/>
    <w:rsid w:val="19FF69FF"/>
    <w:rsid w:val="1A02029D"/>
    <w:rsid w:val="1A07140F"/>
    <w:rsid w:val="1A0D279E"/>
    <w:rsid w:val="1A0E6C42"/>
    <w:rsid w:val="1A0F4768"/>
    <w:rsid w:val="1A147B32"/>
    <w:rsid w:val="1A156DF2"/>
    <w:rsid w:val="1A1B310D"/>
    <w:rsid w:val="1A1C66C0"/>
    <w:rsid w:val="1A1F5FD3"/>
    <w:rsid w:val="1A227F1E"/>
    <w:rsid w:val="1A265328"/>
    <w:rsid w:val="1A2975D8"/>
    <w:rsid w:val="1A2A3350"/>
    <w:rsid w:val="1A2B60A0"/>
    <w:rsid w:val="1A2B77F4"/>
    <w:rsid w:val="1A2E4BEE"/>
    <w:rsid w:val="1A312930"/>
    <w:rsid w:val="1A33173A"/>
    <w:rsid w:val="1A34698A"/>
    <w:rsid w:val="1A383CBF"/>
    <w:rsid w:val="1A3B28F2"/>
    <w:rsid w:val="1A3F113F"/>
    <w:rsid w:val="1A3F6DFB"/>
    <w:rsid w:val="1A400DC5"/>
    <w:rsid w:val="1A42393B"/>
    <w:rsid w:val="1A4332F5"/>
    <w:rsid w:val="1A491A28"/>
    <w:rsid w:val="1A494CA3"/>
    <w:rsid w:val="1A50741F"/>
    <w:rsid w:val="1A512FD2"/>
    <w:rsid w:val="1A524EDB"/>
    <w:rsid w:val="1A53165A"/>
    <w:rsid w:val="1A581623"/>
    <w:rsid w:val="1A5D54D3"/>
    <w:rsid w:val="1A607F44"/>
    <w:rsid w:val="1A66082C"/>
    <w:rsid w:val="1A661FA5"/>
    <w:rsid w:val="1A665FD6"/>
    <w:rsid w:val="1A681208"/>
    <w:rsid w:val="1A6B4094"/>
    <w:rsid w:val="1A6C5A74"/>
    <w:rsid w:val="1A6E5932"/>
    <w:rsid w:val="1A705206"/>
    <w:rsid w:val="1A725422"/>
    <w:rsid w:val="1A76530F"/>
    <w:rsid w:val="1A766595"/>
    <w:rsid w:val="1A7C63DF"/>
    <w:rsid w:val="1A7D4805"/>
    <w:rsid w:val="1A8A3CB6"/>
    <w:rsid w:val="1A8B4C12"/>
    <w:rsid w:val="1A8C5D7F"/>
    <w:rsid w:val="1A8D59CC"/>
    <w:rsid w:val="1A922B15"/>
    <w:rsid w:val="1A961EAB"/>
    <w:rsid w:val="1A984139"/>
    <w:rsid w:val="1A98650B"/>
    <w:rsid w:val="1A9D6217"/>
    <w:rsid w:val="1A9F4E3A"/>
    <w:rsid w:val="1A9F5AEC"/>
    <w:rsid w:val="1AA02767"/>
    <w:rsid w:val="1AA41354"/>
    <w:rsid w:val="1AA81F13"/>
    <w:rsid w:val="1AAD45DE"/>
    <w:rsid w:val="1AAD645B"/>
    <w:rsid w:val="1AAE5D2F"/>
    <w:rsid w:val="1AAF1E51"/>
    <w:rsid w:val="1AB1581F"/>
    <w:rsid w:val="1AB2457E"/>
    <w:rsid w:val="1AB36802"/>
    <w:rsid w:val="1AB428A4"/>
    <w:rsid w:val="1ABF1CEA"/>
    <w:rsid w:val="1AC45552"/>
    <w:rsid w:val="1AC47300"/>
    <w:rsid w:val="1AC80305"/>
    <w:rsid w:val="1AC919EE"/>
    <w:rsid w:val="1ACC4407"/>
    <w:rsid w:val="1ACD2659"/>
    <w:rsid w:val="1AD03EF7"/>
    <w:rsid w:val="1AD339E7"/>
    <w:rsid w:val="1AD42ECA"/>
    <w:rsid w:val="1AD722FD"/>
    <w:rsid w:val="1AD80FFE"/>
    <w:rsid w:val="1ADD6614"/>
    <w:rsid w:val="1ADF05DE"/>
    <w:rsid w:val="1AE4362D"/>
    <w:rsid w:val="1AE92047"/>
    <w:rsid w:val="1AEB6F83"/>
    <w:rsid w:val="1AF37BE5"/>
    <w:rsid w:val="1AF44089"/>
    <w:rsid w:val="1AF52CBF"/>
    <w:rsid w:val="1AFA24DA"/>
    <w:rsid w:val="1AFD0A64"/>
    <w:rsid w:val="1B03494E"/>
    <w:rsid w:val="1B043BA1"/>
    <w:rsid w:val="1B046F80"/>
    <w:rsid w:val="1B0E2C71"/>
    <w:rsid w:val="1B0E43FD"/>
    <w:rsid w:val="1B0F65A5"/>
    <w:rsid w:val="1B1D1D36"/>
    <w:rsid w:val="1B252495"/>
    <w:rsid w:val="1B254F07"/>
    <w:rsid w:val="1B280C01"/>
    <w:rsid w:val="1B293607"/>
    <w:rsid w:val="1B2B3823"/>
    <w:rsid w:val="1B2B4D71"/>
    <w:rsid w:val="1B2E6E70"/>
    <w:rsid w:val="1B302BE8"/>
    <w:rsid w:val="1B3267B5"/>
    <w:rsid w:val="1B397CEE"/>
    <w:rsid w:val="1B3C158C"/>
    <w:rsid w:val="1B3E4FE8"/>
    <w:rsid w:val="1B40161D"/>
    <w:rsid w:val="1B415F06"/>
    <w:rsid w:val="1B441859"/>
    <w:rsid w:val="1B4A0C0E"/>
    <w:rsid w:val="1B4B7A22"/>
    <w:rsid w:val="1B4C03AB"/>
    <w:rsid w:val="1B4D379A"/>
    <w:rsid w:val="1B50328A"/>
    <w:rsid w:val="1B612DA1"/>
    <w:rsid w:val="1B634D6B"/>
    <w:rsid w:val="1B6606B1"/>
    <w:rsid w:val="1B6A434C"/>
    <w:rsid w:val="1B6D5A1B"/>
    <w:rsid w:val="1B6F54BE"/>
    <w:rsid w:val="1B753A0B"/>
    <w:rsid w:val="1B75684C"/>
    <w:rsid w:val="1B7C7BDB"/>
    <w:rsid w:val="1B7E3953"/>
    <w:rsid w:val="1B827018"/>
    <w:rsid w:val="1B83398A"/>
    <w:rsid w:val="1B8462B0"/>
    <w:rsid w:val="1B852F33"/>
    <w:rsid w:val="1B860A5A"/>
    <w:rsid w:val="1B862808"/>
    <w:rsid w:val="1B8847D2"/>
    <w:rsid w:val="1B8A22F8"/>
    <w:rsid w:val="1B8F3DB2"/>
    <w:rsid w:val="1B903686"/>
    <w:rsid w:val="1B944F25"/>
    <w:rsid w:val="1B99253B"/>
    <w:rsid w:val="1B9C64CF"/>
    <w:rsid w:val="1B9D0748"/>
    <w:rsid w:val="1BA01B1B"/>
    <w:rsid w:val="1BA07D6D"/>
    <w:rsid w:val="1BA11882"/>
    <w:rsid w:val="1BA1245C"/>
    <w:rsid w:val="1BA710FC"/>
    <w:rsid w:val="1BAA64F0"/>
    <w:rsid w:val="1BAC7578"/>
    <w:rsid w:val="1BAF7FB0"/>
    <w:rsid w:val="1BB0490C"/>
    <w:rsid w:val="1BB455C7"/>
    <w:rsid w:val="1BBC447B"/>
    <w:rsid w:val="1BBD091F"/>
    <w:rsid w:val="1BBD7F7F"/>
    <w:rsid w:val="1BC16A50"/>
    <w:rsid w:val="1BC16CEB"/>
    <w:rsid w:val="1BC3580A"/>
    <w:rsid w:val="1BC51582"/>
    <w:rsid w:val="1BC9697F"/>
    <w:rsid w:val="1BCA4DEA"/>
    <w:rsid w:val="1BCA780A"/>
    <w:rsid w:val="1BCD3F87"/>
    <w:rsid w:val="1BCF41AF"/>
    <w:rsid w:val="1BCF57C6"/>
    <w:rsid w:val="1BD01CD5"/>
    <w:rsid w:val="1BD11C33"/>
    <w:rsid w:val="1BD143CB"/>
    <w:rsid w:val="1BD712B5"/>
    <w:rsid w:val="1BDB0DA5"/>
    <w:rsid w:val="1BE37C5A"/>
    <w:rsid w:val="1BE61C24"/>
    <w:rsid w:val="1BE83F4F"/>
    <w:rsid w:val="1BEA7AFB"/>
    <w:rsid w:val="1BEC432A"/>
    <w:rsid w:val="1BEC4D61"/>
    <w:rsid w:val="1BEE6D2B"/>
    <w:rsid w:val="1BF0063C"/>
    <w:rsid w:val="1BF43C15"/>
    <w:rsid w:val="1BF81957"/>
    <w:rsid w:val="1BF9122C"/>
    <w:rsid w:val="1BFE4A94"/>
    <w:rsid w:val="1BFE605B"/>
    <w:rsid w:val="1C057024"/>
    <w:rsid w:val="1C071B9A"/>
    <w:rsid w:val="1C0952BE"/>
    <w:rsid w:val="1C0A3439"/>
    <w:rsid w:val="1C0A3E2F"/>
    <w:rsid w:val="1C0F0A4F"/>
    <w:rsid w:val="1C112A19"/>
    <w:rsid w:val="1C1222ED"/>
    <w:rsid w:val="1C1B5646"/>
    <w:rsid w:val="1C204A0A"/>
    <w:rsid w:val="1C241CDB"/>
    <w:rsid w:val="1C275D99"/>
    <w:rsid w:val="1C286DBE"/>
    <w:rsid w:val="1C295FB5"/>
    <w:rsid w:val="1C2C1601"/>
    <w:rsid w:val="1C2D7127"/>
    <w:rsid w:val="1C2F4C4D"/>
    <w:rsid w:val="1C300C67"/>
    <w:rsid w:val="1C330509"/>
    <w:rsid w:val="1C340123"/>
    <w:rsid w:val="1C35049D"/>
    <w:rsid w:val="1C367F01"/>
    <w:rsid w:val="1C3B1844"/>
    <w:rsid w:val="1C3B30F7"/>
    <w:rsid w:val="1C3E1334"/>
    <w:rsid w:val="1C4701E9"/>
    <w:rsid w:val="1C487F7F"/>
    <w:rsid w:val="1C4A7CD9"/>
    <w:rsid w:val="1C533A26"/>
    <w:rsid w:val="1C547A87"/>
    <w:rsid w:val="1C556FA9"/>
    <w:rsid w:val="1C56042C"/>
    <w:rsid w:val="1C563AE8"/>
    <w:rsid w:val="1C5841A4"/>
    <w:rsid w:val="1C5B1EE6"/>
    <w:rsid w:val="1C5E7925"/>
    <w:rsid w:val="1C625023"/>
    <w:rsid w:val="1C626DD1"/>
    <w:rsid w:val="1C636EF6"/>
    <w:rsid w:val="1C662D65"/>
    <w:rsid w:val="1C672639"/>
    <w:rsid w:val="1C676ADD"/>
    <w:rsid w:val="1C700838"/>
    <w:rsid w:val="1C7106F0"/>
    <w:rsid w:val="1C776FFB"/>
    <w:rsid w:val="1C780737"/>
    <w:rsid w:val="1C782A98"/>
    <w:rsid w:val="1C792170"/>
    <w:rsid w:val="1C797DA2"/>
    <w:rsid w:val="1C7A236C"/>
    <w:rsid w:val="1C7B1AED"/>
    <w:rsid w:val="1C80233F"/>
    <w:rsid w:val="1C8925AF"/>
    <w:rsid w:val="1C8B1061"/>
    <w:rsid w:val="1C8F7A67"/>
    <w:rsid w:val="1C9176B6"/>
    <w:rsid w:val="1C964CCC"/>
    <w:rsid w:val="1C9A2A0F"/>
    <w:rsid w:val="1C9C6787"/>
    <w:rsid w:val="1C9F0025"/>
    <w:rsid w:val="1CA73547"/>
    <w:rsid w:val="1CA90EA4"/>
    <w:rsid w:val="1CA91A36"/>
    <w:rsid w:val="1CA97497"/>
    <w:rsid w:val="1CAA1D08"/>
    <w:rsid w:val="1CB13434"/>
    <w:rsid w:val="1CB60B8D"/>
    <w:rsid w:val="1CB6536F"/>
    <w:rsid w:val="1CBA6C35"/>
    <w:rsid w:val="1CBD494F"/>
    <w:rsid w:val="1CBF41E0"/>
    <w:rsid w:val="1CC26FBD"/>
    <w:rsid w:val="1CC3102C"/>
    <w:rsid w:val="1CC47AB0"/>
    <w:rsid w:val="1CC9756C"/>
    <w:rsid w:val="1CCA64E5"/>
    <w:rsid w:val="1CCB5AB9"/>
    <w:rsid w:val="1CCE090A"/>
    <w:rsid w:val="1CD06430"/>
    <w:rsid w:val="1CD20756"/>
    <w:rsid w:val="1CD75A11"/>
    <w:rsid w:val="1CDA47DE"/>
    <w:rsid w:val="1CDC7B67"/>
    <w:rsid w:val="1CDD25B2"/>
    <w:rsid w:val="1CE036BC"/>
    <w:rsid w:val="1CE65C54"/>
    <w:rsid w:val="1CEB14BC"/>
    <w:rsid w:val="1CEC7B1E"/>
    <w:rsid w:val="1CF57C45"/>
    <w:rsid w:val="1CFA525B"/>
    <w:rsid w:val="1CFC7225"/>
    <w:rsid w:val="1CFD070F"/>
    <w:rsid w:val="1CFF2872"/>
    <w:rsid w:val="1D0216DB"/>
    <w:rsid w:val="1D0A6375"/>
    <w:rsid w:val="1D0E0AD6"/>
    <w:rsid w:val="1D0E0C56"/>
    <w:rsid w:val="1D0E0D07"/>
    <w:rsid w:val="1D1207F7"/>
    <w:rsid w:val="1D126A49"/>
    <w:rsid w:val="1D183933"/>
    <w:rsid w:val="1D1C1676"/>
    <w:rsid w:val="1D1C3424"/>
    <w:rsid w:val="1D1F1166"/>
    <w:rsid w:val="1D1F6BD8"/>
    <w:rsid w:val="1D222472"/>
    <w:rsid w:val="1D2828ED"/>
    <w:rsid w:val="1D290AAA"/>
    <w:rsid w:val="1D290F49"/>
    <w:rsid w:val="1D2A0873"/>
    <w:rsid w:val="1D2B18B9"/>
    <w:rsid w:val="1D3764AF"/>
    <w:rsid w:val="1D3958CF"/>
    <w:rsid w:val="1D3A79D1"/>
    <w:rsid w:val="1D413B98"/>
    <w:rsid w:val="1D44297A"/>
    <w:rsid w:val="1D4D7A81"/>
    <w:rsid w:val="1D50131F"/>
    <w:rsid w:val="1D556936"/>
    <w:rsid w:val="1D5759F2"/>
    <w:rsid w:val="1D587FEF"/>
    <w:rsid w:val="1D5A3F4C"/>
    <w:rsid w:val="1D5B04BF"/>
    <w:rsid w:val="1D5F6196"/>
    <w:rsid w:val="1D6132A5"/>
    <w:rsid w:val="1D692A07"/>
    <w:rsid w:val="1D6C77E5"/>
    <w:rsid w:val="1D70551D"/>
    <w:rsid w:val="1D7263D5"/>
    <w:rsid w:val="1D734456"/>
    <w:rsid w:val="1D7C348F"/>
    <w:rsid w:val="1D810E77"/>
    <w:rsid w:val="1D862F93"/>
    <w:rsid w:val="1D8E3BF5"/>
    <w:rsid w:val="1D8E56D5"/>
    <w:rsid w:val="1D94745E"/>
    <w:rsid w:val="1D9C27B6"/>
    <w:rsid w:val="1DA0685C"/>
    <w:rsid w:val="1DA31625"/>
    <w:rsid w:val="1DA8115B"/>
    <w:rsid w:val="1DAA6ECD"/>
    <w:rsid w:val="1DAB6B8A"/>
    <w:rsid w:val="1DAD49A4"/>
    <w:rsid w:val="1DAF5B89"/>
    <w:rsid w:val="1DB06D6D"/>
    <w:rsid w:val="1DB25A64"/>
    <w:rsid w:val="1DB27475"/>
    <w:rsid w:val="1DB375BA"/>
    <w:rsid w:val="1DB53D05"/>
    <w:rsid w:val="1DB573D4"/>
    <w:rsid w:val="1DB95116"/>
    <w:rsid w:val="1DBA0E8A"/>
    <w:rsid w:val="1DBA49EB"/>
    <w:rsid w:val="1DBE097F"/>
    <w:rsid w:val="1DBE44DB"/>
    <w:rsid w:val="1DC37D43"/>
    <w:rsid w:val="1DC842EC"/>
    <w:rsid w:val="1DCB3855"/>
    <w:rsid w:val="1DCD0BC2"/>
    <w:rsid w:val="1DCD471E"/>
    <w:rsid w:val="1DD26A50"/>
    <w:rsid w:val="1DD4487C"/>
    <w:rsid w:val="1DD85C41"/>
    <w:rsid w:val="1DD963DA"/>
    <w:rsid w:val="1DE008F5"/>
    <w:rsid w:val="1DE657E0"/>
    <w:rsid w:val="1DE71025"/>
    <w:rsid w:val="1DE71C83"/>
    <w:rsid w:val="1DEA1934"/>
    <w:rsid w:val="1DED4F05"/>
    <w:rsid w:val="1DEF0B38"/>
    <w:rsid w:val="1DF0665E"/>
    <w:rsid w:val="1DF12B02"/>
    <w:rsid w:val="1DF223D6"/>
    <w:rsid w:val="1DF47EFC"/>
    <w:rsid w:val="1DF90F5D"/>
    <w:rsid w:val="1DFA74DE"/>
    <w:rsid w:val="1DFD14A7"/>
    <w:rsid w:val="1DFE521F"/>
    <w:rsid w:val="1E033FA3"/>
    <w:rsid w:val="1E082962"/>
    <w:rsid w:val="1E0B0E08"/>
    <w:rsid w:val="1E0F4D36"/>
    <w:rsid w:val="1E1024E2"/>
    <w:rsid w:val="1E122A78"/>
    <w:rsid w:val="1E197963"/>
    <w:rsid w:val="1E1C2B38"/>
    <w:rsid w:val="1E1D25BA"/>
    <w:rsid w:val="1E1E4F79"/>
    <w:rsid w:val="1E237E7E"/>
    <w:rsid w:val="1E264167"/>
    <w:rsid w:val="1E2702D2"/>
    <w:rsid w:val="1E285DF8"/>
    <w:rsid w:val="1E29229C"/>
    <w:rsid w:val="1E2C58E8"/>
    <w:rsid w:val="1E2F362A"/>
    <w:rsid w:val="1E313FB3"/>
    <w:rsid w:val="1E316B10"/>
    <w:rsid w:val="1E320A25"/>
    <w:rsid w:val="1E3D60CC"/>
    <w:rsid w:val="1E3F4E76"/>
    <w:rsid w:val="1E436277"/>
    <w:rsid w:val="1E4414E7"/>
    <w:rsid w:val="1E4A62B1"/>
    <w:rsid w:val="1E4F15D7"/>
    <w:rsid w:val="1E51534F"/>
    <w:rsid w:val="1E52100B"/>
    <w:rsid w:val="1E521E5C"/>
    <w:rsid w:val="1E59323C"/>
    <w:rsid w:val="1E5B5937"/>
    <w:rsid w:val="1E5B7F7C"/>
    <w:rsid w:val="1E6757C2"/>
    <w:rsid w:val="1E6813CF"/>
    <w:rsid w:val="1E69474C"/>
    <w:rsid w:val="1E6B66E3"/>
    <w:rsid w:val="1E6C4DFA"/>
    <w:rsid w:val="1E6E4153"/>
    <w:rsid w:val="1E7554E1"/>
    <w:rsid w:val="1E767CD6"/>
    <w:rsid w:val="1E7948A6"/>
    <w:rsid w:val="1E7A2AF8"/>
    <w:rsid w:val="1E7A43DA"/>
    <w:rsid w:val="1E7D7EF2"/>
    <w:rsid w:val="1E801A5D"/>
    <w:rsid w:val="1E803E86"/>
    <w:rsid w:val="1E836D7E"/>
    <w:rsid w:val="1E854FF8"/>
    <w:rsid w:val="1E874E4D"/>
    <w:rsid w:val="1E875215"/>
    <w:rsid w:val="1E8942A9"/>
    <w:rsid w:val="1E8E323C"/>
    <w:rsid w:val="1E8F40C9"/>
    <w:rsid w:val="1E982F7E"/>
    <w:rsid w:val="1EA062D6"/>
    <w:rsid w:val="1EA0669C"/>
    <w:rsid w:val="1EA07C3C"/>
    <w:rsid w:val="1EA50DBA"/>
    <w:rsid w:val="1EA841F5"/>
    <w:rsid w:val="1EAC1325"/>
    <w:rsid w:val="1EAE2371"/>
    <w:rsid w:val="1EB1403F"/>
    <w:rsid w:val="1EB3718E"/>
    <w:rsid w:val="1EB37DB8"/>
    <w:rsid w:val="1EBA5B2A"/>
    <w:rsid w:val="1EBD23FE"/>
    <w:rsid w:val="1EBE19EE"/>
    <w:rsid w:val="1EBF675C"/>
    <w:rsid w:val="1EC02562"/>
    <w:rsid w:val="1EC27FFB"/>
    <w:rsid w:val="1EC61CE4"/>
    <w:rsid w:val="1ECA7392"/>
    <w:rsid w:val="1ED06BCF"/>
    <w:rsid w:val="1ED32208"/>
    <w:rsid w:val="1ED33FB6"/>
    <w:rsid w:val="1ED85A70"/>
    <w:rsid w:val="1ED879CE"/>
    <w:rsid w:val="1EDA5344"/>
    <w:rsid w:val="1EDB10BC"/>
    <w:rsid w:val="1EDE6106"/>
    <w:rsid w:val="1EDF295B"/>
    <w:rsid w:val="1EDF6DFF"/>
    <w:rsid w:val="1EE54F7D"/>
    <w:rsid w:val="1EE73F05"/>
    <w:rsid w:val="1EE85A94"/>
    <w:rsid w:val="1EE937D9"/>
    <w:rsid w:val="1EEE0FB5"/>
    <w:rsid w:val="1EEE2B9E"/>
    <w:rsid w:val="1EF02DBA"/>
    <w:rsid w:val="1EF04B68"/>
    <w:rsid w:val="1EF66B13"/>
    <w:rsid w:val="1EFD4A06"/>
    <w:rsid w:val="1EFF124F"/>
    <w:rsid w:val="1F01174F"/>
    <w:rsid w:val="1F0C74C8"/>
    <w:rsid w:val="1F0D3210"/>
    <w:rsid w:val="1F100D66"/>
    <w:rsid w:val="1F15491F"/>
    <w:rsid w:val="1F15637C"/>
    <w:rsid w:val="1F1840BF"/>
    <w:rsid w:val="1F1A708D"/>
    <w:rsid w:val="1F1D3483"/>
    <w:rsid w:val="1F231F7C"/>
    <w:rsid w:val="1F260691"/>
    <w:rsid w:val="1F2667DB"/>
    <w:rsid w:val="1F2716D3"/>
    <w:rsid w:val="1F275059"/>
    <w:rsid w:val="1F2B2044"/>
    <w:rsid w:val="1F2D7B6A"/>
    <w:rsid w:val="1F30209B"/>
    <w:rsid w:val="1F33103C"/>
    <w:rsid w:val="1F33215A"/>
    <w:rsid w:val="1F332CA6"/>
    <w:rsid w:val="1F345D75"/>
    <w:rsid w:val="1F356A1F"/>
    <w:rsid w:val="1F38650F"/>
    <w:rsid w:val="1F394213"/>
    <w:rsid w:val="1F3F5AEF"/>
    <w:rsid w:val="1F43738D"/>
    <w:rsid w:val="1F446C62"/>
    <w:rsid w:val="1F456B29"/>
    <w:rsid w:val="1F457294"/>
    <w:rsid w:val="1F475FE4"/>
    <w:rsid w:val="1F4918F6"/>
    <w:rsid w:val="1F4D3D68"/>
    <w:rsid w:val="1F4E5D32"/>
    <w:rsid w:val="1F5008F0"/>
    <w:rsid w:val="1F525822"/>
    <w:rsid w:val="1F5B189A"/>
    <w:rsid w:val="1F6044B3"/>
    <w:rsid w:val="1F6368EB"/>
    <w:rsid w:val="1F642E60"/>
    <w:rsid w:val="1F647304"/>
    <w:rsid w:val="1F65294C"/>
    <w:rsid w:val="1F66307C"/>
    <w:rsid w:val="1F694CAC"/>
    <w:rsid w:val="1F6966C8"/>
    <w:rsid w:val="1F6A2B6C"/>
    <w:rsid w:val="1F6B5994"/>
    <w:rsid w:val="1F6D49F4"/>
    <w:rsid w:val="1F6E1F30"/>
    <w:rsid w:val="1F710084"/>
    <w:rsid w:val="1F7237CF"/>
    <w:rsid w:val="1F7242F4"/>
    <w:rsid w:val="1F72557D"/>
    <w:rsid w:val="1F7C4F82"/>
    <w:rsid w:val="1F7F25CA"/>
    <w:rsid w:val="1F7F5EEC"/>
    <w:rsid w:val="1F817EB6"/>
    <w:rsid w:val="1F8359FC"/>
    <w:rsid w:val="1F841754"/>
    <w:rsid w:val="1F8507F5"/>
    <w:rsid w:val="1F891175"/>
    <w:rsid w:val="1F8B2AE2"/>
    <w:rsid w:val="1F917194"/>
    <w:rsid w:val="1F9A68A7"/>
    <w:rsid w:val="1F9C084C"/>
    <w:rsid w:val="1F9D6372"/>
    <w:rsid w:val="1FA03EF2"/>
    <w:rsid w:val="1FA2456E"/>
    <w:rsid w:val="1FA93DD4"/>
    <w:rsid w:val="1FAA63F5"/>
    <w:rsid w:val="1FAD0CAB"/>
    <w:rsid w:val="1FAF3F98"/>
    <w:rsid w:val="1FB44D03"/>
    <w:rsid w:val="1FB73B17"/>
    <w:rsid w:val="1FB914AD"/>
    <w:rsid w:val="1FB97650"/>
    <w:rsid w:val="1FBC0EEE"/>
    <w:rsid w:val="1FBE56A1"/>
    <w:rsid w:val="1FC35DD8"/>
    <w:rsid w:val="1FC57DA2"/>
    <w:rsid w:val="1FCB1131"/>
    <w:rsid w:val="1FCF29CF"/>
    <w:rsid w:val="1FD05269"/>
    <w:rsid w:val="1FD2426D"/>
    <w:rsid w:val="1FD44489"/>
    <w:rsid w:val="1FD5059D"/>
    <w:rsid w:val="1FD8637D"/>
    <w:rsid w:val="1FDA1374"/>
    <w:rsid w:val="1FDB3152"/>
    <w:rsid w:val="1FDC50EC"/>
    <w:rsid w:val="1FDC6E9A"/>
    <w:rsid w:val="1FE346CD"/>
    <w:rsid w:val="1FE3647B"/>
    <w:rsid w:val="1FE43FA1"/>
    <w:rsid w:val="1FE67D19"/>
    <w:rsid w:val="1FE7539E"/>
    <w:rsid w:val="1FF70178"/>
    <w:rsid w:val="1FF825B9"/>
    <w:rsid w:val="1FF97A4C"/>
    <w:rsid w:val="1FFB1BC0"/>
    <w:rsid w:val="1FFF65F1"/>
    <w:rsid w:val="20017303"/>
    <w:rsid w:val="200308CB"/>
    <w:rsid w:val="20050FBC"/>
    <w:rsid w:val="20054643"/>
    <w:rsid w:val="20071A04"/>
    <w:rsid w:val="200D1749"/>
    <w:rsid w:val="200E0542"/>
    <w:rsid w:val="200F101E"/>
    <w:rsid w:val="200F7270"/>
    <w:rsid w:val="20147E0C"/>
    <w:rsid w:val="20166850"/>
    <w:rsid w:val="201A79C2"/>
    <w:rsid w:val="201E3957"/>
    <w:rsid w:val="201E74B3"/>
    <w:rsid w:val="20236346"/>
    <w:rsid w:val="20280331"/>
    <w:rsid w:val="202F5687"/>
    <w:rsid w:val="20340A84"/>
    <w:rsid w:val="203E5DA7"/>
    <w:rsid w:val="203F7F0D"/>
    <w:rsid w:val="2040269E"/>
    <w:rsid w:val="20427645"/>
    <w:rsid w:val="20465B74"/>
    <w:rsid w:val="20474C5B"/>
    <w:rsid w:val="20484530"/>
    <w:rsid w:val="20494FAF"/>
    <w:rsid w:val="204D7D98"/>
    <w:rsid w:val="20566C4C"/>
    <w:rsid w:val="205904EB"/>
    <w:rsid w:val="2059498F"/>
    <w:rsid w:val="2059758E"/>
    <w:rsid w:val="205C1778"/>
    <w:rsid w:val="205E4E55"/>
    <w:rsid w:val="20614B11"/>
    <w:rsid w:val="20671BE0"/>
    <w:rsid w:val="20681AC4"/>
    <w:rsid w:val="206A26F8"/>
    <w:rsid w:val="206C021E"/>
    <w:rsid w:val="20713A86"/>
    <w:rsid w:val="20831DB9"/>
    <w:rsid w:val="208732AA"/>
    <w:rsid w:val="208A2D9A"/>
    <w:rsid w:val="208A3AF0"/>
    <w:rsid w:val="208C266E"/>
    <w:rsid w:val="208C6B12"/>
    <w:rsid w:val="208C6FF3"/>
    <w:rsid w:val="208E6D8F"/>
    <w:rsid w:val="2092477F"/>
    <w:rsid w:val="20927ED9"/>
    <w:rsid w:val="20937EA1"/>
    <w:rsid w:val="20943C19"/>
    <w:rsid w:val="20950DFF"/>
    <w:rsid w:val="20963CB8"/>
    <w:rsid w:val="209B4FA7"/>
    <w:rsid w:val="209E05F3"/>
    <w:rsid w:val="209F64C7"/>
    <w:rsid w:val="20A21E92"/>
    <w:rsid w:val="20A45071"/>
    <w:rsid w:val="20A756FA"/>
    <w:rsid w:val="20A81A1B"/>
    <w:rsid w:val="20A83220"/>
    <w:rsid w:val="20A943A5"/>
    <w:rsid w:val="20AC2D10"/>
    <w:rsid w:val="20AC4ABE"/>
    <w:rsid w:val="20AE6A88"/>
    <w:rsid w:val="20AF62EA"/>
    <w:rsid w:val="20B07FB6"/>
    <w:rsid w:val="20B10327"/>
    <w:rsid w:val="20B1309F"/>
    <w:rsid w:val="20B646FB"/>
    <w:rsid w:val="20B67FF9"/>
    <w:rsid w:val="20B708CF"/>
    <w:rsid w:val="20BB582E"/>
    <w:rsid w:val="20CC4855"/>
    <w:rsid w:val="20CC6F0F"/>
    <w:rsid w:val="20CE082F"/>
    <w:rsid w:val="20CF4C51"/>
    <w:rsid w:val="20D56C9B"/>
    <w:rsid w:val="20D61B3B"/>
    <w:rsid w:val="20D63DE6"/>
    <w:rsid w:val="20D94402"/>
    <w:rsid w:val="20DB35F6"/>
    <w:rsid w:val="20DC03F8"/>
    <w:rsid w:val="20DD111C"/>
    <w:rsid w:val="20DE5D0D"/>
    <w:rsid w:val="20DE6C42"/>
    <w:rsid w:val="20E00C0C"/>
    <w:rsid w:val="20E22BD6"/>
    <w:rsid w:val="20E37A02"/>
    <w:rsid w:val="20E56222"/>
    <w:rsid w:val="20EA3839"/>
    <w:rsid w:val="20F02DF3"/>
    <w:rsid w:val="20F04B19"/>
    <w:rsid w:val="20F301C7"/>
    <w:rsid w:val="20F63F8C"/>
    <w:rsid w:val="20F94B3B"/>
    <w:rsid w:val="20FB092C"/>
    <w:rsid w:val="2102401C"/>
    <w:rsid w:val="21026F3C"/>
    <w:rsid w:val="21040C2B"/>
    <w:rsid w:val="21090163"/>
    <w:rsid w:val="210963B5"/>
    <w:rsid w:val="21134B3E"/>
    <w:rsid w:val="2117694C"/>
    <w:rsid w:val="211A5ECC"/>
    <w:rsid w:val="21221225"/>
    <w:rsid w:val="21293D11"/>
    <w:rsid w:val="212B00D9"/>
    <w:rsid w:val="212D523F"/>
    <w:rsid w:val="212E3725"/>
    <w:rsid w:val="212E5E1B"/>
    <w:rsid w:val="21366A7E"/>
    <w:rsid w:val="21386DEA"/>
    <w:rsid w:val="213A39F8"/>
    <w:rsid w:val="213B74B1"/>
    <w:rsid w:val="213C2A4F"/>
    <w:rsid w:val="213C51D4"/>
    <w:rsid w:val="21407BA0"/>
    <w:rsid w:val="214178FD"/>
    <w:rsid w:val="214473ED"/>
    <w:rsid w:val="214747E7"/>
    <w:rsid w:val="21492C29"/>
    <w:rsid w:val="21494444"/>
    <w:rsid w:val="214D5DD2"/>
    <w:rsid w:val="2150290B"/>
    <w:rsid w:val="21505D92"/>
    <w:rsid w:val="21556F04"/>
    <w:rsid w:val="21562C7C"/>
    <w:rsid w:val="21583244"/>
    <w:rsid w:val="215A2310"/>
    <w:rsid w:val="215B0293"/>
    <w:rsid w:val="215C4736"/>
    <w:rsid w:val="215F5FD5"/>
    <w:rsid w:val="21650B09"/>
    <w:rsid w:val="216655B5"/>
    <w:rsid w:val="216B420D"/>
    <w:rsid w:val="216B6728"/>
    <w:rsid w:val="21716772"/>
    <w:rsid w:val="21717AB6"/>
    <w:rsid w:val="21725D08"/>
    <w:rsid w:val="217603B5"/>
    <w:rsid w:val="217608C5"/>
    <w:rsid w:val="21771570"/>
    <w:rsid w:val="217A2E0F"/>
    <w:rsid w:val="217C0935"/>
    <w:rsid w:val="217D5218"/>
    <w:rsid w:val="218477E9"/>
    <w:rsid w:val="218617B3"/>
    <w:rsid w:val="218B0B78"/>
    <w:rsid w:val="219263AA"/>
    <w:rsid w:val="21934B2A"/>
    <w:rsid w:val="2197576F"/>
    <w:rsid w:val="21983295"/>
    <w:rsid w:val="219E3B2D"/>
    <w:rsid w:val="219F0AC7"/>
    <w:rsid w:val="21A12149"/>
    <w:rsid w:val="21A25A50"/>
    <w:rsid w:val="21A67760"/>
    <w:rsid w:val="21B207FA"/>
    <w:rsid w:val="21B300CF"/>
    <w:rsid w:val="21B52099"/>
    <w:rsid w:val="21B75E11"/>
    <w:rsid w:val="21B77BBF"/>
    <w:rsid w:val="21B87493"/>
    <w:rsid w:val="21B96EF4"/>
    <w:rsid w:val="21BC463C"/>
    <w:rsid w:val="21BD382B"/>
    <w:rsid w:val="21BE2CFB"/>
    <w:rsid w:val="21C4408A"/>
    <w:rsid w:val="21C734F7"/>
    <w:rsid w:val="21CA3032"/>
    <w:rsid w:val="21CA4AEA"/>
    <w:rsid w:val="21D00C81"/>
    <w:rsid w:val="21D40771"/>
    <w:rsid w:val="21D818E3"/>
    <w:rsid w:val="21DD2D89"/>
    <w:rsid w:val="21DE318A"/>
    <w:rsid w:val="21DF0B9E"/>
    <w:rsid w:val="21E17924"/>
    <w:rsid w:val="21E5472C"/>
    <w:rsid w:val="21E604A4"/>
    <w:rsid w:val="21E62252"/>
    <w:rsid w:val="21E77118"/>
    <w:rsid w:val="21E85730"/>
    <w:rsid w:val="21E93AF0"/>
    <w:rsid w:val="21EB1616"/>
    <w:rsid w:val="21EF5B80"/>
    <w:rsid w:val="21F91F85"/>
    <w:rsid w:val="220335F8"/>
    <w:rsid w:val="22056B7C"/>
    <w:rsid w:val="22066450"/>
    <w:rsid w:val="220A24B9"/>
    <w:rsid w:val="220A4192"/>
    <w:rsid w:val="220B7C04"/>
    <w:rsid w:val="220E16ED"/>
    <w:rsid w:val="220F3557"/>
    <w:rsid w:val="2217065D"/>
    <w:rsid w:val="221768AF"/>
    <w:rsid w:val="2219492B"/>
    <w:rsid w:val="221B2F81"/>
    <w:rsid w:val="221D30A5"/>
    <w:rsid w:val="221D6C29"/>
    <w:rsid w:val="222536EC"/>
    <w:rsid w:val="22257114"/>
    <w:rsid w:val="222A213F"/>
    <w:rsid w:val="22342FBD"/>
    <w:rsid w:val="223631D9"/>
    <w:rsid w:val="22372AAE"/>
    <w:rsid w:val="22394A78"/>
    <w:rsid w:val="223B12B8"/>
    <w:rsid w:val="223C00C4"/>
    <w:rsid w:val="223E5BEA"/>
    <w:rsid w:val="2241392C"/>
    <w:rsid w:val="22445DD9"/>
    <w:rsid w:val="2245341D"/>
    <w:rsid w:val="224551CB"/>
    <w:rsid w:val="224C7974"/>
    <w:rsid w:val="224D5E3C"/>
    <w:rsid w:val="22525B39"/>
    <w:rsid w:val="22552756"/>
    <w:rsid w:val="22576990"/>
    <w:rsid w:val="22596EC8"/>
    <w:rsid w:val="225D0766"/>
    <w:rsid w:val="226052EB"/>
    <w:rsid w:val="226914B2"/>
    <w:rsid w:val="226F3F88"/>
    <w:rsid w:val="226F3FF6"/>
    <w:rsid w:val="22715FC0"/>
    <w:rsid w:val="22743FE1"/>
    <w:rsid w:val="227635D6"/>
    <w:rsid w:val="227B5090"/>
    <w:rsid w:val="227D5FFA"/>
    <w:rsid w:val="22832569"/>
    <w:rsid w:val="228D11E2"/>
    <w:rsid w:val="229A3954"/>
    <w:rsid w:val="229B128E"/>
    <w:rsid w:val="229B303C"/>
    <w:rsid w:val="229C0B63"/>
    <w:rsid w:val="22A00653"/>
    <w:rsid w:val="22A92B11"/>
    <w:rsid w:val="22A939AB"/>
    <w:rsid w:val="22AA7723"/>
    <w:rsid w:val="22AB2EC8"/>
    <w:rsid w:val="22AC22D1"/>
    <w:rsid w:val="22B45EAC"/>
    <w:rsid w:val="22B46A4F"/>
    <w:rsid w:val="22BA1900"/>
    <w:rsid w:val="22BE4F7D"/>
    <w:rsid w:val="22C47396"/>
    <w:rsid w:val="22C75A42"/>
    <w:rsid w:val="22CA56D0"/>
    <w:rsid w:val="22CF0F38"/>
    <w:rsid w:val="22D30A28"/>
    <w:rsid w:val="22D36C7A"/>
    <w:rsid w:val="22D402FC"/>
    <w:rsid w:val="22DB78DD"/>
    <w:rsid w:val="22DD5403"/>
    <w:rsid w:val="22DE117B"/>
    <w:rsid w:val="22E737AC"/>
    <w:rsid w:val="22E74B9C"/>
    <w:rsid w:val="22E83DA8"/>
    <w:rsid w:val="22E95241"/>
    <w:rsid w:val="22EE7610"/>
    <w:rsid w:val="22F34943"/>
    <w:rsid w:val="22F47480"/>
    <w:rsid w:val="22F90E47"/>
    <w:rsid w:val="23027955"/>
    <w:rsid w:val="23081905"/>
    <w:rsid w:val="230C63BD"/>
    <w:rsid w:val="23182A50"/>
    <w:rsid w:val="231F5A1C"/>
    <w:rsid w:val="23215CC3"/>
    <w:rsid w:val="232272BA"/>
    <w:rsid w:val="23250B58"/>
    <w:rsid w:val="23290648"/>
    <w:rsid w:val="23356FED"/>
    <w:rsid w:val="23362D65"/>
    <w:rsid w:val="23375FDD"/>
    <w:rsid w:val="234C07DB"/>
    <w:rsid w:val="234C2589"/>
    <w:rsid w:val="234E4553"/>
    <w:rsid w:val="2350337E"/>
    <w:rsid w:val="235651B5"/>
    <w:rsid w:val="23566F63"/>
    <w:rsid w:val="23582CDC"/>
    <w:rsid w:val="235B27CC"/>
    <w:rsid w:val="235D285E"/>
    <w:rsid w:val="235F41EA"/>
    <w:rsid w:val="23661F8E"/>
    <w:rsid w:val="236A7C99"/>
    <w:rsid w:val="236B0C61"/>
    <w:rsid w:val="236E03B0"/>
    <w:rsid w:val="23700030"/>
    <w:rsid w:val="23707CA9"/>
    <w:rsid w:val="2375081D"/>
    <w:rsid w:val="23791DA0"/>
    <w:rsid w:val="237C10C0"/>
    <w:rsid w:val="237C2E6E"/>
    <w:rsid w:val="237F295E"/>
    <w:rsid w:val="237F64BA"/>
    <w:rsid w:val="23821DF4"/>
    <w:rsid w:val="2383244E"/>
    <w:rsid w:val="23850E2F"/>
    <w:rsid w:val="238735C1"/>
    <w:rsid w:val="238C6E29"/>
    <w:rsid w:val="238D2ECF"/>
    <w:rsid w:val="23906919"/>
    <w:rsid w:val="23983A20"/>
    <w:rsid w:val="2399018E"/>
    <w:rsid w:val="239C59FC"/>
    <w:rsid w:val="23A14082"/>
    <w:rsid w:val="23A423C5"/>
    <w:rsid w:val="23A83C63"/>
    <w:rsid w:val="23AD1279"/>
    <w:rsid w:val="23AF20F4"/>
    <w:rsid w:val="23B229FE"/>
    <w:rsid w:val="23B24AE2"/>
    <w:rsid w:val="23B51EDC"/>
    <w:rsid w:val="23C245F9"/>
    <w:rsid w:val="23C56EF3"/>
    <w:rsid w:val="23C6233B"/>
    <w:rsid w:val="23C70A3F"/>
    <w:rsid w:val="23CE11F0"/>
    <w:rsid w:val="23D507D0"/>
    <w:rsid w:val="23D94C34"/>
    <w:rsid w:val="23DA1943"/>
    <w:rsid w:val="23DA5DE6"/>
    <w:rsid w:val="23DE1C48"/>
    <w:rsid w:val="23DF33FD"/>
    <w:rsid w:val="23E073EA"/>
    <w:rsid w:val="23E12CD1"/>
    <w:rsid w:val="23E17175"/>
    <w:rsid w:val="23E60115"/>
    <w:rsid w:val="23EB1D3F"/>
    <w:rsid w:val="23F15106"/>
    <w:rsid w:val="23F549CE"/>
    <w:rsid w:val="23FE33C8"/>
    <w:rsid w:val="24020358"/>
    <w:rsid w:val="240210CD"/>
    <w:rsid w:val="240370EB"/>
    <w:rsid w:val="240510B5"/>
    <w:rsid w:val="240864B0"/>
    <w:rsid w:val="240D1D18"/>
    <w:rsid w:val="2411343C"/>
    <w:rsid w:val="24134E54"/>
    <w:rsid w:val="24172B97"/>
    <w:rsid w:val="2418246B"/>
    <w:rsid w:val="241C1F5B"/>
    <w:rsid w:val="241E5CD3"/>
    <w:rsid w:val="241F37F9"/>
    <w:rsid w:val="242017A4"/>
    <w:rsid w:val="24221F96"/>
    <w:rsid w:val="24242C37"/>
    <w:rsid w:val="242B03F0"/>
    <w:rsid w:val="242B219E"/>
    <w:rsid w:val="24323971"/>
    <w:rsid w:val="243318B8"/>
    <w:rsid w:val="2434366B"/>
    <w:rsid w:val="24343749"/>
    <w:rsid w:val="243564E3"/>
    <w:rsid w:val="24390D5F"/>
    <w:rsid w:val="243920A8"/>
    <w:rsid w:val="243948BB"/>
    <w:rsid w:val="243B09FD"/>
    <w:rsid w:val="243E0123"/>
    <w:rsid w:val="243E0B90"/>
    <w:rsid w:val="243F153A"/>
    <w:rsid w:val="244020ED"/>
    <w:rsid w:val="24421E4E"/>
    <w:rsid w:val="24424A01"/>
    <w:rsid w:val="24495E07"/>
    <w:rsid w:val="24521EF0"/>
    <w:rsid w:val="2452534C"/>
    <w:rsid w:val="24545B99"/>
    <w:rsid w:val="2455546D"/>
    <w:rsid w:val="24561911"/>
    <w:rsid w:val="24576324"/>
    <w:rsid w:val="245E2574"/>
    <w:rsid w:val="24613E12"/>
    <w:rsid w:val="24616C60"/>
    <w:rsid w:val="24661428"/>
    <w:rsid w:val="246758CC"/>
    <w:rsid w:val="24676446"/>
    <w:rsid w:val="246918CD"/>
    <w:rsid w:val="246924E5"/>
    <w:rsid w:val="246A0F18"/>
    <w:rsid w:val="246E3BEE"/>
    <w:rsid w:val="247141EC"/>
    <w:rsid w:val="2471674B"/>
    <w:rsid w:val="24771887"/>
    <w:rsid w:val="24794EE7"/>
    <w:rsid w:val="247955FF"/>
    <w:rsid w:val="247E2C16"/>
    <w:rsid w:val="2480698E"/>
    <w:rsid w:val="24855D52"/>
    <w:rsid w:val="24861ACA"/>
    <w:rsid w:val="248A279D"/>
    <w:rsid w:val="248C6BB8"/>
    <w:rsid w:val="24912949"/>
    <w:rsid w:val="249266C1"/>
    <w:rsid w:val="249935AC"/>
    <w:rsid w:val="249C5A60"/>
    <w:rsid w:val="24A14584"/>
    <w:rsid w:val="24A257C2"/>
    <w:rsid w:val="24A501A2"/>
    <w:rsid w:val="24A518BF"/>
    <w:rsid w:val="24A73F1B"/>
    <w:rsid w:val="24A8776F"/>
    <w:rsid w:val="24AD52A9"/>
    <w:rsid w:val="24AD7A37"/>
    <w:rsid w:val="24AF67BE"/>
    <w:rsid w:val="24B30B11"/>
    <w:rsid w:val="24B76D93"/>
    <w:rsid w:val="24BB5C18"/>
    <w:rsid w:val="24BE6C23"/>
    <w:rsid w:val="24BF09F7"/>
    <w:rsid w:val="24C148B0"/>
    <w:rsid w:val="24C16074"/>
    <w:rsid w:val="24C525F3"/>
    <w:rsid w:val="24C85C3F"/>
    <w:rsid w:val="24CE259C"/>
    <w:rsid w:val="24CE37EF"/>
    <w:rsid w:val="24CF521F"/>
    <w:rsid w:val="24D10F97"/>
    <w:rsid w:val="24D14F8B"/>
    <w:rsid w:val="24D42836"/>
    <w:rsid w:val="24D64800"/>
    <w:rsid w:val="24D87D63"/>
    <w:rsid w:val="24DF76A0"/>
    <w:rsid w:val="24E05421"/>
    <w:rsid w:val="24E60FF3"/>
    <w:rsid w:val="24E61851"/>
    <w:rsid w:val="24E743D1"/>
    <w:rsid w:val="24E862E1"/>
    <w:rsid w:val="24EA11A8"/>
    <w:rsid w:val="24ED38F7"/>
    <w:rsid w:val="24F37160"/>
    <w:rsid w:val="24F53DAE"/>
    <w:rsid w:val="24FA6740"/>
    <w:rsid w:val="24FF3D57"/>
    <w:rsid w:val="250824DF"/>
    <w:rsid w:val="250C0222"/>
    <w:rsid w:val="250C1FD0"/>
    <w:rsid w:val="250D077C"/>
    <w:rsid w:val="25114DE2"/>
    <w:rsid w:val="251846C8"/>
    <w:rsid w:val="251903EC"/>
    <w:rsid w:val="251A3E1D"/>
    <w:rsid w:val="251C4025"/>
    <w:rsid w:val="251F7F55"/>
    <w:rsid w:val="25270E8B"/>
    <w:rsid w:val="25284930"/>
    <w:rsid w:val="252D53FE"/>
    <w:rsid w:val="25346A17"/>
    <w:rsid w:val="253A4D8F"/>
    <w:rsid w:val="25513E86"/>
    <w:rsid w:val="255A0F8D"/>
    <w:rsid w:val="25613EAC"/>
    <w:rsid w:val="2563786A"/>
    <w:rsid w:val="25665B84"/>
    <w:rsid w:val="256C2FEB"/>
    <w:rsid w:val="256C5F96"/>
    <w:rsid w:val="256E4A38"/>
    <w:rsid w:val="256E67DE"/>
    <w:rsid w:val="25755DC7"/>
    <w:rsid w:val="257A162F"/>
    <w:rsid w:val="257A33DD"/>
    <w:rsid w:val="25836F36"/>
    <w:rsid w:val="258A0242"/>
    <w:rsid w:val="2593449F"/>
    <w:rsid w:val="2596052E"/>
    <w:rsid w:val="25973830"/>
    <w:rsid w:val="25973F8F"/>
    <w:rsid w:val="25990C83"/>
    <w:rsid w:val="259A582D"/>
    <w:rsid w:val="259B3C33"/>
    <w:rsid w:val="25A01B1D"/>
    <w:rsid w:val="25A1634B"/>
    <w:rsid w:val="25A466AC"/>
    <w:rsid w:val="25A87AC8"/>
    <w:rsid w:val="25AB382D"/>
    <w:rsid w:val="25AB4F81"/>
    <w:rsid w:val="25B12B77"/>
    <w:rsid w:val="25B73564"/>
    <w:rsid w:val="25B85CB3"/>
    <w:rsid w:val="25BC1C48"/>
    <w:rsid w:val="25BE4683"/>
    <w:rsid w:val="25C30677"/>
    <w:rsid w:val="25C35ABD"/>
    <w:rsid w:val="25C57702"/>
    <w:rsid w:val="25C57790"/>
    <w:rsid w:val="25C91C6F"/>
    <w:rsid w:val="25CE6883"/>
    <w:rsid w:val="25D23219"/>
    <w:rsid w:val="25D26CDC"/>
    <w:rsid w:val="25D7082F"/>
    <w:rsid w:val="25D95E65"/>
    <w:rsid w:val="25DB26A8"/>
    <w:rsid w:val="25DE1BBE"/>
    <w:rsid w:val="25DF5936"/>
    <w:rsid w:val="25E35426"/>
    <w:rsid w:val="25E46AA9"/>
    <w:rsid w:val="25E847EB"/>
    <w:rsid w:val="25E97009"/>
    <w:rsid w:val="25EB42DB"/>
    <w:rsid w:val="25EB7E37"/>
    <w:rsid w:val="25EC2D81"/>
    <w:rsid w:val="25F4107F"/>
    <w:rsid w:val="25F809F7"/>
    <w:rsid w:val="25F81F2F"/>
    <w:rsid w:val="25FD7B6A"/>
    <w:rsid w:val="260169C7"/>
    <w:rsid w:val="26020864"/>
    <w:rsid w:val="2604714B"/>
    <w:rsid w:val="260A6DDB"/>
    <w:rsid w:val="260D536B"/>
    <w:rsid w:val="260E27BF"/>
    <w:rsid w:val="260F1BFD"/>
    <w:rsid w:val="26121868"/>
    <w:rsid w:val="261333E9"/>
    <w:rsid w:val="26146435"/>
    <w:rsid w:val="2615531D"/>
    <w:rsid w:val="261E3DB7"/>
    <w:rsid w:val="26235823"/>
    <w:rsid w:val="26237E66"/>
    <w:rsid w:val="26243349"/>
    <w:rsid w:val="2628108B"/>
    <w:rsid w:val="26282E39"/>
    <w:rsid w:val="26325EB4"/>
    <w:rsid w:val="26336948"/>
    <w:rsid w:val="2635480A"/>
    <w:rsid w:val="26355556"/>
    <w:rsid w:val="2638214D"/>
    <w:rsid w:val="263F63D5"/>
    <w:rsid w:val="26404C6A"/>
    <w:rsid w:val="2641067D"/>
    <w:rsid w:val="26431A21"/>
    <w:rsid w:val="26435EC5"/>
    <w:rsid w:val="26460AFB"/>
    <w:rsid w:val="265005E2"/>
    <w:rsid w:val="265161DE"/>
    <w:rsid w:val="265579A6"/>
    <w:rsid w:val="265754CC"/>
    <w:rsid w:val="265A6D6B"/>
    <w:rsid w:val="265F25D3"/>
    <w:rsid w:val="2661459D"/>
    <w:rsid w:val="26633E71"/>
    <w:rsid w:val="2666570F"/>
    <w:rsid w:val="266F0A68"/>
    <w:rsid w:val="26712A32"/>
    <w:rsid w:val="2674288E"/>
    <w:rsid w:val="2674607E"/>
    <w:rsid w:val="26773DC1"/>
    <w:rsid w:val="26793695"/>
    <w:rsid w:val="26797B39"/>
    <w:rsid w:val="267A11BB"/>
    <w:rsid w:val="267B31C4"/>
    <w:rsid w:val="267B658E"/>
    <w:rsid w:val="267D530A"/>
    <w:rsid w:val="26803483"/>
    <w:rsid w:val="268C1CA2"/>
    <w:rsid w:val="268F110A"/>
    <w:rsid w:val="269229A8"/>
    <w:rsid w:val="269A3AE6"/>
    <w:rsid w:val="269F0C21"/>
    <w:rsid w:val="26A06E73"/>
    <w:rsid w:val="26A10E3D"/>
    <w:rsid w:val="26A5092E"/>
    <w:rsid w:val="26A97258"/>
    <w:rsid w:val="26AA5D04"/>
    <w:rsid w:val="26AA7CF2"/>
    <w:rsid w:val="26AF70B6"/>
    <w:rsid w:val="26B26802"/>
    <w:rsid w:val="26B97F35"/>
    <w:rsid w:val="26BB3CAD"/>
    <w:rsid w:val="26BB6F40"/>
    <w:rsid w:val="26BB7131"/>
    <w:rsid w:val="26BC7A25"/>
    <w:rsid w:val="26BD3721"/>
    <w:rsid w:val="26C309CB"/>
    <w:rsid w:val="26C62652"/>
    <w:rsid w:val="26CD1C32"/>
    <w:rsid w:val="26CD578F"/>
    <w:rsid w:val="26D1527F"/>
    <w:rsid w:val="26D22DA5"/>
    <w:rsid w:val="26D23DFE"/>
    <w:rsid w:val="26D27249"/>
    <w:rsid w:val="26D73703"/>
    <w:rsid w:val="26DA3FAC"/>
    <w:rsid w:val="26DF6A52"/>
    <w:rsid w:val="26E52AD8"/>
    <w:rsid w:val="26E52B87"/>
    <w:rsid w:val="26E77323"/>
    <w:rsid w:val="26EB0542"/>
    <w:rsid w:val="26ED709C"/>
    <w:rsid w:val="26EE4083"/>
    <w:rsid w:val="26F126FF"/>
    <w:rsid w:val="26F31699"/>
    <w:rsid w:val="26F70A5D"/>
    <w:rsid w:val="26F81E01"/>
    <w:rsid w:val="26F975FC"/>
    <w:rsid w:val="26FC7E22"/>
    <w:rsid w:val="26FE1DEC"/>
    <w:rsid w:val="2702368A"/>
    <w:rsid w:val="27102ED7"/>
    <w:rsid w:val="27111B1F"/>
    <w:rsid w:val="27122759"/>
    <w:rsid w:val="27127645"/>
    <w:rsid w:val="27133AE9"/>
    <w:rsid w:val="27147861"/>
    <w:rsid w:val="271E795E"/>
    <w:rsid w:val="272C4BAB"/>
    <w:rsid w:val="272E6EF8"/>
    <w:rsid w:val="273013A4"/>
    <w:rsid w:val="27315D1D"/>
    <w:rsid w:val="27363334"/>
    <w:rsid w:val="27393A05"/>
    <w:rsid w:val="273D57D8"/>
    <w:rsid w:val="273E043A"/>
    <w:rsid w:val="2740197A"/>
    <w:rsid w:val="274057F2"/>
    <w:rsid w:val="27443E62"/>
    <w:rsid w:val="274A6102"/>
    <w:rsid w:val="274D5B85"/>
    <w:rsid w:val="274F0009"/>
    <w:rsid w:val="27520F90"/>
    <w:rsid w:val="275B3E1E"/>
    <w:rsid w:val="275E288B"/>
    <w:rsid w:val="27624129"/>
    <w:rsid w:val="276500BD"/>
    <w:rsid w:val="276854B7"/>
    <w:rsid w:val="276C144B"/>
    <w:rsid w:val="277057A2"/>
    <w:rsid w:val="277420AE"/>
    <w:rsid w:val="27742C5B"/>
    <w:rsid w:val="27765E26"/>
    <w:rsid w:val="277F16E3"/>
    <w:rsid w:val="2786142B"/>
    <w:rsid w:val="278E3170"/>
    <w:rsid w:val="278E7556"/>
    <w:rsid w:val="278F0C96"/>
    <w:rsid w:val="278F23BE"/>
    <w:rsid w:val="279462AC"/>
    <w:rsid w:val="279C010A"/>
    <w:rsid w:val="279D33B3"/>
    <w:rsid w:val="27A04C51"/>
    <w:rsid w:val="27A44741"/>
    <w:rsid w:val="27A62207"/>
    <w:rsid w:val="27A96915"/>
    <w:rsid w:val="27AA7420"/>
    <w:rsid w:val="27B22717"/>
    <w:rsid w:val="27B70919"/>
    <w:rsid w:val="27CB6172"/>
    <w:rsid w:val="27CC3C98"/>
    <w:rsid w:val="27CE133B"/>
    <w:rsid w:val="27D132C6"/>
    <w:rsid w:val="27D8088F"/>
    <w:rsid w:val="27D9220B"/>
    <w:rsid w:val="27DA63B5"/>
    <w:rsid w:val="27DF5779"/>
    <w:rsid w:val="27E01CDD"/>
    <w:rsid w:val="27E56B08"/>
    <w:rsid w:val="27E71689"/>
    <w:rsid w:val="27EB6814"/>
    <w:rsid w:val="27EC60E8"/>
    <w:rsid w:val="27F1110D"/>
    <w:rsid w:val="27F3606A"/>
    <w:rsid w:val="27F510B1"/>
    <w:rsid w:val="27F531EF"/>
    <w:rsid w:val="27F82CDF"/>
    <w:rsid w:val="27FD20A3"/>
    <w:rsid w:val="27FF406E"/>
    <w:rsid w:val="28041431"/>
    <w:rsid w:val="28043432"/>
    <w:rsid w:val="280653FC"/>
    <w:rsid w:val="280671AA"/>
    <w:rsid w:val="280B48A6"/>
    <w:rsid w:val="28101DD7"/>
    <w:rsid w:val="281318C7"/>
    <w:rsid w:val="28173165"/>
    <w:rsid w:val="281C4C20"/>
    <w:rsid w:val="281D62A2"/>
    <w:rsid w:val="281E2746"/>
    <w:rsid w:val="281F7316"/>
    <w:rsid w:val="28235FAE"/>
    <w:rsid w:val="2825385F"/>
    <w:rsid w:val="282615FA"/>
    <w:rsid w:val="282C19F5"/>
    <w:rsid w:val="282D0BDB"/>
    <w:rsid w:val="28366BB4"/>
    <w:rsid w:val="283748D1"/>
    <w:rsid w:val="2838229A"/>
    <w:rsid w:val="283E4B96"/>
    <w:rsid w:val="283F34B5"/>
    <w:rsid w:val="28405DFB"/>
    <w:rsid w:val="28416434"/>
    <w:rsid w:val="28481571"/>
    <w:rsid w:val="284952E9"/>
    <w:rsid w:val="284C1B65"/>
    <w:rsid w:val="284F0692"/>
    <w:rsid w:val="284F2296"/>
    <w:rsid w:val="28507890"/>
    <w:rsid w:val="28534704"/>
    <w:rsid w:val="28550131"/>
    <w:rsid w:val="28554208"/>
    <w:rsid w:val="28575C58"/>
    <w:rsid w:val="285919D0"/>
    <w:rsid w:val="2859400A"/>
    <w:rsid w:val="285D0AB8"/>
    <w:rsid w:val="28650051"/>
    <w:rsid w:val="286D0FD7"/>
    <w:rsid w:val="286E6AFD"/>
    <w:rsid w:val="28706183"/>
    <w:rsid w:val="28747858"/>
    <w:rsid w:val="287A03D4"/>
    <w:rsid w:val="287C746C"/>
    <w:rsid w:val="28810F26"/>
    <w:rsid w:val="288129C2"/>
    <w:rsid w:val="28817483"/>
    <w:rsid w:val="288E0F4E"/>
    <w:rsid w:val="28927979"/>
    <w:rsid w:val="28942A08"/>
    <w:rsid w:val="289C18BC"/>
    <w:rsid w:val="289C681D"/>
    <w:rsid w:val="289C7B0E"/>
    <w:rsid w:val="289E7035"/>
    <w:rsid w:val="28A365DE"/>
    <w:rsid w:val="28A54C15"/>
    <w:rsid w:val="28A95522"/>
    <w:rsid w:val="28B01B68"/>
    <w:rsid w:val="28B135BA"/>
    <w:rsid w:val="28B91254"/>
    <w:rsid w:val="28BC3032"/>
    <w:rsid w:val="28BD0FF2"/>
    <w:rsid w:val="28C037FD"/>
    <w:rsid w:val="28C166B7"/>
    <w:rsid w:val="28CE74FD"/>
    <w:rsid w:val="28CF57EE"/>
    <w:rsid w:val="28D14C84"/>
    <w:rsid w:val="28D41056"/>
    <w:rsid w:val="28D42E04"/>
    <w:rsid w:val="28D62B07"/>
    <w:rsid w:val="28D80D21"/>
    <w:rsid w:val="28D9041B"/>
    <w:rsid w:val="28D9666D"/>
    <w:rsid w:val="28DA1CCE"/>
    <w:rsid w:val="28DA6F4D"/>
    <w:rsid w:val="28DC08BE"/>
    <w:rsid w:val="28DC43AF"/>
    <w:rsid w:val="28E53263"/>
    <w:rsid w:val="28E62B38"/>
    <w:rsid w:val="28EB02DB"/>
    <w:rsid w:val="28EC45F2"/>
    <w:rsid w:val="28F96D0F"/>
    <w:rsid w:val="28FB65E3"/>
    <w:rsid w:val="28FD4C4B"/>
    <w:rsid w:val="29051210"/>
    <w:rsid w:val="2909656C"/>
    <w:rsid w:val="290A2CCA"/>
    <w:rsid w:val="29114058"/>
    <w:rsid w:val="2919115F"/>
    <w:rsid w:val="291E0FDF"/>
    <w:rsid w:val="291E4D26"/>
    <w:rsid w:val="291F58C6"/>
    <w:rsid w:val="2920604A"/>
    <w:rsid w:val="29206EB8"/>
    <w:rsid w:val="2924051E"/>
    <w:rsid w:val="29243386"/>
    <w:rsid w:val="29263821"/>
    <w:rsid w:val="292772F9"/>
    <w:rsid w:val="292A336C"/>
    <w:rsid w:val="292B4099"/>
    <w:rsid w:val="293926EA"/>
    <w:rsid w:val="293E2974"/>
    <w:rsid w:val="2944442E"/>
    <w:rsid w:val="294645D2"/>
    <w:rsid w:val="29475CCC"/>
    <w:rsid w:val="29491A44"/>
    <w:rsid w:val="29495AC0"/>
    <w:rsid w:val="294A30C6"/>
    <w:rsid w:val="294C32E2"/>
    <w:rsid w:val="294D2BB7"/>
    <w:rsid w:val="294E18B8"/>
    <w:rsid w:val="294F2DD3"/>
    <w:rsid w:val="29514455"/>
    <w:rsid w:val="29521CEB"/>
    <w:rsid w:val="295403E9"/>
    <w:rsid w:val="2959155B"/>
    <w:rsid w:val="29595666"/>
    <w:rsid w:val="29620A37"/>
    <w:rsid w:val="2964062C"/>
    <w:rsid w:val="296A7401"/>
    <w:rsid w:val="296A770D"/>
    <w:rsid w:val="296E14AB"/>
    <w:rsid w:val="296F6419"/>
    <w:rsid w:val="2973086F"/>
    <w:rsid w:val="297468DC"/>
    <w:rsid w:val="297D16EE"/>
    <w:rsid w:val="297F65C0"/>
    <w:rsid w:val="29852351"/>
    <w:rsid w:val="29874881"/>
    <w:rsid w:val="298760C9"/>
    <w:rsid w:val="29887CFD"/>
    <w:rsid w:val="29891E41"/>
    <w:rsid w:val="298A3E0B"/>
    <w:rsid w:val="298A5BB9"/>
    <w:rsid w:val="29934A6D"/>
    <w:rsid w:val="299946CD"/>
    <w:rsid w:val="299A404E"/>
    <w:rsid w:val="29A077CD"/>
    <w:rsid w:val="29A30A29"/>
    <w:rsid w:val="29A46C7B"/>
    <w:rsid w:val="29A547A1"/>
    <w:rsid w:val="29A62ABE"/>
    <w:rsid w:val="29A8600C"/>
    <w:rsid w:val="29AD788C"/>
    <w:rsid w:val="29AF561F"/>
    <w:rsid w:val="29AF63BB"/>
    <w:rsid w:val="29B35110"/>
    <w:rsid w:val="29BB3FC4"/>
    <w:rsid w:val="29BF1D06"/>
    <w:rsid w:val="29C30C93"/>
    <w:rsid w:val="29C4645F"/>
    <w:rsid w:val="29C50A14"/>
    <w:rsid w:val="29C72969"/>
    <w:rsid w:val="29C7407A"/>
    <w:rsid w:val="29CA4A05"/>
    <w:rsid w:val="29D4444C"/>
    <w:rsid w:val="29D5793B"/>
    <w:rsid w:val="29D60DFE"/>
    <w:rsid w:val="29D82DC8"/>
    <w:rsid w:val="29D84B76"/>
    <w:rsid w:val="29D97F23"/>
    <w:rsid w:val="29DA08FB"/>
    <w:rsid w:val="29DA269C"/>
    <w:rsid w:val="29DB4666"/>
    <w:rsid w:val="29DB6414"/>
    <w:rsid w:val="29DF4157"/>
    <w:rsid w:val="29E057D9"/>
    <w:rsid w:val="29E277A3"/>
    <w:rsid w:val="29E325E0"/>
    <w:rsid w:val="29E56D4B"/>
    <w:rsid w:val="29E7300B"/>
    <w:rsid w:val="29E7460A"/>
    <w:rsid w:val="29F0497A"/>
    <w:rsid w:val="29F14ADE"/>
    <w:rsid w:val="29F25E2C"/>
    <w:rsid w:val="29F37C02"/>
    <w:rsid w:val="29FB2613"/>
    <w:rsid w:val="2A0616E3"/>
    <w:rsid w:val="2A0B4F4C"/>
    <w:rsid w:val="2A0C4820"/>
    <w:rsid w:val="2A0F3577"/>
    <w:rsid w:val="2A110E94"/>
    <w:rsid w:val="2A1262DA"/>
    <w:rsid w:val="2A1732D2"/>
    <w:rsid w:val="2A1B4A63"/>
    <w:rsid w:val="2A1C4CA6"/>
    <w:rsid w:val="2A21566E"/>
    <w:rsid w:val="2A222295"/>
    <w:rsid w:val="2A273408"/>
    <w:rsid w:val="2A2B114A"/>
    <w:rsid w:val="2A2E7DEA"/>
    <w:rsid w:val="2A3013B6"/>
    <w:rsid w:val="2A312201"/>
    <w:rsid w:val="2A324CD4"/>
    <w:rsid w:val="2A3873C3"/>
    <w:rsid w:val="2A3A092B"/>
    <w:rsid w:val="2A3C5084"/>
    <w:rsid w:val="2A426494"/>
    <w:rsid w:val="2A436CE1"/>
    <w:rsid w:val="2A452503"/>
    <w:rsid w:val="2A495A74"/>
    <w:rsid w:val="2A4B5C46"/>
    <w:rsid w:val="2A54466D"/>
    <w:rsid w:val="2A5657A8"/>
    <w:rsid w:val="2A585BBA"/>
    <w:rsid w:val="2A5E151F"/>
    <w:rsid w:val="2A5F4D16"/>
    <w:rsid w:val="2A616490"/>
    <w:rsid w:val="2A65091E"/>
    <w:rsid w:val="2A66694D"/>
    <w:rsid w:val="2A68414C"/>
    <w:rsid w:val="2A6D1762"/>
    <w:rsid w:val="2A6E1037"/>
    <w:rsid w:val="2A725A56"/>
    <w:rsid w:val="2A730F56"/>
    <w:rsid w:val="2A73664D"/>
    <w:rsid w:val="2A762B02"/>
    <w:rsid w:val="2A7A3E7F"/>
    <w:rsid w:val="2A7B4CC0"/>
    <w:rsid w:val="2A7D74CC"/>
    <w:rsid w:val="2A815C4B"/>
    <w:rsid w:val="2A832424"/>
    <w:rsid w:val="2A856E59"/>
    <w:rsid w:val="2A88034A"/>
    <w:rsid w:val="2A886175"/>
    <w:rsid w:val="2A8D3BB3"/>
    <w:rsid w:val="2A8D770F"/>
    <w:rsid w:val="2A9211C9"/>
    <w:rsid w:val="2A924D25"/>
    <w:rsid w:val="2A932E5D"/>
    <w:rsid w:val="2A944F41"/>
    <w:rsid w:val="2A955ABD"/>
    <w:rsid w:val="2A9769E6"/>
    <w:rsid w:val="2A9C3DF6"/>
    <w:rsid w:val="2A9D36CA"/>
    <w:rsid w:val="2AA27544"/>
    <w:rsid w:val="2AA637A1"/>
    <w:rsid w:val="2AA9206F"/>
    <w:rsid w:val="2AB233B6"/>
    <w:rsid w:val="2AB23619"/>
    <w:rsid w:val="2AB27082"/>
    <w:rsid w:val="2AB27175"/>
    <w:rsid w:val="2AB50F6F"/>
    <w:rsid w:val="2AB56C65"/>
    <w:rsid w:val="2ABE39B7"/>
    <w:rsid w:val="2ABE5B1A"/>
    <w:rsid w:val="2ABF1892"/>
    <w:rsid w:val="2AC404A2"/>
    <w:rsid w:val="2AC85DB9"/>
    <w:rsid w:val="2AC86999"/>
    <w:rsid w:val="2ACB0237"/>
    <w:rsid w:val="2ACD3FAF"/>
    <w:rsid w:val="2AD05060"/>
    <w:rsid w:val="2AD530BE"/>
    <w:rsid w:val="2AD57308"/>
    <w:rsid w:val="2AE17A5A"/>
    <w:rsid w:val="2AE35581"/>
    <w:rsid w:val="2AE66E32"/>
    <w:rsid w:val="2AE77BF2"/>
    <w:rsid w:val="2AED4651"/>
    <w:rsid w:val="2AF13A67"/>
    <w:rsid w:val="2AF23A05"/>
    <w:rsid w:val="2AF51106"/>
    <w:rsid w:val="2AF7727E"/>
    <w:rsid w:val="2AFA03A2"/>
    <w:rsid w:val="2AFC6642"/>
    <w:rsid w:val="2AFD1B33"/>
    <w:rsid w:val="2B046C38"/>
    <w:rsid w:val="2B057BED"/>
    <w:rsid w:val="2B0D0850"/>
    <w:rsid w:val="2B0E58B3"/>
    <w:rsid w:val="2B125E66"/>
    <w:rsid w:val="2B1610F7"/>
    <w:rsid w:val="2B17347C"/>
    <w:rsid w:val="2B177920"/>
    <w:rsid w:val="2B1B6DC7"/>
    <w:rsid w:val="2B1E2A5D"/>
    <w:rsid w:val="2B200583"/>
    <w:rsid w:val="2B203022"/>
    <w:rsid w:val="2B204A27"/>
    <w:rsid w:val="2B2142FB"/>
    <w:rsid w:val="2B221BC3"/>
    <w:rsid w:val="2B241C3B"/>
    <w:rsid w:val="2B253DEB"/>
    <w:rsid w:val="2B272B96"/>
    <w:rsid w:val="2B2D2CA0"/>
    <w:rsid w:val="2B350611"/>
    <w:rsid w:val="2B3E4EAD"/>
    <w:rsid w:val="2B4012D0"/>
    <w:rsid w:val="2B4104F9"/>
    <w:rsid w:val="2B497252"/>
    <w:rsid w:val="2B4D6E9E"/>
    <w:rsid w:val="2B4E46A4"/>
    <w:rsid w:val="2B4F1381"/>
    <w:rsid w:val="2B4F2C16"/>
    <w:rsid w:val="2B51698E"/>
    <w:rsid w:val="2B5327A4"/>
    <w:rsid w:val="2B544CFA"/>
    <w:rsid w:val="2B560448"/>
    <w:rsid w:val="2B58197D"/>
    <w:rsid w:val="2B5B432E"/>
    <w:rsid w:val="2B5D7831"/>
    <w:rsid w:val="2B620B9B"/>
    <w:rsid w:val="2B6834F4"/>
    <w:rsid w:val="2B6B3768"/>
    <w:rsid w:val="2B726905"/>
    <w:rsid w:val="2B7911B5"/>
    <w:rsid w:val="2B7938DE"/>
    <w:rsid w:val="2B793AD0"/>
    <w:rsid w:val="2B795EE5"/>
    <w:rsid w:val="2B7B1450"/>
    <w:rsid w:val="2B7B6506"/>
    <w:rsid w:val="2B7B706C"/>
    <w:rsid w:val="2B850EC3"/>
    <w:rsid w:val="2B894A5C"/>
    <w:rsid w:val="2B8A1EA0"/>
    <w:rsid w:val="2B8C705D"/>
    <w:rsid w:val="2B8D373E"/>
    <w:rsid w:val="2B8F395A"/>
    <w:rsid w:val="2B8F74B6"/>
    <w:rsid w:val="2B9176D3"/>
    <w:rsid w:val="2B935484"/>
    <w:rsid w:val="2B960845"/>
    <w:rsid w:val="2B991AB0"/>
    <w:rsid w:val="2B99227F"/>
    <w:rsid w:val="2B9F3B9D"/>
    <w:rsid w:val="2BA03BB7"/>
    <w:rsid w:val="2BA240E7"/>
    <w:rsid w:val="2BA56CDA"/>
    <w:rsid w:val="2BA64D6D"/>
    <w:rsid w:val="2BA936A8"/>
    <w:rsid w:val="2BAD5B8F"/>
    <w:rsid w:val="2BAF1907"/>
    <w:rsid w:val="2BAF7B59"/>
    <w:rsid w:val="2BB313F7"/>
    <w:rsid w:val="2BB331A5"/>
    <w:rsid w:val="2BB46F1D"/>
    <w:rsid w:val="2BB673E4"/>
    <w:rsid w:val="2BC5112A"/>
    <w:rsid w:val="2BD2547C"/>
    <w:rsid w:val="2BD3734B"/>
    <w:rsid w:val="2BD4031B"/>
    <w:rsid w:val="2BD42D6E"/>
    <w:rsid w:val="2BD80E5D"/>
    <w:rsid w:val="2BD8301C"/>
    <w:rsid w:val="2BDE4899"/>
    <w:rsid w:val="2BE544EF"/>
    <w:rsid w:val="2BE61D13"/>
    <w:rsid w:val="2BEA3064"/>
    <w:rsid w:val="2BEC2B5B"/>
    <w:rsid w:val="2BEE242F"/>
    <w:rsid w:val="2BEF7DBE"/>
    <w:rsid w:val="2BF043F9"/>
    <w:rsid w:val="2BF81500"/>
    <w:rsid w:val="2BF81D4F"/>
    <w:rsid w:val="2BFA7026"/>
    <w:rsid w:val="2BFB2D9E"/>
    <w:rsid w:val="2BFD736F"/>
    <w:rsid w:val="2C034392"/>
    <w:rsid w:val="2C047EA4"/>
    <w:rsid w:val="2C0A158E"/>
    <w:rsid w:val="2C0C4151"/>
    <w:rsid w:val="2C0C4FAB"/>
    <w:rsid w:val="2C1105D9"/>
    <w:rsid w:val="2C145DF7"/>
    <w:rsid w:val="2C153E60"/>
    <w:rsid w:val="2C172FEB"/>
    <w:rsid w:val="2C1D2D14"/>
    <w:rsid w:val="2C2220D9"/>
    <w:rsid w:val="2C264CFB"/>
    <w:rsid w:val="2C272CD7"/>
    <w:rsid w:val="2C2C11A9"/>
    <w:rsid w:val="2C2E6CCF"/>
    <w:rsid w:val="2C2F7B89"/>
    <w:rsid w:val="2C3047F6"/>
    <w:rsid w:val="2C315A5A"/>
    <w:rsid w:val="2C32277E"/>
    <w:rsid w:val="2C3712E3"/>
    <w:rsid w:val="2C3D6F12"/>
    <w:rsid w:val="2C3E76DB"/>
    <w:rsid w:val="2C4341EE"/>
    <w:rsid w:val="2C4552CD"/>
    <w:rsid w:val="2C491D5B"/>
    <w:rsid w:val="2C49508A"/>
    <w:rsid w:val="2C4B1C25"/>
    <w:rsid w:val="2C4B5AD3"/>
    <w:rsid w:val="2C4E2ECE"/>
    <w:rsid w:val="2C507E91"/>
    <w:rsid w:val="2C574478"/>
    <w:rsid w:val="2C5801F0"/>
    <w:rsid w:val="2C5C383D"/>
    <w:rsid w:val="2C5D5F96"/>
    <w:rsid w:val="2C602C01"/>
    <w:rsid w:val="2C603747"/>
    <w:rsid w:val="2C63728C"/>
    <w:rsid w:val="2C646B95"/>
    <w:rsid w:val="2C66290D"/>
    <w:rsid w:val="2C6D40D2"/>
    <w:rsid w:val="2C7548FE"/>
    <w:rsid w:val="2C76719D"/>
    <w:rsid w:val="2C7843EE"/>
    <w:rsid w:val="2C7E7E62"/>
    <w:rsid w:val="2C804AD2"/>
    <w:rsid w:val="2C8114F5"/>
    <w:rsid w:val="2C835CA7"/>
    <w:rsid w:val="2C837613"/>
    <w:rsid w:val="2C862667"/>
    <w:rsid w:val="2C8763E0"/>
    <w:rsid w:val="2C8965FC"/>
    <w:rsid w:val="2C8B5ED0"/>
    <w:rsid w:val="2C8D7E9A"/>
    <w:rsid w:val="2C934D84"/>
    <w:rsid w:val="2C96444C"/>
    <w:rsid w:val="2C99503A"/>
    <w:rsid w:val="2C9C273B"/>
    <w:rsid w:val="2C9E0453"/>
    <w:rsid w:val="2CA13945"/>
    <w:rsid w:val="2CA3243C"/>
    <w:rsid w:val="2CAB6572"/>
    <w:rsid w:val="2CAC6A1D"/>
    <w:rsid w:val="2CB25B52"/>
    <w:rsid w:val="2CB266F9"/>
    <w:rsid w:val="2CB3205B"/>
    <w:rsid w:val="2CB41783"/>
    <w:rsid w:val="2CB74F17"/>
    <w:rsid w:val="2CB9597D"/>
    <w:rsid w:val="2CBD2850"/>
    <w:rsid w:val="2CBE44F7"/>
    <w:rsid w:val="2CBE62A5"/>
    <w:rsid w:val="2CC246A5"/>
    <w:rsid w:val="2CC807E2"/>
    <w:rsid w:val="2CC82306"/>
    <w:rsid w:val="2CCA0EA5"/>
    <w:rsid w:val="2CCA71A9"/>
    <w:rsid w:val="2CCE4B2D"/>
    <w:rsid w:val="2CD23AFF"/>
    <w:rsid w:val="2CDA2A75"/>
    <w:rsid w:val="2CDC6627"/>
    <w:rsid w:val="2CDF621C"/>
    <w:rsid w:val="2CE43832"/>
    <w:rsid w:val="2CE4621E"/>
    <w:rsid w:val="2CE51089"/>
    <w:rsid w:val="2CE657FC"/>
    <w:rsid w:val="2CED0939"/>
    <w:rsid w:val="2CF2754A"/>
    <w:rsid w:val="2CF5626A"/>
    <w:rsid w:val="2CFC6ACF"/>
    <w:rsid w:val="2D0A5983"/>
    <w:rsid w:val="2D0B4249"/>
    <w:rsid w:val="2D0F08AF"/>
    <w:rsid w:val="2D102669"/>
    <w:rsid w:val="2D170966"/>
    <w:rsid w:val="2D1C121E"/>
    <w:rsid w:val="2D1D6730"/>
    <w:rsid w:val="2D1F54EF"/>
    <w:rsid w:val="2D200B99"/>
    <w:rsid w:val="2D2A56E9"/>
    <w:rsid w:val="2D2B1E42"/>
    <w:rsid w:val="2D2B1E8D"/>
    <w:rsid w:val="2D2E2197"/>
    <w:rsid w:val="2D303DD5"/>
    <w:rsid w:val="2D346567"/>
    <w:rsid w:val="2D355AC5"/>
    <w:rsid w:val="2D376058"/>
    <w:rsid w:val="2D39592C"/>
    <w:rsid w:val="2D3B5B48"/>
    <w:rsid w:val="2D3C366E"/>
    <w:rsid w:val="2D417AAA"/>
    <w:rsid w:val="2D49431F"/>
    <w:rsid w:val="2D4973F6"/>
    <w:rsid w:val="2D4B16D2"/>
    <w:rsid w:val="2D4D13D7"/>
    <w:rsid w:val="2D4F33A1"/>
    <w:rsid w:val="2D4F6EFD"/>
    <w:rsid w:val="2D510EC7"/>
    <w:rsid w:val="2D53501C"/>
    <w:rsid w:val="2D574004"/>
    <w:rsid w:val="2D57705A"/>
    <w:rsid w:val="2D5E5941"/>
    <w:rsid w:val="2D614E83"/>
    <w:rsid w:val="2D615745"/>
    <w:rsid w:val="2D616C31"/>
    <w:rsid w:val="2D653D1D"/>
    <w:rsid w:val="2D654973"/>
    <w:rsid w:val="2D684463"/>
    <w:rsid w:val="2D6D1917"/>
    <w:rsid w:val="2D713318"/>
    <w:rsid w:val="2D74105A"/>
    <w:rsid w:val="2D7B7CF2"/>
    <w:rsid w:val="2D7D7F0E"/>
    <w:rsid w:val="2D8079FF"/>
    <w:rsid w:val="2D825525"/>
    <w:rsid w:val="2D8661AA"/>
    <w:rsid w:val="2D872B3B"/>
    <w:rsid w:val="2D897692"/>
    <w:rsid w:val="2D9139BA"/>
    <w:rsid w:val="2D91652B"/>
    <w:rsid w:val="2D94757A"/>
    <w:rsid w:val="2D984D48"/>
    <w:rsid w:val="2D9B0395"/>
    <w:rsid w:val="2D9B65E7"/>
    <w:rsid w:val="2D9C4F6B"/>
    <w:rsid w:val="2D9C5EBB"/>
    <w:rsid w:val="2D9C735E"/>
    <w:rsid w:val="2D9E56F5"/>
    <w:rsid w:val="2DA03BFD"/>
    <w:rsid w:val="2DA059AB"/>
    <w:rsid w:val="2DA27975"/>
    <w:rsid w:val="2DA3549B"/>
    <w:rsid w:val="2DAA05D8"/>
    <w:rsid w:val="2DAF3E40"/>
    <w:rsid w:val="2DB256DE"/>
    <w:rsid w:val="2DB34BD9"/>
    <w:rsid w:val="2DB4199E"/>
    <w:rsid w:val="2DB43204"/>
    <w:rsid w:val="2DB66F7C"/>
    <w:rsid w:val="2DBB27E5"/>
    <w:rsid w:val="2DBD655D"/>
    <w:rsid w:val="2DBE4083"/>
    <w:rsid w:val="2DC676FB"/>
    <w:rsid w:val="2DC773DC"/>
    <w:rsid w:val="2DCA2A28"/>
    <w:rsid w:val="2DCE2518"/>
    <w:rsid w:val="2DD2603B"/>
    <w:rsid w:val="2DD45655"/>
    <w:rsid w:val="2DDD275B"/>
    <w:rsid w:val="2DDD3B2A"/>
    <w:rsid w:val="2DDE64D3"/>
    <w:rsid w:val="2DE0224B"/>
    <w:rsid w:val="2DE071B6"/>
    <w:rsid w:val="2DE22FF9"/>
    <w:rsid w:val="2DE24215"/>
    <w:rsid w:val="2DE25FC3"/>
    <w:rsid w:val="2DEB51EC"/>
    <w:rsid w:val="2DF06932"/>
    <w:rsid w:val="2DF52CAD"/>
    <w:rsid w:val="2DFD44B7"/>
    <w:rsid w:val="2DFE26D1"/>
    <w:rsid w:val="2E073170"/>
    <w:rsid w:val="2E0833ED"/>
    <w:rsid w:val="2E0837C3"/>
    <w:rsid w:val="2E0D0F34"/>
    <w:rsid w:val="2E0F0B11"/>
    <w:rsid w:val="2E1168A9"/>
    <w:rsid w:val="2E121023"/>
    <w:rsid w:val="2E176E8B"/>
    <w:rsid w:val="2E183793"/>
    <w:rsid w:val="2E19379E"/>
    <w:rsid w:val="2E19750B"/>
    <w:rsid w:val="2E1F0FC6"/>
    <w:rsid w:val="2E231C4F"/>
    <w:rsid w:val="2E232138"/>
    <w:rsid w:val="2E3507E9"/>
    <w:rsid w:val="2E382087"/>
    <w:rsid w:val="2E3A5DFF"/>
    <w:rsid w:val="2E3A7EB3"/>
    <w:rsid w:val="2E4152A3"/>
    <w:rsid w:val="2E4E0CE7"/>
    <w:rsid w:val="2E525AC4"/>
    <w:rsid w:val="2E5B7B24"/>
    <w:rsid w:val="2E5C5D76"/>
    <w:rsid w:val="2E5D38F8"/>
    <w:rsid w:val="2E60513A"/>
    <w:rsid w:val="2E615B1A"/>
    <w:rsid w:val="2E617F36"/>
    <w:rsid w:val="2E632975"/>
    <w:rsid w:val="2E65662A"/>
    <w:rsid w:val="2E666BF4"/>
    <w:rsid w:val="2E667D00"/>
    <w:rsid w:val="2E667F96"/>
    <w:rsid w:val="2E690493"/>
    <w:rsid w:val="2E7035CF"/>
    <w:rsid w:val="2E70537D"/>
    <w:rsid w:val="2E7110F5"/>
    <w:rsid w:val="2E720143"/>
    <w:rsid w:val="2E731311"/>
    <w:rsid w:val="2E756E38"/>
    <w:rsid w:val="2E766F8E"/>
    <w:rsid w:val="2E7A61FC"/>
    <w:rsid w:val="2E7C6DB5"/>
    <w:rsid w:val="2E7F3812"/>
    <w:rsid w:val="2E821554"/>
    <w:rsid w:val="2E8226AB"/>
    <w:rsid w:val="2E8265D6"/>
    <w:rsid w:val="2E894691"/>
    <w:rsid w:val="2E8B0409"/>
    <w:rsid w:val="2E8B21B7"/>
    <w:rsid w:val="2E8C1A38"/>
    <w:rsid w:val="2E8C5F2F"/>
    <w:rsid w:val="2E921798"/>
    <w:rsid w:val="2E9B6172"/>
    <w:rsid w:val="2EA339A5"/>
    <w:rsid w:val="2EA414CB"/>
    <w:rsid w:val="2EA66346"/>
    <w:rsid w:val="2EA94D33"/>
    <w:rsid w:val="2EAB2859"/>
    <w:rsid w:val="2EAC037F"/>
    <w:rsid w:val="2EAE40F8"/>
    <w:rsid w:val="2EAE7101"/>
    <w:rsid w:val="2EAF4725"/>
    <w:rsid w:val="2EB060C2"/>
    <w:rsid w:val="2EB2312B"/>
    <w:rsid w:val="2EB55486"/>
    <w:rsid w:val="2EB57234"/>
    <w:rsid w:val="2EBA0CEE"/>
    <w:rsid w:val="2EBA484A"/>
    <w:rsid w:val="2EBC6814"/>
    <w:rsid w:val="2EC13E2B"/>
    <w:rsid w:val="2EC76F67"/>
    <w:rsid w:val="2EC8340B"/>
    <w:rsid w:val="2EC90F31"/>
    <w:rsid w:val="2ECA280E"/>
    <w:rsid w:val="2ECB2EFB"/>
    <w:rsid w:val="2ECB7250"/>
    <w:rsid w:val="2ECC245C"/>
    <w:rsid w:val="2ED3590C"/>
    <w:rsid w:val="2ED62DF9"/>
    <w:rsid w:val="2ED718A0"/>
    <w:rsid w:val="2ED973C6"/>
    <w:rsid w:val="2EDF2CF6"/>
    <w:rsid w:val="2EE049D3"/>
    <w:rsid w:val="2EE10029"/>
    <w:rsid w:val="2EE12975"/>
    <w:rsid w:val="2EE23C7A"/>
    <w:rsid w:val="2EE23DA1"/>
    <w:rsid w:val="2EE61AE3"/>
    <w:rsid w:val="2EED10C4"/>
    <w:rsid w:val="2EED2E72"/>
    <w:rsid w:val="2EED420A"/>
    <w:rsid w:val="2EEE0998"/>
    <w:rsid w:val="2EF1464D"/>
    <w:rsid w:val="2EF44200"/>
    <w:rsid w:val="2EF75A9F"/>
    <w:rsid w:val="2EF9691B"/>
    <w:rsid w:val="2EFB6E53"/>
    <w:rsid w:val="2EFF42F5"/>
    <w:rsid w:val="2F0116F1"/>
    <w:rsid w:val="2F034443"/>
    <w:rsid w:val="2F051F6C"/>
    <w:rsid w:val="2F083808"/>
    <w:rsid w:val="2F0B154A"/>
    <w:rsid w:val="2F0E7124"/>
    <w:rsid w:val="2F0F43EF"/>
    <w:rsid w:val="2F103B63"/>
    <w:rsid w:val="2F106B60"/>
    <w:rsid w:val="2F1228D8"/>
    <w:rsid w:val="2F191EB9"/>
    <w:rsid w:val="2F193C67"/>
    <w:rsid w:val="2F1D37C9"/>
    <w:rsid w:val="2F2263C9"/>
    <w:rsid w:val="2F2443BA"/>
    <w:rsid w:val="2F257E9C"/>
    <w:rsid w:val="2F2B74F6"/>
    <w:rsid w:val="2F2E6FE6"/>
    <w:rsid w:val="2F3173B0"/>
    <w:rsid w:val="2F320885"/>
    <w:rsid w:val="2F337E9A"/>
    <w:rsid w:val="2F347BE9"/>
    <w:rsid w:val="2F391C13"/>
    <w:rsid w:val="2F397E65"/>
    <w:rsid w:val="2F3F643D"/>
    <w:rsid w:val="2F472C96"/>
    <w:rsid w:val="2F4811DE"/>
    <w:rsid w:val="2F4821F5"/>
    <w:rsid w:val="2F4961AE"/>
    <w:rsid w:val="2F4C610E"/>
    <w:rsid w:val="2F4F1437"/>
    <w:rsid w:val="2F5527C5"/>
    <w:rsid w:val="2F557AE7"/>
    <w:rsid w:val="2F5702EB"/>
    <w:rsid w:val="2F5910E2"/>
    <w:rsid w:val="2F5A7DDB"/>
    <w:rsid w:val="2F64514D"/>
    <w:rsid w:val="2F6601F3"/>
    <w:rsid w:val="2F693540"/>
    <w:rsid w:val="2F6A44C2"/>
    <w:rsid w:val="2F6D5D61"/>
    <w:rsid w:val="2F6E117A"/>
    <w:rsid w:val="2F6F7D2B"/>
    <w:rsid w:val="2F742566"/>
    <w:rsid w:val="2F797A5E"/>
    <w:rsid w:val="2F81180C"/>
    <w:rsid w:val="2F827DB7"/>
    <w:rsid w:val="2F8310E0"/>
    <w:rsid w:val="2F874408"/>
    <w:rsid w:val="2F8A06C1"/>
    <w:rsid w:val="2F8A246F"/>
    <w:rsid w:val="2F8B4A44"/>
    <w:rsid w:val="2F8C268B"/>
    <w:rsid w:val="2F8D01B1"/>
    <w:rsid w:val="2F8D6403"/>
    <w:rsid w:val="2F926239"/>
    <w:rsid w:val="2F950E14"/>
    <w:rsid w:val="2F961436"/>
    <w:rsid w:val="2F971030"/>
    <w:rsid w:val="2F972DDE"/>
    <w:rsid w:val="2F997734"/>
    <w:rsid w:val="2F9A0BC9"/>
    <w:rsid w:val="2F9B6AC0"/>
    <w:rsid w:val="2F9E23BE"/>
    <w:rsid w:val="2FA03738"/>
    <w:rsid w:val="2FA06136"/>
    <w:rsid w:val="2FA23A9F"/>
    <w:rsid w:val="2FA572A9"/>
    <w:rsid w:val="2FA63021"/>
    <w:rsid w:val="2FAF36E9"/>
    <w:rsid w:val="2FAF6379"/>
    <w:rsid w:val="2FB84BD7"/>
    <w:rsid w:val="2FB92D54"/>
    <w:rsid w:val="2FBB2F70"/>
    <w:rsid w:val="2FBD105F"/>
    <w:rsid w:val="2FC16254"/>
    <w:rsid w:val="2FC736C3"/>
    <w:rsid w:val="2FC82F97"/>
    <w:rsid w:val="2FCA31B3"/>
    <w:rsid w:val="2FCB7D9B"/>
    <w:rsid w:val="2FCF07C9"/>
    <w:rsid w:val="2FD065E6"/>
    <w:rsid w:val="2FD967F9"/>
    <w:rsid w:val="2FD96870"/>
    <w:rsid w:val="2FDA5D83"/>
    <w:rsid w:val="2FDA7D46"/>
    <w:rsid w:val="2FE74BAE"/>
    <w:rsid w:val="2FF16992"/>
    <w:rsid w:val="2FF16E7B"/>
    <w:rsid w:val="2FF3270A"/>
    <w:rsid w:val="2FF42F0C"/>
    <w:rsid w:val="2FF67B04"/>
    <w:rsid w:val="2FF7032D"/>
    <w:rsid w:val="2FF95846"/>
    <w:rsid w:val="2FFC3120"/>
    <w:rsid w:val="2FFD0B19"/>
    <w:rsid w:val="300264A9"/>
    <w:rsid w:val="30085A89"/>
    <w:rsid w:val="300A212D"/>
    <w:rsid w:val="300C37CC"/>
    <w:rsid w:val="300E30A0"/>
    <w:rsid w:val="300F506A"/>
    <w:rsid w:val="30136908"/>
    <w:rsid w:val="30161909"/>
    <w:rsid w:val="30180474"/>
    <w:rsid w:val="301B06FA"/>
    <w:rsid w:val="301D7787"/>
    <w:rsid w:val="30224607"/>
    <w:rsid w:val="30247B0A"/>
    <w:rsid w:val="30247D84"/>
    <w:rsid w:val="302723B3"/>
    <w:rsid w:val="30274161"/>
    <w:rsid w:val="3029612C"/>
    <w:rsid w:val="30336FAA"/>
    <w:rsid w:val="30354AD0"/>
    <w:rsid w:val="304271ED"/>
    <w:rsid w:val="304545E8"/>
    <w:rsid w:val="30466CDD"/>
    <w:rsid w:val="3049057C"/>
    <w:rsid w:val="30507EA7"/>
    <w:rsid w:val="305129F5"/>
    <w:rsid w:val="30573707"/>
    <w:rsid w:val="30580BC9"/>
    <w:rsid w:val="305A416F"/>
    <w:rsid w:val="305E198D"/>
    <w:rsid w:val="305E56A9"/>
    <w:rsid w:val="30601421"/>
    <w:rsid w:val="306C6195"/>
    <w:rsid w:val="306C7DC6"/>
    <w:rsid w:val="306D38DE"/>
    <w:rsid w:val="306E3B3E"/>
    <w:rsid w:val="3070471D"/>
    <w:rsid w:val="30782C0F"/>
    <w:rsid w:val="307B625B"/>
    <w:rsid w:val="307F7AFA"/>
    <w:rsid w:val="308159CF"/>
    <w:rsid w:val="30841188"/>
    <w:rsid w:val="30850E88"/>
    <w:rsid w:val="308A649E"/>
    <w:rsid w:val="308C0468"/>
    <w:rsid w:val="308E5F8F"/>
    <w:rsid w:val="30900751"/>
    <w:rsid w:val="30915D32"/>
    <w:rsid w:val="3091782D"/>
    <w:rsid w:val="30957FD9"/>
    <w:rsid w:val="309978F6"/>
    <w:rsid w:val="309A0DD7"/>
    <w:rsid w:val="309A4933"/>
    <w:rsid w:val="309D2676"/>
    <w:rsid w:val="309D61D2"/>
    <w:rsid w:val="30B132E9"/>
    <w:rsid w:val="30B32426"/>
    <w:rsid w:val="30B67293"/>
    <w:rsid w:val="30BF25EC"/>
    <w:rsid w:val="30BF6A5E"/>
    <w:rsid w:val="30C15302"/>
    <w:rsid w:val="30C27C62"/>
    <w:rsid w:val="30C416F4"/>
    <w:rsid w:val="30C41A60"/>
    <w:rsid w:val="30C45E54"/>
    <w:rsid w:val="30CE0A81"/>
    <w:rsid w:val="30CE282F"/>
    <w:rsid w:val="30D10890"/>
    <w:rsid w:val="30D50061"/>
    <w:rsid w:val="30D51E0F"/>
    <w:rsid w:val="30D8545C"/>
    <w:rsid w:val="30E107B4"/>
    <w:rsid w:val="30E23757"/>
    <w:rsid w:val="30E402A4"/>
    <w:rsid w:val="30E42146"/>
    <w:rsid w:val="30E6401D"/>
    <w:rsid w:val="30F009F7"/>
    <w:rsid w:val="30F10937"/>
    <w:rsid w:val="30F3694F"/>
    <w:rsid w:val="30F524B2"/>
    <w:rsid w:val="31046251"/>
    <w:rsid w:val="31061FC9"/>
    <w:rsid w:val="31085D41"/>
    <w:rsid w:val="31091AB9"/>
    <w:rsid w:val="310A66F2"/>
    <w:rsid w:val="310D3357"/>
    <w:rsid w:val="310E0E7D"/>
    <w:rsid w:val="310F0A0C"/>
    <w:rsid w:val="31101099"/>
    <w:rsid w:val="31102E48"/>
    <w:rsid w:val="31165274"/>
    <w:rsid w:val="311961A0"/>
    <w:rsid w:val="311E2ED7"/>
    <w:rsid w:val="312608BD"/>
    <w:rsid w:val="31271F3F"/>
    <w:rsid w:val="31295CB7"/>
    <w:rsid w:val="312C2756"/>
    <w:rsid w:val="312D1C4B"/>
    <w:rsid w:val="312E1520"/>
    <w:rsid w:val="313308E4"/>
    <w:rsid w:val="31350B00"/>
    <w:rsid w:val="313F7327"/>
    <w:rsid w:val="31411253"/>
    <w:rsid w:val="31462D0D"/>
    <w:rsid w:val="314A1AEA"/>
    <w:rsid w:val="314B20D2"/>
    <w:rsid w:val="3150593A"/>
    <w:rsid w:val="31530B32"/>
    <w:rsid w:val="315619EE"/>
    <w:rsid w:val="31570A76"/>
    <w:rsid w:val="315728F1"/>
    <w:rsid w:val="315840B2"/>
    <w:rsid w:val="315C449C"/>
    <w:rsid w:val="315C7E3B"/>
    <w:rsid w:val="316513E5"/>
    <w:rsid w:val="31666F0B"/>
    <w:rsid w:val="31692558"/>
    <w:rsid w:val="31716CC5"/>
    <w:rsid w:val="31717D8A"/>
    <w:rsid w:val="3173284C"/>
    <w:rsid w:val="317433D6"/>
    <w:rsid w:val="3176144A"/>
    <w:rsid w:val="317667A4"/>
    <w:rsid w:val="317909ED"/>
    <w:rsid w:val="317A4765"/>
    <w:rsid w:val="317C672F"/>
    <w:rsid w:val="317E209A"/>
    <w:rsid w:val="317E6DB6"/>
    <w:rsid w:val="317F5B05"/>
    <w:rsid w:val="31813D45"/>
    <w:rsid w:val="3183186B"/>
    <w:rsid w:val="31845310"/>
    <w:rsid w:val="31886E82"/>
    <w:rsid w:val="31903F88"/>
    <w:rsid w:val="3192385D"/>
    <w:rsid w:val="31945827"/>
    <w:rsid w:val="319475D5"/>
    <w:rsid w:val="31975317"/>
    <w:rsid w:val="3199108F"/>
    <w:rsid w:val="319C0B7F"/>
    <w:rsid w:val="319F1D83"/>
    <w:rsid w:val="31A0241D"/>
    <w:rsid w:val="31A17F44"/>
    <w:rsid w:val="31AB53D1"/>
    <w:rsid w:val="31AC0DC2"/>
    <w:rsid w:val="31AF08B2"/>
    <w:rsid w:val="31B45EC9"/>
    <w:rsid w:val="31B82709"/>
    <w:rsid w:val="31B9703B"/>
    <w:rsid w:val="31BE162D"/>
    <w:rsid w:val="31C143D8"/>
    <w:rsid w:val="31C205E6"/>
    <w:rsid w:val="31C3435E"/>
    <w:rsid w:val="31C679AA"/>
    <w:rsid w:val="31CC4FC0"/>
    <w:rsid w:val="31CE47F4"/>
    <w:rsid w:val="31D05482"/>
    <w:rsid w:val="31D47C7D"/>
    <w:rsid w:val="31D60C88"/>
    <w:rsid w:val="31D65E3F"/>
    <w:rsid w:val="31D837E0"/>
    <w:rsid w:val="31DB16A7"/>
    <w:rsid w:val="31E56082"/>
    <w:rsid w:val="31EC11BC"/>
    <w:rsid w:val="31EF1DF2"/>
    <w:rsid w:val="31F14470"/>
    <w:rsid w:val="31F14A27"/>
    <w:rsid w:val="31F6028F"/>
    <w:rsid w:val="31F84007"/>
    <w:rsid w:val="31F8779D"/>
    <w:rsid w:val="31FE795F"/>
    <w:rsid w:val="3201709B"/>
    <w:rsid w:val="32036954"/>
    <w:rsid w:val="320504D2"/>
    <w:rsid w:val="32075721"/>
    <w:rsid w:val="320C360F"/>
    <w:rsid w:val="320C6C70"/>
    <w:rsid w:val="320D76EB"/>
    <w:rsid w:val="32130E41"/>
    <w:rsid w:val="32144BB9"/>
    <w:rsid w:val="32194741"/>
    <w:rsid w:val="321B1AA4"/>
    <w:rsid w:val="321E77E6"/>
    <w:rsid w:val="32201157"/>
    <w:rsid w:val="3220355E"/>
    <w:rsid w:val="32203575"/>
    <w:rsid w:val="3220530C"/>
    <w:rsid w:val="32244DFC"/>
    <w:rsid w:val="32246E7D"/>
    <w:rsid w:val="322D4518"/>
    <w:rsid w:val="32311C9E"/>
    <w:rsid w:val="32364B30"/>
    <w:rsid w:val="323B0398"/>
    <w:rsid w:val="323B2495"/>
    <w:rsid w:val="323C660D"/>
    <w:rsid w:val="323C7542"/>
    <w:rsid w:val="323D7C6C"/>
    <w:rsid w:val="32400B34"/>
    <w:rsid w:val="3240150B"/>
    <w:rsid w:val="32432DA9"/>
    <w:rsid w:val="32452FC5"/>
    <w:rsid w:val="32476D3D"/>
    <w:rsid w:val="32483869"/>
    <w:rsid w:val="3248523C"/>
    <w:rsid w:val="324A2731"/>
    <w:rsid w:val="324A4137"/>
    <w:rsid w:val="324D54CA"/>
    <w:rsid w:val="325A04F8"/>
    <w:rsid w:val="325A081E"/>
    <w:rsid w:val="325B2EC3"/>
    <w:rsid w:val="325D030E"/>
    <w:rsid w:val="32614B36"/>
    <w:rsid w:val="32625925"/>
    <w:rsid w:val="32680A63"/>
    <w:rsid w:val="32685F2C"/>
    <w:rsid w:val="32690A61"/>
    <w:rsid w:val="326A2A2B"/>
    <w:rsid w:val="326B7C1E"/>
    <w:rsid w:val="32700042"/>
    <w:rsid w:val="3273368E"/>
    <w:rsid w:val="32734AB3"/>
    <w:rsid w:val="32747F69"/>
    <w:rsid w:val="32785148"/>
    <w:rsid w:val="32790222"/>
    <w:rsid w:val="327D275F"/>
    <w:rsid w:val="32851613"/>
    <w:rsid w:val="3287538B"/>
    <w:rsid w:val="32883C32"/>
    <w:rsid w:val="32894C60"/>
    <w:rsid w:val="328F2C68"/>
    <w:rsid w:val="3292066C"/>
    <w:rsid w:val="32931F82"/>
    <w:rsid w:val="3293788C"/>
    <w:rsid w:val="329B1059"/>
    <w:rsid w:val="329D4BAF"/>
    <w:rsid w:val="329E6876"/>
    <w:rsid w:val="32A45F3D"/>
    <w:rsid w:val="32A54423"/>
    <w:rsid w:val="32AC6BA0"/>
    <w:rsid w:val="32AE428F"/>
    <w:rsid w:val="32AE71B3"/>
    <w:rsid w:val="32B01391"/>
    <w:rsid w:val="32B37F2E"/>
    <w:rsid w:val="32B67A1F"/>
    <w:rsid w:val="32BD0BEB"/>
    <w:rsid w:val="32BD3E12"/>
    <w:rsid w:val="32C0264B"/>
    <w:rsid w:val="32C21624"/>
    <w:rsid w:val="32C24615"/>
    <w:rsid w:val="32C5265C"/>
    <w:rsid w:val="32C57C62"/>
    <w:rsid w:val="32C65EB4"/>
    <w:rsid w:val="32CB171C"/>
    <w:rsid w:val="32CC2C84"/>
    <w:rsid w:val="32CC3DA8"/>
    <w:rsid w:val="32CE2FBA"/>
    <w:rsid w:val="32CF4F6A"/>
    <w:rsid w:val="32D07EF0"/>
    <w:rsid w:val="32D3237F"/>
    <w:rsid w:val="32D3784A"/>
    <w:rsid w:val="32D65578"/>
    <w:rsid w:val="32DD144F"/>
    <w:rsid w:val="32DD4FAB"/>
    <w:rsid w:val="32DF2AD1"/>
    <w:rsid w:val="32E0684A"/>
    <w:rsid w:val="32E4633A"/>
    <w:rsid w:val="32E82D23"/>
    <w:rsid w:val="32EA41CD"/>
    <w:rsid w:val="32EB1476"/>
    <w:rsid w:val="32EB2C4E"/>
    <w:rsid w:val="32EF34A0"/>
    <w:rsid w:val="32F36EE6"/>
    <w:rsid w:val="32F80037"/>
    <w:rsid w:val="32FA790B"/>
    <w:rsid w:val="32FD564D"/>
    <w:rsid w:val="32FD73FC"/>
    <w:rsid w:val="33044236"/>
    <w:rsid w:val="330664FD"/>
    <w:rsid w:val="330D1DD4"/>
    <w:rsid w:val="33100082"/>
    <w:rsid w:val="33181118"/>
    <w:rsid w:val="33185FE3"/>
    <w:rsid w:val="33210C6F"/>
    <w:rsid w:val="33233306"/>
    <w:rsid w:val="33242BDA"/>
    <w:rsid w:val="33296443"/>
    <w:rsid w:val="333015F2"/>
    <w:rsid w:val="333077D1"/>
    <w:rsid w:val="33332E1D"/>
    <w:rsid w:val="33335A2B"/>
    <w:rsid w:val="333559FB"/>
    <w:rsid w:val="3337290D"/>
    <w:rsid w:val="333948D8"/>
    <w:rsid w:val="333B75B5"/>
    <w:rsid w:val="333D3C9C"/>
    <w:rsid w:val="333E040A"/>
    <w:rsid w:val="333F226C"/>
    <w:rsid w:val="33452B3C"/>
    <w:rsid w:val="334B6320"/>
    <w:rsid w:val="33552D94"/>
    <w:rsid w:val="335F5F3F"/>
    <w:rsid w:val="336254B1"/>
    <w:rsid w:val="3364747B"/>
    <w:rsid w:val="33664FA1"/>
    <w:rsid w:val="336B1C9D"/>
    <w:rsid w:val="336B6A5B"/>
    <w:rsid w:val="336D2E31"/>
    <w:rsid w:val="336D632F"/>
    <w:rsid w:val="33745910"/>
    <w:rsid w:val="33745DD9"/>
    <w:rsid w:val="337B35D0"/>
    <w:rsid w:val="33835B53"/>
    <w:rsid w:val="338418CB"/>
    <w:rsid w:val="338673F1"/>
    <w:rsid w:val="33872089"/>
    <w:rsid w:val="33952235"/>
    <w:rsid w:val="33955886"/>
    <w:rsid w:val="339765F6"/>
    <w:rsid w:val="339A2E9C"/>
    <w:rsid w:val="339D31C7"/>
    <w:rsid w:val="33A1247D"/>
    <w:rsid w:val="33A45586"/>
    <w:rsid w:val="33A53D1B"/>
    <w:rsid w:val="33A855B9"/>
    <w:rsid w:val="33AD7074"/>
    <w:rsid w:val="33AE5C63"/>
    <w:rsid w:val="33B72DF3"/>
    <w:rsid w:val="33B95A18"/>
    <w:rsid w:val="33BA05EA"/>
    <w:rsid w:val="33BA52ED"/>
    <w:rsid w:val="33BB353F"/>
    <w:rsid w:val="33BE6B8B"/>
    <w:rsid w:val="33BF0F95"/>
    <w:rsid w:val="33C23925"/>
    <w:rsid w:val="33C57F19"/>
    <w:rsid w:val="33C817B8"/>
    <w:rsid w:val="33C86F17"/>
    <w:rsid w:val="33C87A09"/>
    <w:rsid w:val="33CA19D4"/>
    <w:rsid w:val="33CA638A"/>
    <w:rsid w:val="33CF62A2"/>
    <w:rsid w:val="33D343FB"/>
    <w:rsid w:val="33D4015C"/>
    <w:rsid w:val="33D934D4"/>
    <w:rsid w:val="33D95773"/>
    <w:rsid w:val="33DC5263"/>
    <w:rsid w:val="33DD1095"/>
    <w:rsid w:val="33E3258B"/>
    <w:rsid w:val="33E4629B"/>
    <w:rsid w:val="33E6116E"/>
    <w:rsid w:val="33E660E2"/>
    <w:rsid w:val="33E81E5A"/>
    <w:rsid w:val="33EA03B1"/>
    <w:rsid w:val="33EB36F8"/>
    <w:rsid w:val="33F40A22"/>
    <w:rsid w:val="33F508A6"/>
    <w:rsid w:val="33F54F4C"/>
    <w:rsid w:val="33F97DCE"/>
    <w:rsid w:val="33FE2F6A"/>
    <w:rsid w:val="33FE78CF"/>
    <w:rsid w:val="34006E6F"/>
    <w:rsid w:val="340273BB"/>
    <w:rsid w:val="34030A42"/>
    <w:rsid w:val="340551E6"/>
    <w:rsid w:val="340E07E5"/>
    <w:rsid w:val="34111C62"/>
    <w:rsid w:val="3412737F"/>
    <w:rsid w:val="341B3FDD"/>
    <w:rsid w:val="341D359D"/>
    <w:rsid w:val="341E587B"/>
    <w:rsid w:val="341F0841"/>
    <w:rsid w:val="342015F4"/>
    <w:rsid w:val="342033A2"/>
    <w:rsid w:val="34235BF7"/>
    <w:rsid w:val="3424001A"/>
    <w:rsid w:val="34272982"/>
    <w:rsid w:val="342A2472"/>
    <w:rsid w:val="342A4220"/>
    <w:rsid w:val="342A667E"/>
    <w:rsid w:val="342C2EA8"/>
    <w:rsid w:val="342E63AB"/>
    <w:rsid w:val="342F1837"/>
    <w:rsid w:val="342F6F7E"/>
    <w:rsid w:val="34307D2E"/>
    <w:rsid w:val="34321327"/>
    <w:rsid w:val="34325F48"/>
    <w:rsid w:val="34380EB8"/>
    <w:rsid w:val="34394463"/>
    <w:rsid w:val="343B422E"/>
    <w:rsid w:val="343B467F"/>
    <w:rsid w:val="343D3360"/>
    <w:rsid w:val="34432ACD"/>
    <w:rsid w:val="34451FE8"/>
    <w:rsid w:val="34480B4A"/>
    <w:rsid w:val="344C2B3A"/>
    <w:rsid w:val="344E7738"/>
    <w:rsid w:val="34525525"/>
    <w:rsid w:val="34533777"/>
    <w:rsid w:val="345602B2"/>
    <w:rsid w:val="345B262C"/>
    <w:rsid w:val="345C0152"/>
    <w:rsid w:val="345D45F6"/>
    <w:rsid w:val="345E211C"/>
    <w:rsid w:val="346239BA"/>
    <w:rsid w:val="346C2A8B"/>
    <w:rsid w:val="34711E4F"/>
    <w:rsid w:val="347831DE"/>
    <w:rsid w:val="34795577"/>
    <w:rsid w:val="347B68EE"/>
    <w:rsid w:val="347F27BE"/>
    <w:rsid w:val="347F411D"/>
    <w:rsid w:val="34802092"/>
    <w:rsid w:val="3483024B"/>
    <w:rsid w:val="348320CD"/>
    <w:rsid w:val="348428C3"/>
    <w:rsid w:val="34847DD4"/>
    <w:rsid w:val="348A6712"/>
    <w:rsid w:val="348B4C3D"/>
    <w:rsid w:val="348D63C4"/>
    <w:rsid w:val="348E0C53"/>
    <w:rsid w:val="348E405B"/>
    <w:rsid w:val="349124F1"/>
    <w:rsid w:val="3491354B"/>
    <w:rsid w:val="34985205"/>
    <w:rsid w:val="349A75F8"/>
    <w:rsid w:val="349F158C"/>
    <w:rsid w:val="349F18F7"/>
    <w:rsid w:val="34A02734"/>
    <w:rsid w:val="34A246FE"/>
    <w:rsid w:val="34A73AC3"/>
    <w:rsid w:val="34A8283C"/>
    <w:rsid w:val="34A918BA"/>
    <w:rsid w:val="34A946DB"/>
    <w:rsid w:val="34B561E0"/>
    <w:rsid w:val="34BA0108"/>
    <w:rsid w:val="34BC5B05"/>
    <w:rsid w:val="34C12DD7"/>
    <w:rsid w:val="34CB3FA2"/>
    <w:rsid w:val="34CE0799"/>
    <w:rsid w:val="34CE2DFE"/>
    <w:rsid w:val="34CF6B76"/>
    <w:rsid w:val="34D45DC3"/>
    <w:rsid w:val="34D50630"/>
    <w:rsid w:val="34D66156"/>
    <w:rsid w:val="34DA3E98"/>
    <w:rsid w:val="34DA79F4"/>
    <w:rsid w:val="34DB376C"/>
    <w:rsid w:val="34DB551B"/>
    <w:rsid w:val="34DF325D"/>
    <w:rsid w:val="34E02B31"/>
    <w:rsid w:val="34E41423"/>
    <w:rsid w:val="34E95C5F"/>
    <w:rsid w:val="34EE524E"/>
    <w:rsid w:val="34FA61E4"/>
    <w:rsid w:val="34FA62E8"/>
    <w:rsid w:val="34FB1589"/>
    <w:rsid w:val="34FD776A"/>
    <w:rsid w:val="35011425"/>
    <w:rsid w:val="3502519D"/>
    <w:rsid w:val="35026E4C"/>
    <w:rsid w:val="35044A71"/>
    <w:rsid w:val="35062223"/>
    <w:rsid w:val="35074561"/>
    <w:rsid w:val="35077950"/>
    <w:rsid w:val="350B0863"/>
    <w:rsid w:val="350C3926"/>
    <w:rsid w:val="35134CB4"/>
    <w:rsid w:val="35142EB6"/>
    <w:rsid w:val="35162806"/>
    <w:rsid w:val="351849C1"/>
    <w:rsid w:val="351A6043"/>
    <w:rsid w:val="351B1D0B"/>
    <w:rsid w:val="35242677"/>
    <w:rsid w:val="35257A9C"/>
    <w:rsid w:val="352D221A"/>
    <w:rsid w:val="35303AB8"/>
    <w:rsid w:val="35335357"/>
    <w:rsid w:val="353A66E5"/>
    <w:rsid w:val="353A75A4"/>
    <w:rsid w:val="353E3686"/>
    <w:rsid w:val="353F3CFB"/>
    <w:rsid w:val="35461722"/>
    <w:rsid w:val="35487FCA"/>
    <w:rsid w:val="354D466A"/>
    <w:rsid w:val="354E7702"/>
    <w:rsid w:val="354F3995"/>
    <w:rsid w:val="3552098C"/>
    <w:rsid w:val="35527ED3"/>
    <w:rsid w:val="355377A7"/>
    <w:rsid w:val="35577297"/>
    <w:rsid w:val="355A0925"/>
    <w:rsid w:val="355A17E5"/>
    <w:rsid w:val="355E512E"/>
    <w:rsid w:val="355F614C"/>
    <w:rsid w:val="35633E8E"/>
    <w:rsid w:val="35661288"/>
    <w:rsid w:val="3566572C"/>
    <w:rsid w:val="356674DA"/>
    <w:rsid w:val="356E2833"/>
    <w:rsid w:val="35700877"/>
    <w:rsid w:val="35702107"/>
    <w:rsid w:val="3572771B"/>
    <w:rsid w:val="35747E49"/>
    <w:rsid w:val="357A2F85"/>
    <w:rsid w:val="357C0AAC"/>
    <w:rsid w:val="357C3982"/>
    <w:rsid w:val="357D4824"/>
    <w:rsid w:val="357E0CC8"/>
    <w:rsid w:val="357F059C"/>
    <w:rsid w:val="358362DE"/>
    <w:rsid w:val="35847960"/>
    <w:rsid w:val="358636D8"/>
    <w:rsid w:val="358838F4"/>
    <w:rsid w:val="358C39DC"/>
    <w:rsid w:val="358C5FA8"/>
    <w:rsid w:val="358E2A76"/>
    <w:rsid w:val="35917DCF"/>
    <w:rsid w:val="3596206B"/>
    <w:rsid w:val="359C5D54"/>
    <w:rsid w:val="359E15E2"/>
    <w:rsid w:val="35A34396"/>
    <w:rsid w:val="35A63D7A"/>
    <w:rsid w:val="35A92FDD"/>
    <w:rsid w:val="35A95619"/>
    <w:rsid w:val="35AA386B"/>
    <w:rsid w:val="35AA676D"/>
    <w:rsid w:val="35B244CD"/>
    <w:rsid w:val="35B36517"/>
    <w:rsid w:val="35B446E9"/>
    <w:rsid w:val="35B73D61"/>
    <w:rsid w:val="35B75F88"/>
    <w:rsid w:val="35BB31A0"/>
    <w:rsid w:val="35BD2012"/>
    <w:rsid w:val="35BD581E"/>
    <w:rsid w:val="35BE2E72"/>
    <w:rsid w:val="35C13290"/>
    <w:rsid w:val="35C15DF1"/>
    <w:rsid w:val="35C34F73"/>
    <w:rsid w:val="35C9758C"/>
    <w:rsid w:val="35CC222B"/>
    <w:rsid w:val="35CE070B"/>
    <w:rsid w:val="35CF5AD7"/>
    <w:rsid w:val="35D90FE6"/>
    <w:rsid w:val="35D94150"/>
    <w:rsid w:val="35DB1B98"/>
    <w:rsid w:val="35E825E5"/>
    <w:rsid w:val="35EF5040"/>
    <w:rsid w:val="35F03248"/>
    <w:rsid w:val="35F80CE6"/>
    <w:rsid w:val="35F8709C"/>
    <w:rsid w:val="35FB7C20"/>
    <w:rsid w:val="35FC7E3E"/>
    <w:rsid w:val="360122AD"/>
    <w:rsid w:val="36062119"/>
    <w:rsid w:val="36074A7F"/>
    <w:rsid w:val="360C2140"/>
    <w:rsid w:val="36131B11"/>
    <w:rsid w:val="36146F36"/>
    <w:rsid w:val="36161226"/>
    <w:rsid w:val="361B6516"/>
    <w:rsid w:val="361C55FE"/>
    <w:rsid w:val="362353CB"/>
    <w:rsid w:val="36240580"/>
    <w:rsid w:val="36284148"/>
    <w:rsid w:val="36325D12"/>
    <w:rsid w:val="36342AA6"/>
    <w:rsid w:val="36392E40"/>
    <w:rsid w:val="363B2C08"/>
    <w:rsid w:val="363E2205"/>
    <w:rsid w:val="3643781B"/>
    <w:rsid w:val="36441C39"/>
    <w:rsid w:val="36454420"/>
    <w:rsid w:val="36455341"/>
    <w:rsid w:val="364C19A6"/>
    <w:rsid w:val="365A0DF6"/>
    <w:rsid w:val="36603F29"/>
    <w:rsid w:val="366330E1"/>
    <w:rsid w:val="3667175C"/>
    <w:rsid w:val="36685234"/>
    <w:rsid w:val="366D4898"/>
    <w:rsid w:val="3676199F"/>
    <w:rsid w:val="3679323D"/>
    <w:rsid w:val="367B6FB5"/>
    <w:rsid w:val="367D0F7F"/>
    <w:rsid w:val="367E011C"/>
    <w:rsid w:val="368564FF"/>
    <w:rsid w:val="36873BAC"/>
    <w:rsid w:val="368A6F17"/>
    <w:rsid w:val="36923549"/>
    <w:rsid w:val="36946BC1"/>
    <w:rsid w:val="36952C22"/>
    <w:rsid w:val="3699568D"/>
    <w:rsid w:val="369B7657"/>
    <w:rsid w:val="369E0EF6"/>
    <w:rsid w:val="36A302BA"/>
    <w:rsid w:val="36A4475E"/>
    <w:rsid w:val="36A90F3F"/>
    <w:rsid w:val="36B145DA"/>
    <w:rsid w:val="36B14785"/>
    <w:rsid w:val="36B75FBF"/>
    <w:rsid w:val="36BB1AA7"/>
    <w:rsid w:val="36BD0C45"/>
    <w:rsid w:val="36C24BE4"/>
    <w:rsid w:val="36C737F5"/>
    <w:rsid w:val="36C80C21"/>
    <w:rsid w:val="36C94D6E"/>
    <w:rsid w:val="36CA136C"/>
    <w:rsid w:val="36CA3A99"/>
    <w:rsid w:val="36D05553"/>
    <w:rsid w:val="36D056D3"/>
    <w:rsid w:val="36D13079"/>
    <w:rsid w:val="36D16BD5"/>
    <w:rsid w:val="36D3294D"/>
    <w:rsid w:val="36D87F64"/>
    <w:rsid w:val="36DD1A1E"/>
    <w:rsid w:val="36E1335F"/>
    <w:rsid w:val="36E2469A"/>
    <w:rsid w:val="36E30F78"/>
    <w:rsid w:val="36E508D2"/>
    <w:rsid w:val="36E55EB3"/>
    <w:rsid w:val="36E7289C"/>
    <w:rsid w:val="36EC1C61"/>
    <w:rsid w:val="36EF4B49"/>
    <w:rsid w:val="36F01AF3"/>
    <w:rsid w:val="36F3182B"/>
    <w:rsid w:val="36F32FEF"/>
    <w:rsid w:val="36F7319D"/>
    <w:rsid w:val="36FF1994"/>
    <w:rsid w:val="370074BA"/>
    <w:rsid w:val="37046FAB"/>
    <w:rsid w:val="37052857"/>
    <w:rsid w:val="37070849"/>
    <w:rsid w:val="37073C7D"/>
    <w:rsid w:val="37113475"/>
    <w:rsid w:val="37182A56"/>
    <w:rsid w:val="3719035C"/>
    <w:rsid w:val="371B2546"/>
    <w:rsid w:val="372155B4"/>
    <w:rsid w:val="37215DAE"/>
    <w:rsid w:val="37227431"/>
    <w:rsid w:val="37285FA6"/>
    <w:rsid w:val="3729127A"/>
    <w:rsid w:val="372C1458"/>
    <w:rsid w:val="37301088"/>
    <w:rsid w:val="37321293"/>
    <w:rsid w:val="37321E9F"/>
    <w:rsid w:val="373667D4"/>
    <w:rsid w:val="373A6E70"/>
    <w:rsid w:val="373D3686"/>
    <w:rsid w:val="37421881"/>
    <w:rsid w:val="37476E97"/>
    <w:rsid w:val="37490E61"/>
    <w:rsid w:val="374C55D7"/>
    <w:rsid w:val="3751494E"/>
    <w:rsid w:val="37521BDE"/>
    <w:rsid w:val="37550108"/>
    <w:rsid w:val="37550E03"/>
    <w:rsid w:val="37555A58"/>
    <w:rsid w:val="3756532C"/>
    <w:rsid w:val="37570366"/>
    <w:rsid w:val="375909AC"/>
    <w:rsid w:val="37590ECC"/>
    <w:rsid w:val="377063EE"/>
    <w:rsid w:val="3771311F"/>
    <w:rsid w:val="37735EDE"/>
    <w:rsid w:val="37737C8C"/>
    <w:rsid w:val="37797999"/>
    <w:rsid w:val="377A726D"/>
    <w:rsid w:val="377C4D93"/>
    <w:rsid w:val="377F4883"/>
    <w:rsid w:val="378105FB"/>
    <w:rsid w:val="37822A57"/>
    <w:rsid w:val="378568C4"/>
    <w:rsid w:val="379320DC"/>
    <w:rsid w:val="379522F8"/>
    <w:rsid w:val="37976071"/>
    <w:rsid w:val="3799691B"/>
    <w:rsid w:val="379F0A81"/>
    <w:rsid w:val="37A53AEF"/>
    <w:rsid w:val="37A60062"/>
    <w:rsid w:val="37A83DDA"/>
    <w:rsid w:val="37AB1B1C"/>
    <w:rsid w:val="37AD13F0"/>
    <w:rsid w:val="37AD5D1F"/>
    <w:rsid w:val="37AF33BA"/>
    <w:rsid w:val="37B00EE0"/>
    <w:rsid w:val="37B247C4"/>
    <w:rsid w:val="37B24C58"/>
    <w:rsid w:val="37B620F4"/>
    <w:rsid w:val="37B7401D"/>
    <w:rsid w:val="37BA1D5F"/>
    <w:rsid w:val="37BF7375"/>
    <w:rsid w:val="37C048C9"/>
    <w:rsid w:val="37C42558"/>
    <w:rsid w:val="37CC02BF"/>
    <w:rsid w:val="37CD35E2"/>
    <w:rsid w:val="37D90437"/>
    <w:rsid w:val="37DA6654"/>
    <w:rsid w:val="37DE08EF"/>
    <w:rsid w:val="37DF7C8D"/>
    <w:rsid w:val="37E00298"/>
    <w:rsid w:val="37E17C90"/>
    <w:rsid w:val="37E42938"/>
    <w:rsid w:val="37E7734E"/>
    <w:rsid w:val="37E85550"/>
    <w:rsid w:val="37E86B3F"/>
    <w:rsid w:val="37EA43F2"/>
    <w:rsid w:val="37EB1F18"/>
    <w:rsid w:val="37EC00D8"/>
    <w:rsid w:val="37ED3EE3"/>
    <w:rsid w:val="37EF0B35"/>
    <w:rsid w:val="37F449ED"/>
    <w:rsid w:val="37F54B45"/>
    <w:rsid w:val="37FA13BA"/>
    <w:rsid w:val="38082ACA"/>
    <w:rsid w:val="380B25BB"/>
    <w:rsid w:val="380B6117"/>
    <w:rsid w:val="380D1E8F"/>
    <w:rsid w:val="38115DC2"/>
    <w:rsid w:val="381256F7"/>
    <w:rsid w:val="38133523"/>
    <w:rsid w:val="381766DF"/>
    <w:rsid w:val="381902C4"/>
    <w:rsid w:val="38191AF8"/>
    <w:rsid w:val="381A45AC"/>
    <w:rsid w:val="381C0324"/>
    <w:rsid w:val="381D4C36"/>
    <w:rsid w:val="3821674A"/>
    <w:rsid w:val="382A0C93"/>
    <w:rsid w:val="382A38F7"/>
    <w:rsid w:val="382C108E"/>
    <w:rsid w:val="382C5349"/>
    <w:rsid w:val="382E44BD"/>
    <w:rsid w:val="382E45C3"/>
    <w:rsid w:val="383218F5"/>
    <w:rsid w:val="38341B11"/>
    <w:rsid w:val="38347D95"/>
    <w:rsid w:val="383E029A"/>
    <w:rsid w:val="383E2AD2"/>
    <w:rsid w:val="38431D54"/>
    <w:rsid w:val="38440A3E"/>
    <w:rsid w:val="38451629"/>
    <w:rsid w:val="38474006"/>
    <w:rsid w:val="384B0C09"/>
    <w:rsid w:val="38516379"/>
    <w:rsid w:val="385201EA"/>
    <w:rsid w:val="38531C3E"/>
    <w:rsid w:val="38545D10"/>
    <w:rsid w:val="38561A88"/>
    <w:rsid w:val="38570F42"/>
    <w:rsid w:val="385E3AFC"/>
    <w:rsid w:val="38637D01"/>
    <w:rsid w:val="386D241A"/>
    <w:rsid w:val="386E3FD5"/>
    <w:rsid w:val="386F48F8"/>
    <w:rsid w:val="38723C9A"/>
    <w:rsid w:val="387719FE"/>
    <w:rsid w:val="387B14EE"/>
    <w:rsid w:val="387D5F26"/>
    <w:rsid w:val="387F2923"/>
    <w:rsid w:val="388008B3"/>
    <w:rsid w:val="38804D57"/>
    <w:rsid w:val="388163D9"/>
    <w:rsid w:val="38821F74"/>
    <w:rsid w:val="38863145"/>
    <w:rsid w:val="388859B9"/>
    <w:rsid w:val="388A3DAE"/>
    <w:rsid w:val="388C54AA"/>
    <w:rsid w:val="388E35F5"/>
    <w:rsid w:val="38910D12"/>
    <w:rsid w:val="3891486E"/>
    <w:rsid w:val="38924C10"/>
    <w:rsid w:val="38971A2F"/>
    <w:rsid w:val="389D0587"/>
    <w:rsid w:val="389F6A9A"/>
    <w:rsid w:val="38A02D03"/>
    <w:rsid w:val="38A10829"/>
    <w:rsid w:val="38A65E3F"/>
    <w:rsid w:val="38A87E0A"/>
    <w:rsid w:val="38AF2F46"/>
    <w:rsid w:val="38B17C88"/>
    <w:rsid w:val="38B302F9"/>
    <w:rsid w:val="38B932B7"/>
    <w:rsid w:val="38BF4662"/>
    <w:rsid w:val="38C06F01"/>
    <w:rsid w:val="38C369F1"/>
    <w:rsid w:val="38C509BB"/>
    <w:rsid w:val="38C5276A"/>
    <w:rsid w:val="38C56C0D"/>
    <w:rsid w:val="38C904AC"/>
    <w:rsid w:val="38CD035A"/>
    <w:rsid w:val="38CD7870"/>
    <w:rsid w:val="38CF183A"/>
    <w:rsid w:val="38D20F7F"/>
    <w:rsid w:val="38D315C7"/>
    <w:rsid w:val="38D32FEC"/>
    <w:rsid w:val="38D40BFF"/>
    <w:rsid w:val="38D66725"/>
    <w:rsid w:val="38D8249D"/>
    <w:rsid w:val="38D86941"/>
    <w:rsid w:val="38D97FC3"/>
    <w:rsid w:val="38DA238F"/>
    <w:rsid w:val="38DE1A7D"/>
    <w:rsid w:val="38E2331B"/>
    <w:rsid w:val="38E250CA"/>
    <w:rsid w:val="38E257DE"/>
    <w:rsid w:val="38E56968"/>
    <w:rsid w:val="38E7059D"/>
    <w:rsid w:val="38E70932"/>
    <w:rsid w:val="38EC46E2"/>
    <w:rsid w:val="38EC7CF6"/>
    <w:rsid w:val="38ED03A5"/>
    <w:rsid w:val="38EF3C8A"/>
    <w:rsid w:val="38F12CD3"/>
    <w:rsid w:val="38F1355F"/>
    <w:rsid w:val="38F31085"/>
    <w:rsid w:val="38F4304F"/>
    <w:rsid w:val="38F65019"/>
    <w:rsid w:val="38F94775"/>
    <w:rsid w:val="38FB618B"/>
    <w:rsid w:val="38FD1F03"/>
    <w:rsid w:val="38FF5DE7"/>
    <w:rsid w:val="3902751A"/>
    <w:rsid w:val="39076B88"/>
    <w:rsid w:val="390C2146"/>
    <w:rsid w:val="390E61D2"/>
    <w:rsid w:val="39121033"/>
    <w:rsid w:val="39124245"/>
    <w:rsid w:val="391334D5"/>
    <w:rsid w:val="391B496D"/>
    <w:rsid w:val="391D7DB8"/>
    <w:rsid w:val="39227BBC"/>
    <w:rsid w:val="3925145A"/>
    <w:rsid w:val="392655DF"/>
    <w:rsid w:val="39294C83"/>
    <w:rsid w:val="392971ED"/>
    <w:rsid w:val="392A081F"/>
    <w:rsid w:val="392B32DA"/>
    <w:rsid w:val="392C0A3B"/>
    <w:rsid w:val="39324E64"/>
    <w:rsid w:val="39325651"/>
    <w:rsid w:val="39331DC9"/>
    <w:rsid w:val="39335925"/>
    <w:rsid w:val="39365415"/>
    <w:rsid w:val="39382F3B"/>
    <w:rsid w:val="39387D98"/>
    <w:rsid w:val="393D1464"/>
    <w:rsid w:val="393D3264"/>
    <w:rsid w:val="393D67A4"/>
    <w:rsid w:val="39427CD9"/>
    <w:rsid w:val="39435185"/>
    <w:rsid w:val="394713D0"/>
    <w:rsid w:val="394A5D8E"/>
    <w:rsid w:val="3950297B"/>
    <w:rsid w:val="39565AB7"/>
    <w:rsid w:val="395D0BF4"/>
    <w:rsid w:val="396226AE"/>
    <w:rsid w:val="3962445C"/>
    <w:rsid w:val="39653AC8"/>
    <w:rsid w:val="39706B79"/>
    <w:rsid w:val="39717338"/>
    <w:rsid w:val="397320CE"/>
    <w:rsid w:val="397544B2"/>
    <w:rsid w:val="39775BEF"/>
    <w:rsid w:val="39795389"/>
    <w:rsid w:val="39822409"/>
    <w:rsid w:val="39893797"/>
    <w:rsid w:val="39897C3B"/>
    <w:rsid w:val="398A0C8C"/>
    <w:rsid w:val="398E0DAD"/>
    <w:rsid w:val="39900A80"/>
    <w:rsid w:val="399124B2"/>
    <w:rsid w:val="39923F83"/>
    <w:rsid w:val="399D0ED2"/>
    <w:rsid w:val="39A03D29"/>
    <w:rsid w:val="39A866C3"/>
    <w:rsid w:val="39A93D32"/>
    <w:rsid w:val="39A93E39"/>
    <w:rsid w:val="39B4306C"/>
    <w:rsid w:val="39B8407C"/>
    <w:rsid w:val="39BA7DF4"/>
    <w:rsid w:val="39BC3B6C"/>
    <w:rsid w:val="39BD1693"/>
    <w:rsid w:val="39BE65F1"/>
    <w:rsid w:val="39C242F3"/>
    <w:rsid w:val="39C3314D"/>
    <w:rsid w:val="39CE564E"/>
    <w:rsid w:val="39D318E6"/>
    <w:rsid w:val="39D54C2E"/>
    <w:rsid w:val="39DC420F"/>
    <w:rsid w:val="39E430C3"/>
    <w:rsid w:val="39E7368D"/>
    <w:rsid w:val="39EA48A9"/>
    <w:rsid w:val="39EE1695"/>
    <w:rsid w:val="39F257E0"/>
    <w:rsid w:val="39F3665B"/>
    <w:rsid w:val="39F8091D"/>
    <w:rsid w:val="39FA22AE"/>
    <w:rsid w:val="39FC665F"/>
    <w:rsid w:val="3A025120"/>
    <w:rsid w:val="3A045D99"/>
    <w:rsid w:val="3A0D2E43"/>
    <w:rsid w:val="3A0E18F3"/>
    <w:rsid w:val="3A0F3616"/>
    <w:rsid w:val="3A145757"/>
    <w:rsid w:val="3A174BD9"/>
    <w:rsid w:val="3A175247"/>
    <w:rsid w:val="3A1763DB"/>
    <w:rsid w:val="3A1854A2"/>
    <w:rsid w:val="3A211C22"/>
    <w:rsid w:val="3A221D1C"/>
    <w:rsid w:val="3A271889"/>
    <w:rsid w:val="3A2B6F44"/>
    <w:rsid w:val="3A2C3751"/>
    <w:rsid w:val="3A350A81"/>
    <w:rsid w:val="3A374711"/>
    <w:rsid w:val="3A3A2CE3"/>
    <w:rsid w:val="3A3E27D3"/>
    <w:rsid w:val="3A3E4582"/>
    <w:rsid w:val="3A3F02FA"/>
    <w:rsid w:val="3A437DEA"/>
    <w:rsid w:val="3A461688"/>
    <w:rsid w:val="3A47779C"/>
    <w:rsid w:val="3A4B4EF0"/>
    <w:rsid w:val="3A4D5E0D"/>
    <w:rsid w:val="3A500759"/>
    <w:rsid w:val="3A59760D"/>
    <w:rsid w:val="3A5C70FE"/>
    <w:rsid w:val="3A5E2E76"/>
    <w:rsid w:val="3A5E69D2"/>
    <w:rsid w:val="3A60099C"/>
    <w:rsid w:val="3A623524"/>
    <w:rsid w:val="3A6268E5"/>
    <w:rsid w:val="3A6A7A6C"/>
    <w:rsid w:val="3A6D7975"/>
    <w:rsid w:val="3A6E719D"/>
    <w:rsid w:val="3A6F5083"/>
    <w:rsid w:val="3A706705"/>
    <w:rsid w:val="3A766F89"/>
    <w:rsid w:val="3A775CE5"/>
    <w:rsid w:val="3A777A93"/>
    <w:rsid w:val="3A782D48"/>
    <w:rsid w:val="3A7B3A28"/>
    <w:rsid w:val="3A7E52C6"/>
    <w:rsid w:val="3A8723CC"/>
    <w:rsid w:val="3A872856"/>
    <w:rsid w:val="3A8B1791"/>
    <w:rsid w:val="3A8B353F"/>
    <w:rsid w:val="3A914FF9"/>
    <w:rsid w:val="3A916DA7"/>
    <w:rsid w:val="3A9337A6"/>
    <w:rsid w:val="3A993EAE"/>
    <w:rsid w:val="3A9F0665"/>
    <w:rsid w:val="3A9F72CE"/>
    <w:rsid w:val="3AA03EA9"/>
    <w:rsid w:val="3AA2741E"/>
    <w:rsid w:val="3AA30888"/>
    <w:rsid w:val="3AA402BD"/>
    <w:rsid w:val="3AA44396"/>
    <w:rsid w:val="3AA74EF8"/>
    <w:rsid w:val="3AAA7E69"/>
    <w:rsid w:val="3AAD7959"/>
    <w:rsid w:val="3AAF722D"/>
    <w:rsid w:val="3AB02FA5"/>
    <w:rsid w:val="3AB038F4"/>
    <w:rsid w:val="3AB23753"/>
    <w:rsid w:val="3AC16F61"/>
    <w:rsid w:val="3AC32A70"/>
    <w:rsid w:val="3AC70A1B"/>
    <w:rsid w:val="3ACC55FF"/>
    <w:rsid w:val="3AD20125"/>
    <w:rsid w:val="3AD9493A"/>
    <w:rsid w:val="3AE07D2F"/>
    <w:rsid w:val="3AE10850"/>
    <w:rsid w:val="3AE72E6B"/>
    <w:rsid w:val="3AE86ABC"/>
    <w:rsid w:val="3AE96748"/>
    <w:rsid w:val="3AF539A8"/>
    <w:rsid w:val="3AFB06C4"/>
    <w:rsid w:val="3AFF6407"/>
    <w:rsid w:val="3B023801"/>
    <w:rsid w:val="3B0532F1"/>
    <w:rsid w:val="3B0A04B5"/>
    <w:rsid w:val="3B0D21A6"/>
    <w:rsid w:val="3B0F23C2"/>
    <w:rsid w:val="3B133C60"/>
    <w:rsid w:val="3B163750"/>
    <w:rsid w:val="3B1669C3"/>
    <w:rsid w:val="3B202B57"/>
    <w:rsid w:val="3B220E06"/>
    <w:rsid w:val="3B233415"/>
    <w:rsid w:val="3B2371FE"/>
    <w:rsid w:val="3B242034"/>
    <w:rsid w:val="3B2447AD"/>
    <w:rsid w:val="3B245E6D"/>
    <w:rsid w:val="3B2C2F74"/>
    <w:rsid w:val="3B2C6AD0"/>
    <w:rsid w:val="3B2D0DE3"/>
    <w:rsid w:val="3B2D45F6"/>
    <w:rsid w:val="3B2E0A9A"/>
    <w:rsid w:val="3B31102A"/>
    <w:rsid w:val="3B312338"/>
    <w:rsid w:val="3B343BD6"/>
    <w:rsid w:val="3B3763D1"/>
    <w:rsid w:val="3B3B6D13"/>
    <w:rsid w:val="3B3D0CDD"/>
    <w:rsid w:val="3B3E6803"/>
    <w:rsid w:val="3B40257B"/>
    <w:rsid w:val="3B4E1CDB"/>
    <w:rsid w:val="3B4E6A46"/>
    <w:rsid w:val="3B506C62"/>
    <w:rsid w:val="3B5878C5"/>
    <w:rsid w:val="3B5B73B5"/>
    <w:rsid w:val="3B5D3DA9"/>
    <w:rsid w:val="3B5F50F7"/>
    <w:rsid w:val="3B651FE2"/>
    <w:rsid w:val="3B653D90"/>
    <w:rsid w:val="3B70021C"/>
    <w:rsid w:val="3B714E2B"/>
    <w:rsid w:val="3B7364AD"/>
    <w:rsid w:val="3B806E1C"/>
    <w:rsid w:val="3B8662B1"/>
    <w:rsid w:val="3B892C45"/>
    <w:rsid w:val="3B8E32E7"/>
    <w:rsid w:val="3B8E745C"/>
    <w:rsid w:val="3B913975"/>
    <w:rsid w:val="3B9701D8"/>
    <w:rsid w:val="3B9D0BB8"/>
    <w:rsid w:val="3B9D2471"/>
    <w:rsid w:val="3B9E4F5D"/>
    <w:rsid w:val="3B9E5263"/>
    <w:rsid w:val="3B9F54F4"/>
    <w:rsid w:val="3BA1126C"/>
    <w:rsid w:val="3BAA6767"/>
    <w:rsid w:val="3BAE5737"/>
    <w:rsid w:val="3BB014AF"/>
    <w:rsid w:val="3BB05953"/>
    <w:rsid w:val="3BB16FD5"/>
    <w:rsid w:val="3BB765CE"/>
    <w:rsid w:val="3BB80364"/>
    <w:rsid w:val="3BBA40DC"/>
    <w:rsid w:val="3BBA4416"/>
    <w:rsid w:val="3BBB41DC"/>
    <w:rsid w:val="3BBC3FE2"/>
    <w:rsid w:val="3BBC60A6"/>
    <w:rsid w:val="3BBD5812"/>
    <w:rsid w:val="3BBF5B96"/>
    <w:rsid w:val="3BC1546A"/>
    <w:rsid w:val="3BC3268F"/>
    <w:rsid w:val="3BC35686"/>
    <w:rsid w:val="3BCD20F5"/>
    <w:rsid w:val="3BD14FA8"/>
    <w:rsid w:val="3BD16FD5"/>
    <w:rsid w:val="3BD3714F"/>
    <w:rsid w:val="3BDB4052"/>
    <w:rsid w:val="3BE253E0"/>
    <w:rsid w:val="3BE436AF"/>
    <w:rsid w:val="3BE949C1"/>
    <w:rsid w:val="3BE9676F"/>
    <w:rsid w:val="3BEB0739"/>
    <w:rsid w:val="3BED2703"/>
    <w:rsid w:val="3BF910A8"/>
    <w:rsid w:val="3BFC05AD"/>
    <w:rsid w:val="3BFC0B7A"/>
    <w:rsid w:val="3BFC52F7"/>
    <w:rsid w:val="3BFD7118"/>
    <w:rsid w:val="3C0126E8"/>
    <w:rsid w:val="3C013414"/>
    <w:rsid w:val="3C0637C5"/>
    <w:rsid w:val="3C067321"/>
    <w:rsid w:val="3C096E11"/>
    <w:rsid w:val="3C0E4427"/>
    <w:rsid w:val="3C0E4792"/>
    <w:rsid w:val="3C15041F"/>
    <w:rsid w:val="3C1557B6"/>
    <w:rsid w:val="3C1E715D"/>
    <w:rsid w:val="3C215B1D"/>
    <w:rsid w:val="3C216D9A"/>
    <w:rsid w:val="3C245D0D"/>
    <w:rsid w:val="3C2C4053"/>
    <w:rsid w:val="3C2F6E1E"/>
    <w:rsid w:val="3C320116"/>
    <w:rsid w:val="3C335C3C"/>
    <w:rsid w:val="3C3C7B42"/>
    <w:rsid w:val="3C3E2F5F"/>
    <w:rsid w:val="3C491519"/>
    <w:rsid w:val="3C4A1903"/>
    <w:rsid w:val="3C4F64BA"/>
    <w:rsid w:val="3C512748"/>
    <w:rsid w:val="3C5207B8"/>
    <w:rsid w:val="3C544530"/>
    <w:rsid w:val="3C5467A1"/>
    <w:rsid w:val="3C54700A"/>
    <w:rsid w:val="3C56250D"/>
    <w:rsid w:val="3C57260B"/>
    <w:rsid w:val="3C583E04"/>
    <w:rsid w:val="3C5938F5"/>
    <w:rsid w:val="3C5F2E1D"/>
    <w:rsid w:val="3C611D6D"/>
    <w:rsid w:val="3C65633F"/>
    <w:rsid w:val="3C6760F3"/>
    <w:rsid w:val="3C6F6D02"/>
    <w:rsid w:val="3C7649A9"/>
    <w:rsid w:val="3C793F97"/>
    <w:rsid w:val="3C8025E4"/>
    <w:rsid w:val="3C814BF9"/>
    <w:rsid w:val="3C854D93"/>
    <w:rsid w:val="3C8A1D00"/>
    <w:rsid w:val="3C8B5A78"/>
    <w:rsid w:val="3C8B7826"/>
    <w:rsid w:val="3C8C1F1C"/>
    <w:rsid w:val="3C8D7A42"/>
    <w:rsid w:val="3C8F37BA"/>
    <w:rsid w:val="3C94492D"/>
    <w:rsid w:val="3C990195"/>
    <w:rsid w:val="3CA01523"/>
    <w:rsid w:val="3CA07775"/>
    <w:rsid w:val="3CA408E8"/>
    <w:rsid w:val="3CA54D8C"/>
    <w:rsid w:val="3CA628B2"/>
    <w:rsid w:val="3CA874EC"/>
    <w:rsid w:val="3CAA05F4"/>
    <w:rsid w:val="3CAB1C76"/>
    <w:rsid w:val="3CAD3C40"/>
    <w:rsid w:val="3CB274A9"/>
    <w:rsid w:val="3CB7061B"/>
    <w:rsid w:val="3CB72B2C"/>
    <w:rsid w:val="3CBE19AA"/>
    <w:rsid w:val="3CC01321"/>
    <w:rsid w:val="3CC15FD2"/>
    <w:rsid w:val="3CC27E1C"/>
    <w:rsid w:val="3CC75F2B"/>
    <w:rsid w:val="3CC97668"/>
    <w:rsid w:val="3CCA034E"/>
    <w:rsid w:val="3CCD42E3"/>
    <w:rsid w:val="3CD15BB0"/>
    <w:rsid w:val="3CDA245A"/>
    <w:rsid w:val="3CDB255C"/>
    <w:rsid w:val="3CDC62D4"/>
    <w:rsid w:val="3CE05DC4"/>
    <w:rsid w:val="3CE138EA"/>
    <w:rsid w:val="3CE25928"/>
    <w:rsid w:val="3CE33B06"/>
    <w:rsid w:val="3CE4770F"/>
    <w:rsid w:val="3CE77DAA"/>
    <w:rsid w:val="3CEC36BA"/>
    <w:rsid w:val="3CEF6007"/>
    <w:rsid w:val="3CF14232"/>
    <w:rsid w:val="3CF14C03"/>
    <w:rsid w:val="3CF205E6"/>
    <w:rsid w:val="3CF37E0D"/>
    <w:rsid w:val="3CF8135F"/>
    <w:rsid w:val="3CFE624A"/>
    <w:rsid w:val="3D006466"/>
    <w:rsid w:val="3D0C4E0B"/>
    <w:rsid w:val="3D11534D"/>
    <w:rsid w:val="3D167A38"/>
    <w:rsid w:val="3D193084"/>
    <w:rsid w:val="3D1D2B74"/>
    <w:rsid w:val="3D1D6D7C"/>
    <w:rsid w:val="3D1E06B7"/>
    <w:rsid w:val="3D1E68EC"/>
    <w:rsid w:val="3D202664"/>
    <w:rsid w:val="3D27522F"/>
    <w:rsid w:val="3D29776B"/>
    <w:rsid w:val="3D2A34E3"/>
    <w:rsid w:val="3D2C725B"/>
    <w:rsid w:val="3D2D6751"/>
    <w:rsid w:val="3D2E33FF"/>
    <w:rsid w:val="3D300312"/>
    <w:rsid w:val="3D3305EA"/>
    <w:rsid w:val="3D3D6D72"/>
    <w:rsid w:val="3D3E0D3C"/>
    <w:rsid w:val="3D3F4383"/>
    <w:rsid w:val="3D436353"/>
    <w:rsid w:val="3D474095"/>
    <w:rsid w:val="3D485234"/>
    <w:rsid w:val="3D4B049C"/>
    <w:rsid w:val="3D4C16AB"/>
    <w:rsid w:val="3D4C3459"/>
    <w:rsid w:val="3D5442EF"/>
    <w:rsid w:val="3D5578D1"/>
    <w:rsid w:val="3D583BAC"/>
    <w:rsid w:val="3D5B18EE"/>
    <w:rsid w:val="3D5D381E"/>
    <w:rsid w:val="3D5E79B7"/>
    <w:rsid w:val="3D6D1ABE"/>
    <w:rsid w:val="3D6E1622"/>
    <w:rsid w:val="3D6E3B94"/>
    <w:rsid w:val="3D736C38"/>
    <w:rsid w:val="3D7824A0"/>
    <w:rsid w:val="3D7927AC"/>
    <w:rsid w:val="3D7A7FC6"/>
    <w:rsid w:val="3D7B3D3F"/>
    <w:rsid w:val="3D7C3A0F"/>
    <w:rsid w:val="3D7E5789"/>
    <w:rsid w:val="3D883B84"/>
    <w:rsid w:val="3D8879B2"/>
    <w:rsid w:val="3D8B48E2"/>
    <w:rsid w:val="3D8C5DA8"/>
    <w:rsid w:val="3D8F3346"/>
    <w:rsid w:val="3D931088"/>
    <w:rsid w:val="3D955418"/>
    <w:rsid w:val="3D962E9A"/>
    <w:rsid w:val="3D98059B"/>
    <w:rsid w:val="3D9A384D"/>
    <w:rsid w:val="3D9E5D28"/>
    <w:rsid w:val="3D9F17DB"/>
    <w:rsid w:val="3D9F7F26"/>
    <w:rsid w:val="3DA037A5"/>
    <w:rsid w:val="3DA063F9"/>
    <w:rsid w:val="3DA2633A"/>
    <w:rsid w:val="3DA9265A"/>
    <w:rsid w:val="3DAA7396"/>
    <w:rsid w:val="3DAB63D2"/>
    <w:rsid w:val="3DB03A43"/>
    <w:rsid w:val="3DB80AEF"/>
    <w:rsid w:val="3DBA03C3"/>
    <w:rsid w:val="3DBB446A"/>
    <w:rsid w:val="3DBF59D9"/>
    <w:rsid w:val="3DC079A3"/>
    <w:rsid w:val="3DC331F6"/>
    <w:rsid w:val="3DC6320C"/>
    <w:rsid w:val="3DC92CFC"/>
    <w:rsid w:val="3DC93E69"/>
    <w:rsid w:val="3DCE3E6E"/>
    <w:rsid w:val="3DD1570D"/>
    <w:rsid w:val="3DD35929"/>
    <w:rsid w:val="3DD57788"/>
    <w:rsid w:val="3DD77995"/>
    <w:rsid w:val="3DD96E06"/>
    <w:rsid w:val="3DE6565C"/>
    <w:rsid w:val="3DE90CA8"/>
    <w:rsid w:val="3DED0E54"/>
    <w:rsid w:val="3DEE2219"/>
    <w:rsid w:val="3DEE2762"/>
    <w:rsid w:val="3DEE4511"/>
    <w:rsid w:val="3DF21B38"/>
    <w:rsid w:val="3DF74E75"/>
    <w:rsid w:val="3DFE37C3"/>
    <w:rsid w:val="3DFF671E"/>
    <w:rsid w:val="3E004D1F"/>
    <w:rsid w:val="3E027EEC"/>
    <w:rsid w:val="3E042C90"/>
    <w:rsid w:val="3E0445C2"/>
    <w:rsid w:val="3E0C07B8"/>
    <w:rsid w:val="3E0D2837"/>
    <w:rsid w:val="3E1026D9"/>
    <w:rsid w:val="3E1321C9"/>
    <w:rsid w:val="3E145064"/>
    <w:rsid w:val="3E183853"/>
    <w:rsid w:val="3E1A42B9"/>
    <w:rsid w:val="3E23069C"/>
    <w:rsid w:val="3E265A58"/>
    <w:rsid w:val="3E287A22"/>
    <w:rsid w:val="3E2B306F"/>
    <w:rsid w:val="3E2B4042"/>
    <w:rsid w:val="3E2D328B"/>
    <w:rsid w:val="3E2E7003"/>
    <w:rsid w:val="3E3839DE"/>
    <w:rsid w:val="3E3A1504"/>
    <w:rsid w:val="3E3B010A"/>
    <w:rsid w:val="3E3B704D"/>
    <w:rsid w:val="3E3E5E27"/>
    <w:rsid w:val="3E3E7246"/>
    <w:rsid w:val="3E4127AD"/>
    <w:rsid w:val="3E416D36"/>
    <w:rsid w:val="3E444130"/>
    <w:rsid w:val="3E492681"/>
    <w:rsid w:val="3E4B3711"/>
    <w:rsid w:val="3E4E4FAF"/>
    <w:rsid w:val="3E533364"/>
    <w:rsid w:val="3E5500EC"/>
    <w:rsid w:val="3E560D75"/>
    <w:rsid w:val="3E5C147A"/>
    <w:rsid w:val="3E5F71BC"/>
    <w:rsid w:val="3E6671E3"/>
    <w:rsid w:val="3E7964D0"/>
    <w:rsid w:val="3E7B4411"/>
    <w:rsid w:val="3E82529D"/>
    <w:rsid w:val="3E886713"/>
    <w:rsid w:val="3E887520"/>
    <w:rsid w:val="3E8D3F69"/>
    <w:rsid w:val="3E8D5AD7"/>
    <w:rsid w:val="3E9230EE"/>
    <w:rsid w:val="3E94330A"/>
    <w:rsid w:val="3E970704"/>
    <w:rsid w:val="3E9926CE"/>
    <w:rsid w:val="3E9C21BE"/>
    <w:rsid w:val="3E9C3F6D"/>
    <w:rsid w:val="3E9F1194"/>
    <w:rsid w:val="3EA50761"/>
    <w:rsid w:val="3EA572C5"/>
    <w:rsid w:val="3EAA36B5"/>
    <w:rsid w:val="3EAB206A"/>
    <w:rsid w:val="3EAD4565"/>
    <w:rsid w:val="3EAE03C5"/>
    <w:rsid w:val="3EB017C6"/>
    <w:rsid w:val="3EB0460B"/>
    <w:rsid w:val="3EC17BBB"/>
    <w:rsid w:val="3EC2309F"/>
    <w:rsid w:val="3EC3599D"/>
    <w:rsid w:val="3EC51324"/>
    <w:rsid w:val="3EC82FB3"/>
    <w:rsid w:val="3EC84510"/>
    <w:rsid w:val="3EC94C8C"/>
    <w:rsid w:val="3ECB4852"/>
    <w:rsid w:val="3ECC01FA"/>
    <w:rsid w:val="3ECD05CA"/>
    <w:rsid w:val="3ED2798E"/>
    <w:rsid w:val="3ED612A7"/>
    <w:rsid w:val="3ED93797"/>
    <w:rsid w:val="3EDA0523"/>
    <w:rsid w:val="3EDB4A95"/>
    <w:rsid w:val="3EDC25BB"/>
    <w:rsid w:val="3EE6168C"/>
    <w:rsid w:val="3EE85004"/>
    <w:rsid w:val="3EE910CD"/>
    <w:rsid w:val="3EED47C8"/>
    <w:rsid w:val="3EEF0540"/>
    <w:rsid w:val="3EF70024"/>
    <w:rsid w:val="3EF773F5"/>
    <w:rsid w:val="3EFC4A0B"/>
    <w:rsid w:val="3EFD4072"/>
    <w:rsid w:val="3F002A75"/>
    <w:rsid w:val="3F010273"/>
    <w:rsid w:val="3F020BAA"/>
    <w:rsid w:val="3F033FEC"/>
    <w:rsid w:val="3F036338"/>
    <w:rsid w:val="3F073ADC"/>
    <w:rsid w:val="3F087868"/>
    <w:rsid w:val="3F126122"/>
    <w:rsid w:val="3F1D4839"/>
    <w:rsid w:val="3F1E75C4"/>
    <w:rsid w:val="3F203985"/>
    <w:rsid w:val="3F204B9E"/>
    <w:rsid w:val="3F20694C"/>
    <w:rsid w:val="3F27785D"/>
    <w:rsid w:val="3F29241E"/>
    <w:rsid w:val="3F2A1578"/>
    <w:rsid w:val="3F2D469B"/>
    <w:rsid w:val="3F310B59"/>
    <w:rsid w:val="3F3146B5"/>
    <w:rsid w:val="3F32667F"/>
    <w:rsid w:val="3F336E77"/>
    <w:rsid w:val="3F3E3276"/>
    <w:rsid w:val="3F400D9C"/>
    <w:rsid w:val="3F422D66"/>
    <w:rsid w:val="3F446ADE"/>
    <w:rsid w:val="3F482E9A"/>
    <w:rsid w:val="3F493445"/>
    <w:rsid w:val="3F4C5993"/>
    <w:rsid w:val="3F4F3FBF"/>
    <w:rsid w:val="3F512FA9"/>
    <w:rsid w:val="3F520ACF"/>
    <w:rsid w:val="3F536D21"/>
    <w:rsid w:val="3F5465F5"/>
    <w:rsid w:val="3F593306"/>
    <w:rsid w:val="3F5F776B"/>
    <w:rsid w:val="3F632CDC"/>
    <w:rsid w:val="3F635767"/>
    <w:rsid w:val="3F695775"/>
    <w:rsid w:val="3F6A0059"/>
    <w:rsid w:val="3F6A7BC7"/>
    <w:rsid w:val="3F6C766D"/>
    <w:rsid w:val="3F6F342F"/>
    <w:rsid w:val="3F7140F5"/>
    <w:rsid w:val="3F714632"/>
    <w:rsid w:val="3F731171"/>
    <w:rsid w:val="3F745A52"/>
    <w:rsid w:val="3F746C97"/>
    <w:rsid w:val="3F780536"/>
    <w:rsid w:val="3F780CFF"/>
    <w:rsid w:val="3F7A2500"/>
    <w:rsid w:val="3F7D0EF1"/>
    <w:rsid w:val="3F7D78FA"/>
    <w:rsid w:val="3F7F7B9C"/>
    <w:rsid w:val="3F80563C"/>
    <w:rsid w:val="3F81108B"/>
    <w:rsid w:val="3F850EA5"/>
    <w:rsid w:val="3F8630EA"/>
    <w:rsid w:val="3F8E5FAB"/>
    <w:rsid w:val="3F8F762D"/>
    <w:rsid w:val="3F9115F7"/>
    <w:rsid w:val="3F9410E8"/>
    <w:rsid w:val="3F9609BC"/>
    <w:rsid w:val="3F9904AC"/>
    <w:rsid w:val="3F996F5F"/>
    <w:rsid w:val="3F9A4950"/>
    <w:rsid w:val="3F9C4784"/>
    <w:rsid w:val="3F9D7F9C"/>
    <w:rsid w:val="3F9E5AC2"/>
    <w:rsid w:val="3FA40226"/>
    <w:rsid w:val="3FA4132B"/>
    <w:rsid w:val="3FA550A3"/>
    <w:rsid w:val="3FA55FE3"/>
    <w:rsid w:val="3FAE03FB"/>
    <w:rsid w:val="3FBB0422"/>
    <w:rsid w:val="3FC03C8B"/>
    <w:rsid w:val="3FC27987"/>
    <w:rsid w:val="3FCB232C"/>
    <w:rsid w:val="3FCD2003"/>
    <w:rsid w:val="3FD029F0"/>
    <w:rsid w:val="3FD140EA"/>
    <w:rsid w:val="3FD4395B"/>
    <w:rsid w:val="3FD55988"/>
    <w:rsid w:val="3FD80FD4"/>
    <w:rsid w:val="3FD829B5"/>
    <w:rsid w:val="3FDB17C4"/>
    <w:rsid w:val="3FDD15DA"/>
    <w:rsid w:val="3FDD65A9"/>
    <w:rsid w:val="3FE03829"/>
    <w:rsid w:val="3FE060DB"/>
    <w:rsid w:val="3FE21909"/>
    <w:rsid w:val="3FE43E1D"/>
    <w:rsid w:val="3FE756BB"/>
    <w:rsid w:val="3FE931E1"/>
    <w:rsid w:val="3FED73CA"/>
    <w:rsid w:val="3FEE07F8"/>
    <w:rsid w:val="3FEF5E51"/>
    <w:rsid w:val="3FF54D05"/>
    <w:rsid w:val="3FF90202"/>
    <w:rsid w:val="4001677D"/>
    <w:rsid w:val="400B75FC"/>
    <w:rsid w:val="40152228"/>
    <w:rsid w:val="40184E0D"/>
    <w:rsid w:val="401A783F"/>
    <w:rsid w:val="401B5EF9"/>
    <w:rsid w:val="401C3B3D"/>
    <w:rsid w:val="401D732F"/>
    <w:rsid w:val="40275AB8"/>
    <w:rsid w:val="40280130"/>
    <w:rsid w:val="402B37FA"/>
    <w:rsid w:val="402E32EA"/>
    <w:rsid w:val="4031423A"/>
    <w:rsid w:val="40371ECC"/>
    <w:rsid w:val="403F4FF6"/>
    <w:rsid w:val="40420597"/>
    <w:rsid w:val="40436D96"/>
    <w:rsid w:val="40451A1A"/>
    <w:rsid w:val="404979C8"/>
    <w:rsid w:val="404B0DBA"/>
    <w:rsid w:val="404C57D3"/>
    <w:rsid w:val="404D1DC4"/>
    <w:rsid w:val="405014B2"/>
    <w:rsid w:val="40512B35"/>
    <w:rsid w:val="40532D51"/>
    <w:rsid w:val="40582115"/>
    <w:rsid w:val="40583EC3"/>
    <w:rsid w:val="405C09FB"/>
    <w:rsid w:val="405D597D"/>
    <w:rsid w:val="40604283"/>
    <w:rsid w:val="40632F94"/>
    <w:rsid w:val="40637475"/>
    <w:rsid w:val="40640ABA"/>
    <w:rsid w:val="40646D0C"/>
    <w:rsid w:val="40677A46"/>
    <w:rsid w:val="40692574"/>
    <w:rsid w:val="407A6407"/>
    <w:rsid w:val="40804C79"/>
    <w:rsid w:val="40827192"/>
    <w:rsid w:val="40833636"/>
    <w:rsid w:val="4084115C"/>
    <w:rsid w:val="40842F0A"/>
    <w:rsid w:val="40874ED6"/>
    <w:rsid w:val="408A49C4"/>
    <w:rsid w:val="408B1CF9"/>
    <w:rsid w:val="408B24EB"/>
    <w:rsid w:val="408B6047"/>
    <w:rsid w:val="408D6263"/>
    <w:rsid w:val="408E37C2"/>
    <w:rsid w:val="40907A7F"/>
    <w:rsid w:val="40925627"/>
    <w:rsid w:val="40952CCB"/>
    <w:rsid w:val="40953369"/>
    <w:rsid w:val="409B4749"/>
    <w:rsid w:val="409D5D7A"/>
    <w:rsid w:val="409E221E"/>
    <w:rsid w:val="40A13ABC"/>
    <w:rsid w:val="40A95282"/>
    <w:rsid w:val="40A95F50"/>
    <w:rsid w:val="40AB493B"/>
    <w:rsid w:val="40B01F51"/>
    <w:rsid w:val="40B03CFF"/>
    <w:rsid w:val="40BA2742"/>
    <w:rsid w:val="40BE641C"/>
    <w:rsid w:val="40C501F6"/>
    <w:rsid w:val="40C526F6"/>
    <w:rsid w:val="40C63523"/>
    <w:rsid w:val="40C6655A"/>
    <w:rsid w:val="40C72BB9"/>
    <w:rsid w:val="40CA3013"/>
    <w:rsid w:val="40CD2B03"/>
    <w:rsid w:val="40D043A1"/>
    <w:rsid w:val="40D048E5"/>
    <w:rsid w:val="40D55514"/>
    <w:rsid w:val="40D739F2"/>
    <w:rsid w:val="40DB1BD1"/>
    <w:rsid w:val="40DD0CD8"/>
    <w:rsid w:val="40DE086C"/>
    <w:rsid w:val="40E439A9"/>
    <w:rsid w:val="40E51376"/>
    <w:rsid w:val="40E816EB"/>
    <w:rsid w:val="40EE50F7"/>
    <w:rsid w:val="40F037F0"/>
    <w:rsid w:val="40F167F2"/>
    <w:rsid w:val="40F24318"/>
    <w:rsid w:val="40F32C22"/>
    <w:rsid w:val="40F33173"/>
    <w:rsid w:val="40FE0F0E"/>
    <w:rsid w:val="40FE77A8"/>
    <w:rsid w:val="41045C9E"/>
    <w:rsid w:val="410A7F0B"/>
    <w:rsid w:val="410B59C4"/>
    <w:rsid w:val="410C0F46"/>
    <w:rsid w:val="410D1152"/>
    <w:rsid w:val="4114603C"/>
    <w:rsid w:val="41160006"/>
    <w:rsid w:val="41161732"/>
    <w:rsid w:val="411617D6"/>
    <w:rsid w:val="411D6D85"/>
    <w:rsid w:val="412169AB"/>
    <w:rsid w:val="412C782A"/>
    <w:rsid w:val="412D35A2"/>
    <w:rsid w:val="41305416"/>
    <w:rsid w:val="41314E40"/>
    <w:rsid w:val="413606A8"/>
    <w:rsid w:val="413628BB"/>
    <w:rsid w:val="41384420"/>
    <w:rsid w:val="41390199"/>
    <w:rsid w:val="413B7A6D"/>
    <w:rsid w:val="414032D5"/>
    <w:rsid w:val="4142704D"/>
    <w:rsid w:val="41436921"/>
    <w:rsid w:val="41443AE3"/>
    <w:rsid w:val="414803DC"/>
    <w:rsid w:val="4153125A"/>
    <w:rsid w:val="415D3E87"/>
    <w:rsid w:val="4162649A"/>
    <w:rsid w:val="41676AB4"/>
    <w:rsid w:val="416C61F3"/>
    <w:rsid w:val="41707CA4"/>
    <w:rsid w:val="417567E6"/>
    <w:rsid w:val="4177481D"/>
    <w:rsid w:val="41781201"/>
    <w:rsid w:val="417D4941"/>
    <w:rsid w:val="41831414"/>
    <w:rsid w:val="418C02C8"/>
    <w:rsid w:val="418D4040"/>
    <w:rsid w:val="418F33EB"/>
    <w:rsid w:val="419378A9"/>
    <w:rsid w:val="41972E35"/>
    <w:rsid w:val="41984EBF"/>
    <w:rsid w:val="41990C37"/>
    <w:rsid w:val="419E624E"/>
    <w:rsid w:val="41A10C51"/>
    <w:rsid w:val="41A71ADF"/>
    <w:rsid w:val="41A90E7A"/>
    <w:rsid w:val="41AF045B"/>
    <w:rsid w:val="41B31CF9"/>
    <w:rsid w:val="41B416DB"/>
    <w:rsid w:val="41BF069E"/>
    <w:rsid w:val="41BF2AD5"/>
    <w:rsid w:val="41C170EB"/>
    <w:rsid w:val="41C71300"/>
    <w:rsid w:val="41CA0DF1"/>
    <w:rsid w:val="41CD3503"/>
    <w:rsid w:val="41CE08E1"/>
    <w:rsid w:val="41D8350E"/>
    <w:rsid w:val="41D91034"/>
    <w:rsid w:val="41E11A8B"/>
    <w:rsid w:val="41E73751"/>
    <w:rsid w:val="41E9396D"/>
    <w:rsid w:val="41EE4ADF"/>
    <w:rsid w:val="41F52311"/>
    <w:rsid w:val="41F84348"/>
    <w:rsid w:val="41F95D97"/>
    <w:rsid w:val="41F964A6"/>
    <w:rsid w:val="41FA7928"/>
    <w:rsid w:val="41FB2D4E"/>
    <w:rsid w:val="41FB77EE"/>
    <w:rsid w:val="41FD11C6"/>
    <w:rsid w:val="41FD569A"/>
    <w:rsid w:val="41FD7266"/>
    <w:rsid w:val="4200449D"/>
    <w:rsid w:val="42072045"/>
    <w:rsid w:val="420C0FB8"/>
    <w:rsid w:val="420D0D4A"/>
    <w:rsid w:val="420E0EA5"/>
    <w:rsid w:val="420E6F2F"/>
    <w:rsid w:val="42134546"/>
    <w:rsid w:val="42141030"/>
    <w:rsid w:val="42162288"/>
    <w:rsid w:val="421730B1"/>
    <w:rsid w:val="421D3616"/>
    <w:rsid w:val="421D53C4"/>
    <w:rsid w:val="421F113C"/>
    <w:rsid w:val="421F738E"/>
    <w:rsid w:val="42210A2F"/>
    <w:rsid w:val="422229DB"/>
    <w:rsid w:val="42224789"/>
    <w:rsid w:val="422363B0"/>
    <w:rsid w:val="422624CB"/>
    <w:rsid w:val="422B5A9B"/>
    <w:rsid w:val="422E0A4B"/>
    <w:rsid w:val="422E137F"/>
    <w:rsid w:val="422E7029"/>
    <w:rsid w:val="42343AD8"/>
    <w:rsid w:val="42363E2C"/>
    <w:rsid w:val="42366486"/>
    <w:rsid w:val="42383FAC"/>
    <w:rsid w:val="423A3BCC"/>
    <w:rsid w:val="423C792D"/>
    <w:rsid w:val="423D5A66"/>
    <w:rsid w:val="42442951"/>
    <w:rsid w:val="42473D85"/>
    <w:rsid w:val="424741EF"/>
    <w:rsid w:val="42482230"/>
    <w:rsid w:val="424C5CAA"/>
    <w:rsid w:val="424D0126"/>
    <w:rsid w:val="424E57D2"/>
    <w:rsid w:val="4251506E"/>
    <w:rsid w:val="42526D83"/>
    <w:rsid w:val="42591699"/>
    <w:rsid w:val="425C413F"/>
    <w:rsid w:val="425F3C2F"/>
    <w:rsid w:val="42614593"/>
    <w:rsid w:val="426254CD"/>
    <w:rsid w:val="42641245"/>
    <w:rsid w:val="42644DA1"/>
    <w:rsid w:val="42664FBD"/>
    <w:rsid w:val="4267663F"/>
    <w:rsid w:val="426D634C"/>
    <w:rsid w:val="426E5C20"/>
    <w:rsid w:val="42734FE4"/>
    <w:rsid w:val="427F1BDB"/>
    <w:rsid w:val="42844B50"/>
    <w:rsid w:val="42857B53"/>
    <w:rsid w:val="428C5620"/>
    <w:rsid w:val="428C60A6"/>
    <w:rsid w:val="428D151C"/>
    <w:rsid w:val="428E1E1E"/>
    <w:rsid w:val="429921E6"/>
    <w:rsid w:val="42A41642"/>
    <w:rsid w:val="42A4609A"/>
    <w:rsid w:val="42A523B0"/>
    <w:rsid w:val="42A67168"/>
    <w:rsid w:val="42A72EE0"/>
    <w:rsid w:val="42A955DC"/>
    <w:rsid w:val="42AA7468"/>
    <w:rsid w:val="42AB0C22"/>
    <w:rsid w:val="42AD2F3D"/>
    <w:rsid w:val="42B26C49"/>
    <w:rsid w:val="42BA0E65"/>
    <w:rsid w:val="42BE43D8"/>
    <w:rsid w:val="42BF647C"/>
    <w:rsid w:val="42C13892"/>
    <w:rsid w:val="42C57116"/>
    <w:rsid w:val="42C615B8"/>
    <w:rsid w:val="42D068DB"/>
    <w:rsid w:val="42D17B5E"/>
    <w:rsid w:val="42D94EA6"/>
    <w:rsid w:val="42DA1507"/>
    <w:rsid w:val="42DC0E67"/>
    <w:rsid w:val="42DF08CC"/>
    <w:rsid w:val="42E44134"/>
    <w:rsid w:val="42E45961"/>
    <w:rsid w:val="42E63A08"/>
    <w:rsid w:val="42ED123B"/>
    <w:rsid w:val="42F205FF"/>
    <w:rsid w:val="42F51E9D"/>
    <w:rsid w:val="42F9198D"/>
    <w:rsid w:val="42FC76D0"/>
    <w:rsid w:val="43016A94"/>
    <w:rsid w:val="430345BA"/>
    <w:rsid w:val="43065E58"/>
    <w:rsid w:val="430A1DED"/>
    <w:rsid w:val="430A35CF"/>
    <w:rsid w:val="430B3B50"/>
    <w:rsid w:val="43101F8E"/>
    <w:rsid w:val="431467C7"/>
    <w:rsid w:val="431C567C"/>
    <w:rsid w:val="431E13F4"/>
    <w:rsid w:val="432307B8"/>
    <w:rsid w:val="432509D4"/>
    <w:rsid w:val="432663D4"/>
    <w:rsid w:val="43274E06"/>
    <w:rsid w:val="432B58BF"/>
    <w:rsid w:val="43324E9F"/>
    <w:rsid w:val="433A6FE6"/>
    <w:rsid w:val="43406226"/>
    <w:rsid w:val="43480868"/>
    <w:rsid w:val="434B7D0F"/>
    <w:rsid w:val="434D1CD9"/>
    <w:rsid w:val="434F15AD"/>
    <w:rsid w:val="434F5A51"/>
    <w:rsid w:val="4350713C"/>
    <w:rsid w:val="435117C9"/>
    <w:rsid w:val="435412BA"/>
    <w:rsid w:val="43544E16"/>
    <w:rsid w:val="43550B47"/>
    <w:rsid w:val="43560D6B"/>
    <w:rsid w:val="43592DB8"/>
    <w:rsid w:val="43650DD1"/>
    <w:rsid w:val="436653E0"/>
    <w:rsid w:val="43675823"/>
    <w:rsid w:val="436F1C50"/>
    <w:rsid w:val="43746A4F"/>
    <w:rsid w:val="43762DAF"/>
    <w:rsid w:val="43784FA8"/>
    <w:rsid w:val="4379487C"/>
    <w:rsid w:val="437B05F4"/>
    <w:rsid w:val="437B23A2"/>
    <w:rsid w:val="437C436D"/>
    <w:rsid w:val="43835153"/>
    <w:rsid w:val="43851473"/>
    <w:rsid w:val="438A50B6"/>
    <w:rsid w:val="438D0328"/>
    <w:rsid w:val="438F22F2"/>
    <w:rsid w:val="43931DE2"/>
    <w:rsid w:val="439873F8"/>
    <w:rsid w:val="43A318F9"/>
    <w:rsid w:val="43A672BC"/>
    <w:rsid w:val="43AF6949"/>
    <w:rsid w:val="43B05F81"/>
    <w:rsid w:val="43B12268"/>
    <w:rsid w:val="43B52ABE"/>
    <w:rsid w:val="43B753A5"/>
    <w:rsid w:val="43BD6E5F"/>
    <w:rsid w:val="43C10182"/>
    <w:rsid w:val="43C4431A"/>
    <w:rsid w:val="43C62D7F"/>
    <w:rsid w:val="43CE3505"/>
    <w:rsid w:val="43D23F8D"/>
    <w:rsid w:val="43D321DE"/>
    <w:rsid w:val="43D32954"/>
    <w:rsid w:val="43D42766"/>
    <w:rsid w:val="43D45F57"/>
    <w:rsid w:val="43D47D05"/>
    <w:rsid w:val="43D9531B"/>
    <w:rsid w:val="43DC5EF9"/>
    <w:rsid w:val="43DD12AF"/>
    <w:rsid w:val="43DD237C"/>
    <w:rsid w:val="43DE6DD5"/>
    <w:rsid w:val="43E02B4D"/>
    <w:rsid w:val="43E11267"/>
    <w:rsid w:val="43E75C8A"/>
    <w:rsid w:val="43EA61D8"/>
    <w:rsid w:val="43EC14F2"/>
    <w:rsid w:val="43F247C7"/>
    <w:rsid w:val="43F9776B"/>
    <w:rsid w:val="43FE33C5"/>
    <w:rsid w:val="44024872"/>
    <w:rsid w:val="440467DA"/>
    <w:rsid w:val="44054362"/>
    <w:rsid w:val="440700DA"/>
    <w:rsid w:val="440853AC"/>
    <w:rsid w:val="440A2AAE"/>
    <w:rsid w:val="440B5E1C"/>
    <w:rsid w:val="440F4899"/>
    <w:rsid w:val="440F6F8F"/>
    <w:rsid w:val="44103433"/>
    <w:rsid w:val="441427F7"/>
    <w:rsid w:val="441E71D2"/>
    <w:rsid w:val="44240C8C"/>
    <w:rsid w:val="44266B5B"/>
    <w:rsid w:val="4427252A"/>
    <w:rsid w:val="442962A2"/>
    <w:rsid w:val="442D1D69"/>
    <w:rsid w:val="442E0E14"/>
    <w:rsid w:val="443A225E"/>
    <w:rsid w:val="443B5FD6"/>
    <w:rsid w:val="44402940"/>
    <w:rsid w:val="44444E8A"/>
    <w:rsid w:val="44457401"/>
    <w:rsid w:val="44466E54"/>
    <w:rsid w:val="44472BCC"/>
    <w:rsid w:val="44531571"/>
    <w:rsid w:val="44580936"/>
    <w:rsid w:val="4464552C"/>
    <w:rsid w:val="44652860"/>
    <w:rsid w:val="446612A5"/>
    <w:rsid w:val="44692B43"/>
    <w:rsid w:val="446B5CB5"/>
    <w:rsid w:val="446C43E1"/>
    <w:rsid w:val="44713757"/>
    <w:rsid w:val="44727C49"/>
    <w:rsid w:val="4475773A"/>
    <w:rsid w:val="44764BDD"/>
    <w:rsid w:val="44774DC2"/>
    <w:rsid w:val="4479252C"/>
    <w:rsid w:val="447B0A98"/>
    <w:rsid w:val="447D214A"/>
    <w:rsid w:val="44804CC7"/>
    <w:rsid w:val="44823C05"/>
    <w:rsid w:val="448479B6"/>
    <w:rsid w:val="448654A3"/>
    <w:rsid w:val="44867251"/>
    <w:rsid w:val="44890AEF"/>
    <w:rsid w:val="44891B58"/>
    <w:rsid w:val="448A4681"/>
    <w:rsid w:val="448B0D0B"/>
    <w:rsid w:val="448B4867"/>
    <w:rsid w:val="448C3132"/>
    <w:rsid w:val="448D4A83"/>
    <w:rsid w:val="4497145E"/>
    <w:rsid w:val="44981989"/>
    <w:rsid w:val="44986F84"/>
    <w:rsid w:val="449C48E3"/>
    <w:rsid w:val="449F6565"/>
    <w:rsid w:val="44A1408B"/>
    <w:rsid w:val="44A3507E"/>
    <w:rsid w:val="44A65B45"/>
    <w:rsid w:val="44A678F3"/>
    <w:rsid w:val="44A818BD"/>
    <w:rsid w:val="44AA2C8E"/>
    <w:rsid w:val="44AA4FFB"/>
    <w:rsid w:val="44B17B31"/>
    <w:rsid w:val="44B26298"/>
    <w:rsid w:val="44B55D88"/>
    <w:rsid w:val="44B813D4"/>
    <w:rsid w:val="44B81C1B"/>
    <w:rsid w:val="44B951CC"/>
    <w:rsid w:val="44BA0A82"/>
    <w:rsid w:val="44BA15F0"/>
    <w:rsid w:val="44BC0EC5"/>
    <w:rsid w:val="44BD0353"/>
    <w:rsid w:val="44BF2763"/>
    <w:rsid w:val="44C012D8"/>
    <w:rsid w:val="44C1768E"/>
    <w:rsid w:val="44C3676C"/>
    <w:rsid w:val="44C47D79"/>
    <w:rsid w:val="44C85ABB"/>
    <w:rsid w:val="44C91438"/>
    <w:rsid w:val="44CC63EF"/>
    <w:rsid w:val="44CD14E0"/>
    <w:rsid w:val="44D0671E"/>
    <w:rsid w:val="44D06EA0"/>
    <w:rsid w:val="44D648BA"/>
    <w:rsid w:val="44DA759D"/>
    <w:rsid w:val="44DC3315"/>
    <w:rsid w:val="44DD478D"/>
    <w:rsid w:val="44DE52DF"/>
    <w:rsid w:val="44DF0FA7"/>
    <w:rsid w:val="44E0180C"/>
    <w:rsid w:val="44E126D9"/>
    <w:rsid w:val="44E94FCF"/>
    <w:rsid w:val="44ED5522"/>
    <w:rsid w:val="44EE2EF8"/>
    <w:rsid w:val="44EE4DF6"/>
    <w:rsid w:val="44F20B0B"/>
    <w:rsid w:val="44F22B38"/>
    <w:rsid w:val="44F763A1"/>
    <w:rsid w:val="44F93EC7"/>
    <w:rsid w:val="44FC5A40"/>
    <w:rsid w:val="44FC6785"/>
    <w:rsid w:val="44FD1115"/>
    <w:rsid w:val="45060392"/>
    <w:rsid w:val="450665E4"/>
    <w:rsid w:val="45085EB8"/>
    <w:rsid w:val="450B56F4"/>
    <w:rsid w:val="450B5ED4"/>
    <w:rsid w:val="450D7972"/>
    <w:rsid w:val="450F5BA1"/>
    <w:rsid w:val="45103EB4"/>
    <w:rsid w:val="45117475"/>
    <w:rsid w:val="45154A79"/>
    <w:rsid w:val="451835F2"/>
    <w:rsid w:val="45196317"/>
    <w:rsid w:val="451B1B96"/>
    <w:rsid w:val="451D47FD"/>
    <w:rsid w:val="451F1453"/>
    <w:rsid w:val="45216830"/>
    <w:rsid w:val="45237196"/>
    <w:rsid w:val="45244CBC"/>
    <w:rsid w:val="4529277F"/>
    <w:rsid w:val="452C5D03"/>
    <w:rsid w:val="452E5F4C"/>
    <w:rsid w:val="452E61C6"/>
    <w:rsid w:val="452F55B1"/>
    <w:rsid w:val="452F5FE5"/>
    <w:rsid w:val="45317718"/>
    <w:rsid w:val="45344EFF"/>
    <w:rsid w:val="45352A25"/>
    <w:rsid w:val="45391E18"/>
    <w:rsid w:val="454021E6"/>
    <w:rsid w:val="454271D5"/>
    <w:rsid w:val="454B049A"/>
    <w:rsid w:val="454B0EBC"/>
    <w:rsid w:val="454E6A62"/>
    <w:rsid w:val="455235D7"/>
    <w:rsid w:val="45525385"/>
    <w:rsid w:val="45537C28"/>
    <w:rsid w:val="455530C7"/>
    <w:rsid w:val="455A248C"/>
    <w:rsid w:val="455C4456"/>
    <w:rsid w:val="45612018"/>
    <w:rsid w:val="45637592"/>
    <w:rsid w:val="456454A2"/>
    <w:rsid w:val="456926CF"/>
    <w:rsid w:val="456C7EEE"/>
    <w:rsid w:val="45712CEA"/>
    <w:rsid w:val="45723C79"/>
    <w:rsid w:val="457261F1"/>
    <w:rsid w:val="45750B3D"/>
    <w:rsid w:val="45790B64"/>
    <w:rsid w:val="45795008"/>
    <w:rsid w:val="45796DB6"/>
    <w:rsid w:val="457B0D80"/>
    <w:rsid w:val="457C4AF8"/>
    <w:rsid w:val="457E261E"/>
    <w:rsid w:val="457F1981"/>
    <w:rsid w:val="457F23F7"/>
    <w:rsid w:val="458319E2"/>
    <w:rsid w:val="45835E86"/>
    <w:rsid w:val="458539AC"/>
    <w:rsid w:val="45857508"/>
    <w:rsid w:val="458946E9"/>
    <w:rsid w:val="458B6AE9"/>
    <w:rsid w:val="458C4D3B"/>
    <w:rsid w:val="458E1257"/>
    <w:rsid w:val="45992FB4"/>
    <w:rsid w:val="45997458"/>
    <w:rsid w:val="459B1F40"/>
    <w:rsid w:val="459B4F7E"/>
    <w:rsid w:val="459C4852"/>
    <w:rsid w:val="459D5443"/>
    <w:rsid w:val="459D6299"/>
    <w:rsid w:val="45A03FC7"/>
    <w:rsid w:val="45A1630C"/>
    <w:rsid w:val="45A27A61"/>
    <w:rsid w:val="45A33E32"/>
    <w:rsid w:val="45A47C0E"/>
    <w:rsid w:val="45A71B75"/>
    <w:rsid w:val="45A837D4"/>
    <w:rsid w:val="45A93ACC"/>
    <w:rsid w:val="45B61342"/>
    <w:rsid w:val="45B72C0F"/>
    <w:rsid w:val="45BB6B71"/>
    <w:rsid w:val="45BE6EBE"/>
    <w:rsid w:val="45C757DF"/>
    <w:rsid w:val="45C83899"/>
    <w:rsid w:val="45CC270F"/>
    <w:rsid w:val="45CC3389"/>
    <w:rsid w:val="45CC48EC"/>
    <w:rsid w:val="45CD7101"/>
    <w:rsid w:val="45CF4C28"/>
    <w:rsid w:val="45D25D77"/>
    <w:rsid w:val="45D31A53"/>
    <w:rsid w:val="45D73ADC"/>
    <w:rsid w:val="45DC4ADB"/>
    <w:rsid w:val="45DD59D2"/>
    <w:rsid w:val="45E13340"/>
    <w:rsid w:val="45E15F33"/>
    <w:rsid w:val="45EA7CB3"/>
    <w:rsid w:val="45EC3A2B"/>
    <w:rsid w:val="45F13B3D"/>
    <w:rsid w:val="45F94D19"/>
    <w:rsid w:val="45FB34D6"/>
    <w:rsid w:val="460074D7"/>
    <w:rsid w:val="46024FFD"/>
    <w:rsid w:val="4603688D"/>
    <w:rsid w:val="46067C48"/>
    <w:rsid w:val="46080375"/>
    <w:rsid w:val="460D2A30"/>
    <w:rsid w:val="4613720A"/>
    <w:rsid w:val="461865CE"/>
    <w:rsid w:val="461933F6"/>
    <w:rsid w:val="461E1271"/>
    <w:rsid w:val="462211FB"/>
    <w:rsid w:val="462A6302"/>
    <w:rsid w:val="462C5BD6"/>
    <w:rsid w:val="46380A1F"/>
    <w:rsid w:val="463F1DAD"/>
    <w:rsid w:val="463F3332"/>
    <w:rsid w:val="46405B25"/>
    <w:rsid w:val="4646138E"/>
    <w:rsid w:val="464B42E2"/>
    <w:rsid w:val="464C17F0"/>
    <w:rsid w:val="464C5BD7"/>
    <w:rsid w:val="464D0110"/>
    <w:rsid w:val="464E5981"/>
    <w:rsid w:val="465515D1"/>
    <w:rsid w:val="46560EA5"/>
    <w:rsid w:val="46577FD6"/>
    <w:rsid w:val="465808C7"/>
    <w:rsid w:val="46584C1D"/>
    <w:rsid w:val="465869CB"/>
    <w:rsid w:val="465A1079"/>
    <w:rsid w:val="465A4F2F"/>
    <w:rsid w:val="465D2233"/>
    <w:rsid w:val="46612A2F"/>
    <w:rsid w:val="4669507C"/>
    <w:rsid w:val="466970F6"/>
    <w:rsid w:val="466A3237"/>
    <w:rsid w:val="466C691A"/>
    <w:rsid w:val="466E4440"/>
    <w:rsid w:val="466F5DB0"/>
    <w:rsid w:val="467001B9"/>
    <w:rsid w:val="467712F2"/>
    <w:rsid w:val="4677696F"/>
    <w:rsid w:val="467A34E7"/>
    <w:rsid w:val="467C4DAF"/>
    <w:rsid w:val="46800436"/>
    <w:rsid w:val="4686245E"/>
    <w:rsid w:val="46867F0B"/>
    <w:rsid w:val="468B4FF2"/>
    <w:rsid w:val="468E063F"/>
    <w:rsid w:val="46933EA7"/>
    <w:rsid w:val="469D43AE"/>
    <w:rsid w:val="469E1A47"/>
    <w:rsid w:val="46A240EA"/>
    <w:rsid w:val="46A72415"/>
    <w:rsid w:val="46B11B10"/>
    <w:rsid w:val="46BC33FE"/>
    <w:rsid w:val="46BD2CD2"/>
    <w:rsid w:val="46BF4C9C"/>
    <w:rsid w:val="46BF56D8"/>
    <w:rsid w:val="46C774E3"/>
    <w:rsid w:val="46D02A05"/>
    <w:rsid w:val="46D71FE6"/>
    <w:rsid w:val="46D83FB0"/>
    <w:rsid w:val="46D955A7"/>
    <w:rsid w:val="46EA50E5"/>
    <w:rsid w:val="46ED61DB"/>
    <w:rsid w:val="46EE10DD"/>
    <w:rsid w:val="46F210A5"/>
    <w:rsid w:val="46F25071"/>
    <w:rsid w:val="46F81887"/>
    <w:rsid w:val="46FC0A6C"/>
    <w:rsid w:val="46FE3A16"/>
    <w:rsid w:val="46FF778E"/>
    <w:rsid w:val="47003456"/>
    <w:rsid w:val="47084895"/>
    <w:rsid w:val="47091BE0"/>
    <w:rsid w:val="470B1C8F"/>
    <w:rsid w:val="470D3C83"/>
    <w:rsid w:val="470D682C"/>
    <w:rsid w:val="470E79D1"/>
    <w:rsid w:val="47121221"/>
    <w:rsid w:val="47133957"/>
    <w:rsid w:val="47134FE8"/>
    <w:rsid w:val="47177DD6"/>
    <w:rsid w:val="47190850"/>
    <w:rsid w:val="471A0124"/>
    <w:rsid w:val="471A66D8"/>
    <w:rsid w:val="471B4EB4"/>
    <w:rsid w:val="471E5E67"/>
    <w:rsid w:val="4723522B"/>
    <w:rsid w:val="472707CD"/>
    <w:rsid w:val="472B6EFA"/>
    <w:rsid w:val="472D48A2"/>
    <w:rsid w:val="472E3BD0"/>
    <w:rsid w:val="4734568A"/>
    <w:rsid w:val="47392CA0"/>
    <w:rsid w:val="473B22F2"/>
    <w:rsid w:val="473D3E13"/>
    <w:rsid w:val="473E081F"/>
    <w:rsid w:val="473F5062"/>
    <w:rsid w:val="474156B1"/>
    <w:rsid w:val="474613F4"/>
    <w:rsid w:val="47462CC7"/>
    <w:rsid w:val="47481CF8"/>
    <w:rsid w:val="474C5355"/>
    <w:rsid w:val="47543636"/>
    <w:rsid w:val="47590C4D"/>
    <w:rsid w:val="475A3E61"/>
    <w:rsid w:val="475D5053"/>
    <w:rsid w:val="47617B01"/>
    <w:rsid w:val="47680E90"/>
    <w:rsid w:val="47685334"/>
    <w:rsid w:val="47694C08"/>
    <w:rsid w:val="4770243A"/>
    <w:rsid w:val="477041E8"/>
    <w:rsid w:val="47727F60"/>
    <w:rsid w:val="47742A84"/>
    <w:rsid w:val="47767D9D"/>
    <w:rsid w:val="47782EFF"/>
    <w:rsid w:val="477A5EA1"/>
    <w:rsid w:val="477A6E15"/>
    <w:rsid w:val="477C2B8D"/>
    <w:rsid w:val="477C493B"/>
    <w:rsid w:val="477E06B3"/>
    <w:rsid w:val="477F442B"/>
    <w:rsid w:val="478162C5"/>
    <w:rsid w:val="47857C94"/>
    <w:rsid w:val="47885E58"/>
    <w:rsid w:val="478A6EB7"/>
    <w:rsid w:val="479954ED"/>
    <w:rsid w:val="479C322F"/>
    <w:rsid w:val="479C7DAA"/>
    <w:rsid w:val="479E0D55"/>
    <w:rsid w:val="479E5E8D"/>
    <w:rsid w:val="47A07E0C"/>
    <w:rsid w:val="47AA1CA0"/>
    <w:rsid w:val="47B04E87"/>
    <w:rsid w:val="47BE6D02"/>
    <w:rsid w:val="47C85DD2"/>
    <w:rsid w:val="47CA56A6"/>
    <w:rsid w:val="47CA7D9C"/>
    <w:rsid w:val="47CD71C9"/>
    <w:rsid w:val="47D7186A"/>
    <w:rsid w:val="47D84C18"/>
    <w:rsid w:val="47DB5CF2"/>
    <w:rsid w:val="47E32C0C"/>
    <w:rsid w:val="47E86474"/>
    <w:rsid w:val="47EA7AF7"/>
    <w:rsid w:val="47EB50F1"/>
    <w:rsid w:val="47F06C1E"/>
    <w:rsid w:val="47F25430"/>
    <w:rsid w:val="47F40975"/>
    <w:rsid w:val="47F60B91"/>
    <w:rsid w:val="47F70466"/>
    <w:rsid w:val="47F866B8"/>
    <w:rsid w:val="47FC2B0F"/>
    <w:rsid w:val="47FC5A7C"/>
    <w:rsid w:val="47FC693C"/>
    <w:rsid w:val="47FE1F9A"/>
    <w:rsid w:val="4800556C"/>
    <w:rsid w:val="4800731A"/>
    <w:rsid w:val="480233D2"/>
    <w:rsid w:val="48027536"/>
    <w:rsid w:val="480C5CBF"/>
    <w:rsid w:val="4812652E"/>
    <w:rsid w:val="481334F1"/>
    <w:rsid w:val="48141018"/>
    <w:rsid w:val="48153F2E"/>
    <w:rsid w:val="48164D90"/>
    <w:rsid w:val="481A5446"/>
    <w:rsid w:val="481C180D"/>
    <w:rsid w:val="481C5B2A"/>
    <w:rsid w:val="481E3C44"/>
    <w:rsid w:val="4823125B"/>
    <w:rsid w:val="48253225"/>
    <w:rsid w:val="483457FD"/>
    <w:rsid w:val="48384D06"/>
    <w:rsid w:val="483B2A48"/>
    <w:rsid w:val="483B65A4"/>
    <w:rsid w:val="483E5E27"/>
    <w:rsid w:val="484418FD"/>
    <w:rsid w:val="484A67E7"/>
    <w:rsid w:val="484E10AB"/>
    <w:rsid w:val="4851401A"/>
    <w:rsid w:val="48561630"/>
    <w:rsid w:val="485857E8"/>
    <w:rsid w:val="48594C7C"/>
    <w:rsid w:val="485D651B"/>
    <w:rsid w:val="4860600B"/>
    <w:rsid w:val="486D7EBB"/>
    <w:rsid w:val="486F26F2"/>
    <w:rsid w:val="486F70A9"/>
    <w:rsid w:val="4870272E"/>
    <w:rsid w:val="48707469"/>
    <w:rsid w:val="48743864"/>
    <w:rsid w:val="48755BF9"/>
    <w:rsid w:val="487963A2"/>
    <w:rsid w:val="487A3570"/>
    <w:rsid w:val="487B4BF3"/>
    <w:rsid w:val="4881611D"/>
    <w:rsid w:val="48852288"/>
    <w:rsid w:val="48875CBB"/>
    <w:rsid w:val="48893068"/>
    <w:rsid w:val="48893563"/>
    <w:rsid w:val="488F68F0"/>
    <w:rsid w:val="48904C60"/>
    <w:rsid w:val="48973EA7"/>
    <w:rsid w:val="489932CB"/>
    <w:rsid w:val="489B5B6C"/>
    <w:rsid w:val="48A240F1"/>
    <w:rsid w:val="48A3140C"/>
    <w:rsid w:val="48A91760"/>
    <w:rsid w:val="48A95C04"/>
    <w:rsid w:val="48A97254"/>
    <w:rsid w:val="48AA50C6"/>
    <w:rsid w:val="48AA54D8"/>
    <w:rsid w:val="48B14AB8"/>
    <w:rsid w:val="48BC5020"/>
    <w:rsid w:val="48C12F4D"/>
    <w:rsid w:val="48C17221"/>
    <w:rsid w:val="48C301A1"/>
    <w:rsid w:val="48C42A3E"/>
    <w:rsid w:val="48C447EC"/>
    <w:rsid w:val="48C753E1"/>
    <w:rsid w:val="48CA190C"/>
    <w:rsid w:val="48CC1C18"/>
    <w:rsid w:val="48CF1A39"/>
    <w:rsid w:val="48D507A7"/>
    <w:rsid w:val="48D81615"/>
    <w:rsid w:val="48DC090D"/>
    <w:rsid w:val="48DD3AFF"/>
    <w:rsid w:val="48DE1DC6"/>
    <w:rsid w:val="48E00EFA"/>
    <w:rsid w:val="48E11FE9"/>
    <w:rsid w:val="48E21116"/>
    <w:rsid w:val="48E409EA"/>
    <w:rsid w:val="48E56893"/>
    <w:rsid w:val="48E676FD"/>
    <w:rsid w:val="48EC5AF0"/>
    <w:rsid w:val="48EC68C7"/>
    <w:rsid w:val="48F34C13"/>
    <w:rsid w:val="48F3590D"/>
    <w:rsid w:val="48F36E7F"/>
    <w:rsid w:val="48F454D0"/>
    <w:rsid w:val="48F52BF7"/>
    <w:rsid w:val="48FA18C0"/>
    <w:rsid w:val="48FD1AAC"/>
    <w:rsid w:val="48FD5F50"/>
    <w:rsid w:val="48FE1DE2"/>
    <w:rsid w:val="490C1A30"/>
    <w:rsid w:val="49134BDB"/>
    <w:rsid w:val="49155047"/>
    <w:rsid w:val="491F7C74"/>
    <w:rsid w:val="492434DC"/>
    <w:rsid w:val="4924528A"/>
    <w:rsid w:val="49276B29"/>
    <w:rsid w:val="4929464F"/>
    <w:rsid w:val="492B486B"/>
    <w:rsid w:val="49303C2F"/>
    <w:rsid w:val="49353AF4"/>
    <w:rsid w:val="49363636"/>
    <w:rsid w:val="49380D36"/>
    <w:rsid w:val="49382AE4"/>
    <w:rsid w:val="49396F88"/>
    <w:rsid w:val="493A2D00"/>
    <w:rsid w:val="493B5220"/>
    <w:rsid w:val="493C0826"/>
    <w:rsid w:val="49437E06"/>
    <w:rsid w:val="49481053"/>
    <w:rsid w:val="494F67AB"/>
    <w:rsid w:val="494F776C"/>
    <w:rsid w:val="495219D9"/>
    <w:rsid w:val="495C2C76"/>
    <w:rsid w:val="49665E60"/>
    <w:rsid w:val="4966775F"/>
    <w:rsid w:val="49675177"/>
    <w:rsid w:val="4968786D"/>
    <w:rsid w:val="496B2DEF"/>
    <w:rsid w:val="496F29A9"/>
    <w:rsid w:val="497132D6"/>
    <w:rsid w:val="49725FF6"/>
    <w:rsid w:val="49787384"/>
    <w:rsid w:val="49793828"/>
    <w:rsid w:val="49793E45"/>
    <w:rsid w:val="497955D6"/>
    <w:rsid w:val="49795D3F"/>
    <w:rsid w:val="4981092F"/>
    <w:rsid w:val="49834A60"/>
    <w:rsid w:val="49855267"/>
    <w:rsid w:val="498875C7"/>
    <w:rsid w:val="498A2208"/>
    <w:rsid w:val="498E0956"/>
    <w:rsid w:val="49900B72"/>
    <w:rsid w:val="499046CE"/>
    <w:rsid w:val="49975A5C"/>
    <w:rsid w:val="499D3E28"/>
    <w:rsid w:val="499F0DB5"/>
    <w:rsid w:val="49A95790"/>
    <w:rsid w:val="49AB59AC"/>
    <w:rsid w:val="49AD34D2"/>
    <w:rsid w:val="49AF52CE"/>
    <w:rsid w:val="49B04DFE"/>
    <w:rsid w:val="49B54134"/>
    <w:rsid w:val="49BA799D"/>
    <w:rsid w:val="49BE123B"/>
    <w:rsid w:val="49BE748D"/>
    <w:rsid w:val="49BF4FB3"/>
    <w:rsid w:val="49BF6D61"/>
    <w:rsid w:val="49C01457"/>
    <w:rsid w:val="49C62240"/>
    <w:rsid w:val="49CB179D"/>
    <w:rsid w:val="49CE50AF"/>
    <w:rsid w:val="49D4280C"/>
    <w:rsid w:val="49DA50C7"/>
    <w:rsid w:val="49DC6C17"/>
    <w:rsid w:val="49DC7715"/>
    <w:rsid w:val="49DE7B2F"/>
    <w:rsid w:val="49E05655"/>
    <w:rsid w:val="49E35145"/>
    <w:rsid w:val="49E37C61"/>
    <w:rsid w:val="49E65D32"/>
    <w:rsid w:val="49EB2F34"/>
    <w:rsid w:val="49EC3FFA"/>
    <w:rsid w:val="49EF3AEA"/>
    <w:rsid w:val="49F829E7"/>
    <w:rsid w:val="49FC19CF"/>
    <w:rsid w:val="49FF5A42"/>
    <w:rsid w:val="4A003601"/>
    <w:rsid w:val="4A007AA5"/>
    <w:rsid w:val="4A021E4C"/>
    <w:rsid w:val="4A023139"/>
    <w:rsid w:val="4A02381D"/>
    <w:rsid w:val="4A097A1B"/>
    <w:rsid w:val="4A097FF6"/>
    <w:rsid w:val="4A123335"/>
    <w:rsid w:val="4A1361C5"/>
    <w:rsid w:val="4A143551"/>
    <w:rsid w:val="4A1452FF"/>
    <w:rsid w:val="4A190B67"/>
    <w:rsid w:val="4A1B48DF"/>
    <w:rsid w:val="4A1C2405"/>
    <w:rsid w:val="4A280D6F"/>
    <w:rsid w:val="4A2B43F6"/>
    <w:rsid w:val="4A2C089A"/>
    <w:rsid w:val="4A2C3466"/>
    <w:rsid w:val="4A3459A1"/>
    <w:rsid w:val="4A3961AC"/>
    <w:rsid w:val="4A3B0ADD"/>
    <w:rsid w:val="4A3D4856"/>
    <w:rsid w:val="4A4060F4"/>
    <w:rsid w:val="4A4A2ACF"/>
    <w:rsid w:val="4A4C6B34"/>
    <w:rsid w:val="4A4D25BF"/>
    <w:rsid w:val="4A507745"/>
    <w:rsid w:val="4A5106A7"/>
    <w:rsid w:val="4A541B9F"/>
    <w:rsid w:val="4A5C2802"/>
    <w:rsid w:val="4A6D17DC"/>
    <w:rsid w:val="4A6E0EB3"/>
    <w:rsid w:val="4A745E79"/>
    <w:rsid w:val="4A754ADE"/>
    <w:rsid w:val="4A7B576F"/>
    <w:rsid w:val="4A7D4C52"/>
    <w:rsid w:val="4A8038E4"/>
    <w:rsid w:val="4A810B41"/>
    <w:rsid w:val="4A835FE1"/>
    <w:rsid w:val="4A8741CA"/>
    <w:rsid w:val="4A875AD1"/>
    <w:rsid w:val="4A8B0B24"/>
    <w:rsid w:val="4A8C758B"/>
    <w:rsid w:val="4A8E3303"/>
    <w:rsid w:val="4A9326C8"/>
    <w:rsid w:val="4A937164"/>
    <w:rsid w:val="4A9B157C"/>
    <w:rsid w:val="4A9D0D79"/>
    <w:rsid w:val="4A9F7334"/>
    <w:rsid w:val="4AA053B9"/>
    <w:rsid w:val="4AA91EEB"/>
    <w:rsid w:val="4AA94B8B"/>
    <w:rsid w:val="4AAA54E9"/>
    <w:rsid w:val="4AB443EC"/>
    <w:rsid w:val="4AB60164"/>
    <w:rsid w:val="4AB651B1"/>
    <w:rsid w:val="4ABA6EA1"/>
    <w:rsid w:val="4ABD6801"/>
    <w:rsid w:val="4ABD70AF"/>
    <w:rsid w:val="4ABF170F"/>
    <w:rsid w:val="4AC12645"/>
    <w:rsid w:val="4AC160A8"/>
    <w:rsid w:val="4AC37F0A"/>
    <w:rsid w:val="4ACA3C0F"/>
    <w:rsid w:val="4ACE1AA3"/>
    <w:rsid w:val="4ACF0D42"/>
    <w:rsid w:val="4AD14F9E"/>
    <w:rsid w:val="4AD54A8E"/>
    <w:rsid w:val="4AD743D6"/>
    <w:rsid w:val="4ADA6548"/>
    <w:rsid w:val="4AE0426F"/>
    <w:rsid w:val="4AE271AB"/>
    <w:rsid w:val="4AE65BCD"/>
    <w:rsid w:val="4AF15640"/>
    <w:rsid w:val="4AF173EE"/>
    <w:rsid w:val="4AF561A9"/>
    <w:rsid w:val="4AF60EA8"/>
    <w:rsid w:val="4AFA2D26"/>
    <w:rsid w:val="4AFF1B0B"/>
    <w:rsid w:val="4B0146E0"/>
    <w:rsid w:val="4B024B88"/>
    <w:rsid w:val="4B0435C5"/>
    <w:rsid w:val="4B09298A"/>
    <w:rsid w:val="4B09762A"/>
    <w:rsid w:val="4B0B6702"/>
    <w:rsid w:val="4B0C5FAB"/>
    <w:rsid w:val="4B0E781D"/>
    <w:rsid w:val="4B103D18"/>
    <w:rsid w:val="4B1151AE"/>
    <w:rsid w:val="4B15132F"/>
    <w:rsid w:val="4B180E1F"/>
    <w:rsid w:val="4B1A06F3"/>
    <w:rsid w:val="4B1B1A3F"/>
    <w:rsid w:val="4B1C090F"/>
    <w:rsid w:val="4B232DA2"/>
    <w:rsid w:val="4B246B6D"/>
    <w:rsid w:val="4B2509CF"/>
    <w:rsid w:val="4B262037"/>
    <w:rsid w:val="4B280921"/>
    <w:rsid w:val="4B2C48CA"/>
    <w:rsid w:val="4B2E0642"/>
    <w:rsid w:val="4B2F023D"/>
    <w:rsid w:val="4B3043BA"/>
    <w:rsid w:val="4B313C8F"/>
    <w:rsid w:val="4B320132"/>
    <w:rsid w:val="4B364751"/>
    <w:rsid w:val="4B3726A8"/>
    <w:rsid w:val="4B3774F7"/>
    <w:rsid w:val="4B3A2B43"/>
    <w:rsid w:val="4B3D0885"/>
    <w:rsid w:val="4B3D2B25"/>
    <w:rsid w:val="4B3F17C4"/>
    <w:rsid w:val="4B4340EE"/>
    <w:rsid w:val="4B441C14"/>
    <w:rsid w:val="4B447E66"/>
    <w:rsid w:val="4B475260"/>
    <w:rsid w:val="4B49547C"/>
    <w:rsid w:val="4B4B6913"/>
    <w:rsid w:val="4B5005B9"/>
    <w:rsid w:val="4B502367"/>
    <w:rsid w:val="4B517E8D"/>
    <w:rsid w:val="4B5566F9"/>
    <w:rsid w:val="4B571947"/>
    <w:rsid w:val="4B5977A3"/>
    <w:rsid w:val="4B5C107E"/>
    <w:rsid w:val="4B5D6832"/>
    <w:rsid w:val="4B644064"/>
    <w:rsid w:val="4B647BC0"/>
    <w:rsid w:val="4B660103"/>
    <w:rsid w:val="4B69167A"/>
    <w:rsid w:val="4B6E0A3F"/>
    <w:rsid w:val="4B7122DD"/>
    <w:rsid w:val="4B726781"/>
    <w:rsid w:val="4B7342A7"/>
    <w:rsid w:val="4B745000"/>
    <w:rsid w:val="4B7C5B57"/>
    <w:rsid w:val="4B8244EA"/>
    <w:rsid w:val="4B83098E"/>
    <w:rsid w:val="4B863FDA"/>
    <w:rsid w:val="4B871B00"/>
    <w:rsid w:val="4B895879"/>
    <w:rsid w:val="4B8C2BFF"/>
    <w:rsid w:val="4B8D35BB"/>
    <w:rsid w:val="4B8F7333"/>
    <w:rsid w:val="4B952E6B"/>
    <w:rsid w:val="4B960E78"/>
    <w:rsid w:val="4B9C37FE"/>
    <w:rsid w:val="4B9E161E"/>
    <w:rsid w:val="4BA24833"/>
    <w:rsid w:val="4BA56E78"/>
    <w:rsid w:val="4BA821A3"/>
    <w:rsid w:val="4BA9472E"/>
    <w:rsid w:val="4BA97CC9"/>
    <w:rsid w:val="4BAB1C93"/>
    <w:rsid w:val="4BB35289"/>
    <w:rsid w:val="4BB5041C"/>
    <w:rsid w:val="4BB70638"/>
    <w:rsid w:val="4BB723E6"/>
    <w:rsid w:val="4BB9615E"/>
    <w:rsid w:val="4BBF01FE"/>
    <w:rsid w:val="4BC32B39"/>
    <w:rsid w:val="4BC44B03"/>
    <w:rsid w:val="4BC468B1"/>
    <w:rsid w:val="4BC8004E"/>
    <w:rsid w:val="4BC973E3"/>
    <w:rsid w:val="4BCE14DD"/>
    <w:rsid w:val="4BCE3947"/>
    <w:rsid w:val="4BCE72EF"/>
    <w:rsid w:val="4BCF5981"/>
    <w:rsid w:val="4BD028C4"/>
    <w:rsid w:val="4BD42F98"/>
    <w:rsid w:val="4BD56D10"/>
    <w:rsid w:val="4BDA3C25"/>
    <w:rsid w:val="4BDC6101"/>
    <w:rsid w:val="4BDD5FA9"/>
    <w:rsid w:val="4BDD6881"/>
    <w:rsid w:val="4BDE3E16"/>
    <w:rsid w:val="4BE041DA"/>
    <w:rsid w:val="4BE11211"/>
    <w:rsid w:val="4BE46F63"/>
    <w:rsid w:val="4BEA19F6"/>
    <w:rsid w:val="4BEB02E1"/>
    <w:rsid w:val="4BED22AB"/>
    <w:rsid w:val="4BED4059"/>
    <w:rsid w:val="4BF47196"/>
    <w:rsid w:val="4BF57B61"/>
    <w:rsid w:val="4BF70A34"/>
    <w:rsid w:val="4BFB6776"/>
    <w:rsid w:val="4BFB7921"/>
    <w:rsid w:val="4BFF5B3B"/>
    <w:rsid w:val="4C0015A9"/>
    <w:rsid w:val="4C043151"/>
    <w:rsid w:val="4C066EC9"/>
    <w:rsid w:val="4C082549"/>
    <w:rsid w:val="4C0A0767"/>
    <w:rsid w:val="4C0F2222"/>
    <w:rsid w:val="4C124497"/>
    <w:rsid w:val="4C213D03"/>
    <w:rsid w:val="4C22386C"/>
    <w:rsid w:val="4C2537F3"/>
    <w:rsid w:val="4C26756B"/>
    <w:rsid w:val="4C2B16B2"/>
    <w:rsid w:val="4C324162"/>
    <w:rsid w:val="4C3861A2"/>
    <w:rsid w:val="4C392DFB"/>
    <w:rsid w:val="4C3D6D8F"/>
    <w:rsid w:val="4C433C79"/>
    <w:rsid w:val="4C455C43"/>
    <w:rsid w:val="4C481290"/>
    <w:rsid w:val="4C4A0649"/>
    <w:rsid w:val="4C4B0C8F"/>
    <w:rsid w:val="4C4B0FB2"/>
    <w:rsid w:val="4C4E2BE2"/>
    <w:rsid w:val="4C5015A8"/>
    <w:rsid w:val="4C51363C"/>
    <w:rsid w:val="4C5145E8"/>
    <w:rsid w:val="4C545E87"/>
    <w:rsid w:val="4C555ECC"/>
    <w:rsid w:val="4C561BFF"/>
    <w:rsid w:val="4C5C5856"/>
    <w:rsid w:val="4C61349E"/>
    <w:rsid w:val="4C633D3F"/>
    <w:rsid w:val="4C6467C1"/>
    <w:rsid w:val="4C687B84"/>
    <w:rsid w:val="4C6F31F2"/>
    <w:rsid w:val="4C6F4A6E"/>
    <w:rsid w:val="4C7327B1"/>
    <w:rsid w:val="4C783645"/>
    <w:rsid w:val="4C7B1665"/>
    <w:rsid w:val="4C7E5ECA"/>
    <w:rsid w:val="4C800A2A"/>
    <w:rsid w:val="4C8229F4"/>
    <w:rsid w:val="4C83051A"/>
    <w:rsid w:val="4C8449BE"/>
    <w:rsid w:val="4C876AA5"/>
    <w:rsid w:val="4C885B30"/>
    <w:rsid w:val="4C8D4DA7"/>
    <w:rsid w:val="4C8F3363"/>
    <w:rsid w:val="4C910E89"/>
    <w:rsid w:val="4C942727"/>
    <w:rsid w:val="4C952AAB"/>
    <w:rsid w:val="4C9646F1"/>
    <w:rsid w:val="4C9B5863"/>
    <w:rsid w:val="4C9D4B51"/>
    <w:rsid w:val="4C9D62C0"/>
    <w:rsid w:val="4CA15F48"/>
    <w:rsid w:val="4CAB74D9"/>
    <w:rsid w:val="4CAD5597"/>
    <w:rsid w:val="4CAE0BB3"/>
    <w:rsid w:val="4CAF47D4"/>
    <w:rsid w:val="4CB132D9"/>
    <w:rsid w:val="4CB30FA5"/>
    <w:rsid w:val="4CBB4158"/>
    <w:rsid w:val="4CBC6B75"/>
    <w:rsid w:val="4CBD1C7E"/>
    <w:rsid w:val="4CBD45F6"/>
    <w:rsid w:val="4CBE6751"/>
    <w:rsid w:val="4CC01258"/>
    <w:rsid w:val="4CC4568A"/>
    <w:rsid w:val="4CC529EA"/>
    <w:rsid w:val="4CC86DF6"/>
    <w:rsid w:val="4CC96874"/>
    <w:rsid w:val="4CD564D9"/>
    <w:rsid w:val="4CD94E20"/>
    <w:rsid w:val="4CDD40CE"/>
    <w:rsid w:val="4CDD5E7C"/>
    <w:rsid w:val="4CE0596C"/>
    <w:rsid w:val="4CE4545C"/>
    <w:rsid w:val="4CE47A7D"/>
    <w:rsid w:val="4CE65CAC"/>
    <w:rsid w:val="4CEA2347"/>
    <w:rsid w:val="4CEC7770"/>
    <w:rsid w:val="4CF237DA"/>
    <w:rsid w:val="4CF308FD"/>
    <w:rsid w:val="4CF40C7B"/>
    <w:rsid w:val="4CF55099"/>
    <w:rsid w:val="4CFA0BD8"/>
    <w:rsid w:val="4CFA2DD6"/>
    <w:rsid w:val="4D0725A2"/>
    <w:rsid w:val="4D077EEE"/>
    <w:rsid w:val="4D0B0C3B"/>
    <w:rsid w:val="4D0C49B3"/>
    <w:rsid w:val="4D0E00FB"/>
    <w:rsid w:val="4D103886"/>
    <w:rsid w:val="4D153868"/>
    <w:rsid w:val="4D176606"/>
    <w:rsid w:val="4D1B477C"/>
    <w:rsid w:val="4D1E40A2"/>
    <w:rsid w:val="4D215DDF"/>
    <w:rsid w:val="4D227D33"/>
    <w:rsid w:val="4D245859"/>
    <w:rsid w:val="4D264F1F"/>
    <w:rsid w:val="4D274840"/>
    <w:rsid w:val="4D28463C"/>
    <w:rsid w:val="4D2C6E03"/>
    <w:rsid w:val="4D3006A2"/>
    <w:rsid w:val="4D331F40"/>
    <w:rsid w:val="4D333CEE"/>
    <w:rsid w:val="4D387820"/>
    <w:rsid w:val="4D3D4B6D"/>
    <w:rsid w:val="4D40606D"/>
    <w:rsid w:val="4D4128AF"/>
    <w:rsid w:val="4D423F31"/>
    <w:rsid w:val="4D44414D"/>
    <w:rsid w:val="4D447CA9"/>
    <w:rsid w:val="4D52686A"/>
    <w:rsid w:val="4D527B0F"/>
    <w:rsid w:val="4D530247"/>
    <w:rsid w:val="4D533747"/>
    <w:rsid w:val="4D565C2E"/>
    <w:rsid w:val="4D5A571F"/>
    <w:rsid w:val="4D5A74CD"/>
    <w:rsid w:val="4D5D01E1"/>
    <w:rsid w:val="4D5F0F87"/>
    <w:rsid w:val="4D5F7951"/>
    <w:rsid w:val="4D61085B"/>
    <w:rsid w:val="4D662315"/>
    <w:rsid w:val="4D6E0B97"/>
    <w:rsid w:val="4D704F42"/>
    <w:rsid w:val="4D714816"/>
    <w:rsid w:val="4D73233C"/>
    <w:rsid w:val="4D761E2D"/>
    <w:rsid w:val="4D793BC7"/>
    <w:rsid w:val="4D7A7353"/>
    <w:rsid w:val="4D7E2762"/>
    <w:rsid w:val="4D810EFD"/>
    <w:rsid w:val="4D812CAB"/>
    <w:rsid w:val="4D836789"/>
    <w:rsid w:val="4D846E33"/>
    <w:rsid w:val="4D856466"/>
    <w:rsid w:val="4D8C1650"/>
    <w:rsid w:val="4D8D08B2"/>
    <w:rsid w:val="4D8E361A"/>
    <w:rsid w:val="4D930C1A"/>
    <w:rsid w:val="4D967E9A"/>
    <w:rsid w:val="4D9724CF"/>
    <w:rsid w:val="4D9B7B80"/>
    <w:rsid w:val="4D9E1AAF"/>
    <w:rsid w:val="4DA71E8A"/>
    <w:rsid w:val="4DAB1AD6"/>
    <w:rsid w:val="4DAB5F7A"/>
    <w:rsid w:val="4DAC067B"/>
    <w:rsid w:val="4DB35F12"/>
    <w:rsid w:val="4DB715DA"/>
    <w:rsid w:val="4DB75F3D"/>
    <w:rsid w:val="4DBE3EFF"/>
    <w:rsid w:val="4DC86B2C"/>
    <w:rsid w:val="4DCB03CA"/>
    <w:rsid w:val="4DCF5FFB"/>
    <w:rsid w:val="4DD13CF9"/>
    <w:rsid w:val="4DD252B5"/>
    <w:rsid w:val="4DD31850"/>
    <w:rsid w:val="4DD77090"/>
    <w:rsid w:val="4DD86643"/>
    <w:rsid w:val="4DDD3C5A"/>
    <w:rsid w:val="4DE33966"/>
    <w:rsid w:val="4DE374C2"/>
    <w:rsid w:val="4DEA53BD"/>
    <w:rsid w:val="4DEB6377"/>
    <w:rsid w:val="4DEC4FB0"/>
    <w:rsid w:val="4DEE6F0D"/>
    <w:rsid w:val="4DF16954"/>
    <w:rsid w:val="4DF26BF1"/>
    <w:rsid w:val="4DF46181"/>
    <w:rsid w:val="4DF46F02"/>
    <w:rsid w:val="4DF5104E"/>
    <w:rsid w:val="4DFC0584"/>
    <w:rsid w:val="4DFC5726"/>
    <w:rsid w:val="4DFF0486"/>
    <w:rsid w:val="4E013DEC"/>
    <w:rsid w:val="4E065CB6"/>
    <w:rsid w:val="4E075D8A"/>
    <w:rsid w:val="4E0909D2"/>
    <w:rsid w:val="4E0A1A85"/>
    <w:rsid w:val="4E0E50C7"/>
    <w:rsid w:val="4E131761"/>
    <w:rsid w:val="4E140649"/>
    <w:rsid w:val="4E165AE9"/>
    <w:rsid w:val="4E1927DA"/>
    <w:rsid w:val="4E1E499E"/>
    <w:rsid w:val="4E1E68D3"/>
    <w:rsid w:val="4E235B10"/>
    <w:rsid w:val="4E2E4192"/>
    <w:rsid w:val="4E2F0959"/>
    <w:rsid w:val="4E2F31D3"/>
    <w:rsid w:val="4E3427C1"/>
    <w:rsid w:val="4E355844"/>
    <w:rsid w:val="4E37780E"/>
    <w:rsid w:val="4E3E294A"/>
    <w:rsid w:val="4E423311"/>
    <w:rsid w:val="4E437F61"/>
    <w:rsid w:val="4E487C6D"/>
    <w:rsid w:val="4E4C150B"/>
    <w:rsid w:val="4E4D0DDF"/>
    <w:rsid w:val="4E4E209C"/>
    <w:rsid w:val="4E52289A"/>
    <w:rsid w:val="4E533FC2"/>
    <w:rsid w:val="4E535E18"/>
    <w:rsid w:val="4E553E46"/>
    <w:rsid w:val="4E5553A1"/>
    <w:rsid w:val="4E564138"/>
    <w:rsid w:val="4E565D23"/>
    <w:rsid w:val="4E593C28"/>
    <w:rsid w:val="4E5B78B6"/>
    <w:rsid w:val="4E604914"/>
    <w:rsid w:val="4E611B8B"/>
    <w:rsid w:val="4E646F2C"/>
    <w:rsid w:val="4E6836D6"/>
    <w:rsid w:val="4E6B74B7"/>
    <w:rsid w:val="4E6E25EE"/>
    <w:rsid w:val="4E750330"/>
    <w:rsid w:val="4E760336"/>
    <w:rsid w:val="4E7B3B8F"/>
    <w:rsid w:val="4E7B594C"/>
    <w:rsid w:val="4E8011B5"/>
    <w:rsid w:val="4E832A53"/>
    <w:rsid w:val="4E870795"/>
    <w:rsid w:val="4E880069"/>
    <w:rsid w:val="4E8812E3"/>
    <w:rsid w:val="4E8862BB"/>
    <w:rsid w:val="4E8D5680"/>
    <w:rsid w:val="4E962786"/>
    <w:rsid w:val="4E983985"/>
    <w:rsid w:val="4EA316A1"/>
    <w:rsid w:val="4EA40FCB"/>
    <w:rsid w:val="4EA503D4"/>
    <w:rsid w:val="4EA50C1B"/>
    <w:rsid w:val="4EAD5D22"/>
    <w:rsid w:val="4EAF55F6"/>
    <w:rsid w:val="4EB26E94"/>
    <w:rsid w:val="4EB90223"/>
    <w:rsid w:val="4EBB3F9B"/>
    <w:rsid w:val="4EC00FAD"/>
    <w:rsid w:val="4EC05A55"/>
    <w:rsid w:val="4EC76DE4"/>
    <w:rsid w:val="4ECE0172"/>
    <w:rsid w:val="4ECE3DA7"/>
    <w:rsid w:val="4ED9366C"/>
    <w:rsid w:val="4EDB463D"/>
    <w:rsid w:val="4EDE4938"/>
    <w:rsid w:val="4EE01C53"/>
    <w:rsid w:val="4EE820C6"/>
    <w:rsid w:val="4EEA7926"/>
    <w:rsid w:val="4EEC684A"/>
    <w:rsid w:val="4EED611E"/>
    <w:rsid w:val="4EEF00E8"/>
    <w:rsid w:val="4EEF1E97"/>
    <w:rsid w:val="4EF23B67"/>
    <w:rsid w:val="4EF474AD"/>
    <w:rsid w:val="4EF70D4B"/>
    <w:rsid w:val="4EFE032C"/>
    <w:rsid w:val="4F043B94"/>
    <w:rsid w:val="4F0658C5"/>
    <w:rsid w:val="4F0771E0"/>
    <w:rsid w:val="4F0F5D09"/>
    <w:rsid w:val="4F111E0D"/>
    <w:rsid w:val="4F147B4F"/>
    <w:rsid w:val="4F1638C7"/>
    <w:rsid w:val="4F1A6654"/>
    <w:rsid w:val="4F1D4C56"/>
    <w:rsid w:val="4F2953A8"/>
    <w:rsid w:val="4F2A4BBE"/>
    <w:rsid w:val="4F2C382C"/>
    <w:rsid w:val="4F301FFB"/>
    <w:rsid w:val="4F304989"/>
    <w:rsid w:val="4F3533FC"/>
    <w:rsid w:val="4F372FC5"/>
    <w:rsid w:val="4F3860E4"/>
    <w:rsid w:val="4F3C4E12"/>
    <w:rsid w:val="4F3F0728"/>
    <w:rsid w:val="4F416B96"/>
    <w:rsid w:val="4F42290E"/>
    <w:rsid w:val="4F4411B6"/>
    <w:rsid w:val="4F46214F"/>
    <w:rsid w:val="4F4A3571"/>
    <w:rsid w:val="4F4A3DFE"/>
    <w:rsid w:val="4F4A531F"/>
    <w:rsid w:val="4F4B5D83"/>
    <w:rsid w:val="4F4F2935"/>
    <w:rsid w:val="4F4F48BB"/>
    <w:rsid w:val="4F510191"/>
    <w:rsid w:val="4F5148FF"/>
    <w:rsid w:val="4F5368C9"/>
    <w:rsid w:val="4F5506C1"/>
    <w:rsid w:val="4F55619D"/>
    <w:rsid w:val="4F587A3C"/>
    <w:rsid w:val="4F59743D"/>
    <w:rsid w:val="4F5A7E58"/>
    <w:rsid w:val="4F5E0212"/>
    <w:rsid w:val="4F5F526E"/>
    <w:rsid w:val="4F644633"/>
    <w:rsid w:val="4F6C34E7"/>
    <w:rsid w:val="4F701229"/>
    <w:rsid w:val="4F7109B5"/>
    <w:rsid w:val="4F7471DC"/>
    <w:rsid w:val="4F764366"/>
    <w:rsid w:val="4F812B80"/>
    <w:rsid w:val="4F813436"/>
    <w:rsid w:val="4F8F151A"/>
    <w:rsid w:val="4F9009A8"/>
    <w:rsid w:val="4F9273F2"/>
    <w:rsid w:val="4F934F18"/>
    <w:rsid w:val="4F952A3E"/>
    <w:rsid w:val="4F980780"/>
    <w:rsid w:val="4F9843DC"/>
    <w:rsid w:val="4F9D18F3"/>
    <w:rsid w:val="4FA17635"/>
    <w:rsid w:val="4FA2515B"/>
    <w:rsid w:val="4FA26F09"/>
    <w:rsid w:val="4FA709C3"/>
    <w:rsid w:val="4FA843B3"/>
    <w:rsid w:val="4FA90297"/>
    <w:rsid w:val="4FA96954"/>
    <w:rsid w:val="4FAE0671"/>
    <w:rsid w:val="4FAF18DD"/>
    <w:rsid w:val="4FB27ACC"/>
    <w:rsid w:val="4FB5677A"/>
    <w:rsid w:val="4FC01F58"/>
    <w:rsid w:val="4FC13833"/>
    <w:rsid w:val="4FC151B1"/>
    <w:rsid w:val="4FC41575"/>
    <w:rsid w:val="4FC4329A"/>
    <w:rsid w:val="4FC450D1"/>
    <w:rsid w:val="4FC504FB"/>
    <w:rsid w:val="4FC62A8C"/>
    <w:rsid w:val="4FC82E13"/>
    <w:rsid w:val="4FC96B8B"/>
    <w:rsid w:val="4FCA764D"/>
    <w:rsid w:val="4FCE780F"/>
    <w:rsid w:val="4FCE7CFE"/>
    <w:rsid w:val="4FD113F6"/>
    <w:rsid w:val="4FD317B8"/>
    <w:rsid w:val="4FD64330"/>
    <w:rsid w:val="4FD712A8"/>
    <w:rsid w:val="4FDF1F0B"/>
    <w:rsid w:val="4FDF63AF"/>
    <w:rsid w:val="4FE17A31"/>
    <w:rsid w:val="4FE20F0D"/>
    <w:rsid w:val="4FE51552"/>
    <w:rsid w:val="4FE94417"/>
    <w:rsid w:val="4FE94B38"/>
    <w:rsid w:val="4FF0236A"/>
    <w:rsid w:val="4FF450A0"/>
    <w:rsid w:val="4FF84D7B"/>
    <w:rsid w:val="4FFA6D45"/>
    <w:rsid w:val="500100D3"/>
    <w:rsid w:val="50027F99"/>
    <w:rsid w:val="50047BC4"/>
    <w:rsid w:val="500B3467"/>
    <w:rsid w:val="500D04FA"/>
    <w:rsid w:val="501A73E7"/>
    <w:rsid w:val="501C315F"/>
    <w:rsid w:val="501C796A"/>
    <w:rsid w:val="501E4BFD"/>
    <w:rsid w:val="501F4D9E"/>
    <w:rsid w:val="501F67AB"/>
    <w:rsid w:val="5023004A"/>
    <w:rsid w:val="50250266"/>
    <w:rsid w:val="50286CD9"/>
    <w:rsid w:val="502D705A"/>
    <w:rsid w:val="503009B9"/>
    <w:rsid w:val="50306C0B"/>
    <w:rsid w:val="5036159B"/>
    <w:rsid w:val="503B20C3"/>
    <w:rsid w:val="503C110B"/>
    <w:rsid w:val="503C7AAB"/>
    <w:rsid w:val="503E2F33"/>
    <w:rsid w:val="504E180D"/>
    <w:rsid w:val="50504C4B"/>
    <w:rsid w:val="50580167"/>
    <w:rsid w:val="50584677"/>
    <w:rsid w:val="505C355C"/>
    <w:rsid w:val="5060129E"/>
    <w:rsid w:val="50621A3A"/>
    <w:rsid w:val="506B7C43"/>
    <w:rsid w:val="506D7517"/>
    <w:rsid w:val="506F7733"/>
    <w:rsid w:val="5071695E"/>
    <w:rsid w:val="507C14E9"/>
    <w:rsid w:val="50810E2D"/>
    <w:rsid w:val="50842909"/>
    <w:rsid w:val="50854860"/>
    <w:rsid w:val="508807F5"/>
    <w:rsid w:val="508825A3"/>
    <w:rsid w:val="508F6E76"/>
    <w:rsid w:val="50922385"/>
    <w:rsid w:val="50962F12"/>
    <w:rsid w:val="50976947"/>
    <w:rsid w:val="509C6E7C"/>
    <w:rsid w:val="509C7DFC"/>
    <w:rsid w:val="509E5922"/>
    <w:rsid w:val="50A17D6E"/>
    <w:rsid w:val="50A3118B"/>
    <w:rsid w:val="50A50E70"/>
    <w:rsid w:val="50A867A1"/>
    <w:rsid w:val="50AC44E3"/>
    <w:rsid w:val="50AC6439"/>
    <w:rsid w:val="50AD2009"/>
    <w:rsid w:val="50AE34C0"/>
    <w:rsid w:val="50B341B0"/>
    <w:rsid w:val="50B76110"/>
    <w:rsid w:val="50B909AE"/>
    <w:rsid w:val="50BB0282"/>
    <w:rsid w:val="50BC224C"/>
    <w:rsid w:val="50BC3FFA"/>
    <w:rsid w:val="50BD55C0"/>
    <w:rsid w:val="50BE6D04"/>
    <w:rsid w:val="50C555A5"/>
    <w:rsid w:val="50C61B92"/>
    <w:rsid w:val="50C7131D"/>
    <w:rsid w:val="50C91AA5"/>
    <w:rsid w:val="50CA4969"/>
    <w:rsid w:val="50CA639A"/>
    <w:rsid w:val="50CE26AB"/>
    <w:rsid w:val="50CE3854"/>
    <w:rsid w:val="50CF1F80"/>
    <w:rsid w:val="50CF678F"/>
    <w:rsid w:val="50D2381E"/>
    <w:rsid w:val="50D6330E"/>
    <w:rsid w:val="50D63ABE"/>
    <w:rsid w:val="50DA7442"/>
    <w:rsid w:val="50DB26D2"/>
    <w:rsid w:val="50DB448D"/>
    <w:rsid w:val="50DB5F91"/>
    <w:rsid w:val="50DC591D"/>
    <w:rsid w:val="50E023DF"/>
    <w:rsid w:val="50E05F3B"/>
    <w:rsid w:val="50ED0658"/>
    <w:rsid w:val="50EE4AFC"/>
    <w:rsid w:val="50F06140"/>
    <w:rsid w:val="50F43794"/>
    <w:rsid w:val="50F554A0"/>
    <w:rsid w:val="50F639B0"/>
    <w:rsid w:val="50F86586"/>
    <w:rsid w:val="510155EC"/>
    <w:rsid w:val="51025EB1"/>
    <w:rsid w:val="51031C29"/>
    <w:rsid w:val="510460CD"/>
    <w:rsid w:val="510819DD"/>
    <w:rsid w:val="510A2FB8"/>
    <w:rsid w:val="510F41E7"/>
    <w:rsid w:val="51124A1D"/>
    <w:rsid w:val="51142088"/>
    <w:rsid w:val="51183927"/>
    <w:rsid w:val="511D0F3D"/>
    <w:rsid w:val="5122056B"/>
    <w:rsid w:val="51234079"/>
    <w:rsid w:val="51262417"/>
    <w:rsid w:val="512A5408"/>
    <w:rsid w:val="512F6EC2"/>
    <w:rsid w:val="51316796"/>
    <w:rsid w:val="51326CC3"/>
    <w:rsid w:val="51341902"/>
    <w:rsid w:val="51355098"/>
    <w:rsid w:val="51387B25"/>
    <w:rsid w:val="513D41D6"/>
    <w:rsid w:val="51422751"/>
    <w:rsid w:val="51422839"/>
    <w:rsid w:val="514F6B70"/>
    <w:rsid w:val="5151571A"/>
    <w:rsid w:val="51532BB1"/>
    <w:rsid w:val="515526FB"/>
    <w:rsid w:val="515629DC"/>
    <w:rsid w:val="5156444F"/>
    <w:rsid w:val="51581F75"/>
    <w:rsid w:val="51583D23"/>
    <w:rsid w:val="515A1CF6"/>
    <w:rsid w:val="515C2DD9"/>
    <w:rsid w:val="515C37AD"/>
    <w:rsid w:val="5162104E"/>
    <w:rsid w:val="516C77CE"/>
    <w:rsid w:val="516D59CC"/>
    <w:rsid w:val="51710FD9"/>
    <w:rsid w:val="51723EB6"/>
    <w:rsid w:val="517448D5"/>
    <w:rsid w:val="5178776B"/>
    <w:rsid w:val="517B0CA3"/>
    <w:rsid w:val="517D19DC"/>
    <w:rsid w:val="5183249D"/>
    <w:rsid w:val="518604BC"/>
    <w:rsid w:val="5186454B"/>
    <w:rsid w:val="51874608"/>
    <w:rsid w:val="51894ABC"/>
    <w:rsid w:val="51895BC4"/>
    <w:rsid w:val="518A6F8B"/>
    <w:rsid w:val="518C60C3"/>
    <w:rsid w:val="518E5997"/>
    <w:rsid w:val="51915487"/>
    <w:rsid w:val="51956D25"/>
    <w:rsid w:val="519805C3"/>
    <w:rsid w:val="519D3E2C"/>
    <w:rsid w:val="519D5BDA"/>
    <w:rsid w:val="519F5DF6"/>
    <w:rsid w:val="51A518F8"/>
    <w:rsid w:val="51A52CE0"/>
    <w:rsid w:val="51AE7DE7"/>
    <w:rsid w:val="51B02621"/>
    <w:rsid w:val="51BF216C"/>
    <w:rsid w:val="51C95B83"/>
    <w:rsid w:val="51CB2747"/>
    <w:rsid w:val="51CD2963"/>
    <w:rsid w:val="51CE23C5"/>
    <w:rsid w:val="51D27F79"/>
    <w:rsid w:val="51D3335B"/>
    <w:rsid w:val="51D3784E"/>
    <w:rsid w:val="51D50F8B"/>
    <w:rsid w:val="51D830B6"/>
    <w:rsid w:val="51DA038A"/>
    <w:rsid w:val="51DD5C5A"/>
    <w:rsid w:val="51DD691E"/>
    <w:rsid w:val="51E2214F"/>
    <w:rsid w:val="51E2757B"/>
    <w:rsid w:val="51E37B44"/>
    <w:rsid w:val="51E41A5B"/>
    <w:rsid w:val="51E44568"/>
    <w:rsid w:val="51E97071"/>
    <w:rsid w:val="51EB7A8C"/>
    <w:rsid w:val="51EC090F"/>
    <w:rsid w:val="51F0037B"/>
    <w:rsid w:val="51F15F26"/>
    <w:rsid w:val="51F872B4"/>
    <w:rsid w:val="51FC6B68"/>
    <w:rsid w:val="51FF0643"/>
    <w:rsid w:val="51FF6019"/>
    <w:rsid w:val="51FF6894"/>
    <w:rsid w:val="52024883"/>
    <w:rsid w:val="52081BED"/>
    <w:rsid w:val="52094397"/>
    <w:rsid w:val="520A0A49"/>
    <w:rsid w:val="520B08F9"/>
    <w:rsid w:val="52133DB3"/>
    <w:rsid w:val="5214490E"/>
    <w:rsid w:val="52157E66"/>
    <w:rsid w:val="52197F39"/>
    <w:rsid w:val="521B066E"/>
    <w:rsid w:val="52245352"/>
    <w:rsid w:val="522D1654"/>
    <w:rsid w:val="522E717A"/>
    <w:rsid w:val="5233653E"/>
    <w:rsid w:val="52344790"/>
    <w:rsid w:val="52352BC9"/>
    <w:rsid w:val="52394E29"/>
    <w:rsid w:val="523C1897"/>
    <w:rsid w:val="52466271"/>
    <w:rsid w:val="5248054A"/>
    <w:rsid w:val="524A2661"/>
    <w:rsid w:val="524B7D2C"/>
    <w:rsid w:val="524D5852"/>
    <w:rsid w:val="525503FE"/>
    <w:rsid w:val="52585D5A"/>
    <w:rsid w:val="525A1D1D"/>
    <w:rsid w:val="525D7B81"/>
    <w:rsid w:val="525F10E1"/>
    <w:rsid w:val="526154D9"/>
    <w:rsid w:val="52642B9B"/>
    <w:rsid w:val="52645A0F"/>
    <w:rsid w:val="52691F60"/>
    <w:rsid w:val="527903F5"/>
    <w:rsid w:val="527C31C3"/>
    <w:rsid w:val="527D1264"/>
    <w:rsid w:val="52833022"/>
    <w:rsid w:val="52862B12"/>
    <w:rsid w:val="528C2795"/>
    <w:rsid w:val="52923265"/>
    <w:rsid w:val="529242F1"/>
    <w:rsid w:val="529369ED"/>
    <w:rsid w:val="52A40696"/>
    <w:rsid w:val="52A42F98"/>
    <w:rsid w:val="52AC6530"/>
    <w:rsid w:val="52AF2069"/>
    <w:rsid w:val="52B11F76"/>
    <w:rsid w:val="52B23907"/>
    <w:rsid w:val="52B648C1"/>
    <w:rsid w:val="52BA32C7"/>
    <w:rsid w:val="52BB22D8"/>
    <w:rsid w:val="52BC3CB1"/>
    <w:rsid w:val="52BE405A"/>
    <w:rsid w:val="52C3645F"/>
    <w:rsid w:val="52C75604"/>
    <w:rsid w:val="52CA29FF"/>
    <w:rsid w:val="52CD0741"/>
    <w:rsid w:val="52CD24EF"/>
    <w:rsid w:val="52D0546B"/>
    <w:rsid w:val="52D41ACF"/>
    <w:rsid w:val="52D42983"/>
    <w:rsid w:val="52D65847"/>
    <w:rsid w:val="52DE294E"/>
    <w:rsid w:val="52E02222"/>
    <w:rsid w:val="52E04A36"/>
    <w:rsid w:val="52E22421"/>
    <w:rsid w:val="52E8557B"/>
    <w:rsid w:val="52E87329"/>
    <w:rsid w:val="52F12681"/>
    <w:rsid w:val="52F35D43"/>
    <w:rsid w:val="52F715A0"/>
    <w:rsid w:val="52F757BE"/>
    <w:rsid w:val="52FF0538"/>
    <w:rsid w:val="53065A01"/>
    <w:rsid w:val="53071EA5"/>
    <w:rsid w:val="53080EFD"/>
    <w:rsid w:val="530A729F"/>
    <w:rsid w:val="530B42C2"/>
    <w:rsid w:val="530E4E22"/>
    <w:rsid w:val="531445C2"/>
    <w:rsid w:val="53163E96"/>
    <w:rsid w:val="531A6B5C"/>
    <w:rsid w:val="531B14AC"/>
    <w:rsid w:val="531B4A3A"/>
    <w:rsid w:val="531C6FD2"/>
    <w:rsid w:val="53213F70"/>
    <w:rsid w:val="5322283B"/>
    <w:rsid w:val="53230361"/>
    <w:rsid w:val="532742F5"/>
    <w:rsid w:val="532959CD"/>
    <w:rsid w:val="53303F2B"/>
    <w:rsid w:val="53316F22"/>
    <w:rsid w:val="533407C0"/>
    <w:rsid w:val="533455A3"/>
    <w:rsid w:val="533662E6"/>
    <w:rsid w:val="53383B95"/>
    <w:rsid w:val="533C25DC"/>
    <w:rsid w:val="533C41C5"/>
    <w:rsid w:val="534827D0"/>
    <w:rsid w:val="5349426B"/>
    <w:rsid w:val="534E1882"/>
    <w:rsid w:val="534F5D39"/>
    <w:rsid w:val="535769B0"/>
    <w:rsid w:val="536146CE"/>
    <w:rsid w:val="5362532D"/>
    <w:rsid w:val="536306DA"/>
    <w:rsid w:val="53670B95"/>
    <w:rsid w:val="536C61AC"/>
    <w:rsid w:val="536E3CD2"/>
    <w:rsid w:val="537506AF"/>
    <w:rsid w:val="537B019D"/>
    <w:rsid w:val="537E2111"/>
    <w:rsid w:val="538057B3"/>
    <w:rsid w:val="538461DF"/>
    <w:rsid w:val="53874D93"/>
    <w:rsid w:val="538873DD"/>
    <w:rsid w:val="53890B0C"/>
    <w:rsid w:val="538B2E4A"/>
    <w:rsid w:val="538B4884"/>
    <w:rsid w:val="539300FF"/>
    <w:rsid w:val="53941B93"/>
    <w:rsid w:val="5394364E"/>
    <w:rsid w:val="53952E53"/>
    <w:rsid w:val="53986FA1"/>
    <w:rsid w:val="539A2935"/>
    <w:rsid w:val="539E4FD0"/>
    <w:rsid w:val="53A019B1"/>
    <w:rsid w:val="53A039CC"/>
    <w:rsid w:val="53A1505A"/>
    <w:rsid w:val="53A54A39"/>
    <w:rsid w:val="53A54C8E"/>
    <w:rsid w:val="53A5521A"/>
    <w:rsid w:val="53AB5F7D"/>
    <w:rsid w:val="53AB6CD4"/>
    <w:rsid w:val="53AE40CE"/>
    <w:rsid w:val="53B21E71"/>
    <w:rsid w:val="53B4718A"/>
    <w:rsid w:val="53C02B75"/>
    <w:rsid w:val="53C51418"/>
    <w:rsid w:val="53C5766A"/>
    <w:rsid w:val="53C90F08"/>
    <w:rsid w:val="53D0274A"/>
    <w:rsid w:val="53D22156"/>
    <w:rsid w:val="53D224B3"/>
    <w:rsid w:val="53D33B35"/>
    <w:rsid w:val="53D55AFF"/>
    <w:rsid w:val="53D578AD"/>
    <w:rsid w:val="53D77D03"/>
    <w:rsid w:val="53D91E35"/>
    <w:rsid w:val="53DF697E"/>
    <w:rsid w:val="53E45D42"/>
    <w:rsid w:val="53E746BF"/>
    <w:rsid w:val="53E83104"/>
    <w:rsid w:val="53EC2E48"/>
    <w:rsid w:val="53F046E7"/>
    <w:rsid w:val="53F131C4"/>
    <w:rsid w:val="53F817ED"/>
    <w:rsid w:val="53FA5565"/>
    <w:rsid w:val="53FB3082"/>
    <w:rsid w:val="54001829"/>
    <w:rsid w:val="540070EB"/>
    <w:rsid w:val="5402441A"/>
    <w:rsid w:val="54025A44"/>
    <w:rsid w:val="54041F40"/>
    <w:rsid w:val="54054DD7"/>
    <w:rsid w:val="54063E08"/>
    <w:rsid w:val="540672D6"/>
    <w:rsid w:val="54077C82"/>
    <w:rsid w:val="5408413B"/>
    <w:rsid w:val="540E22B0"/>
    <w:rsid w:val="54102FDB"/>
    <w:rsid w:val="54134879"/>
    <w:rsid w:val="54183C3E"/>
    <w:rsid w:val="54194508"/>
    <w:rsid w:val="541A5C08"/>
    <w:rsid w:val="541C2BD1"/>
    <w:rsid w:val="541D74A6"/>
    <w:rsid w:val="541D7C9C"/>
    <w:rsid w:val="541E1BA7"/>
    <w:rsid w:val="541F4FCC"/>
    <w:rsid w:val="5421480E"/>
    <w:rsid w:val="54246E44"/>
    <w:rsid w:val="5426635A"/>
    <w:rsid w:val="54297278"/>
    <w:rsid w:val="542D76E9"/>
    <w:rsid w:val="542E3461"/>
    <w:rsid w:val="543437E8"/>
    <w:rsid w:val="543546D5"/>
    <w:rsid w:val="54372316"/>
    <w:rsid w:val="54396B62"/>
    <w:rsid w:val="543A0058"/>
    <w:rsid w:val="543C3DD0"/>
    <w:rsid w:val="543C7743"/>
    <w:rsid w:val="54434E84"/>
    <w:rsid w:val="544467E1"/>
    <w:rsid w:val="5446594F"/>
    <w:rsid w:val="544A1E12"/>
    <w:rsid w:val="544B5FDC"/>
    <w:rsid w:val="544C2E0C"/>
    <w:rsid w:val="54555434"/>
    <w:rsid w:val="5455702E"/>
    <w:rsid w:val="545804DE"/>
    <w:rsid w:val="54596730"/>
    <w:rsid w:val="545A24A8"/>
    <w:rsid w:val="545A4F6A"/>
    <w:rsid w:val="545C0092"/>
    <w:rsid w:val="545C7FCE"/>
    <w:rsid w:val="546169CA"/>
    <w:rsid w:val="546649A9"/>
    <w:rsid w:val="546D3F89"/>
    <w:rsid w:val="546D5D37"/>
    <w:rsid w:val="54735527"/>
    <w:rsid w:val="547837B4"/>
    <w:rsid w:val="54790B80"/>
    <w:rsid w:val="547C77E1"/>
    <w:rsid w:val="54857525"/>
    <w:rsid w:val="54882B71"/>
    <w:rsid w:val="54894BE9"/>
    <w:rsid w:val="54931516"/>
    <w:rsid w:val="54947768"/>
    <w:rsid w:val="5495528E"/>
    <w:rsid w:val="54971006"/>
    <w:rsid w:val="54992FD0"/>
    <w:rsid w:val="54996B2C"/>
    <w:rsid w:val="549B5123"/>
    <w:rsid w:val="549E4143"/>
    <w:rsid w:val="54A159E1"/>
    <w:rsid w:val="54A35BFD"/>
    <w:rsid w:val="54AC3115"/>
    <w:rsid w:val="54AC551B"/>
    <w:rsid w:val="54AD5A82"/>
    <w:rsid w:val="54B70C74"/>
    <w:rsid w:val="54B716A8"/>
    <w:rsid w:val="54B72E39"/>
    <w:rsid w:val="54B73FFB"/>
    <w:rsid w:val="54B96610"/>
    <w:rsid w:val="54BB2DFA"/>
    <w:rsid w:val="54BC6CBF"/>
    <w:rsid w:val="54BF4C96"/>
    <w:rsid w:val="54C02666"/>
    <w:rsid w:val="54C3004D"/>
    <w:rsid w:val="54C31DFB"/>
    <w:rsid w:val="54C85664"/>
    <w:rsid w:val="54C85830"/>
    <w:rsid w:val="54CA13DC"/>
    <w:rsid w:val="54CE5DA9"/>
    <w:rsid w:val="54CF07B4"/>
    <w:rsid w:val="54D05F50"/>
    <w:rsid w:val="54D35F3D"/>
    <w:rsid w:val="54D538DD"/>
    <w:rsid w:val="54DB547E"/>
    <w:rsid w:val="54DC2EBD"/>
    <w:rsid w:val="54DE09E3"/>
    <w:rsid w:val="54DF6509"/>
    <w:rsid w:val="54E0475B"/>
    <w:rsid w:val="54E3249D"/>
    <w:rsid w:val="54E57FC4"/>
    <w:rsid w:val="54E65AA0"/>
    <w:rsid w:val="54E81750"/>
    <w:rsid w:val="54EA55DA"/>
    <w:rsid w:val="54EF26DE"/>
    <w:rsid w:val="54EF2BF0"/>
    <w:rsid w:val="54F00716"/>
    <w:rsid w:val="54F15F6F"/>
    <w:rsid w:val="54F16968"/>
    <w:rsid w:val="54F226E1"/>
    <w:rsid w:val="54F2623D"/>
    <w:rsid w:val="54F36F93"/>
    <w:rsid w:val="54F46459"/>
    <w:rsid w:val="54F621D1"/>
    <w:rsid w:val="54F6391C"/>
    <w:rsid w:val="54F73313"/>
    <w:rsid w:val="54F80955"/>
    <w:rsid w:val="54FA6421"/>
    <w:rsid w:val="54FB4AFB"/>
    <w:rsid w:val="54FC6198"/>
    <w:rsid w:val="54FE1085"/>
    <w:rsid w:val="5502346B"/>
    <w:rsid w:val="5502745C"/>
    <w:rsid w:val="55034E8A"/>
    <w:rsid w:val="55067F3A"/>
    <w:rsid w:val="5507140E"/>
    <w:rsid w:val="55072635"/>
    <w:rsid w:val="55085A60"/>
    <w:rsid w:val="55092506"/>
    <w:rsid w:val="550B5550"/>
    <w:rsid w:val="55144405"/>
    <w:rsid w:val="55191A1B"/>
    <w:rsid w:val="551C775D"/>
    <w:rsid w:val="551F0EE2"/>
    <w:rsid w:val="55236889"/>
    <w:rsid w:val="55273E82"/>
    <w:rsid w:val="5528754F"/>
    <w:rsid w:val="55306D65"/>
    <w:rsid w:val="553132E3"/>
    <w:rsid w:val="55326F81"/>
    <w:rsid w:val="55376345"/>
    <w:rsid w:val="5538461C"/>
    <w:rsid w:val="553B5E36"/>
    <w:rsid w:val="553B63BD"/>
    <w:rsid w:val="553B7BE4"/>
    <w:rsid w:val="553E7330"/>
    <w:rsid w:val="55435EE8"/>
    <w:rsid w:val="55466588"/>
    <w:rsid w:val="5549190E"/>
    <w:rsid w:val="554C6B20"/>
    <w:rsid w:val="554F487B"/>
    <w:rsid w:val="555170A7"/>
    <w:rsid w:val="555222D6"/>
    <w:rsid w:val="55540CA5"/>
    <w:rsid w:val="555534C9"/>
    <w:rsid w:val="555B47BD"/>
    <w:rsid w:val="555B64D8"/>
    <w:rsid w:val="555D3FFE"/>
    <w:rsid w:val="55621614"/>
    <w:rsid w:val="5563713A"/>
    <w:rsid w:val="55693404"/>
    <w:rsid w:val="556B5782"/>
    <w:rsid w:val="556E620B"/>
    <w:rsid w:val="556F3D31"/>
    <w:rsid w:val="55757E11"/>
    <w:rsid w:val="557650C0"/>
    <w:rsid w:val="55801A9A"/>
    <w:rsid w:val="5587536D"/>
    <w:rsid w:val="558770C6"/>
    <w:rsid w:val="55886BA1"/>
    <w:rsid w:val="55894DF3"/>
    <w:rsid w:val="558A2919"/>
    <w:rsid w:val="558D721B"/>
    <w:rsid w:val="5598445C"/>
    <w:rsid w:val="559B174B"/>
    <w:rsid w:val="559B2D78"/>
    <w:rsid w:val="559D089E"/>
    <w:rsid w:val="559D264C"/>
    <w:rsid w:val="559D43FA"/>
    <w:rsid w:val="559D5CC0"/>
    <w:rsid w:val="55A27C63"/>
    <w:rsid w:val="55A3400F"/>
    <w:rsid w:val="55A77192"/>
    <w:rsid w:val="55AD03B6"/>
    <w:rsid w:val="55B856D8"/>
    <w:rsid w:val="55BA1450"/>
    <w:rsid w:val="55BD684B"/>
    <w:rsid w:val="55BF0815"/>
    <w:rsid w:val="55C45E2B"/>
    <w:rsid w:val="55C71477"/>
    <w:rsid w:val="55C951EF"/>
    <w:rsid w:val="55CE0CF4"/>
    <w:rsid w:val="55CE67D9"/>
    <w:rsid w:val="55D02A22"/>
    <w:rsid w:val="55D342C0"/>
    <w:rsid w:val="55D63DB0"/>
    <w:rsid w:val="55D83684"/>
    <w:rsid w:val="55D911AB"/>
    <w:rsid w:val="55DA73FC"/>
    <w:rsid w:val="55DD79D2"/>
    <w:rsid w:val="55DF5A88"/>
    <w:rsid w:val="55E07CEB"/>
    <w:rsid w:val="55E24503"/>
    <w:rsid w:val="55E6064E"/>
    <w:rsid w:val="55EA33B8"/>
    <w:rsid w:val="55EC0126"/>
    <w:rsid w:val="55EE2985"/>
    <w:rsid w:val="55F12998"/>
    <w:rsid w:val="55F711BD"/>
    <w:rsid w:val="55F867FB"/>
    <w:rsid w:val="55FB7373"/>
    <w:rsid w:val="55FC203D"/>
    <w:rsid w:val="56010E2D"/>
    <w:rsid w:val="560B3A5A"/>
    <w:rsid w:val="560F492A"/>
    <w:rsid w:val="561072C2"/>
    <w:rsid w:val="561548D9"/>
    <w:rsid w:val="56162D09"/>
    <w:rsid w:val="561843C9"/>
    <w:rsid w:val="561B5752"/>
    <w:rsid w:val="5623455D"/>
    <w:rsid w:val="56270168"/>
    <w:rsid w:val="56293737"/>
    <w:rsid w:val="56293EE0"/>
    <w:rsid w:val="562C39D0"/>
    <w:rsid w:val="562C6234"/>
    <w:rsid w:val="56301712"/>
    <w:rsid w:val="5632114B"/>
    <w:rsid w:val="56323497"/>
    <w:rsid w:val="563665FD"/>
    <w:rsid w:val="563C00B7"/>
    <w:rsid w:val="563D454F"/>
    <w:rsid w:val="563F375A"/>
    <w:rsid w:val="563F39B0"/>
    <w:rsid w:val="56437EDE"/>
    <w:rsid w:val="5648237A"/>
    <w:rsid w:val="564C3298"/>
    <w:rsid w:val="564C3509"/>
    <w:rsid w:val="564E64E5"/>
    <w:rsid w:val="56503B63"/>
    <w:rsid w:val="565151E5"/>
    <w:rsid w:val="56521689"/>
    <w:rsid w:val="565371AF"/>
    <w:rsid w:val="56554CD5"/>
    <w:rsid w:val="56576C9F"/>
    <w:rsid w:val="565A053D"/>
    <w:rsid w:val="565A22EB"/>
    <w:rsid w:val="5662347E"/>
    <w:rsid w:val="56625644"/>
    <w:rsid w:val="56644F18"/>
    <w:rsid w:val="56673F1F"/>
    <w:rsid w:val="56694C24"/>
    <w:rsid w:val="566969D2"/>
    <w:rsid w:val="566D253A"/>
    <w:rsid w:val="566D3123"/>
    <w:rsid w:val="566D69A1"/>
    <w:rsid w:val="56727104"/>
    <w:rsid w:val="567B6271"/>
    <w:rsid w:val="567D13ED"/>
    <w:rsid w:val="567D422C"/>
    <w:rsid w:val="56861332"/>
    <w:rsid w:val="56902438"/>
    <w:rsid w:val="569972B8"/>
    <w:rsid w:val="569A3030"/>
    <w:rsid w:val="56A17F1A"/>
    <w:rsid w:val="56A33C92"/>
    <w:rsid w:val="56A95A76"/>
    <w:rsid w:val="56B22A9C"/>
    <w:rsid w:val="56B23691"/>
    <w:rsid w:val="56B24168"/>
    <w:rsid w:val="56B32712"/>
    <w:rsid w:val="56B509D3"/>
    <w:rsid w:val="56B714EC"/>
    <w:rsid w:val="56B80EAE"/>
    <w:rsid w:val="56C34BB0"/>
    <w:rsid w:val="56C43C09"/>
    <w:rsid w:val="56CA5E49"/>
    <w:rsid w:val="56CE0279"/>
    <w:rsid w:val="56CE6835"/>
    <w:rsid w:val="56CF3D11"/>
    <w:rsid w:val="56D007FF"/>
    <w:rsid w:val="56D26326"/>
    <w:rsid w:val="56D47B29"/>
    <w:rsid w:val="56D73387"/>
    <w:rsid w:val="56D9408C"/>
    <w:rsid w:val="56DA7D27"/>
    <w:rsid w:val="56DC71A4"/>
    <w:rsid w:val="56E12A0D"/>
    <w:rsid w:val="56E368B8"/>
    <w:rsid w:val="56E61DD1"/>
    <w:rsid w:val="56EA18C1"/>
    <w:rsid w:val="56ED13B1"/>
    <w:rsid w:val="56EE0C86"/>
    <w:rsid w:val="56EF7BD8"/>
    <w:rsid w:val="56F20776"/>
    <w:rsid w:val="56F269C8"/>
    <w:rsid w:val="56F444EE"/>
    <w:rsid w:val="56F72230"/>
    <w:rsid w:val="56F86467"/>
    <w:rsid w:val="56F965BD"/>
    <w:rsid w:val="56FE6056"/>
    <w:rsid w:val="56FF0A48"/>
    <w:rsid w:val="57016C0B"/>
    <w:rsid w:val="57030BD5"/>
    <w:rsid w:val="570404A9"/>
    <w:rsid w:val="57046113"/>
    <w:rsid w:val="570566FB"/>
    <w:rsid w:val="5706344A"/>
    <w:rsid w:val="57081358"/>
    <w:rsid w:val="570B3561"/>
    <w:rsid w:val="570C1A39"/>
    <w:rsid w:val="570C5CDB"/>
    <w:rsid w:val="57117D57"/>
    <w:rsid w:val="57122853"/>
    <w:rsid w:val="57135A77"/>
    <w:rsid w:val="57144B90"/>
    <w:rsid w:val="5714693E"/>
    <w:rsid w:val="57154464"/>
    <w:rsid w:val="571903F8"/>
    <w:rsid w:val="57194BA0"/>
    <w:rsid w:val="571B5F1F"/>
    <w:rsid w:val="571E5A0F"/>
    <w:rsid w:val="572052E3"/>
    <w:rsid w:val="5721105B"/>
    <w:rsid w:val="57224B04"/>
    <w:rsid w:val="572465E0"/>
    <w:rsid w:val="57283E0B"/>
    <w:rsid w:val="5735725F"/>
    <w:rsid w:val="5737460E"/>
    <w:rsid w:val="57387AFE"/>
    <w:rsid w:val="573963A5"/>
    <w:rsid w:val="573B211D"/>
    <w:rsid w:val="573C0DF4"/>
    <w:rsid w:val="573C40E7"/>
    <w:rsid w:val="573E41C4"/>
    <w:rsid w:val="57435475"/>
    <w:rsid w:val="574B60D8"/>
    <w:rsid w:val="574F3FF6"/>
    <w:rsid w:val="57504512"/>
    <w:rsid w:val="57530294"/>
    <w:rsid w:val="57565668"/>
    <w:rsid w:val="57580F21"/>
    <w:rsid w:val="575E5E0B"/>
    <w:rsid w:val="57633422"/>
    <w:rsid w:val="576467FF"/>
    <w:rsid w:val="576551C6"/>
    <w:rsid w:val="57664CC0"/>
    <w:rsid w:val="57684EDC"/>
    <w:rsid w:val="576B6907"/>
    <w:rsid w:val="576F0018"/>
    <w:rsid w:val="57700B77"/>
    <w:rsid w:val="57776ECD"/>
    <w:rsid w:val="577E4961"/>
    <w:rsid w:val="5781047F"/>
    <w:rsid w:val="5782609F"/>
    <w:rsid w:val="57835872"/>
    <w:rsid w:val="578735B4"/>
    <w:rsid w:val="5789732C"/>
    <w:rsid w:val="578B5B97"/>
    <w:rsid w:val="57926D3D"/>
    <w:rsid w:val="57953E1C"/>
    <w:rsid w:val="579A2768"/>
    <w:rsid w:val="579C65C0"/>
    <w:rsid w:val="579E445A"/>
    <w:rsid w:val="57A43D49"/>
    <w:rsid w:val="57A53A3A"/>
    <w:rsid w:val="57AD28EF"/>
    <w:rsid w:val="57AD6FAC"/>
    <w:rsid w:val="57AE601F"/>
    <w:rsid w:val="57B343A9"/>
    <w:rsid w:val="57B57EEE"/>
    <w:rsid w:val="57B72A76"/>
    <w:rsid w:val="57B7551B"/>
    <w:rsid w:val="57BB325E"/>
    <w:rsid w:val="57BD0D84"/>
    <w:rsid w:val="57BE68AA"/>
    <w:rsid w:val="57C31A8B"/>
    <w:rsid w:val="57C3426C"/>
    <w:rsid w:val="57C93CAF"/>
    <w:rsid w:val="57CA34A1"/>
    <w:rsid w:val="57CC546B"/>
    <w:rsid w:val="57CE1F93"/>
    <w:rsid w:val="57D37254"/>
    <w:rsid w:val="57DD1426"/>
    <w:rsid w:val="57DD48BE"/>
    <w:rsid w:val="57E02DDB"/>
    <w:rsid w:val="57E36310"/>
    <w:rsid w:val="57E5652D"/>
    <w:rsid w:val="57EC3417"/>
    <w:rsid w:val="57EF1159"/>
    <w:rsid w:val="57F14ED1"/>
    <w:rsid w:val="57F154BB"/>
    <w:rsid w:val="57F16C7F"/>
    <w:rsid w:val="57F64296"/>
    <w:rsid w:val="57F86A62"/>
    <w:rsid w:val="57F873A0"/>
    <w:rsid w:val="57F95B34"/>
    <w:rsid w:val="57FA1D13"/>
    <w:rsid w:val="57FB18AC"/>
    <w:rsid w:val="57FD73D2"/>
    <w:rsid w:val="57FF75EE"/>
    <w:rsid w:val="58020713"/>
    <w:rsid w:val="58022C3B"/>
    <w:rsid w:val="58030761"/>
    <w:rsid w:val="580746F5"/>
    <w:rsid w:val="5814471C"/>
    <w:rsid w:val="58164938"/>
    <w:rsid w:val="58172ADF"/>
    <w:rsid w:val="581806B0"/>
    <w:rsid w:val="5822508B"/>
    <w:rsid w:val="582810F4"/>
    <w:rsid w:val="582C01C2"/>
    <w:rsid w:val="583152CE"/>
    <w:rsid w:val="58322102"/>
    <w:rsid w:val="583A0626"/>
    <w:rsid w:val="58403763"/>
    <w:rsid w:val="58403E1F"/>
    <w:rsid w:val="5842572D"/>
    <w:rsid w:val="584355C0"/>
    <w:rsid w:val="58436347"/>
    <w:rsid w:val="584E7C2E"/>
    <w:rsid w:val="585215FA"/>
    <w:rsid w:val="585316E8"/>
    <w:rsid w:val="585328F9"/>
    <w:rsid w:val="58535244"/>
    <w:rsid w:val="58586CFE"/>
    <w:rsid w:val="585A65D3"/>
    <w:rsid w:val="586631C9"/>
    <w:rsid w:val="58690F0C"/>
    <w:rsid w:val="586B3A56"/>
    <w:rsid w:val="58760F77"/>
    <w:rsid w:val="58770836"/>
    <w:rsid w:val="58773629"/>
    <w:rsid w:val="587E2145"/>
    <w:rsid w:val="587F428B"/>
    <w:rsid w:val="58822D33"/>
    <w:rsid w:val="588418A2"/>
    <w:rsid w:val="58850B9C"/>
    <w:rsid w:val="588743D1"/>
    <w:rsid w:val="5887701A"/>
    <w:rsid w:val="588B230B"/>
    <w:rsid w:val="588C555B"/>
    <w:rsid w:val="588D0E94"/>
    <w:rsid w:val="588D4BFA"/>
    <w:rsid w:val="589046EA"/>
    <w:rsid w:val="58913FBE"/>
    <w:rsid w:val="589171BF"/>
    <w:rsid w:val="58924565"/>
    <w:rsid w:val="58935F89"/>
    <w:rsid w:val="58947260"/>
    <w:rsid w:val="58953141"/>
    <w:rsid w:val="58953AAF"/>
    <w:rsid w:val="589A2E73"/>
    <w:rsid w:val="589F66DB"/>
    <w:rsid w:val="58A12453"/>
    <w:rsid w:val="58A61818"/>
    <w:rsid w:val="58A81A34"/>
    <w:rsid w:val="58A91308"/>
    <w:rsid w:val="58AB6E2E"/>
    <w:rsid w:val="58AE459A"/>
    <w:rsid w:val="58B07973"/>
    <w:rsid w:val="58B21713"/>
    <w:rsid w:val="58B33F35"/>
    <w:rsid w:val="58B71C77"/>
    <w:rsid w:val="58BC103B"/>
    <w:rsid w:val="58BC7AA4"/>
    <w:rsid w:val="58BE1257"/>
    <w:rsid w:val="58C47EF0"/>
    <w:rsid w:val="58C6010C"/>
    <w:rsid w:val="58CA24E2"/>
    <w:rsid w:val="58CE6FC1"/>
    <w:rsid w:val="58CF0836"/>
    <w:rsid w:val="58DF11CE"/>
    <w:rsid w:val="58E30CBE"/>
    <w:rsid w:val="58E6430A"/>
    <w:rsid w:val="58E67648"/>
    <w:rsid w:val="58E86238"/>
    <w:rsid w:val="58E9186D"/>
    <w:rsid w:val="58E95BA9"/>
    <w:rsid w:val="58EE5793"/>
    <w:rsid w:val="58F11969"/>
    <w:rsid w:val="58F46A27"/>
    <w:rsid w:val="58FD0B73"/>
    <w:rsid w:val="58FF53CC"/>
    <w:rsid w:val="590315FB"/>
    <w:rsid w:val="590429E2"/>
    <w:rsid w:val="59066C26"/>
    <w:rsid w:val="59084281"/>
    <w:rsid w:val="59132074"/>
    <w:rsid w:val="591470C9"/>
    <w:rsid w:val="59170968"/>
    <w:rsid w:val="591B0458"/>
    <w:rsid w:val="591D35BC"/>
    <w:rsid w:val="59215342"/>
    <w:rsid w:val="592310BA"/>
    <w:rsid w:val="592D1F39"/>
    <w:rsid w:val="59305585"/>
    <w:rsid w:val="59322E3A"/>
    <w:rsid w:val="59352B9C"/>
    <w:rsid w:val="593632DA"/>
    <w:rsid w:val="59372DB8"/>
    <w:rsid w:val="593C217C"/>
    <w:rsid w:val="59423504"/>
    <w:rsid w:val="59451C63"/>
    <w:rsid w:val="59451FBE"/>
    <w:rsid w:val="594554D5"/>
    <w:rsid w:val="59457283"/>
    <w:rsid w:val="59462FFB"/>
    <w:rsid w:val="594B23BF"/>
    <w:rsid w:val="59527BF2"/>
    <w:rsid w:val="595345F5"/>
    <w:rsid w:val="5954396A"/>
    <w:rsid w:val="59576FB6"/>
    <w:rsid w:val="595B6AA6"/>
    <w:rsid w:val="595C637A"/>
    <w:rsid w:val="595D0E79"/>
    <w:rsid w:val="59654D46"/>
    <w:rsid w:val="59682F71"/>
    <w:rsid w:val="597247E0"/>
    <w:rsid w:val="5979381F"/>
    <w:rsid w:val="5979517E"/>
    <w:rsid w:val="597B0EF6"/>
    <w:rsid w:val="597B2CA5"/>
    <w:rsid w:val="5980650D"/>
    <w:rsid w:val="59835FFD"/>
    <w:rsid w:val="59837DAB"/>
    <w:rsid w:val="598541D6"/>
    <w:rsid w:val="59861649"/>
    <w:rsid w:val="59876967"/>
    <w:rsid w:val="5987789B"/>
    <w:rsid w:val="59883613"/>
    <w:rsid w:val="598B6C60"/>
    <w:rsid w:val="598C17B9"/>
    <w:rsid w:val="59942098"/>
    <w:rsid w:val="59945B14"/>
    <w:rsid w:val="599B50F5"/>
    <w:rsid w:val="599C7F9A"/>
    <w:rsid w:val="599D630C"/>
    <w:rsid w:val="599E6993"/>
    <w:rsid w:val="59A37FFC"/>
    <w:rsid w:val="59A4473C"/>
    <w:rsid w:val="59A57D21"/>
    <w:rsid w:val="59B241EC"/>
    <w:rsid w:val="59B30690"/>
    <w:rsid w:val="59B461B6"/>
    <w:rsid w:val="59B463F7"/>
    <w:rsid w:val="59B834CE"/>
    <w:rsid w:val="59B91A1F"/>
    <w:rsid w:val="59B94BE9"/>
    <w:rsid w:val="59BD150F"/>
    <w:rsid w:val="59BD1846"/>
    <w:rsid w:val="59BE5DFE"/>
    <w:rsid w:val="59C0439F"/>
    <w:rsid w:val="59C24CD2"/>
    <w:rsid w:val="59C363FA"/>
    <w:rsid w:val="59C86B3A"/>
    <w:rsid w:val="59CC10D9"/>
    <w:rsid w:val="59D32AE1"/>
    <w:rsid w:val="59D423B5"/>
    <w:rsid w:val="59D43AA9"/>
    <w:rsid w:val="59D52770"/>
    <w:rsid w:val="59D6437F"/>
    <w:rsid w:val="59DB7BE7"/>
    <w:rsid w:val="59DC1A3C"/>
    <w:rsid w:val="59DF66A0"/>
    <w:rsid w:val="59DF6902"/>
    <w:rsid w:val="59E05CC1"/>
    <w:rsid w:val="59E431E9"/>
    <w:rsid w:val="59E629DC"/>
    <w:rsid w:val="59E7658C"/>
    <w:rsid w:val="59E940B2"/>
    <w:rsid w:val="59EC3BA2"/>
    <w:rsid w:val="59EC76FE"/>
    <w:rsid w:val="59EF5441"/>
    <w:rsid w:val="59EF71EF"/>
    <w:rsid w:val="59F1740B"/>
    <w:rsid w:val="59F237BA"/>
    <w:rsid w:val="59F40CA9"/>
    <w:rsid w:val="59F55100"/>
    <w:rsid w:val="59F56C75"/>
    <w:rsid w:val="59F760A3"/>
    <w:rsid w:val="59F81919"/>
    <w:rsid w:val="59FD5DAF"/>
    <w:rsid w:val="5A040EEC"/>
    <w:rsid w:val="5A0542DA"/>
    <w:rsid w:val="5A054C64"/>
    <w:rsid w:val="5A0A4028"/>
    <w:rsid w:val="5A0C551C"/>
    <w:rsid w:val="5A0C78B7"/>
    <w:rsid w:val="5A146537"/>
    <w:rsid w:val="5A191374"/>
    <w:rsid w:val="5A1D5B0A"/>
    <w:rsid w:val="5A20384C"/>
    <w:rsid w:val="5A296BA4"/>
    <w:rsid w:val="5A2B29C3"/>
    <w:rsid w:val="5A2C3F9F"/>
    <w:rsid w:val="5A2D764F"/>
    <w:rsid w:val="5A386DE8"/>
    <w:rsid w:val="5A4532B2"/>
    <w:rsid w:val="5A47527D"/>
    <w:rsid w:val="5A484F8A"/>
    <w:rsid w:val="5A492DA3"/>
    <w:rsid w:val="5A4A08C9"/>
    <w:rsid w:val="5A4D65D0"/>
    <w:rsid w:val="5A5022EF"/>
    <w:rsid w:val="5A582FE6"/>
    <w:rsid w:val="5A5D05FC"/>
    <w:rsid w:val="5A5D23AA"/>
    <w:rsid w:val="5A5D31A1"/>
    <w:rsid w:val="5A5F26D4"/>
    <w:rsid w:val="5A5F4374"/>
    <w:rsid w:val="5A6279C1"/>
    <w:rsid w:val="5A627DD5"/>
    <w:rsid w:val="5A64329F"/>
    <w:rsid w:val="5A6B0F6B"/>
    <w:rsid w:val="5A6D19E9"/>
    <w:rsid w:val="5A6D587F"/>
    <w:rsid w:val="5A6F5562"/>
    <w:rsid w:val="5A706551"/>
    <w:rsid w:val="5A7616BE"/>
    <w:rsid w:val="5A766A76"/>
    <w:rsid w:val="5A7B6781"/>
    <w:rsid w:val="5A7F3D50"/>
    <w:rsid w:val="5A8148A2"/>
    <w:rsid w:val="5A816F33"/>
    <w:rsid w:val="5A8550FA"/>
    <w:rsid w:val="5A861664"/>
    <w:rsid w:val="5A875679"/>
    <w:rsid w:val="5A8A6B27"/>
    <w:rsid w:val="5A8B5169"/>
    <w:rsid w:val="5A8E07B6"/>
    <w:rsid w:val="5A8E2EAB"/>
    <w:rsid w:val="5A8F0385"/>
    <w:rsid w:val="5A934AE8"/>
    <w:rsid w:val="5AA4622B"/>
    <w:rsid w:val="5AA85FA7"/>
    <w:rsid w:val="5AA91A93"/>
    <w:rsid w:val="5AAD1584"/>
    <w:rsid w:val="5AB32912"/>
    <w:rsid w:val="5AB50438"/>
    <w:rsid w:val="5AB741B0"/>
    <w:rsid w:val="5ABA5A4E"/>
    <w:rsid w:val="5ABE2233"/>
    <w:rsid w:val="5ABE7E1B"/>
    <w:rsid w:val="5AC01C3D"/>
    <w:rsid w:val="5AC42429"/>
    <w:rsid w:val="5AC46799"/>
    <w:rsid w:val="5ACB69B9"/>
    <w:rsid w:val="5ACD7D4A"/>
    <w:rsid w:val="5ACF7B3C"/>
    <w:rsid w:val="5AD05272"/>
    <w:rsid w:val="5AD20FEA"/>
    <w:rsid w:val="5ADC4F12"/>
    <w:rsid w:val="5ADC59C5"/>
    <w:rsid w:val="5ADC5E19"/>
    <w:rsid w:val="5AE04F4C"/>
    <w:rsid w:val="5AF06C4D"/>
    <w:rsid w:val="5AF276C4"/>
    <w:rsid w:val="5AF30F60"/>
    <w:rsid w:val="5AF326CD"/>
    <w:rsid w:val="5AF34ABD"/>
    <w:rsid w:val="5AF54A8A"/>
    <w:rsid w:val="5AF56A87"/>
    <w:rsid w:val="5AF745AD"/>
    <w:rsid w:val="5AFC7E15"/>
    <w:rsid w:val="5AFE1C82"/>
    <w:rsid w:val="5AFF7905"/>
    <w:rsid w:val="5B0171D9"/>
    <w:rsid w:val="5B022F52"/>
    <w:rsid w:val="5B04316E"/>
    <w:rsid w:val="5B062A42"/>
    <w:rsid w:val="5B0827D1"/>
    <w:rsid w:val="5B0942E0"/>
    <w:rsid w:val="5B0A0784"/>
    <w:rsid w:val="5B0D5130"/>
    <w:rsid w:val="5B0F5D9A"/>
    <w:rsid w:val="5B1213E7"/>
    <w:rsid w:val="5B1651F0"/>
    <w:rsid w:val="5B172EA1"/>
    <w:rsid w:val="5B1C04B7"/>
    <w:rsid w:val="5B286E5C"/>
    <w:rsid w:val="5B287B9E"/>
    <w:rsid w:val="5B2B5093"/>
    <w:rsid w:val="5B2D4026"/>
    <w:rsid w:val="5B3255E5"/>
    <w:rsid w:val="5B343536"/>
    <w:rsid w:val="5B3524F6"/>
    <w:rsid w:val="5B355BAF"/>
    <w:rsid w:val="5B373C33"/>
    <w:rsid w:val="5B394BC5"/>
    <w:rsid w:val="5B3A2569"/>
    <w:rsid w:val="5B3A26EB"/>
    <w:rsid w:val="5B3F38F0"/>
    <w:rsid w:val="5B44356A"/>
    <w:rsid w:val="5B465534"/>
    <w:rsid w:val="5B4672E2"/>
    <w:rsid w:val="5B474DD8"/>
    <w:rsid w:val="5B53012E"/>
    <w:rsid w:val="5B5639C9"/>
    <w:rsid w:val="5B5E178C"/>
    <w:rsid w:val="5B5F1D05"/>
    <w:rsid w:val="5B62077E"/>
    <w:rsid w:val="5B631C42"/>
    <w:rsid w:val="5B637E94"/>
    <w:rsid w:val="5B6559BA"/>
    <w:rsid w:val="5B6854AA"/>
    <w:rsid w:val="5B715EBD"/>
    <w:rsid w:val="5B733E48"/>
    <w:rsid w:val="5B74055E"/>
    <w:rsid w:val="5B743E4F"/>
    <w:rsid w:val="5B745BFD"/>
    <w:rsid w:val="5B77068B"/>
    <w:rsid w:val="5B7976B8"/>
    <w:rsid w:val="5B7B5AF5"/>
    <w:rsid w:val="5B7F32C0"/>
    <w:rsid w:val="5B81031A"/>
    <w:rsid w:val="5B8125D8"/>
    <w:rsid w:val="5B812656"/>
    <w:rsid w:val="5B841BB9"/>
    <w:rsid w:val="5B85605C"/>
    <w:rsid w:val="5B8B37BD"/>
    <w:rsid w:val="5B8F2A37"/>
    <w:rsid w:val="5B916CE6"/>
    <w:rsid w:val="5B961E3B"/>
    <w:rsid w:val="5B9F0AF4"/>
    <w:rsid w:val="5BA74A5A"/>
    <w:rsid w:val="5BA7648B"/>
    <w:rsid w:val="5BAF4E87"/>
    <w:rsid w:val="5BAF6C35"/>
    <w:rsid w:val="5BB62C85"/>
    <w:rsid w:val="5BB97AB4"/>
    <w:rsid w:val="5BBE767B"/>
    <w:rsid w:val="5BC17A4E"/>
    <w:rsid w:val="5BC32306"/>
    <w:rsid w:val="5BC528FD"/>
    <w:rsid w:val="5BC546AB"/>
    <w:rsid w:val="5BC56459"/>
    <w:rsid w:val="5BC70423"/>
    <w:rsid w:val="5BC85F49"/>
    <w:rsid w:val="5BC94BEF"/>
    <w:rsid w:val="5BCA1926"/>
    <w:rsid w:val="5BD12AD4"/>
    <w:rsid w:val="5BD42B40"/>
    <w:rsid w:val="5BD55A52"/>
    <w:rsid w:val="5BD86D8C"/>
    <w:rsid w:val="5BD90156"/>
    <w:rsid w:val="5BDB3ECE"/>
    <w:rsid w:val="5BDB5443"/>
    <w:rsid w:val="5BDB79E6"/>
    <w:rsid w:val="5BDD7C46"/>
    <w:rsid w:val="5BDF5D95"/>
    <w:rsid w:val="5BE2700B"/>
    <w:rsid w:val="5BE54D4D"/>
    <w:rsid w:val="5BE5543D"/>
    <w:rsid w:val="5BE64117"/>
    <w:rsid w:val="5BE663CF"/>
    <w:rsid w:val="5BE80399"/>
    <w:rsid w:val="5BF154A0"/>
    <w:rsid w:val="5BF46D3E"/>
    <w:rsid w:val="5BF6345A"/>
    <w:rsid w:val="5BF64864"/>
    <w:rsid w:val="5BFC5BF3"/>
    <w:rsid w:val="5BFD2097"/>
    <w:rsid w:val="5BFD32B2"/>
    <w:rsid w:val="5BFE7528"/>
    <w:rsid w:val="5C036210"/>
    <w:rsid w:val="5C0A1DD1"/>
    <w:rsid w:val="5C0D1BAE"/>
    <w:rsid w:val="5C0E6052"/>
    <w:rsid w:val="5C0F1033"/>
    <w:rsid w:val="5C103962"/>
    <w:rsid w:val="5C152EF2"/>
    <w:rsid w:val="5C1A3D31"/>
    <w:rsid w:val="5C1E200D"/>
    <w:rsid w:val="5C230EA5"/>
    <w:rsid w:val="5C2359AD"/>
    <w:rsid w:val="5C2B0143"/>
    <w:rsid w:val="5C390BF5"/>
    <w:rsid w:val="5C3B2BBF"/>
    <w:rsid w:val="5C3F26AF"/>
    <w:rsid w:val="5C431E33"/>
    <w:rsid w:val="5C4336A2"/>
    <w:rsid w:val="5C4708E2"/>
    <w:rsid w:val="5C4B5C8F"/>
    <w:rsid w:val="5C50666A"/>
    <w:rsid w:val="5C5617A7"/>
    <w:rsid w:val="5C563555"/>
    <w:rsid w:val="5C584D8E"/>
    <w:rsid w:val="5C5872CD"/>
    <w:rsid w:val="5C5D0D87"/>
    <w:rsid w:val="5C5F523E"/>
    <w:rsid w:val="5C606182"/>
    <w:rsid w:val="5C60623A"/>
    <w:rsid w:val="5C621EFA"/>
    <w:rsid w:val="5C64301A"/>
    <w:rsid w:val="5C643EC4"/>
    <w:rsid w:val="5C665027"/>
    <w:rsid w:val="5C6739B4"/>
    <w:rsid w:val="5C675762"/>
    <w:rsid w:val="5C6A0DAE"/>
    <w:rsid w:val="5C6B0270"/>
    <w:rsid w:val="5C744E01"/>
    <w:rsid w:val="5C785019"/>
    <w:rsid w:val="5C797243"/>
    <w:rsid w:val="5C7A5495"/>
    <w:rsid w:val="5C7E485A"/>
    <w:rsid w:val="5C877749"/>
    <w:rsid w:val="5C8835A6"/>
    <w:rsid w:val="5C8C51C9"/>
    <w:rsid w:val="5C8C6A72"/>
    <w:rsid w:val="5C9022BC"/>
    <w:rsid w:val="5C9347A9"/>
    <w:rsid w:val="5C9522CF"/>
    <w:rsid w:val="5C961BA3"/>
    <w:rsid w:val="5C983B6D"/>
    <w:rsid w:val="5C995A60"/>
    <w:rsid w:val="5C9C2AF0"/>
    <w:rsid w:val="5CA32899"/>
    <w:rsid w:val="5CA50038"/>
    <w:rsid w:val="5CA95D7B"/>
    <w:rsid w:val="5CAA7F35"/>
    <w:rsid w:val="5CAC13C7"/>
    <w:rsid w:val="5CAC7619"/>
    <w:rsid w:val="5CAF441C"/>
    <w:rsid w:val="5CB309A7"/>
    <w:rsid w:val="5CB84210"/>
    <w:rsid w:val="5CB87D6C"/>
    <w:rsid w:val="5CB97774"/>
    <w:rsid w:val="5CBC55B5"/>
    <w:rsid w:val="5CBC7B63"/>
    <w:rsid w:val="5CBD1826"/>
    <w:rsid w:val="5CC206EC"/>
    <w:rsid w:val="5CC76345"/>
    <w:rsid w:val="5CC91F79"/>
    <w:rsid w:val="5CCF29EE"/>
    <w:rsid w:val="5CD03A30"/>
    <w:rsid w:val="5CD252D1"/>
    <w:rsid w:val="5CD31049"/>
    <w:rsid w:val="5CD32EEC"/>
    <w:rsid w:val="5CD437AF"/>
    <w:rsid w:val="5CD64696"/>
    <w:rsid w:val="5CD92E88"/>
    <w:rsid w:val="5CDA4186"/>
    <w:rsid w:val="5CE15514"/>
    <w:rsid w:val="5CE655CD"/>
    <w:rsid w:val="5CF35248"/>
    <w:rsid w:val="5CF44C91"/>
    <w:rsid w:val="5CF52AD3"/>
    <w:rsid w:val="5CF55A11"/>
    <w:rsid w:val="5CF82FF0"/>
    <w:rsid w:val="5CF946F9"/>
    <w:rsid w:val="5CFE60C6"/>
    <w:rsid w:val="5CFF1E3E"/>
    <w:rsid w:val="5D0134C1"/>
    <w:rsid w:val="5D02548B"/>
    <w:rsid w:val="5D056A50"/>
    <w:rsid w:val="5D07484F"/>
    <w:rsid w:val="5D080CF3"/>
    <w:rsid w:val="5D0905C7"/>
    <w:rsid w:val="5D094A6B"/>
    <w:rsid w:val="5D0B71E5"/>
    <w:rsid w:val="5D0D455B"/>
    <w:rsid w:val="5D0D6309"/>
    <w:rsid w:val="5D0E3E30"/>
    <w:rsid w:val="5D131446"/>
    <w:rsid w:val="5D137698"/>
    <w:rsid w:val="5D183409"/>
    <w:rsid w:val="5D19769B"/>
    <w:rsid w:val="5D1C04EB"/>
    <w:rsid w:val="5D2109E2"/>
    <w:rsid w:val="5D26561D"/>
    <w:rsid w:val="5D2B7A1F"/>
    <w:rsid w:val="5D2C552D"/>
    <w:rsid w:val="5D3046F0"/>
    <w:rsid w:val="5D320DA7"/>
    <w:rsid w:val="5D36018C"/>
    <w:rsid w:val="5D3E5E5C"/>
    <w:rsid w:val="5D3F6F7E"/>
    <w:rsid w:val="5D40331D"/>
    <w:rsid w:val="5D485594"/>
    <w:rsid w:val="5D4A130C"/>
    <w:rsid w:val="5D4D6706"/>
    <w:rsid w:val="5D4D7C59"/>
    <w:rsid w:val="5D543F38"/>
    <w:rsid w:val="5D55380D"/>
    <w:rsid w:val="5D573851"/>
    <w:rsid w:val="5D59154F"/>
    <w:rsid w:val="5D5977A1"/>
    <w:rsid w:val="5D621A24"/>
    <w:rsid w:val="5D63417B"/>
    <w:rsid w:val="5D6879E4"/>
    <w:rsid w:val="5D69080D"/>
    <w:rsid w:val="5D69191D"/>
    <w:rsid w:val="5D6972B8"/>
    <w:rsid w:val="5D6B1282"/>
    <w:rsid w:val="5D6D6DA8"/>
    <w:rsid w:val="5D706898"/>
    <w:rsid w:val="5D742CC5"/>
    <w:rsid w:val="5D746389"/>
    <w:rsid w:val="5D7673E3"/>
    <w:rsid w:val="5D77019C"/>
    <w:rsid w:val="5D772EA3"/>
    <w:rsid w:val="5D777C27"/>
    <w:rsid w:val="5D79399F"/>
    <w:rsid w:val="5D7C5EAE"/>
    <w:rsid w:val="5D7E7207"/>
    <w:rsid w:val="5D814602"/>
    <w:rsid w:val="5D83037A"/>
    <w:rsid w:val="5D83481E"/>
    <w:rsid w:val="5D845EA0"/>
    <w:rsid w:val="5D850596"/>
    <w:rsid w:val="5D85547F"/>
    <w:rsid w:val="5D8774BB"/>
    <w:rsid w:val="5D900CE9"/>
    <w:rsid w:val="5D971FC5"/>
    <w:rsid w:val="5D972077"/>
    <w:rsid w:val="5D9B72D3"/>
    <w:rsid w:val="5DA16A52"/>
    <w:rsid w:val="5DA2346C"/>
    <w:rsid w:val="5DA87DE0"/>
    <w:rsid w:val="5DAA5787"/>
    <w:rsid w:val="5DAD53F7"/>
    <w:rsid w:val="5DAE6D52"/>
    <w:rsid w:val="5DB14F7B"/>
    <w:rsid w:val="5DB2073C"/>
    <w:rsid w:val="5DB31E9B"/>
    <w:rsid w:val="5DB3780B"/>
    <w:rsid w:val="5DB90A1A"/>
    <w:rsid w:val="5DC00F91"/>
    <w:rsid w:val="5DC170F4"/>
    <w:rsid w:val="5DC215A6"/>
    <w:rsid w:val="5DC310BE"/>
    <w:rsid w:val="5DC55B33"/>
    <w:rsid w:val="5DC6470A"/>
    <w:rsid w:val="5DC926EA"/>
    <w:rsid w:val="5DD15589"/>
    <w:rsid w:val="5DD651EE"/>
    <w:rsid w:val="5DDB01B6"/>
    <w:rsid w:val="5DDE1552"/>
    <w:rsid w:val="5DDE7CA6"/>
    <w:rsid w:val="5DDF66DA"/>
    <w:rsid w:val="5DE03A1E"/>
    <w:rsid w:val="5DE0757A"/>
    <w:rsid w:val="5DEA301A"/>
    <w:rsid w:val="5DED613B"/>
    <w:rsid w:val="5DF11787"/>
    <w:rsid w:val="5DF14932"/>
    <w:rsid w:val="5DFA32E2"/>
    <w:rsid w:val="5DFA38AA"/>
    <w:rsid w:val="5DFB43B4"/>
    <w:rsid w:val="5DFD1EE2"/>
    <w:rsid w:val="5DFD637E"/>
    <w:rsid w:val="5DFD7355"/>
    <w:rsid w:val="5E005E6E"/>
    <w:rsid w:val="5E0064CD"/>
    <w:rsid w:val="5E0314BA"/>
    <w:rsid w:val="5E03770C"/>
    <w:rsid w:val="5E0453D0"/>
    <w:rsid w:val="5E055233"/>
    <w:rsid w:val="5E086AD1"/>
    <w:rsid w:val="5E0A7B65"/>
    <w:rsid w:val="5E0D2339"/>
    <w:rsid w:val="5E0D665D"/>
    <w:rsid w:val="5E113BD7"/>
    <w:rsid w:val="5E122A99"/>
    <w:rsid w:val="5E145476"/>
    <w:rsid w:val="5E196812"/>
    <w:rsid w:val="5E1E00A2"/>
    <w:rsid w:val="5E2467F1"/>
    <w:rsid w:val="5E2A2EEB"/>
    <w:rsid w:val="5E301D82"/>
    <w:rsid w:val="5E343D6A"/>
    <w:rsid w:val="5E36057A"/>
    <w:rsid w:val="5E37325F"/>
    <w:rsid w:val="5E385608"/>
    <w:rsid w:val="5E3B3CA9"/>
    <w:rsid w:val="5E3C677A"/>
    <w:rsid w:val="5E412B34"/>
    <w:rsid w:val="5E413290"/>
    <w:rsid w:val="5E420235"/>
    <w:rsid w:val="5E4E5793"/>
    <w:rsid w:val="5E4E6BDA"/>
    <w:rsid w:val="5E4F2952"/>
    <w:rsid w:val="5E52288E"/>
    <w:rsid w:val="5E547F68"/>
    <w:rsid w:val="5E624433"/>
    <w:rsid w:val="5E6261E1"/>
    <w:rsid w:val="5E626E75"/>
    <w:rsid w:val="5E6301AB"/>
    <w:rsid w:val="5E6703CC"/>
    <w:rsid w:val="5E68756F"/>
    <w:rsid w:val="5E6C37D3"/>
    <w:rsid w:val="5E6E102A"/>
    <w:rsid w:val="5E6F6B50"/>
    <w:rsid w:val="5E7333A8"/>
    <w:rsid w:val="5E744166"/>
    <w:rsid w:val="5E761C8C"/>
    <w:rsid w:val="5E785A05"/>
    <w:rsid w:val="5E826883"/>
    <w:rsid w:val="5E856373"/>
    <w:rsid w:val="5E867220"/>
    <w:rsid w:val="5E897C12"/>
    <w:rsid w:val="5E8A732C"/>
    <w:rsid w:val="5E8C32A6"/>
    <w:rsid w:val="5E91621B"/>
    <w:rsid w:val="5E951372"/>
    <w:rsid w:val="5E960581"/>
    <w:rsid w:val="5E977899"/>
    <w:rsid w:val="5E9860A7"/>
    <w:rsid w:val="5E9B0352"/>
    <w:rsid w:val="5E9D546B"/>
    <w:rsid w:val="5E9F7435"/>
    <w:rsid w:val="5EA0144F"/>
    <w:rsid w:val="5EA44A4C"/>
    <w:rsid w:val="5EA54320"/>
    <w:rsid w:val="5EAB6706"/>
    <w:rsid w:val="5EAC56AE"/>
    <w:rsid w:val="5EAD68C4"/>
    <w:rsid w:val="5EAF519E"/>
    <w:rsid w:val="5EB36A3D"/>
    <w:rsid w:val="5EB454D9"/>
    <w:rsid w:val="5EB4558F"/>
    <w:rsid w:val="5EB80A85"/>
    <w:rsid w:val="5EB85BAA"/>
    <w:rsid w:val="5EB86749"/>
    <w:rsid w:val="5EBA367D"/>
    <w:rsid w:val="5EBA601D"/>
    <w:rsid w:val="5EBC0655"/>
    <w:rsid w:val="5EBD5B0D"/>
    <w:rsid w:val="5EC00143"/>
    <w:rsid w:val="5EC133FC"/>
    <w:rsid w:val="5EC44B06"/>
    <w:rsid w:val="5EC73F4C"/>
    <w:rsid w:val="5EC925A8"/>
    <w:rsid w:val="5ED115B9"/>
    <w:rsid w:val="5ED546FB"/>
    <w:rsid w:val="5ED8382B"/>
    <w:rsid w:val="5EDD7F5D"/>
    <w:rsid w:val="5EE44E48"/>
    <w:rsid w:val="5EE80A93"/>
    <w:rsid w:val="5EEB1A00"/>
    <w:rsid w:val="5EF26E43"/>
    <w:rsid w:val="5EFA1CF9"/>
    <w:rsid w:val="5EFD23AE"/>
    <w:rsid w:val="5EFF3BB3"/>
    <w:rsid w:val="5F0333E3"/>
    <w:rsid w:val="5F0720F8"/>
    <w:rsid w:val="5F0A0E0B"/>
    <w:rsid w:val="5F0B0627"/>
    <w:rsid w:val="5F0B6879"/>
    <w:rsid w:val="5F0C25F1"/>
    <w:rsid w:val="5F0E45BB"/>
    <w:rsid w:val="5F125E59"/>
    <w:rsid w:val="5F136BC2"/>
    <w:rsid w:val="5F15360C"/>
    <w:rsid w:val="5F180F96"/>
    <w:rsid w:val="5F182D44"/>
    <w:rsid w:val="5F1871E8"/>
    <w:rsid w:val="5F192253"/>
    <w:rsid w:val="5F1A2B43"/>
    <w:rsid w:val="5F1A2F60"/>
    <w:rsid w:val="5F1E1F19"/>
    <w:rsid w:val="5F201AAD"/>
    <w:rsid w:val="5F21609C"/>
    <w:rsid w:val="5F221E14"/>
    <w:rsid w:val="5F245B8C"/>
    <w:rsid w:val="5F2A273D"/>
    <w:rsid w:val="5F2E07B9"/>
    <w:rsid w:val="5F3202A9"/>
    <w:rsid w:val="5F322057"/>
    <w:rsid w:val="5F334021"/>
    <w:rsid w:val="5F337B7D"/>
    <w:rsid w:val="5F344AD7"/>
    <w:rsid w:val="5F3C5F70"/>
    <w:rsid w:val="5F3D27AA"/>
    <w:rsid w:val="5F3F07F3"/>
    <w:rsid w:val="5F3F5DA4"/>
    <w:rsid w:val="5F426012"/>
    <w:rsid w:val="5F447FDD"/>
    <w:rsid w:val="5F476710"/>
    <w:rsid w:val="5F4973A1"/>
    <w:rsid w:val="5F4D4C3A"/>
    <w:rsid w:val="5F506981"/>
    <w:rsid w:val="5F557AF4"/>
    <w:rsid w:val="5F585836"/>
    <w:rsid w:val="5F594CBD"/>
    <w:rsid w:val="5F5D2E4C"/>
    <w:rsid w:val="5F5F72D5"/>
    <w:rsid w:val="5F622211"/>
    <w:rsid w:val="5F6366B5"/>
    <w:rsid w:val="5F65716A"/>
    <w:rsid w:val="5F661190"/>
    <w:rsid w:val="5F681F1D"/>
    <w:rsid w:val="5F684266"/>
    <w:rsid w:val="5F695419"/>
    <w:rsid w:val="5F6E0BB6"/>
    <w:rsid w:val="5F77055C"/>
    <w:rsid w:val="5F772160"/>
    <w:rsid w:val="5F7C4381"/>
    <w:rsid w:val="5F7C510F"/>
    <w:rsid w:val="5F815D2A"/>
    <w:rsid w:val="5F8328B3"/>
    <w:rsid w:val="5F85487D"/>
    <w:rsid w:val="5F860448"/>
    <w:rsid w:val="5F8960B6"/>
    <w:rsid w:val="5F8A1207"/>
    <w:rsid w:val="5F920D48"/>
    <w:rsid w:val="5F921CDC"/>
    <w:rsid w:val="5F961BF6"/>
    <w:rsid w:val="5F980362"/>
    <w:rsid w:val="5F98625E"/>
    <w:rsid w:val="5F992C3D"/>
    <w:rsid w:val="5F9F1AF5"/>
    <w:rsid w:val="5FA1767C"/>
    <w:rsid w:val="5FA33338"/>
    <w:rsid w:val="5FA832B9"/>
    <w:rsid w:val="5FAB1C81"/>
    <w:rsid w:val="5FAE637E"/>
    <w:rsid w:val="5FAF1AEE"/>
    <w:rsid w:val="5FB24F46"/>
    <w:rsid w:val="5FB36828"/>
    <w:rsid w:val="5FB837BB"/>
    <w:rsid w:val="5FBA32E5"/>
    <w:rsid w:val="5FBD1472"/>
    <w:rsid w:val="5FBF1411"/>
    <w:rsid w:val="5FC833BC"/>
    <w:rsid w:val="5FC8476A"/>
    <w:rsid w:val="5FCD546F"/>
    <w:rsid w:val="5FCF5AF8"/>
    <w:rsid w:val="5FD01870"/>
    <w:rsid w:val="5FD16B14"/>
    <w:rsid w:val="5FD3636E"/>
    <w:rsid w:val="5FD838E2"/>
    <w:rsid w:val="5FDA4335"/>
    <w:rsid w:val="5FDA7355"/>
    <w:rsid w:val="5FDB26EF"/>
    <w:rsid w:val="5FDC6467"/>
    <w:rsid w:val="5FE01AB3"/>
    <w:rsid w:val="5FE33352"/>
    <w:rsid w:val="5FE570CA"/>
    <w:rsid w:val="5FE62E42"/>
    <w:rsid w:val="5FEB0458"/>
    <w:rsid w:val="5FEB0FA6"/>
    <w:rsid w:val="5FEF711E"/>
    <w:rsid w:val="5FF23595"/>
    <w:rsid w:val="5FF437B1"/>
    <w:rsid w:val="5FF735A4"/>
    <w:rsid w:val="5FF84F72"/>
    <w:rsid w:val="5FFC2665"/>
    <w:rsid w:val="5FFE018B"/>
    <w:rsid w:val="5FFF5CB2"/>
    <w:rsid w:val="60002155"/>
    <w:rsid w:val="60067040"/>
    <w:rsid w:val="60085BF5"/>
    <w:rsid w:val="60114363"/>
    <w:rsid w:val="6013108D"/>
    <w:rsid w:val="60131F0B"/>
    <w:rsid w:val="601879B6"/>
    <w:rsid w:val="601C3253"/>
    <w:rsid w:val="601E0862"/>
    <w:rsid w:val="602C4CF9"/>
    <w:rsid w:val="602F6597"/>
    <w:rsid w:val="603040BD"/>
    <w:rsid w:val="603242D9"/>
    <w:rsid w:val="60326087"/>
    <w:rsid w:val="60365B77"/>
    <w:rsid w:val="60367925"/>
    <w:rsid w:val="6037369D"/>
    <w:rsid w:val="6037544B"/>
    <w:rsid w:val="603D6F06"/>
    <w:rsid w:val="60402552"/>
    <w:rsid w:val="60454C3A"/>
    <w:rsid w:val="604638E0"/>
    <w:rsid w:val="604D4C6F"/>
    <w:rsid w:val="6051650D"/>
    <w:rsid w:val="60522285"/>
    <w:rsid w:val="605424A1"/>
    <w:rsid w:val="6054278F"/>
    <w:rsid w:val="605B738C"/>
    <w:rsid w:val="605E50CE"/>
    <w:rsid w:val="605E5565"/>
    <w:rsid w:val="605E571B"/>
    <w:rsid w:val="605F38FD"/>
    <w:rsid w:val="6062696C"/>
    <w:rsid w:val="60670323"/>
    <w:rsid w:val="606771A0"/>
    <w:rsid w:val="60691FD2"/>
    <w:rsid w:val="606A5821"/>
    <w:rsid w:val="606E5E7E"/>
    <w:rsid w:val="606F4BE5"/>
    <w:rsid w:val="6077540C"/>
    <w:rsid w:val="60797019"/>
    <w:rsid w:val="607D37A6"/>
    <w:rsid w:val="607E307A"/>
    <w:rsid w:val="608179A6"/>
    <w:rsid w:val="608368E3"/>
    <w:rsid w:val="608508AD"/>
    <w:rsid w:val="60885CA7"/>
    <w:rsid w:val="608D150F"/>
    <w:rsid w:val="60912DAE"/>
    <w:rsid w:val="60964636"/>
    <w:rsid w:val="6098238E"/>
    <w:rsid w:val="60995B36"/>
    <w:rsid w:val="609B59DA"/>
    <w:rsid w:val="60A10E8C"/>
    <w:rsid w:val="60A32AE1"/>
    <w:rsid w:val="60A52CFD"/>
    <w:rsid w:val="60A56859"/>
    <w:rsid w:val="60A76A75"/>
    <w:rsid w:val="60AB6F25"/>
    <w:rsid w:val="60AF76D8"/>
    <w:rsid w:val="60B151FE"/>
    <w:rsid w:val="60B51AEB"/>
    <w:rsid w:val="60BD35DF"/>
    <w:rsid w:val="60C05441"/>
    <w:rsid w:val="60C211B9"/>
    <w:rsid w:val="60C63B32"/>
    <w:rsid w:val="60C90799"/>
    <w:rsid w:val="60CA19D8"/>
    <w:rsid w:val="60CC405A"/>
    <w:rsid w:val="60CE5DB0"/>
    <w:rsid w:val="60CF7EEB"/>
    <w:rsid w:val="60D33FA2"/>
    <w:rsid w:val="60D40EEC"/>
    <w:rsid w:val="60D80770"/>
    <w:rsid w:val="60DA29A7"/>
    <w:rsid w:val="60DF2A40"/>
    <w:rsid w:val="60E07891"/>
    <w:rsid w:val="60E4432C"/>
    <w:rsid w:val="60E94998"/>
    <w:rsid w:val="60EE6452"/>
    <w:rsid w:val="60EF4C1A"/>
    <w:rsid w:val="60EF513B"/>
    <w:rsid w:val="60F31CBA"/>
    <w:rsid w:val="60F44AF8"/>
    <w:rsid w:val="60FA6BA5"/>
    <w:rsid w:val="60FC5A2B"/>
    <w:rsid w:val="60FD0AE2"/>
    <w:rsid w:val="60FD6695"/>
    <w:rsid w:val="60FF240D"/>
    <w:rsid w:val="610037FD"/>
    <w:rsid w:val="61020388"/>
    <w:rsid w:val="610B0DB2"/>
    <w:rsid w:val="610E08A2"/>
    <w:rsid w:val="610E1977"/>
    <w:rsid w:val="61120392"/>
    <w:rsid w:val="61121104"/>
    <w:rsid w:val="6115578D"/>
    <w:rsid w:val="611D4629"/>
    <w:rsid w:val="611F236E"/>
    <w:rsid w:val="612105D5"/>
    <w:rsid w:val="61232C56"/>
    <w:rsid w:val="612D0E88"/>
    <w:rsid w:val="612E3591"/>
    <w:rsid w:val="612F0CAE"/>
    <w:rsid w:val="6131159B"/>
    <w:rsid w:val="613320B7"/>
    <w:rsid w:val="6138591F"/>
    <w:rsid w:val="613A2661"/>
    <w:rsid w:val="613A51F3"/>
    <w:rsid w:val="613C71BD"/>
    <w:rsid w:val="613E32FA"/>
    <w:rsid w:val="613F1AF9"/>
    <w:rsid w:val="613F280A"/>
    <w:rsid w:val="614147D4"/>
    <w:rsid w:val="61422372"/>
    <w:rsid w:val="6144523A"/>
    <w:rsid w:val="61475B62"/>
    <w:rsid w:val="614909B6"/>
    <w:rsid w:val="61533EBB"/>
    <w:rsid w:val="61572249"/>
    <w:rsid w:val="615A5895"/>
    <w:rsid w:val="615A7954"/>
    <w:rsid w:val="615D0EE2"/>
    <w:rsid w:val="616379EA"/>
    <w:rsid w:val="61642270"/>
    <w:rsid w:val="61646DB2"/>
    <w:rsid w:val="61657B33"/>
    <w:rsid w:val="61677945"/>
    <w:rsid w:val="61693C9A"/>
    <w:rsid w:val="616E7593"/>
    <w:rsid w:val="617050B9"/>
    <w:rsid w:val="61706E67"/>
    <w:rsid w:val="617304B8"/>
    <w:rsid w:val="61734BA9"/>
    <w:rsid w:val="617525BE"/>
    <w:rsid w:val="61783F6D"/>
    <w:rsid w:val="617B4671"/>
    <w:rsid w:val="617C4908"/>
    <w:rsid w:val="617D1584"/>
    <w:rsid w:val="6182125E"/>
    <w:rsid w:val="6184468A"/>
    <w:rsid w:val="61883485"/>
    <w:rsid w:val="618B1EF3"/>
    <w:rsid w:val="618B5A4F"/>
    <w:rsid w:val="61923281"/>
    <w:rsid w:val="619244A7"/>
    <w:rsid w:val="619568CD"/>
    <w:rsid w:val="61967E27"/>
    <w:rsid w:val="61970A52"/>
    <w:rsid w:val="619C1A0A"/>
    <w:rsid w:val="61A067CD"/>
    <w:rsid w:val="61A161B8"/>
    <w:rsid w:val="61A23C3A"/>
    <w:rsid w:val="61AA6E6F"/>
    <w:rsid w:val="61B2747F"/>
    <w:rsid w:val="61B41226"/>
    <w:rsid w:val="61B50D1E"/>
    <w:rsid w:val="61B76844"/>
    <w:rsid w:val="61BA6334"/>
    <w:rsid w:val="61BC4013"/>
    <w:rsid w:val="61C3168D"/>
    <w:rsid w:val="61C40F61"/>
    <w:rsid w:val="61CE3CBA"/>
    <w:rsid w:val="61D75138"/>
    <w:rsid w:val="61D902B3"/>
    <w:rsid w:val="61DC62AA"/>
    <w:rsid w:val="61E0688E"/>
    <w:rsid w:val="61E215D8"/>
    <w:rsid w:val="61E6537B"/>
    <w:rsid w:val="61EA4E6B"/>
    <w:rsid w:val="61EC428A"/>
    <w:rsid w:val="61EF2482"/>
    <w:rsid w:val="61F35FC3"/>
    <w:rsid w:val="61F50987"/>
    <w:rsid w:val="61FB33CF"/>
    <w:rsid w:val="61FF043B"/>
    <w:rsid w:val="620102BC"/>
    <w:rsid w:val="62055A75"/>
    <w:rsid w:val="62060558"/>
    <w:rsid w:val="620D46B6"/>
    <w:rsid w:val="620F48D2"/>
    <w:rsid w:val="62145A44"/>
    <w:rsid w:val="621719D8"/>
    <w:rsid w:val="6218215D"/>
    <w:rsid w:val="621912AD"/>
    <w:rsid w:val="621A5025"/>
    <w:rsid w:val="621B3775"/>
    <w:rsid w:val="621E2D67"/>
    <w:rsid w:val="621F4188"/>
    <w:rsid w:val="62205618"/>
    <w:rsid w:val="62206160"/>
    <w:rsid w:val="62206ADF"/>
    <w:rsid w:val="62243898"/>
    <w:rsid w:val="62290BDA"/>
    <w:rsid w:val="6229697B"/>
    <w:rsid w:val="622B7232"/>
    <w:rsid w:val="622C2854"/>
    <w:rsid w:val="622C5484"/>
    <w:rsid w:val="62300FDA"/>
    <w:rsid w:val="62310865"/>
    <w:rsid w:val="62347E94"/>
    <w:rsid w:val="62364782"/>
    <w:rsid w:val="623C1D4D"/>
    <w:rsid w:val="623D684E"/>
    <w:rsid w:val="623F14B6"/>
    <w:rsid w:val="62402CDD"/>
    <w:rsid w:val="62426A55"/>
    <w:rsid w:val="6245420A"/>
    <w:rsid w:val="62463C94"/>
    <w:rsid w:val="6246445C"/>
    <w:rsid w:val="62492730"/>
    <w:rsid w:val="624A2032"/>
    <w:rsid w:val="624C78D4"/>
    <w:rsid w:val="624D27B1"/>
    <w:rsid w:val="624F1172"/>
    <w:rsid w:val="6252656D"/>
    <w:rsid w:val="625B0972"/>
    <w:rsid w:val="625B7B17"/>
    <w:rsid w:val="625E3163"/>
    <w:rsid w:val="626D15F8"/>
    <w:rsid w:val="62767339"/>
    <w:rsid w:val="627B1F67"/>
    <w:rsid w:val="627C183B"/>
    <w:rsid w:val="627F6C32"/>
    <w:rsid w:val="62826B2B"/>
    <w:rsid w:val="62875C56"/>
    <w:rsid w:val="628A21AA"/>
    <w:rsid w:val="628E1C9B"/>
    <w:rsid w:val="628F0475"/>
    <w:rsid w:val="628F77C1"/>
    <w:rsid w:val="62944C7E"/>
    <w:rsid w:val="629B43B7"/>
    <w:rsid w:val="629D6575"/>
    <w:rsid w:val="62A36DC8"/>
    <w:rsid w:val="62A46B26"/>
    <w:rsid w:val="62A9666D"/>
    <w:rsid w:val="62AA45FB"/>
    <w:rsid w:val="62B222E6"/>
    <w:rsid w:val="62B60AC0"/>
    <w:rsid w:val="62C27B96"/>
    <w:rsid w:val="62C3746A"/>
    <w:rsid w:val="62C470A3"/>
    <w:rsid w:val="62C54F90"/>
    <w:rsid w:val="62CC761B"/>
    <w:rsid w:val="62CF1D8D"/>
    <w:rsid w:val="62D86A66"/>
    <w:rsid w:val="62DD052C"/>
    <w:rsid w:val="62DE3B28"/>
    <w:rsid w:val="62DE42A4"/>
    <w:rsid w:val="62E23D94"/>
    <w:rsid w:val="62E47B0C"/>
    <w:rsid w:val="62E55633"/>
    <w:rsid w:val="62E95123"/>
    <w:rsid w:val="62EA0E9B"/>
    <w:rsid w:val="62EF64B1"/>
    <w:rsid w:val="62F40043"/>
    <w:rsid w:val="62F72B04"/>
    <w:rsid w:val="62FB09B2"/>
    <w:rsid w:val="62FB5D40"/>
    <w:rsid w:val="62FD1CBD"/>
    <w:rsid w:val="62FD297C"/>
    <w:rsid w:val="62FD43A6"/>
    <w:rsid w:val="62FD472A"/>
    <w:rsid w:val="62FF4946"/>
    <w:rsid w:val="6300421A"/>
    <w:rsid w:val="630759AB"/>
    <w:rsid w:val="63097573"/>
    <w:rsid w:val="630A1E3D"/>
    <w:rsid w:val="630A5BB9"/>
    <w:rsid w:val="63141A74"/>
    <w:rsid w:val="63155F18"/>
    <w:rsid w:val="63161119"/>
    <w:rsid w:val="63164E21"/>
    <w:rsid w:val="6318481E"/>
    <w:rsid w:val="631B1054"/>
    <w:rsid w:val="63247F09"/>
    <w:rsid w:val="632919C3"/>
    <w:rsid w:val="632A05BD"/>
    <w:rsid w:val="63334E9C"/>
    <w:rsid w:val="63393D9B"/>
    <w:rsid w:val="63416D0D"/>
    <w:rsid w:val="634344BD"/>
    <w:rsid w:val="634467FD"/>
    <w:rsid w:val="634560D1"/>
    <w:rsid w:val="634A6574"/>
    <w:rsid w:val="634B5FBF"/>
    <w:rsid w:val="634C2B4E"/>
    <w:rsid w:val="634E2E7F"/>
    <w:rsid w:val="635051A2"/>
    <w:rsid w:val="63562387"/>
    <w:rsid w:val="6356503F"/>
    <w:rsid w:val="6358588A"/>
    <w:rsid w:val="6359330B"/>
    <w:rsid w:val="635D166D"/>
    <w:rsid w:val="63612F0B"/>
    <w:rsid w:val="63640C4D"/>
    <w:rsid w:val="636429FB"/>
    <w:rsid w:val="63660521"/>
    <w:rsid w:val="63686489"/>
    <w:rsid w:val="63694D48"/>
    <w:rsid w:val="636C18B0"/>
    <w:rsid w:val="6372336A"/>
    <w:rsid w:val="637575FD"/>
    <w:rsid w:val="637644DD"/>
    <w:rsid w:val="63780D97"/>
    <w:rsid w:val="63796894"/>
    <w:rsid w:val="637A40EB"/>
    <w:rsid w:val="637B5220"/>
    <w:rsid w:val="637F7835"/>
    <w:rsid w:val="63827325"/>
    <w:rsid w:val="6384309D"/>
    <w:rsid w:val="63861A11"/>
    <w:rsid w:val="63890B31"/>
    <w:rsid w:val="638D663E"/>
    <w:rsid w:val="63911317"/>
    <w:rsid w:val="6394356A"/>
    <w:rsid w:val="639B5C2E"/>
    <w:rsid w:val="639D7CBB"/>
    <w:rsid w:val="639E6557"/>
    <w:rsid w:val="639F3A33"/>
    <w:rsid w:val="63A0772A"/>
    <w:rsid w:val="63A1155A"/>
    <w:rsid w:val="63A20CAD"/>
    <w:rsid w:val="63A454EE"/>
    <w:rsid w:val="63A64DC2"/>
    <w:rsid w:val="63A70EBB"/>
    <w:rsid w:val="63AB687C"/>
    <w:rsid w:val="63AE011A"/>
    <w:rsid w:val="63AE3C76"/>
    <w:rsid w:val="63B05C41"/>
    <w:rsid w:val="63B75221"/>
    <w:rsid w:val="63B958B4"/>
    <w:rsid w:val="63BA086D"/>
    <w:rsid w:val="63C14D8A"/>
    <w:rsid w:val="63C61B2C"/>
    <w:rsid w:val="63C82F8A"/>
    <w:rsid w:val="63C96D02"/>
    <w:rsid w:val="63CC68A3"/>
    <w:rsid w:val="63D01E3F"/>
    <w:rsid w:val="63D23E09"/>
    <w:rsid w:val="63D25BB7"/>
    <w:rsid w:val="63D40BE9"/>
    <w:rsid w:val="63DB4B39"/>
    <w:rsid w:val="63DB6104"/>
    <w:rsid w:val="63DE255A"/>
    <w:rsid w:val="63E1229E"/>
    <w:rsid w:val="63E15DFA"/>
    <w:rsid w:val="63E678B4"/>
    <w:rsid w:val="63E91153"/>
    <w:rsid w:val="63EC3C2E"/>
    <w:rsid w:val="63F0428F"/>
    <w:rsid w:val="63F13D4B"/>
    <w:rsid w:val="63F72048"/>
    <w:rsid w:val="63F7386F"/>
    <w:rsid w:val="63F8035B"/>
    <w:rsid w:val="63F83144"/>
    <w:rsid w:val="63FE69AC"/>
    <w:rsid w:val="63FF1835"/>
    <w:rsid w:val="64027CC5"/>
    <w:rsid w:val="640815D9"/>
    <w:rsid w:val="64095351"/>
    <w:rsid w:val="640B2E77"/>
    <w:rsid w:val="640D3093"/>
    <w:rsid w:val="640D6BEF"/>
    <w:rsid w:val="640F0BB9"/>
    <w:rsid w:val="64102431"/>
    <w:rsid w:val="641036CB"/>
    <w:rsid w:val="641F6922"/>
    <w:rsid w:val="6421351D"/>
    <w:rsid w:val="642360A3"/>
    <w:rsid w:val="6424218B"/>
    <w:rsid w:val="64291B1D"/>
    <w:rsid w:val="64306D81"/>
    <w:rsid w:val="64356146"/>
    <w:rsid w:val="64393E88"/>
    <w:rsid w:val="643C5726"/>
    <w:rsid w:val="6443341F"/>
    <w:rsid w:val="6445029B"/>
    <w:rsid w:val="64460353"/>
    <w:rsid w:val="64502F80"/>
    <w:rsid w:val="64504D2E"/>
    <w:rsid w:val="64540CC2"/>
    <w:rsid w:val="6454481E"/>
    <w:rsid w:val="645C36D2"/>
    <w:rsid w:val="645E09DA"/>
    <w:rsid w:val="64611FD6"/>
    <w:rsid w:val="646215BF"/>
    <w:rsid w:val="64634A61"/>
    <w:rsid w:val="64652E2F"/>
    <w:rsid w:val="64671F23"/>
    <w:rsid w:val="646761C8"/>
    <w:rsid w:val="64680F0F"/>
    <w:rsid w:val="646A03B4"/>
    <w:rsid w:val="646A5DEF"/>
    <w:rsid w:val="646B11DF"/>
    <w:rsid w:val="64744EC0"/>
    <w:rsid w:val="64760C38"/>
    <w:rsid w:val="64766213"/>
    <w:rsid w:val="64782B78"/>
    <w:rsid w:val="647A1DAB"/>
    <w:rsid w:val="647E7AED"/>
    <w:rsid w:val="647F0168"/>
    <w:rsid w:val="648019F7"/>
    <w:rsid w:val="64852C29"/>
    <w:rsid w:val="64872E45"/>
    <w:rsid w:val="648A46E4"/>
    <w:rsid w:val="648F1CFA"/>
    <w:rsid w:val="64925346"/>
    <w:rsid w:val="6493221D"/>
    <w:rsid w:val="649A55A1"/>
    <w:rsid w:val="649B24DD"/>
    <w:rsid w:val="64A01811"/>
    <w:rsid w:val="64A15589"/>
    <w:rsid w:val="64A31746"/>
    <w:rsid w:val="64A323B3"/>
    <w:rsid w:val="64A439A6"/>
    <w:rsid w:val="64A5243A"/>
    <w:rsid w:val="64A67531"/>
    <w:rsid w:val="64AD03D2"/>
    <w:rsid w:val="64B11C70"/>
    <w:rsid w:val="64B14BC2"/>
    <w:rsid w:val="64B21544"/>
    <w:rsid w:val="64B268A0"/>
    <w:rsid w:val="64B81251"/>
    <w:rsid w:val="64B96D77"/>
    <w:rsid w:val="64BA54D1"/>
    <w:rsid w:val="64C51278"/>
    <w:rsid w:val="64C5396E"/>
    <w:rsid w:val="64C612E4"/>
    <w:rsid w:val="64CC5391"/>
    <w:rsid w:val="64CC6AAA"/>
    <w:rsid w:val="64CF20F6"/>
    <w:rsid w:val="64D213A9"/>
    <w:rsid w:val="64D21BE7"/>
    <w:rsid w:val="64D23995"/>
    <w:rsid w:val="64D23DC0"/>
    <w:rsid w:val="64DE6065"/>
    <w:rsid w:val="64E060B2"/>
    <w:rsid w:val="64E13562"/>
    <w:rsid w:val="64E23781"/>
    <w:rsid w:val="64E844C4"/>
    <w:rsid w:val="64EC2CA8"/>
    <w:rsid w:val="64ED07CF"/>
    <w:rsid w:val="64F40B2E"/>
    <w:rsid w:val="64F41B5D"/>
    <w:rsid w:val="64F531DE"/>
    <w:rsid w:val="64F9091E"/>
    <w:rsid w:val="64FD3107"/>
    <w:rsid w:val="64FF1F3E"/>
    <w:rsid w:val="65012FA5"/>
    <w:rsid w:val="65096FE4"/>
    <w:rsid w:val="650C4160"/>
    <w:rsid w:val="65123123"/>
    <w:rsid w:val="65130235"/>
    <w:rsid w:val="651D5558"/>
    <w:rsid w:val="651E3B37"/>
    <w:rsid w:val="6522491C"/>
    <w:rsid w:val="6524387C"/>
    <w:rsid w:val="652E1513"/>
    <w:rsid w:val="6531690D"/>
    <w:rsid w:val="653414D1"/>
    <w:rsid w:val="6535464F"/>
    <w:rsid w:val="65373578"/>
    <w:rsid w:val="65385EEE"/>
    <w:rsid w:val="653A4957"/>
    <w:rsid w:val="653D2B9D"/>
    <w:rsid w:val="653F54CE"/>
    <w:rsid w:val="654228F2"/>
    <w:rsid w:val="6549634D"/>
    <w:rsid w:val="654C3747"/>
    <w:rsid w:val="655645C6"/>
    <w:rsid w:val="65566374"/>
    <w:rsid w:val="655A2308"/>
    <w:rsid w:val="656211BC"/>
    <w:rsid w:val="65621852"/>
    <w:rsid w:val="65640A91"/>
    <w:rsid w:val="65650E44"/>
    <w:rsid w:val="656E190F"/>
    <w:rsid w:val="656E5DB3"/>
    <w:rsid w:val="65744A4C"/>
    <w:rsid w:val="65752381"/>
    <w:rsid w:val="65764C68"/>
    <w:rsid w:val="657809E0"/>
    <w:rsid w:val="657B13F8"/>
    <w:rsid w:val="657B69CF"/>
    <w:rsid w:val="658436C0"/>
    <w:rsid w:val="65883BF7"/>
    <w:rsid w:val="658C7C50"/>
    <w:rsid w:val="659077A3"/>
    <w:rsid w:val="65931884"/>
    <w:rsid w:val="65953340"/>
    <w:rsid w:val="65985567"/>
    <w:rsid w:val="659A2704"/>
    <w:rsid w:val="659A3190"/>
    <w:rsid w:val="659B647C"/>
    <w:rsid w:val="659C46CE"/>
    <w:rsid w:val="65A45331"/>
    <w:rsid w:val="65A672FB"/>
    <w:rsid w:val="65AE7F5E"/>
    <w:rsid w:val="65AF6DA2"/>
    <w:rsid w:val="65B21324"/>
    <w:rsid w:val="65B337C6"/>
    <w:rsid w:val="65B37C6A"/>
    <w:rsid w:val="65B84A0F"/>
    <w:rsid w:val="65BA2DA7"/>
    <w:rsid w:val="65BD63F3"/>
    <w:rsid w:val="65C07C32"/>
    <w:rsid w:val="65C6174B"/>
    <w:rsid w:val="65C634F9"/>
    <w:rsid w:val="65C6799D"/>
    <w:rsid w:val="65C75029"/>
    <w:rsid w:val="65C82D58"/>
    <w:rsid w:val="65CD60CE"/>
    <w:rsid w:val="65CE1B16"/>
    <w:rsid w:val="65D100E1"/>
    <w:rsid w:val="65D21D70"/>
    <w:rsid w:val="65D33849"/>
    <w:rsid w:val="65D57BE0"/>
    <w:rsid w:val="65DD0843"/>
    <w:rsid w:val="65DF0A5F"/>
    <w:rsid w:val="65E120E1"/>
    <w:rsid w:val="65E17927"/>
    <w:rsid w:val="65E87914"/>
    <w:rsid w:val="65E91B04"/>
    <w:rsid w:val="65EC71F6"/>
    <w:rsid w:val="65EE670F"/>
    <w:rsid w:val="65F31E15"/>
    <w:rsid w:val="65FA7647"/>
    <w:rsid w:val="65FF4C5D"/>
    <w:rsid w:val="660147E6"/>
    <w:rsid w:val="66032238"/>
    <w:rsid w:val="660B715E"/>
    <w:rsid w:val="660C6084"/>
    <w:rsid w:val="660D737A"/>
    <w:rsid w:val="66101CBF"/>
    <w:rsid w:val="6610356E"/>
    <w:rsid w:val="6612673F"/>
    <w:rsid w:val="661F70AE"/>
    <w:rsid w:val="662621EA"/>
    <w:rsid w:val="66287D10"/>
    <w:rsid w:val="662D5433"/>
    <w:rsid w:val="66311638"/>
    <w:rsid w:val="66342B59"/>
    <w:rsid w:val="6635242D"/>
    <w:rsid w:val="66372649"/>
    <w:rsid w:val="6639016F"/>
    <w:rsid w:val="663C37BC"/>
    <w:rsid w:val="663E0A2F"/>
    <w:rsid w:val="66417BAB"/>
    <w:rsid w:val="66430FEE"/>
    <w:rsid w:val="664975AF"/>
    <w:rsid w:val="66501015"/>
    <w:rsid w:val="665054B9"/>
    <w:rsid w:val="665135D2"/>
    <w:rsid w:val="6655487D"/>
    <w:rsid w:val="665761F7"/>
    <w:rsid w:val="66581C17"/>
    <w:rsid w:val="665925BF"/>
    <w:rsid w:val="665B6338"/>
    <w:rsid w:val="665E69D3"/>
    <w:rsid w:val="66630D48"/>
    <w:rsid w:val="666351EC"/>
    <w:rsid w:val="6667106F"/>
    <w:rsid w:val="666920D7"/>
    <w:rsid w:val="666D1BC7"/>
    <w:rsid w:val="666F3B91"/>
    <w:rsid w:val="66783F59"/>
    <w:rsid w:val="667F2833"/>
    <w:rsid w:val="668313EA"/>
    <w:rsid w:val="66862C89"/>
    <w:rsid w:val="668B34A3"/>
    <w:rsid w:val="66925AD1"/>
    <w:rsid w:val="66990C0E"/>
    <w:rsid w:val="669E6224"/>
    <w:rsid w:val="66A001EE"/>
    <w:rsid w:val="66A12257"/>
    <w:rsid w:val="66A51361"/>
    <w:rsid w:val="66A575B3"/>
    <w:rsid w:val="66AC652F"/>
    <w:rsid w:val="66AD3A54"/>
    <w:rsid w:val="66AD6206"/>
    <w:rsid w:val="66B01A31"/>
    <w:rsid w:val="66B27F22"/>
    <w:rsid w:val="66B5531C"/>
    <w:rsid w:val="66BC48FC"/>
    <w:rsid w:val="66C0058E"/>
    <w:rsid w:val="66C33EDD"/>
    <w:rsid w:val="66CB4B3F"/>
    <w:rsid w:val="66CC0B18"/>
    <w:rsid w:val="66CD36E6"/>
    <w:rsid w:val="66CE4A3B"/>
    <w:rsid w:val="66D6113F"/>
    <w:rsid w:val="66D954AE"/>
    <w:rsid w:val="66DC55BD"/>
    <w:rsid w:val="66DF14B8"/>
    <w:rsid w:val="66E83943"/>
    <w:rsid w:val="66F45E44"/>
    <w:rsid w:val="66F57DCC"/>
    <w:rsid w:val="66F66060"/>
    <w:rsid w:val="66F83B86"/>
    <w:rsid w:val="66FC0AB7"/>
    <w:rsid w:val="66FC49D5"/>
    <w:rsid w:val="67010561"/>
    <w:rsid w:val="67023B66"/>
    <w:rsid w:val="670267B3"/>
    <w:rsid w:val="6703252B"/>
    <w:rsid w:val="67050051"/>
    <w:rsid w:val="67051EB5"/>
    <w:rsid w:val="67087B42"/>
    <w:rsid w:val="6709601B"/>
    <w:rsid w:val="670B5E46"/>
    <w:rsid w:val="670D5158"/>
    <w:rsid w:val="670F0EF5"/>
    <w:rsid w:val="67162355"/>
    <w:rsid w:val="671958AB"/>
    <w:rsid w:val="671B5AC7"/>
    <w:rsid w:val="671E1113"/>
    <w:rsid w:val="671F124A"/>
    <w:rsid w:val="671F6E1E"/>
    <w:rsid w:val="672030DD"/>
    <w:rsid w:val="672B6D3E"/>
    <w:rsid w:val="672C7B69"/>
    <w:rsid w:val="672E0D7D"/>
    <w:rsid w:val="672F50CE"/>
    <w:rsid w:val="67383DD6"/>
    <w:rsid w:val="673E4DE3"/>
    <w:rsid w:val="67436401"/>
    <w:rsid w:val="6749577D"/>
    <w:rsid w:val="67495941"/>
    <w:rsid w:val="674C6704"/>
    <w:rsid w:val="674D3382"/>
    <w:rsid w:val="674E7C4A"/>
    <w:rsid w:val="674F2D6F"/>
    <w:rsid w:val="67512F25"/>
    <w:rsid w:val="67544B35"/>
    <w:rsid w:val="67564D51"/>
    <w:rsid w:val="67582877"/>
    <w:rsid w:val="675B2367"/>
    <w:rsid w:val="675D1C3B"/>
    <w:rsid w:val="675D60DF"/>
    <w:rsid w:val="67654F94"/>
    <w:rsid w:val="67672AEA"/>
    <w:rsid w:val="676B07FC"/>
    <w:rsid w:val="67714745"/>
    <w:rsid w:val="67715A16"/>
    <w:rsid w:val="67786A75"/>
    <w:rsid w:val="67796717"/>
    <w:rsid w:val="677A33C6"/>
    <w:rsid w:val="677F5616"/>
    <w:rsid w:val="677F6056"/>
    <w:rsid w:val="67825B46"/>
    <w:rsid w:val="678A786E"/>
    <w:rsid w:val="67915D89"/>
    <w:rsid w:val="67991B86"/>
    <w:rsid w:val="679D64DC"/>
    <w:rsid w:val="679E6F4A"/>
    <w:rsid w:val="679F04A6"/>
    <w:rsid w:val="67A374C5"/>
    <w:rsid w:val="67A55102"/>
    <w:rsid w:val="67A71109"/>
    <w:rsid w:val="67AB7CE7"/>
    <w:rsid w:val="67AC6234"/>
    <w:rsid w:val="67AE4FCE"/>
    <w:rsid w:val="67B0620F"/>
    <w:rsid w:val="67B07479"/>
    <w:rsid w:val="67B13D35"/>
    <w:rsid w:val="67B21312"/>
    <w:rsid w:val="67B37AAD"/>
    <w:rsid w:val="67B406B2"/>
    <w:rsid w:val="67B6134C"/>
    <w:rsid w:val="67BA7B36"/>
    <w:rsid w:val="67C03F80"/>
    <w:rsid w:val="67C43A69"/>
    <w:rsid w:val="67C45239"/>
    <w:rsid w:val="67C47F0C"/>
    <w:rsid w:val="67C73559"/>
    <w:rsid w:val="67C8738A"/>
    <w:rsid w:val="67D22629"/>
    <w:rsid w:val="67D5446A"/>
    <w:rsid w:val="67D6379C"/>
    <w:rsid w:val="67D87514"/>
    <w:rsid w:val="67DB2C92"/>
    <w:rsid w:val="67DB41F5"/>
    <w:rsid w:val="67DD4B2A"/>
    <w:rsid w:val="67E10ABE"/>
    <w:rsid w:val="67E5303E"/>
    <w:rsid w:val="67E5371B"/>
    <w:rsid w:val="67E8300F"/>
    <w:rsid w:val="67E972F3"/>
    <w:rsid w:val="67EB5499"/>
    <w:rsid w:val="67ED3459"/>
    <w:rsid w:val="67EE31DB"/>
    <w:rsid w:val="67F1102B"/>
    <w:rsid w:val="67F24A7A"/>
    <w:rsid w:val="67F307F2"/>
    <w:rsid w:val="67FC1454"/>
    <w:rsid w:val="67FD341E"/>
    <w:rsid w:val="67FE060E"/>
    <w:rsid w:val="68000819"/>
    <w:rsid w:val="6802397F"/>
    <w:rsid w:val="680851F4"/>
    <w:rsid w:val="68091DC3"/>
    <w:rsid w:val="680D18B3"/>
    <w:rsid w:val="68112B7C"/>
    <w:rsid w:val="68144CC4"/>
    <w:rsid w:val="6818216D"/>
    <w:rsid w:val="681A7B2C"/>
    <w:rsid w:val="681C56E8"/>
    <w:rsid w:val="681E1E1B"/>
    <w:rsid w:val="681E25A8"/>
    <w:rsid w:val="681E586F"/>
    <w:rsid w:val="681F15E7"/>
    <w:rsid w:val="681F259D"/>
    <w:rsid w:val="681F6961"/>
    <w:rsid w:val="68212C69"/>
    <w:rsid w:val="6822015F"/>
    <w:rsid w:val="6825530A"/>
    <w:rsid w:val="68282249"/>
    <w:rsid w:val="682C160E"/>
    <w:rsid w:val="683055A2"/>
    <w:rsid w:val="68364600"/>
    <w:rsid w:val="6838203F"/>
    <w:rsid w:val="68382E89"/>
    <w:rsid w:val="683E7CBF"/>
    <w:rsid w:val="6841155D"/>
    <w:rsid w:val="68430937"/>
    <w:rsid w:val="68466B73"/>
    <w:rsid w:val="6848469A"/>
    <w:rsid w:val="684921C0"/>
    <w:rsid w:val="684D1CB0"/>
    <w:rsid w:val="685017A0"/>
    <w:rsid w:val="68556DB7"/>
    <w:rsid w:val="685748DD"/>
    <w:rsid w:val="68593A89"/>
    <w:rsid w:val="685A6ACB"/>
    <w:rsid w:val="685C0145"/>
    <w:rsid w:val="685C6397"/>
    <w:rsid w:val="685C7FAA"/>
    <w:rsid w:val="68610A2F"/>
    <w:rsid w:val="686314D3"/>
    <w:rsid w:val="68634A40"/>
    <w:rsid w:val="686471D1"/>
    <w:rsid w:val="68681FEA"/>
    <w:rsid w:val="68694610"/>
    <w:rsid w:val="686B482C"/>
    <w:rsid w:val="686D2352"/>
    <w:rsid w:val="686E1298"/>
    <w:rsid w:val="687078B0"/>
    <w:rsid w:val="68792AA5"/>
    <w:rsid w:val="687C2595"/>
    <w:rsid w:val="68805514"/>
    <w:rsid w:val="68815DFE"/>
    <w:rsid w:val="68866F70"/>
    <w:rsid w:val="688A75AA"/>
    <w:rsid w:val="688B0A2A"/>
    <w:rsid w:val="688D02FE"/>
    <w:rsid w:val="688F2D69"/>
    <w:rsid w:val="6891189B"/>
    <w:rsid w:val="68914293"/>
    <w:rsid w:val="68931D9E"/>
    <w:rsid w:val="689B3CD0"/>
    <w:rsid w:val="689D062F"/>
    <w:rsid w:val="689F73B6"/>
    <w:rsid w:val="68A022EA"/>
    <w:rsid w:val="68A23030"/>
    <w:rsid w:val="68A55712"/>
    <w:rsid w:val="68A9069F"/>
    <w:rsid w:val="68AA23E3"/>
    <w:rsid w:val="68AA78F2"/>
    <w:rsid w:val="68AB7945"/>
    <w:rsid w:val="68B912D9"/>
    <w:rsid w:val="68C161FA"/>
    <w:rsid w:val="68CB7079"/>
    <w:rsid w:val="68CC03DA"/>
    <w:rsid w:val="68CD1043"/>
    <w:rsid w:val="68D0468F"/>
    <w:rsid w:val="68D45F2D"/>
    <w:rsid w:val="68D73C6F"/>
    <w:rsid w:val="68DB72BC"/>
    <w:rsid w:val="68DD28B2"/>
    <w:rsid w:val="68DE109F"/>
    <w:rsid w:val="68DE6DAC"/>
    <w:rsid w:val="68E1201D"/>
    <w:rsid w:val="68EA5751"/>
    <w:rsid w:val="68F154E4"/>
    <w:rsid w:val="68F53EA3"/>
    <w:rsid w:val="68F67361"/>
    <w:rsid w:val="68F71C1C"/>
    <w:rsid w:val="68F77E6E"/>
    <w:rsid w:val="68FC2516"/>
    <w:rsid w:val="68FC5484"/>
    <w:rsid w:val="68FD0713"/>
    <w:rsid w:val="690031C6"/>
    <w:rsid w:val="69036813"/>
    <w:rsid w:val="690412D8"/>
    <w:rsid w:val="69083D00"/>
    <w:rsid w:val="69085BD7"/>
    <w:rsid w:val="690A7BA1"/>
    <w:rsid w:val="690F0ADD"/>
    <w:rsid w:val="69112820"/>
    <w:rsid w:val="69126A56"/>
    <w:rsid w:val="69140A20"/>
    <w:rsid w:val="69143AF1"/>
    <w:rsid w:val="69147A61"/>
    <w:rsid w:val="691602F4"/>
    <w:rsid w:val="692073C4"/>
    <w:rsid w:val="69236EB5"/>
    <w:rsid w:val="69274D10"/>
    <w:rsid w:val="69286015"/>
    <w:rsid w:val="692D388F"/>
    <w:rsid w:val="692F2F5C"/>
    <w:rsid w:val="69313380"/>
    <w:rsid w:val="69316E2F"/>
    <w:rsid w:val="69322ADD"/>
    <w:rsid w:val="693410C2"/>
    <w:rsid w:val="694035C3"/>
    <w:rsid w:val="694330B3"/>
    <w:rsid w:val="69434E61"/>
    <w:rsid w:val="694A0FC7"/>
    <w:rsid w:val="694A2693"/>
    <w:rsid w:val="694D196D"/>
    <w:rsid w:val="694E2071"/>
    <w:rsid w:val="69513A22"/>
    <w:rsid w:val="69533807"/>
    <w:rsid w:val="69592E49"/>
    <w:rsid w:val="695E5201"/>
    <w:rsid w:val="695E7EED"/>
    <w:rsid w:val="69644B75"/>
    <w:rsid w:val="696D3286"/>
    <w:rsid w:val="696F5C56"/>
    <w:rsid w:val="6974326C"/>
    <w:rsid w:val="69766163"/>
    <w:rsid w:val="697670FA"/>
    <w:rsid w:val="697904F5"/>
    <w:rsid w:val="69796AD5"/>
    <w:rsid w:val="697A3B33"/>
    <w:rsid w:val="697B66A7"/>
    <w:rsid w:val="697E40EB"/>
    <w:rsid w:val="69823BDB"/>
    <w:rsid w:val="69847953"/>
    <w:rsid w:val="69855479"/>
    <w:rsid w:val="69877444"/>
    <w:rsid w:val="6988602B"/>
    <w:rsid w:val="698A2A90"/>
    <w:rsid w:val="698E432E"/>
    <w:rsid w:val="6991693E"/>
    <w:rsid w:val="699A7F96"/>
    <w:rsid w:val="699B2EEF"/>
    <w:rsid w:val="699F478D"/>
    <w:rsid w:val="699F653B"/>
    <w:rsid w:val="69A7357A"/>
    <w:rsid w:val="69A9560C"/>
    <w:rsid w:val="69AC2A06"/>
    <w:rsid w:val="69AE4852"/>
    <w:rsid w:val="69B12712"/>
    <w:rsid w:val="69B53FB1"/>
    <w:rsid w:val="69B546E6"/>
    <w:rsid w:val="69B75077"/>
    <w:rsid w:val="69B813AB"/>
    <w:rsid w:val="69BB2B00"/>
    <w:rsid w:val="69C05C12"/>
    <w:rsid w:val="69C2047C"/>
    <w:rsid w:val="69C2222A"/>
    <w:rsid w:val="69C77840"/>
    <w:rsid w:val="69CA7330"/>
    <w:rsid w:val="69D106BF"/>
    <w:rsid w:val="69D32689"/>
    <w:rsid w:val="69D41F5D"/>
    <w:rsid w:val="69D44760"/>
    <w:rsid w:val="69D5399A"/>
    <w:rsid w:val="69D63F27"/>
    <w:rsid w:val="69D65CD5"/>
    <w:rsid w:val="69D9332B"/>
    <w:rsid w:val="69E37C4D"/>
    <w:rsid w:val="69E441CA"/>
    <w:rsid w:val="69E55F18"/>
    <w:rsid w:val="69E623BC"/>
    <w:rsid w:val="69E76134"/>
    <w:rsid w:val="69E96F19"/>
    <w:rsid w:val="69EC54F9"/>
    <w:rsid w:val="69F12B0F"/>
    <w:rsid w:val="69F148BD"/>
    <w:rsid w:val="69F30A52"/>
    <w:rsid w:val="69F66377"/>
    <w:rsid w:val="69F83E9D"/>
    <w:rsid w:val="69F97043"/>
    <w:rsid w:val="69FC398E"/>
    <w:rsid w:val="69FC5C16"/>
    <w:rsid w:val="6A026ACA"/>
    <w:rsid w:val="6A042842"/>
    <w:rsid w:val="6A0942FC"/>
    <w:rsid w:val="6A132F25"/>
    <w:rsid w:val="6A164324"/>
    <w:rsid w:val="6A174619"/>
    <w:rsid w:val="6A1D1B56"/>
    <w:rsid w:val="6A1F58CE"/>
    <w:rsid w:val="6A210560"/>
    <w:rsid w:val="6A2147A0"/>
    <w:rsid w:val="6A261D69"/>
    <w:rsid w:val="6A266C5C"/>
    <w:rsid w:val="6A276531"/>
    <w:rsid w:val="6A2D7FEB"/>
    <w:rsid w:val="6A31115D"/>
    <w:rsid w:val="6A3F37E2"/>
    <w:rsid w:val="6A3F38D9"/>
    <w:rsid w:val="6A42336B"/>
    <w:rsid w:val="6A4470E3"/>
    <w:rsid w:val="6A4610AD"/>
    <w:rsid w:val="6A4A055F"/>
    <w:rsid w:val="6A4D243B"/>
    <w:rsid w:val="6A4E3ABD"/>
    <w:rsid w:val="6A503CD9"/>
    <w:rsid w:val="6A50680E"/>
    <w:rsid w:val="6A520EC7"/>
    <w:rsid w:val="6A527A52"/>
    <w:rsid w:val="6A566940"/>
    <w:rsid w:val="6A575068"/>
    <w:rsid w:val="6A5A06B4"/>
    <w:rsid w:val="6A5C61DA"/>
    <w:rsid w:val="6A5D1F52"/>
    <w:rsid w:val="6A5F4521"/>
    <w:rsid w:val="6A6652AB"/>
    <w:rsid w:val="6A6743AB"/>
    <w:rsid w:val="6A68311E"/>
    <w:rsid w:val="6A6B28C1"/>
    <w:rsid w:val="6A6B7163"/>
    <w:rsid w:val="6A6C06A2"/>
    <w:rsid w:val="6A6D7AAB"/>
    <w:rsid w:val="6A6E23B2"/>
    <w:rsid w:val="6A6F2E8A"/>
    <w:rsid w:val="6A723C50"/>
    <w:rsid w:val="6A75729C"/>
    <w:rsid w:val="6A7A6FA8"/>
    <w:rsid w:val="6A845731"/>
    <w:rsid w:val="6A885221"/>
    <w:rsid w:val="6A8A66CB"/>
    <w:rsid w:val="6A8A71EB"/>
    <w:rsid w:val="6A933BC6"/>
    <w:rsid w:val="6A9F4616"/>
    <w:rsid w:val="6A9F6B82"/>
    <w:rsid w:val="6AA1131A"/>
    <w:rsid w:val="6AA162E3"/>
    <w:rsid w:val="6AAF0A00"/>
    <w:rsid w:val="6AB029CA"/>
    <w:rsid w:val="6AB457AE"/>
    <w:rsid w:val="6AB5047B"/>
    <w:rsid w:val="6AB75B07"/>
    <w:rsid w:val="6ABA36B3"/>
    <w:rsid w:val="6ABD6C0D"/>
    <w:rsid w:val="6ABF6769"/>
    <w:rsid w:val="6AC00E5F"/>
    <w:rsid w:val="6AC56475"/>
    <w:rsid w:val="6AC83870"/>
    <w:rsid w:val="6ACF764A"/>
    <w:rsid w:val="6AD1341B"/>
    <w:rsid w:val="6AD1632C"/>
    <w:rsid w:val="6AD2649C"/>
    <w:rsid w:val="6AD67855"/>
    <w:rsid w:val="6AD71D05"/>
    <w:rsid w:val="6AD846D7"/>
    <w:rsid w:val="6ADA6DFD"/>
    <w:rsid w:val="6ADC37BF"/>
    <w:rsid w:val="6ADF6E0B"/>
    <w:rsid w:val="6ADF73D5"/>
    <w:rsid w:val="6AE0505D"/>
    <w:rsid w:val="6AE508C6"/>
    <w:rsid w:val="6AE663EC"/>
    <w:rsid w:val="6AEA7C8A"/>
    <w:rsid w:val="6AEE23DE"/>
    <w:rsid w:val="6AEF704E"/>
    <w:rsid w:val="6AEF73B2"/>
    <w:rsid w:val="6AF04B38"/>
    <w:rsid w:val="6AF1726A"/>
    <w:rsid w:val="6AF26B3F"/>
    <w:rsid w:val="6AF44665"/>
    <w:rsid w:val="6AF87E20"/>
    <w:rsid w:val="6AF9611F"/>
    <w:rsid w:val="6AF97ECD"/>
    <w:rsid w:val="6AFB1E97"/>
    <w:rsid w:val="6AFB3C45"/>
    <w:rsid w:val="6AFE54E3"/>
    <w:rsid w:val="6AFF2EB6"/>
    <w:rsid w:val="6B00125C"/>
    <w:rsid w:val="6B090607"/>
    <w:rsid w:val="6B0A20DA"/>
    <w:rsid w:val="6B0C182E"/>
    <w:rsid w:val="6B125FC4"/>
    <w:rsid w:val="6B1747F7"/>
    <w:rsid w:val="6B1765A5"/>
    <w:rsid w:val="6B18012D"/>
    <w:rsid w:val="6B1D005F"/>
    <w:rsid w:val="6B2018FE"/>
    <w:rsid w:val="6B225676"/>
    <w:rsid w:val="6B233E9C"/>
    <w:rsid w:val="6B247F4F"/>
    <w:rsid w:val="6B2674F5"/>
    <w:rsid w:val="6B272C8C"/>
    <w:rsid w:val="6B2A0087"/>
    <w:rsid w:val="6B2A606B"/>
    <w:rsid w:val="6B2C1649"/>
    <w:rsid w:val="6B3158B9"/>
    <w:rsid w:val="6B322639"/>
    <w:rsid w:val="6B3247AB"/>
    <w:rsid w:val="6B3713F3"/>
    <w:rsid w:val="6B376C47"/>
    <w:rsid w:val="6B4001B8"/>
    <w:rsid w:val="6B4078AA"/>
    <w:rsid w:val="6B413622"/>
    <w:rsid w:val="6B452B0C"/>
    <w:rsid w:val="6B453112"/>
    <w:rsid w:val="6B480E55"/>
    <w:rsid w:val="6B482C03"/>
    <w:rsid w:val="6B5678D2"/>
    <w:rsid w:val="6B57365C"/>
    <w:rsid w:val="6B59096C"/>
    <w:rsid w:val="6B596BBE"/>
    <w:rsid w:val="6B5C220A"/>
    <w:rsid w:val="6B5D66AE"/>
    <w:rsid w:val="6B5E5C9A"/>
    <w:rsid w:val="6B61644D"/>
    <w:rsid w:val="6B6857CF"/>
    <w:rsid w:val="6B6C68F1"/>
    <w:rsid w:val="6B6F4633"/>
    <w:rsid w:val="6B707B2D"/>
    <w:rsid w:val="6B7201A0"/>
    <w:rsid w:val="6B737C68"/>
    <w:rsid w:val="6B7669D6"/>
    <w:rsid w:val="6B7E7FAC"/>
    <w:rsid w:val="6B8312D6"/>
    <w:rsid w:val="6B8754D9"/>
    <w:rsid w:val="6B8A6D77"/>
    <w:rsid w:val="6B8F25DF"/>
    <w:rsid w:val="6B9B5A9A"/>
    <w:rsid w:val="6B9E0FF1"/>
    <w:rsid w:val="6BA24C19"/>
    <w:rsid w:val="6BA44686"/>
    <w:rsid w:val="6BA479EC"/>
    <w:rsid w:val="6BA63E2B"/>
    <w:rsid w:val="6BAA3F28"/>
    <w:rsid w:val="6BAA566B"/>
    <w:rsid w:val="6BAD2501"/>
    <w:rsid w:val="6BAD2A66"/>
    <w:rsid w:val="6BAE3435"/>
    <w:rsid w:val="6BB214E6"/>
    <w:rsid w:val="6BB3651A"/>
    <w:rsid w:val="6BB5675A"/>
    <w:rsid w:val="6BBE700E"/>
    <w:rsid w:val="6BCC55E2"/>
    <w:rsid w:val="6BCF6E80"/>
    <w:rsid w:val="6BDD3EA8"/>
    <w:rsid w:val="6BDD42B9"/>
    <w:rsid w:val="6BE32131"/>
    <w:rsid w:val="6BE741CA"/>
    <w:rsid w:val="6BEA3CBA"/>
    <w:rsid w:val="6BEF5524"/>
    <w:rsid w:val="6BF32B6E"/>
    <w:rsid w:val="6BF568E6"/>
    <w:rsid w:val="6BFA3EFD"/>
    <w:rsid w:val="6BFC1AEE"/>
    <w:rsid w:val="6BFD2B3F"/>
    <w:rsid w:val="6BFD39ED"/>
    <w:rsid w:val="6C003D7A"/>
    <w:rsid w:val="6C007039"/>
    <w:rsid w:val="6C092867"/>
    <w:rsid w:val="6C094140"/>
    <w:rsid w:val="6C0B435C"/>
    <w:rsid w:val="6C1256EA"/>
    <w:rsid w:val="6C134FBF"/>
    <w:rsid w:val="6C196DB0"/>
    <w:rsid w:val="6C1C0317"/>
    <w:rsid w:val="6C1C43DE"/>
    <w:rsid w:val="6C1C6720"/>
    <w:rsid w:val="6C1F5711"/>
    <w:rsid w:val="6C202F44"/>
    <w:rsid w:val="6C206AC0"/>
    <w:rsid w:val="6C292269"/>
    <w:rsid w:val="6C2C6080"/>
    <w:rsid w:val="6C3078F9"/>
    <w:rsid w:val="6C3118E9"/>
    <w:rsid w:val="6C31722F"/>
    <w:rsid w:val="6C3439C0"/>
    <w:rsid w:val="6C354F35"/>
    <w:rsid w:val="6C377790"/>
    <w:rsid w:val="6C390C28"/>
    <w:rsid w:val="6C3B7B4C"/>
    <w:rsid w:val="6C3E5941"/>
    <w:rsid w:val="6C3F4006"/>
    <w:rsid w:val="6C44161C"/>
    <w:rsid w:val="6C450EF0"/>
    <w:rsid w:val="6C47110C"/>
    <w:rsid w:val="6C4A27B9"/>
    <w:rsid w:val="6C4B23BA"/>
    <w:rsid w:val="6C4C56DA"/>
    <w:rsid w:val="6C4E6C53"/>
    <w:rsid w:val="6C4F79C6"/>
    <w:rsid w:val="6C515AE7"/>
    <w:rsid w:val="6C5A7C87"/>
    <w:rsid w:val="6C5B1E4E"/>
    <w:rsid w:val="6C5D7D56"/>
    <w:rsid w:val="6C5E35D9"/>
    <w:rsid w:val="6C5F0204"/>
    <w:rsid w:val="6C621AA2"/>
    <w:rsid w:val="6C635F46"/>
    <w:rsid w:val="6C636C38"/>
    <w:rsid w:val="6C64581A"/>
    <w:rsid w:val="6C6475C8"/>
    <w:rsid w:val="6C6770B8"/>
    <w:rsid w:val="6C682907"/>
    <w:rsid w:val="6C696636"/>
    <w:rsid w:val="6C6B6BA9"/>
    <w:rsid w:val="6C6E6C0B"/>
    <w:rsid w:val="6C705F6D"/>
    <w:rsid w:val="6C7277AE"/>
    <w:rsid w:val="6C7517D5"/>
    <w:rsid w:val="6C7672FB"/>
    <w:rsid w:val="6C8C72D3"/>
    <w:rsid w:val="6C8F6BC2"/>
    <w:rsid w:val="6C937EAD"/>
    <w:rsid w:val="6C97799E"/>
    <w:rsid w:val="6CA03235"/>
    <w:rsid w:val="6CA200F0"/>
    <w:rsid w:val="6CA4030D"/>
    <w:rsid w:val="6CA67BE1"/>
    <w:rsid w:val="6CA9147F"/>
    <w:rsid w:val="6CA976D1"/>
    <w:rsid w:val="6CAC115A"/>
    <w:rsid w:val="6CAF0DB4"/>
    <w:rsid w:val="6CAF118B"/>
    <w:rsid w:val="6CB00A5F"/>
    <w:rsid w:val="6CB26586"/>
    <w:rsid w:val="6CB32CE3"/>
    <w:rsid w:val="6CB72B48"/>
    <w:rsid w:val="6CB94F0A"/>
    <w:rsid w:val="6CBE7DBF"/>
    <w:rsid w:val="6CBF6EF4"/>
    <w:rsid w:val="6CC10EBE"/>
    <w:rsid w:val="6CC35974"/>
    <w:rsid w:val="6CC462B9"/>
    <w:rsid w:val="6CCB5899"/>
    <w:rsid w:val="6CCB7395"/>
    <w:rsid w:val="6CD20778"/>
    <w:rsid w:val="6CD209D6"/>
    <w:rsid w:val="6CD61C8C"/>
    <w:rsid w:val="6CD644A8"/>
    <w:rsid w:val="6CD81D64"/>
    <w:rsid w:val="6CD94FB2"/>
    <w:rsid w:val="6CDA5121"/>
    <w:rsid w:val="6CDC1854"/>
    <w:rsid w:val="6CDD3C12"/>
    <w:rsid w:val="6CDF131F"/>
    <w:rsid w:val="6CE52B0D"/>
    <w:rsid w:val="6CE626D3"/>
    <w:rsid w:val="6CEC139B"/>
    <w:rsid w:val="6CF46B9E"/>
    <w:rsid w:val="6CF546C4"/>
    <w:rsid w:val="6CF7043C"/>
    <w:rsid w:val="6D0112BB"/>
    <w:rsid w:val="6D0A63C2"/>
    <w:rsid w:val="6D0C15C3"/>
    <w:rsid w:val="6D0D4676"/>
    <w:rsid w:val="6D0E3FAE"/>
    <w:rsid w:val="6D1159A2"/>
    <w:rsid w:val="6D140FEE"/>
    <w:rsid w:val="6D185650"/>
    <w:rsid w:val="6D196605"/>
    <w:rsid w:val="6D1B05CF"/>
    <w:rsid w:val="6D1C7EA3"/>
    <w:rsid w:val="6D231231"/>
    <w:rsid w:val="6D260D22"/>
    <w:rsid w:val="6D2A1A28"/>
    <w:rsid w:val="6D2F7BD6"/>
    <w:rsid w:val="6D301BA0"/>
    <w:rsid w:val="6D30394E"/>
    <w:rsid w:val="6D361E7E"/>
    <w:rsid w:val="6D415B5B"/>
    <w:rsid w:val="6D4672D9"/>
    <w:rsid w:val="6D4D62AE"/>
    <w:rsid w:val="6D5835D1"/>
    <w:rsid w:val="6D5910F7"/>
    <w:rsid w:val="6D5E670D"/>
    <w:rsid w:val="6D5F0BFD"/>
    <w:rsid w:val="6D637796"/>
    <w:rsid w:val="6D6506E3"/>
    <w:rsid w:val="6D6A50B2"/>
    <w:rsid w:val="6D6A6E60"/>
    <w:rsid w:val="6D6D6950"/>
    <w:rsid w:val="6D741A8D"/>
    <w:rsid w:val="6D747729"/>
    <w:rsid w:val="6D760823"/>
    <w:rsid w:val="6D7B2101"/>
    <w:rsid w:val="6D7D6164"/>
    <w:rsid w:val="6D7E0B5E"/>
    <w:rsid w:val="6D7E1B24"/>
    <w:rsid w:val="6D7E573E"/>
    <w:rsid w:val="6D80179D"/>
    <w:rsid w:val="6D81776E"/>
    <w:rsid w:val="6D851A67"/>
    <w:rsid w:val="6D8D7B94"/>
    <w:rsid w:val="6D91687F"/>
    <w:rsid w:val="6D922C32"/>
    <w:rsid w:val="6D9411F0"/>
    <w:rsid w:val="6D94675B"/>
    <w:rsid w:val="6D997745"/>
    <w:rsid w:val="6D9A63F2"/>
    <w:rsid w:val="6D9B170F"/>
    <w:rsid w:val="6D9B5410"/>
    <w:rsid w:val="6D9D06E2"/>
    <w:rsid w:val="6D9D7236"/>
    <w:rsid w:val="6D9F7C70"/>
    <w:rsid w:val="6DA14ABC"/>
    <w:rsid w:val="6DA71E62"/>
    <w:rsid w:val="6DAA54AF"/>
    <w:rsid w:val="6DAB4B72"/>
    <w:rsid w:val="6DB14A8F"/>
    <w:rsid w:val="6DB2245F"/>
    <w:rsid w:val="6DB24BA6"/>
    <w:rsid w:val="6DB34098"/>
    <w:rsid w:val="6DB545B6"/>
    <w:rsid w:val="6DB63E53"/>
    <w:rsid w:val="6DB91B96"/>
    <w:rsid w:val="6DBB16F2"/>
    <w:rsid w:val="6DBD1FDD"/>
    <w:rsid w:val="6DBD740C"/>
    <w:rsid w:val="6DBE55BC"/>
    <w:rsid w:val="6DC01176"/>
    <w:rsid w:val="6DC019AF"/>
    <w:rsid w:val="6DC073D6"/>
    <w:rsid w:val="6DC70D5C"/>
    <w:rsid w:val="6DCA1206"/>
    <w:rsid w:val="6DCA78FF"/>
    <w:rsid w:val="6DCC7B1B"/>
    <w:rsid w:val="6DD15131"/>
    <w:rsid w:val="6DD20EEB"/>
    <w:rsid w:val="6DD24A05"/>
    <w:rsid w:val="6DD4449B"/>
    <w:rsid w:val="6DD80F51"/>
    <w:rsid w:val="6DDB1B0C"/>
    <w:rsid w:val="6DDD3AD6"/>
    <w:rsid w:val="6DDE6F4D"/>
    <w:rsid w:val="6DE02BAB"/>
    <w:rsid w:val="6DE02FB4"/>
    <w:rsid w:val="6DE50BDD"/>
    <w:rsid w:val="6DE82246"/>
    <w:rsid w:val="6DE84485"/>
    <w:rsid w:val="6DF004EC"/>
    <w:rsid w:val="6DF717AF"/>
    <w:rsid w:val="6DF80910"/>
    <w:rsid w:val="6DF901E4"/>
    <w:rsid w:val="6DF95579"/>
    <w:rsid w:val="6DFA4688"/>
    <w:rsid w:val="6DFB0400"/>
    <w:rsid w:val="6DFB21AE"/>
    <w:rsid w:val="6DFD5F26"/>
    <w:rsid w:val="6DFE0CAC"/>
    <w:rsid w:val="6E035861"/>
    <w:rsid w:val="6E05302D"/>
    <w:rsid w:val="6E0A23F1"/>
    <w:rsid w:val="6E0C35E3"/>
    <w:rsid w:val="6E0F17B6"/>
    <w:rsid w:val="6E113780"/>
    <w:rsid w:val="6E173FF3"/>
    <w:rsid w:val="6E182D60"/>
    <w:rsid w:val="6E192634"/>
    <w:rsid w:val="6E1B63AC"/>
    <w:rsid w:val="6E1D3ED3"/>
    <w:rsid w:val="6E1E3E44"/>
    <w:rsid w:val="6E272FA3"/>
    <w:rsid w:val="6E2C05BA"/>
    <w:rsid w:val="6E2D05A3"/>
    <w:rsid w:val="6E2E4332"/>
    <w:rsid w:val="6E301E58"/>
    <w:rsid w:val="6E31797E"/>
    <w:rsid w:val="6E361438"/>
    <w:rsid w:val="6E3902D9"/>
    <w:rsid w:val="6E3A0F28"/>
    <w:rsid w:val="6E3A7772"/>
    <w:rsid w:val="6E3D4575"/>
    <w:rsid w:val="6E3E6C13"/>
    <w:rsid w:val="6E406A5E"/>
    <w:rsid w:val="6E494CC8"/>
    <w:rsid w:val="6E4C2A0A"/>
    <w:rsid w:val="6E4C47B8"/>
    <w:rsid w:val="6E4E22DE"/>
    <w:rsid w:val="6E4E2A84"/>
    <w:rsid w:val="6E4F775D"/>
    <w:rsid w:val="6E514CED"/>
    <w:rsid w:val="6E5378F4"/>
    <w:rsid w:val="6E5813AF"/>
    <w:rsid w:val="6E587EF0"/>
    <w:rsid w:val="6E5A5127"/>
    <w:rsid w:val="6E600263"/>
    <w:rsid w:val="6E6050CB"/>
    <w:rsid w:val="6E605222"/>
    <w:rsid w:val="6E663ACB"/>
    <w:rsid w:val="6E673A62"/>
    <w:rsid w:val="6E6933A5"/>
    <w:rsid w:val="6E6935BC"/>
    <w:rsid w:val="6E6E472E"/>
    <w:rsid w:val="6E701BEE"/>
    <w:rsid w:val="6E7206C2"/>
    <w:rsid w:val="6E737F96"/>
    <w:rsid w:val="6E755ABD"/>
    <w:rsid w:val="6E764468"/>
    <w:rsid w:val="6E7D2524"/>
    <w:rsid w:val="6E900B48"/>
    <w:rsid w:val="6E921357"/>
    <w:rsid w:val="6E963C85"/>
    <w:rsid w:val="6E9A5523"/>
    <w:rsid w:val="6EA22932"/>
    <w:rsid w:val="6EA445F4"/>
    <w:rsid w:val="6EA64E36"/>
    <w:rsid w:val="6EAB14DE"/>
    <w:rsid w:val="6EAD4DCD"/>
    <w:rsid w:val="6EAF6C69"/>
    <w:rsid w:val="6EB16DA8"/>
    <w:rsid w:val="6EB34837"/>
    <w:rsid w:val="6EB42084"/>
    <w:rsid w:val="6EB563D5"/>
    <w:rsid w:val="6EB81E4D"/>
    <w:rsid w:val="6EBA3E17"/>
    <w:rsid w:val="6EBD1290"/>
    <w:rsid w:val="6EC15BA9"/>
    <w:rsid w:val="6EC75B57"/>
    <w:rsid w:val="6ED00F45"/>
    <w:rsid w:val="6ED018FF"/>
    <w:rsid w:val="6ED13AB0"/>
    <w:rsid w:val="6ED22F0F"/>
    <w:rsid w:val="6ED42996"/>
    <w:rsid w:val="6ED74E66"/>
    <w:rsid w:val="6ED92677"/>
    <w:rsid w:val="6EDB5809"/>
    <w:rsid w:val="6EDD3AFA"/>
    <w:rsid w:val="6EE132F8"/>
    <w:rsid w:val="6EED5F9B"/>
    <w:rsid w:val="6EF01710"/>
    <w:rsid w:val="6EF035FA"/>
    <w:rsid w:val="6EF74724"/>
    <w:rsid w:val="6EF966EE"/>
    <w:rsid w:val="6EFA5425"/>
    <w:rsid w:val="6EFB5180"/>
    <w:rsid w:val="6F0230C8"/>
    <w:rsid w:val="6F0532E4"/>
    <w:rsid w:val="6F0817D1"/>
    <w:rsid w:val="6F082DD5"/>
    <w:rsid w:val="6F0B01CF"/>
    <w:rsid w:val="6F0D66D0"/>
    <w:rsid w:val="6F0D7199"/>
    <w:rsid w:val="6F0E7CBF"/>
    <w:rsid w:val="6F1005C4"/>
    <w:rsid w:val="6F140344"/>
    <w:rsid w:val="6F141779"/>
    <w:rsid w:val="6F15081B"/>
    <w:rsid w:val="6F150A06"/>
    <w:rsid w:val="6F1B0BD5"/>
    <w:rsid w:val="6F1C062E"/>
    <w:rsid w:val="6F2254EC"/>
    <w:rsid w:val="6F225983"/>
    <w:rsid w:val="6F236D2B"/>
    <w:rsid w:val="6F270681"/>
    <w:rsid w:val="6F285225"/>
    <w:rsid w:val="6F2A65B8"/>
    <w:rsid w:val="6F304979"/>
    <w:rsid w:val="6F310AF8"/>
    <w:rsid w:val="6F332E9E"/>
    <w:rsid w:val="6F347726"/>
    <w:rsid w:val="6F381CF0"/>
    <w:rsid w:val="6F390465"/>
    <w:rsid w:val="6F3A451F"/>
    <w:rsid w:val="6F3B6D06"/>
    <w:rsid w:val="6F437969"/>
    <w:rsid w:val="6F4D4C8B"/>
    <w:rsid w:val="6F515729"/>
    <w:rsid w:val="6F547DC8"/>
    <w:rsid w:val="6F5A4CB2"/>
    <w:rsid w:val="6F5D6E5C"/>
    <w:rsid w:val="6F600FEA"/>
    <w:rsid w:val="6F612C55"/>
    <w:rsid w:val="6F614293"/>
    <w:rsid w:val="6F6561A4"/>
    <w:rsid w:val="6F6E3364"/>
    <w:rsid w:val="6F712800"/>
    <w:rsid w:val="6F742218"/>
    <w:rsid w:val="6F77163A"/>
    <w:rsid w:val="6F7B4EC0"/>
    <w:rsid w:val="6F7E447B"/>
    <w:rsid w:val="6F834209"/>
    <w:rsid w:val="6F8A37EA"/>
    <w:rsid w:val="6F8B7571"/>
    <w:rsid w:val="6F8C6880"/>
    <w:rsid w:val="6F906926"/>
    <w:rsid w:val="6F9208F0"/>
    <w:rsid w:val="6F9251A5"/>
    <w:rsid w:val="6F9539D7"/>
    <w:rsid w:val="6F9603E0"/>
    <w:rsid w:val="6F991C7F"/>
    <w:rsid w:val="6F992790"/>
    <w:rsid w:val="6FA04EC3"/>
    <w:rsid w:val="6FA04FCC"/>
    <w:rsid w:val="6FA06BAE"/>
    <w:rsid w:val="6FA705D9"/>
    <w:rsid w:val="6FAA2D41"/>
    <w:rsid w:val="6FAC19B2"/>
    <w:rsid w:val="6FAC3760"/>
    <w:rsid w:val="6FB152E0"/>
    <w:rsid w:val="6FB16C0D"/>
    <w:rsid w:val="6FB22D40"/>
    <w:rsid w:val="6FB53110"/>
    <w:rsid w:val="6FB70357"/>
    <w:rsid w:val="6FBD3BBF"/>
    <w:rsid w:val="6FBF3137"/>
    <w:rsid w:val="6FC34184"/>
    <w:rsid w:val="6FC54822"/>
    <w:rsid w:val="6FCC5BB0"/>
    <w:rsid w:val="6FD11419"/>
    <w:rsid w:val="6FD20CED"/>
    <w:rsid w:val="6FD40F09"/>
    <w:rsid w:val="6FE078AE"/>
    <w:rsid w:val="6FE32EFA"/>
    <w:rsid w:val="6FE4739E"/>
    <w:rsid w:val="6FE56C72"/>
    <w:rsid w:val="6FEB5EC5"/>
    <w:rsid w:val="6FED08DE"/>
    <w:rsid w:val="6FED13C0"/>
    <w:rsid w:val="6FF20953"/>
    <w:rsid w:val="6FFB46E7"/>
    <w:rsid w:val="6FFC4D49"/>
    <w:rsid w:val="6FFC5590"/>
    <w:rsid w:val="7002147B"/>
    <w:rsid w:val="700A0487"/>
    <w:rsid w:val="700F3D2C"/>
    <w:rsid w:val="70115CB9"/>
    <w:rsid w:val="70117A67"/>
    <w:rsid w:val="701337DF"/>
    <w:rsid w:val="70133B11"/>
    <w:rsid w:val="70197D60"/>
    <w:rsid w:val="701B2694"/>
    <w:rsid w:val="701C1994"/>
    <w:rsid w:val="701C79D2"/>
    <w:rsid w:val="70206657"/>
    <w:rsid w:val="7023779A"/>
    <w:rsid w:val="702459EC"/>
    <w:rsid w:val="7027690E"/>
    <w:rsid w:val="702C48A1"/>
    <w:rsid w:val="702E686B"/>
    <w:rsid w:val="702F613F"/>
    <w:rsid w:val="702F6FF3"/>
    <w:rsid w:val="70310A18"/>
    <w:rsid w:val="70342CA5"/>
    <w:rsid w:val="703805DC"/>
    <w:rsid w:val="70384118"/>
    <w:rsid w:val="70390D6C"/>
    <w:rsid w:val="703C0167"/>
    <w:rsid w:val="703D260A"/>
    <w:rsid w:val="70455963"/>
    <w:rsid w:val="70473489"/>
    <w:rsid w:val="70495453"/>
    <w:rsid w:val="70497201"/>
    <w:rsid w:val="704A4D27"/>
    <w:rsid w:val="704E2A69"/>
    <w:rsid w:val="704F058F"/>
    <w:rsid w:val="70510EFD"/>
    <w:rsid w:val="70512559"/>
    <w:rsid w:val="705160B5"/>
    <w:rsid w:val="705362D1"/>
    <w:rsid w:val="7056191E"/>
    <w:rsid w:val="705B0CE2"/>
    <w:rsid w:val="705F4C76"/>
    <w:rsid w:val="706100D2"/>
    <w:rsid w:val="70657DB3"/>
    <w:rsid w:val="706A53C9"/>
    <w:rsid w:val="706A6832"/>
    <w:rsid w:val="706D1DD0"/>
    <w:rsid w:val="70741DA4"/>
    <w:rsid w:val="707428D9"/>
    <w:rsid w:val="70746E68"/>
    <w:rsid w:val="70757FF6"/>
    <w:rsid w:val="70787AE6"/>
    <w:rsid w:val="707A560C"/>
    <w:rsid w:val="70840239"/>
    <w:rsid w:val="70856B87"/>
    <w:rsid w:val="708E2E66"/>
    <w:rsid w:val="708F6DAD"/>
    <w:rsid w:val="709366CE"/>
    <w:rsid w:val="70973B4F"/>
    <w:rsid w:val="709A7EAC"/>
    <w:rsid w:val="709D12FB"/>
    <w:rsid w:val="709D754D"/>
    <w:rsid w:val="709E2354"/>
    <w:rsid w:val="70A03792"/>
    <w:rsid w:val="70A75A76"/>
    <w:rsid w:val="70AB0832"/>
    <w:rsid w:val="70AB7EBB"/>
    <w:rsid w:val="70B52AE8"/>
    <w:rsid w:val="70B54896"/>
    <w:rsid w:val="70B56644"/>
    <w:rsid w:val="70B566F6"/>
    <w:rsid w:val="70BA1EAD"/>
    <w:rsid w:val="70C60851"/>
    <w:rsid w:val="70C753B7"/>
    <w:rsid w:val="70C76378"/>
    <w:rsid w:val="70CA35FF"/>
    <w:rsid w:val="70D2369A"/>
    <w:rsid w:val="70D527EE"/>
    <w:rsid w:val="70D52DEC"/>
    <w:rsid w:val="70D6480D"/>
    <w:rsid w:val="70D94A29"/>
    <w:rsid w:val="70DA42FD"/>
    <w:rsid w:val="70DC13F2"/>
    <w:rsid w:val="70E15378"/>
    <w:rsid w:val="70E51DA8"/>
    <w:rsid w:val="70E538F0"/>
    <w:rsid w:val="70E94540"/>
    <w:rsid w:val="70EB475C"/>
    <w:rsid w:val="70EE5FFA"/>
    <w:rsid w:val="70EF69D7"/>
    <w:rsid w:val="70F11B9D"/>
    <w:rsid w:val="70F21646"/>
    <w:rsid w:val="70F2329B"/>
    <w:rsid w:val="70F353BF"/>
    <w:rsid w:val="70F862D3"/>
    <w:rsid w:val="70FC0717"/>
    <w:rsid w:val="70FF3D63"/>
    <w:rsid w:val="710010F4"/>
    <w:rsid w:val="71030900"/>
    <w:rsid w:val="7104137A"/>
    <w:rsid w:val="7105583D"/>
    <w:rsid w:val="710650F2"/>
    <w:rsid w:val="711041C2"/>
    <w:rsid w:val="71105F71"/>
    <w:rsid w:val="71127F06"/>
    <w:rsid w:val="711368CE"/>
    <w:rsid w:val="71175551"/>
    <w:rsid w:val="71186BD3"/>
    <w:rsid w:val="7119217E"/>
    <w:rsid w:val="71193077"/>
    <w:rsid w:val="711A07F9"/>
    <w:rsid w:val="711A4C3C"/>
    <w:rsid w:val="712324FF"/>
    <w:rsid w:val="71245578"/>
    <w:rsid w:val="712D08D1"/>
    <w:rsid w:val="7130059F"/>
    <w:rsid w:val="71324139"/>
    <w:rsid w:val="71325EE7"/>
    <w:rsid w:val="713734FD"/>
    <w:rsid w:val="713954C7"/>
    <w:rsid w:val="713A2FED"/>
    <w:rsid w:val="713B48DE"/>
    <w:rsid w:val="713B6B48"/>
    <w:rsid w:val="713C008A"/>
    <w:rsid w:val="713F6856"/>
    <w:rsid w:val="714300F4"/>
    <w:rsid w:val="71431EA2"/>
    <w:rsid w:val="71445C1A"/>
    <w:rsid w:val="714479C8"/>
    <w:rsid w:val="71494FDF"/>
    <w:rsid w:val="714A3FD1"/>
    <w:rsid w:val="714B6FA9"/>
    <w:rsid w:val="714C26EA"/>
    <w:rsid w:val="714C7EEE"/>
    <w:rsid w:val="714F0E73"/>
    <w:rsid w:val="71500A63"/>
    <w:rsid w:val="71540D12"/>
    <w:rsid w:val="7157594D"/>
    <w:rsid w:val="71580BD8"/>
    <w:rsid w:val="715B2707"/>
    <w:rsid w:val="715B3690"/>
    <w:rsid w:val="715B5300"/>
    <w:rsid w:val="715E0A8A"/>
    <w:rsid w:val="7161057A"/>
    <w:rsid w:val="7162317B"/>
    <w:rsid w:val="71662034"/>
    <w:rsid w:val="7166431B"/>
    <w:rsid w:val="7168470E"/>
    <w:rsid w:val="716B764B"/>
    <w:rsid w:val="716D33C3"/>
    <w:rsid w:val="716F4C20"/>
    <w:rsid w:val="716F713B"/>
    <w:rsid w:val="71727C3B"/>
    <w:rsid w:val="71736911"/>
    <w:rsid w:val="71755DD4"/>
    <w:rsid w:val="7178644A"/>
    <w:rsid w:val="717958C4"/>
    <w:rsid w:val="717B788E"/>
    <w:rsid w:val="717D727A"/>
    <w:rsid w:val="717E112C"/>
    <w:rsid w:val="71810C1C"/>
    <w:rsid w:val="71890D14"/>
    <w:rsid w:val="718A1B80"/>
    <w:rsid w:val="718C6759"/>
    <w:rsid w:val="718F6E95"/>
    <w:rsid w:val="719170B1"/>
    <w:rsid w:val="71946BA2"/>
    <w:rsid w:val="71946D08"/>
    <w:rsid w:val="719941B8"/>
    <w:rsid w:val="71A072F4"/>
    <w:rsid w:val="71A212BE"/>
    <w:rsid w:val="71A32E24"/>
    <w:rsid w:val="71A5490B"/>
    <w:rsid w:val="71A8059E"/>
    <w:rsid w:val="71A82806"/>
    <w:rsid w:val="71AF5789"/>
    <w:rsid w:val="71AF7537"/>
    <w:rsid w:val="71C11019"/>
    <w:rsid w:val="71C578FA"/>
    <w:rsid w:val="71C72AD3"/>
    <w:rsid w:val="71C823A7"/>
    <w:rsid w:val="71C9243B"/>
    <w:rsid w:val="71CA4371"/>
    <w:rsid w:val="71CF7BDA"/>
    <w:rsid w:val="71D21478"/>
    <w:rsid w:val="71D27F8A"/>
    <w:rsid w:val="71D9064A"/>
    <w:rsid w:val="71DB657E"/>
    <w:rsid w:val="71DE1BCB"/>
    <w:rsid w:val="71E03B95"/>
    <w:rsid w:val="71E117BB"/>
    <w:rsid w:val="71E27ABF"/>
    <w:rsid w:val="71E371E1"/>
    <w:rsid w:val="71EF5B86"/>
    <w:rsid w:val="71F118FE"/>
    <w:rsid w:val="71F15DA2"/>
    <w:rsid w:val="71F238C8"/>
    <w:rsid w:val="71F65166"/>
    <w:rsid w:val="71F8045A"/>
    <w:rsid w:val="71F87178"/>
    <w:rsid w:val="71FC5ABD"/>
    <w:rsid w:val="71FD29A8"/>
    <w:rsid w:val="71FD4747"/>
    <w:rsid w:val="71FD4EBA"/>
    <w:rsid w:val="71FF2160"/>
    <w:rsid w:val="720930EC"/>
    <w:rsid w:val="720F447A"/>
    <w:rsid w:val="72117193"/>
    <w:rsid w:val="72161365"/>
    <w:rsid w:val="721E646B"/>
    <w:rsid w:val="72264571"/>
    <w:rsid w:val="72271F19"/>
    <w:rsid w:val="72291511"/>
    <w:rsid w:val="722B1FD4"/>
    <w:rsid w:val="7231619E"/>
    <w:rsid w:val="72326EE7"/>
    <w:rsid w:val="72330169"/>
    <w:rsid w:val="72331F17"/>
    <w:rsid w:val="72347FC0"/>
    <w:rsid w:val="72352198"/>
    <w:rsid w:val="72356ABA"/>
    <w:rsid w:val="72374BF5"/>
    <w:rsid w:val="72380C91"/>
    <w:rsid w:val="723B4C48"/>
    <w:rsid w:val="723B526F"/>
    <w:rsid w:val="723F0166"/>
    <w:rsid w:val="723F4D5F"/>
    <w:rsid w:val="724F4877"/>
    <w:rsid w:val="72553024"/>
    <w:rsid w:val="72636FD7"/>
    <w:rsid w:val="726447C6"/>
    <w:rsid w:val="72670600"/>
    <w:rsid w:val="726732E2"/>
    <w:rsid w:val="726B1CAC"/>
    <w:rsid w:val="726F6CC7"/>
    <w:rsid w:val="727662A7"/>
    <w:rsid w:val="72793B35"/>
    <w:rsid w:val="727B233D"/>
    <w:rsid w:val="727D3192"/>
    <w:rsid w:val="727E1565"/>
    <w:rsid w:val="727E16B2"/>
    <w:rsid w:val="727F515C"/>
    <w:rsid w:val="72834520"/>
    <w:rsid w:val="7286134A"/>
    <w:rsid w:val="728925B1"/>
    <w:rsid w:val="728C1BE5"/>
    <w:rsid w:val="728C7879"/>
    <w:rsid w:val="728E0759"/>
    <w:rsid w:val="72952BD1"/>
    <w:rsid w:val="7298446F"/>
    <w:rsid w:val="729E67C3"/>
    <w:rsid w:val="72A10820"/>
    <w:rsid w:val="72A11576"/>
    <w:rsid w:val="72A526E9"/>
    <w:rsid w:val="72A6630F"/>
    <w:rsid w:val="72A76461"/>
    <w:rsid w:val="72B33D47"/>
    <w:rsid w:val="72B33DEA"/>
    <w:rsid w:val="72BB015E"/>
    <w:rsid w:val="72BC0C11"/>
    <w:rsid w:val="72BC7901"/>
    <w:rsid w:val="72C214EC"/>
    <w:rsid w:val="72C23935"/>
    <w:rsid w:val="72C31133"/>
    <w:rsid w:val="72C42487"/>
    <w:rsid w:val="72C84E5C"/>
    <w:rsid w:val="72C94629"/>
    <w:rsid w:val="72C97A85"/>
    <w:rsid w:val="72CC236B"/>
    <w:rsid w:val="72D01C58"/>
    <w:rsid w:val="72D1172F"/>
    <w:rsid w:val="72D354A8"/>
    <w:rsid w:val="72D37256"/>
    <w:rsid w:val="72D72570"/>
    <w:rsid w:val="72DC25AE"/>
    <w:rsid w:val="72E2393D"/>
    <w:rsid w:val="72E355B6"/>
    <w:rsid w:val="72E74AAF"/>
    <w:rsid w:val="72EB27F1"/>
    <w:rsid w:val="72ED68F0"/>
    <w:rsid w:val="72F06BDF"/>
    <w:rsid w:val="72F13B80"/>
    <w:rsid w:val="72F853FF"/>
    <w:rsid w:val="72FB4C14"/>
    <w:rsid w:val="72FF004B"/>
    <w:rsid w:val="72FF29D4"/>
    <w:rsid w:val="730B2E93"/>
    <w:rsid w:val="73122968"/>
    <w:rsid w:val="73133AF6"/>
    <w:rsid w:val="731A14F4"/>
    <w:rsid w:val="731F1D55"/>
    <w:rsid w:val="731F5D5E"/>
    <w:rsid w:val="73216213"/>
    <w:rsid w:val="732170E5"/>
    <w:rsid w:val="73223D39"/>
    <w:rsid w:val="732B4E38"/>
    <w:rsid w:val="732C289D"/>
    <w:rsid w:val="732C4583"/>
    <w:rsid w:val="73323166"/>
    <w:rsid w:val="733F48EB"/>
    <w:rsid w:val="73400AA6"/>
    <w:rsid w:val="734463A5"/>
    <w:rsid w:val="73474DA4"/>
    <w:rsid w:val="7348106F"/>
    <w:rsid w:val="734819F2"/>
    <w:rsid w:val="734E4B2E"/>
    <w:rsid w:val="735623D1"/>
    <w:rsid w:val="7357094B"/>
    <w:rsid w:val="735852FB"/>
    <w:rsid w:val="735D58FC"/>
    <w:rsid w:val="735F2305"/>
    <w:rsid w:val="736507F6"/>
    <w:rsid w:val="73695125"/>
    <w:rsid w:val="736A2763"/>
    <w:rsid w:val="736B1B84"/>
    <w:rsid w:val="736B748E"/>
    <w:rsid w:val="736B7A45"/>
    <w:rsid w:val="736C2CDB"/>
    <w:rsid w:val="736F70B1"/>
    <w:rsid w:val="73702CF6"/>
    <w:rsid w:val="73741484"/>
    <w:rsid w:val="737427E7"/>
    <w:rsid w:val="737547B1"/>
    <w:rsid w:val="737E18B7"/>
    <w:rsid w:val="737F73DD"/>
    <w:rsid w:val="73832A2A"/>
    <w:rsid w:val="738524FE"/>
    <w:rsid w:val="73852C46"/>
    <w:rsid w:val="73880040"/>
    <w:rsid w:val="738A5B9F"/>
    <w:rsid w:val="73903399"/>
    <w:rsid w:val="739369E5"/>
    <w:rsid w:val="73974727"/>
    <w:rsid w:val="73992AC3"/>
    <w:rsid w:val="739C6BE4"/>
    <w:rsid w:val="739E1612"/>
    <w:rsid w:val="739E5AB6"/>
    <w:rsid w:val="73A34E7A"/>
    <w:rsid w:val="73A66A49"/>
    <w:rsid w:val="73AB01D2"/>
    <w:rsid w:val="73AF1A71"/>
    <w:rsid w:val="73B00889"/>
    <w:rsid w:val="73B02BDC"/>
    <w:rsid w:val="73B07597"/>
    <w:rsid w:val="73B47087"/>
    <w:rsid w:val="73B61F92"/>
    <w:rsid w:val="73B74BBB"/>
    <w:rsid w:val="73BE077C"/>
    <w:rsid w:val="73BF5B2F"/>
    <w:rsid w:val="73C117A4"/>
    <w:rsid w:val="73C3551C"/>
    <w:rsid w:val="73C51AD5"/>
    <w:rsid w:val="73CC4A8A"/>
    <w:rsid w:val="73D17C39"/>
    <w:rsid w:val="73DB2866"/>
    <w:rsid w:val="73DC038C"/>
    <w:rsid w:val="73DE2356"/>
    <w:rsid w:val="73DE5EB2"/>
    <w:rsid w:val="73E230B9"/>
    <w:rsid w:val="73E6120B"/>
    <w:rsid w:val="73E97A4A"/>
    <w:rsid w:val="73EA4857"/>
    <w:rsid w:val="73ED07EB"/>
    <w:rsid w:val="73ED2A40"/>
    <w:rsid w:val="73F15875"/>
    <w:rsid w:val="73F41B79"/>
    <w:rsid w:val="73F92CEC"/>
    <w:rsid w:val="73F97190"/>
    <w:rsid w:val="73FA42D5"/>
    <w:rsid w:val="73FB67E5"/>
    <w:rsid w:val="73FF3230"/>
    <w:rsid w:val="7402235F"/>
    <w:rsid w:val="74093490"/>
    <w:rsid w:val="740A314B"/>
    <w:rsid w:val="740A6CA7"/>
    <w:rsid w:val="740F0761"/>
    <w:rsid w:val="741144D9"/>
    <w:rsid w:val="74161AF0"/>
    <w:rsid w:val="741909C5"/>
    <w:rsid w:val="741915E0"/>
    <w:rsid w:val="741E793C"/>
    <w:rsid w:val="742064CB"/>
    <w:rsid w:val="74216777"/>
    <w:rsid w:val="74253AE1"/>
    <w:rsid w:val="74275AAB"/>
    <w:rsid w:val="742C4E6F"/>
    <w:rsid w:val="742F4DE6"/>
    <w:rsid w:val="742F6013"/>
    <w:rsid w:val="7431366F"/>
    <w:rsid w:val="743146C8"/>
    <w:rsid w:val="743401C8"/>
    <w:rsid w:val="7441186B"/>
    <w:rsid w:val="74416441"/>
    <w:rsid w:val="74420ABE"/>
    <w:rsid w:val="74463A57"/>
    <w:rsid w:val="74471BB8"/>
    <w:rsid w:val="744A3547"/>
    <w:rsid w:val="744F4027"/>
    <w:rsid w:val="7459408D"/>
    <w:rsid w:val="74597C2E"/>
    <w:rsid w:val="745B77F1"/>
    <w:rsid w:val="745E3944"/>
    <w:rsid w:val="74687E72"/>
    <w:rsid w:val="746E7F61"/>
    <w:rsid w:val="74736F42"/>
    <w:rsid w:val="74746816"/>
    <w:rsid w:val="7476258E"/>
    <w:rsid w:val="747C5C15"/>
    <w:rsid w:val="7480340D"/>
    <w:rsid w:val="748051BB"/>
    <w:rsid w:val="748C511B"/>
    <w:rsid w:val="74933140"/>
    <w:rsid w:val="74940C50"/>
    <w:rsid w:val="74956EB9"/>
    <w:rsid w:val="7496678D"/>
    <w:rsid w:val="74975840"/>
    <w:rsid w:val="749A63B4"/>
    <w:rsid w:val="749D7B1B"/>
    <w:rsid w:val="74A55CD2"/>
    <w:rsid w:val="74A5696C"/>
    <w:rsid w:val="74A569D0"/>
    <w:rsid w:val="74A62D93"/>
    <w:rsid w:val="74AB66DC"/>
    <w:rsid w:val="74AC4202"/>
    <w:rsid w:val="74B44E65"/>
    <w:rsid w:val="74B45D96"/>
    <w:rsid w:val="74B86703"/>
    <w:rsid w:val="74BD1F6B"/>
    <w:rsid w:val="74BF784D"/>
    <w:rsid w:val="74C01A5C"/>
    <w:rsid w:val="74C23A26"/>
    <w:rsid w:val="74C72DEA"/>
    <w:rsid w:val="74C94DB4"/>
    <w:rsid w:val="74CA4688"/>
    <w:rsid w:val="74CF1C9F"/>
    <w:rsid w:val="74D11B16"/>
    <w:rsid w:val="74D31A39"/>
    <w:rsid w:val="74D6302D"/>
    <w:rsid w:val="74DA48CB"/>
    <w:rsid w:val="74ED4E82"/>
    <w:rsid w:val="74EE0377"/>
    <w:rsid w:val="74F55F2A"/>
    <w:rsid w:val="74F82FA3"/>
    <w:rsid w:val="74FA4F6E"/>
    <w:rsid w:val="74FA7758"/>
    <w:rsid w:val="74FB18F9"/>
    <w:rsid w:val="74FC6604"/>
    <w:rsid w:val="750758DC"/>
    <w:rsid w:val="75094A06"/>
    <w:rsid w:val="75097E5E"/>
    <w:rsid w:val="75117CC3"/>
    <w:rsid w:val="7514770C"/>
    <w:rsid w:val="7516167C"/>
    <w:rsid w:val="75171011"/>
    <w:rsid w:val="75172572"/>
    <w:rsid w:val="75172585"/>
    <w:rsid w:val="75181898"/>
    <w:rsid w:val="75183646"/>
    <w:rsid w:val="751A60D1"/>
    <w:rsid w:val="751B4A1B"/>
    <w:rsid w:val="751D7EC3"/>
    <w:rsid w:val="751F3648"/>
    <w:rsid w:val="7522622B"/>
    <w:rsid w:val="75263FB5"/>
    <w:rsid w:val="75306BE1"/>
    <w:rsid w:val="75321A53"/>
    <w:rsid w:val="75331A50"/>
    <w:rsid w:val="753560A8"/>
    <w:rsid w:val="75357D54"/>
    <w:rsid w:val="7537598C"/>
    <w:rsid w:val="753B0164"/>
    <w:rsid w:val="753B10E2"/>
    <w:rsid w:val="753B7A29"/>
    <w:rsid w:val="753D2637"/>
    <w:rsid w:val="753D30AC"/>
    <w:rsid w:val="753E7806"/>
    <w:rsid w:val="75412B9C"/>
    <w:rsid w:val="754167EA"/>
    <w:rsid w:val="75470E99"/>
    <w:rsid w:val="754E350B"/>
    <w:rsid w:val="75504B8E"/>
    <w:rsid w:val="7553467E"/>
    <w:rsid w:val="755A5196"/>
    <w:rsid w:val="755F1275"/>
    <w:rsid w:val="75625727"/>
    <w:rsid w:val="7564688B"/>
    <w:rsid w:val="75662603"/>
    <w:rsid w:val="756643B1"/>
    <w:rsid w:val="756B7C19"/>
    <w:rsid w:val="756C336B"/>
    <w:rsid w:val="756E3266"/>
    <w:rsid w:val="75705230"/>
    <w:rsid w:val="75706FDE"/>
    <w:rsid w:val="75725AC6"/>
    <w:rsid w:val="75731778"/>
    <w:rsid w:val="75736ACE"/>
    <w:rsid w:val="75785276"/>
    <w:rsid w:val="757A60AE"/>
    <w:rsid w:val="7581743D"/>
    <w:rsid w:val="758229C0"/>
    <w:rsid w:val="7583694D"/>
    <w:rsid w:val="75842A89"/>
    <w:rsid w:val="75846F2D"/>
    <w:rsid w:val="75874327"/>
    <w:rsid w:val="7589009F"/>
    <w:rsid w:val="7589213B"/>
    <w:rsid w:val="758B689E"/>
    <w:rsid w:val="758E7EC1"/>
    <w:rsid w:val="7591618F"/>
    <w:rsid w:val="75930F1E"/>
    <w:rsid w:val="75986535"/>
    <w:rsid w:val="75986772"/>
    <w:rsid w:val="75994904"/>
    <w:rsid w:val="759A405B"/>
    <w:rsid w:val="75A03D67"/>
    <w:rsid w:val="75A13E56"/>
    <w:rsid w:val="75A3791A"/>
    <w:rsid w:val="75A82C1C"/>
    <w:rsid w:val="75B46F90"/>
    <w:rsid w:val="75B50E95"/>
    <w:rsid w:val="75BB6901"/>
    <w:rsid w:val="75BE243F"/>
    <w:rsid w:val="75BE2C13"/>
    <w:rsid w:val="75BE41ED"/>
    <w:rsid w:val="75C5557C"/>
    <w:rsid w:val="75C90F3B"/>
    <w:rsid w:val="75CF1DAB"/>
    <w:rsid w:val="75D4756D"/>
    <w:rsid w:val="75D66F6E"/>
    <w:rsid w:val="75DC4673"/>
    <w:rsid w:val="75DF2357"/>
    <w:rsid w:val="75E023B5"/>
    <w:rsid w:val="75E11C8A"/>
    <w:rsid w:val="75E37361"/>
    <w:rsid w:val="75E672A0"/>
    <w:rsid w:val="75E95BCF"/>
    <w:rsid w:val="75ED7121"/>
    <w:rsid w:val="75EE07A4"/>
    <w:rsid w:val="75F220E9"/>
    <w:rsid w:val="75F96FD3"/>
    <w:rsid w:val="75FA3A1A"/>
    <w:rsid w:val="75FC6AC3"/>
    <w:rsid w:val="76031347"/>
    <w:rsid w:val="760442A1"/>
    <w:rsid w:val="760D1E57"/>
    <w:rsid w:val="760E3B60"/>
    <w:rsid w:val="76100768"/>
    <w:rsid w:val="761420F5"/>
    <w:rsid w:val="76143E0D"/>
    <w:rsid w:val="76165DD7"/>
    <w:rsid w:val="76171CE3"/>
    <w:rsid w:val="761938F1"/>
    <w:rsid w:val="761E4C8C"/>
    <w:rsid w:val="761E6A3A"/>
    <w:rsid w:val="762848E9"/>
    <w:rsid w:val="762A1882"/>
    <w:rsid w:val="762C5AD2"/>
    <w:rsid w:val="762F11BB"/>
    <w:rsid w:val="76320737"/>
    <w:rsid w:val="763444AF"/>
    <w:rsid w:val="7635099D"/>
    <w:rsid w:val="76375D4D"/>
    <w:rsid w:val="763829FD"/>
    <w:rsid w:val="763B75EC"/>
    <w:rsid w:val="763D14D8"/>
    <w:rsid w:val="763D7C0A"/>
    <w:rsid w:val="763E70DC"/>
    <w:rsid w:val="763F2868"/>
    <w:rsid w:val="764C5FBF"/>
    <w:rsid w:val="76530DD9"/>
    <w:rsid w:val="76544B51"/>
    <w:rsid w:val="76562678"/>
    <w:rsid w:val="765D716B"/>
    <w:rsid w:val="765E152C"/>
    <w:rsid w:val="765E777E"/>
    <w:rsid w:val="765F3E98"/>
    <w:rsid w:val="766120F8"/>
    <w:rsid w:val="766C1E9B"/>
    <w:rsid w:val="766D7BD0"/>
    <w:rsid w:val="766E5C13"/>
    <w:rsid w:val="76742AFE"/>
    <w:rsid w:val="767D522A"/>
    <w:rsid w:val="767D7C04"/>
    <w:rsid w:val="76816FC9"/>
    <w:rsid w:val="768A72D8"/>
    <w:rsid w:val="768C6099"/>
    <w:rsid w:val="768D3BBF"/>
    <w:rsid w:val="768E6F08"/>
    <w:rsid w:val="769006E4"/>
    <w:rsid w:val="76941E85"/>
    <w:rsid w:val="769625A6"/>
    <w:rsid w:val="76962A74"/>
    <w:rsid w:val="76967C55"/>
    <w:rsid w:val="769767EC"/>
    <w:rsid w:val="76981B39"/>
    <w:rsid w:val="769826AB"/>
    <w:rsid w:val="76984A3E"/>
    <w:rsid w:val="769B62DC"/>
    <w:rsid w:val="769B6B48"/>
    <w:rsid w:val="76A07A2B"/>
    <w:rsid w:val="76A4325B"/>
    <w:rsid w:val="76AE3A09"/>
    <w:rsid w:val="76B033A8"/>
    <w:rsid w:val="76B24BBF"/>
    <w:rsid w:val="76B37ACA"/>
    <w:rsid w:val="76BB697E"/>
    <w:rsid w:val="76BD26F7"/>
    <w:rsid w:val="76CE304C"/>
    <w:rsid w:val="76CE7275"/>
    <w:rsid w:val="76D65566"/>
    <w:rsid w:val="76DC4CCE"/>
    <w:rsid w:val="76DE01EA"/>
    <w:rsid w:val="76DE5835"/>
    <w:rsid w:val="76DF266D"/>
    <w:rsid w:val="76E1631E"/>
    <w:rsid w:val="76E61C4D"/>
    <w:rsid w:val="76E863E9"/>
    <w:rsid w:val="76EB1A60"/>
    <w:rsid w:val="76ED2582"/>
    <w:rsid w:val="76EE5A6B"/>
    <w:rsid w:val="76F31C74"/>
    <w:rsid w:val="76F41B7D"/>
    <w:rsid w:val="76F459ED"/>
    <w:rsid w:val="76F52AFE"/>
    <w:rsid w:val="76F61765"/>
    <w:rsid w:val="77020109"/>
    <w:rsid w:val="770836B2"/>
    <w:rsid w:val="770E2F52"/>
    <w:rsid w:val="770F2B0C"/>
    <w:rsid w:val="771A5453"/>
    <w:rsid w:val="771C1E27"/>
    <w:rsid w:val="771D3195"/>
    <w:rsid w:val="77204A34"/>
    <w:rsid w:val="772067E2"/>
    <w:rsid w:val="77207080"/>
    <w:rsid w:val="772B58B2"/>
    <w:rsid w:val="772C10B5"/>
    <w:rsid w:val="772F0859"/>
    <w:rsid w:val="7731279D"/>
    <w:rsid w:val="773C0460"/>
    <w:rsid w:val="773C312D"/>
    <w:rsid w:val="773F310C"/>
    <w:rsid w:val="774369DA"/>
    <w:rsid w:val="774520DB"/>
    <w:rsid w:val="77471FC0"/>
    <w:rsid w:val="77543075"/>
    <w:rsid w:val="77544308"/>
    <w:rsid w:val="775A1D1E"/>
    <w:rsid w:val="775D3592"/>
    <w:rsid w:val="775D69E5"/>
    <w:rsid w:val="77602309"/>
    <w:rsid w:val="776112D4"/>
    <w:rsid w:val="77640DC4"/>
    <w:rsid w:val="7765592F"/>
    <w:rsid w:val="77674410"/>
    <w:rsid w:val="77685F9B"/>
    <w:rsid w:val="77687232"/>
    <w:rsid w:val="776C1A27"/>
    <w:rsid w:val="776C7C79"/>
    <w:rsid w:val="7770454E"/>
    <w:rsid w:val="77754D7F"/>
    <w:rsid w:val="77762421"/>
    <w:rsid w:val="77764653"/>
    <w:rsid w:val="777F7DBE"/>
    <w:rsid w:val="77822FF8"/>
    <w:rsid w:val="77846CDF"/>
    <w:rsid w:val="77884AB3"/>
    <w:rsid w:val="778B6351"/>
    <w:rsid w:val="778C2FC1"/>
    <w:rsid w:val="77931781"/>
    <w:rsid w:val="77935205"/>
    <w:rsid w:val="77980A6E"/>
    <w:rsid w:val="779870B5"/>
    <w:rsid w:val="779A47E6"/>
    <w:rsid w:val="779A4A87"/>
    <w:rsid w:val="77A70BCD"/>
    <w:rsid w:val="77A92C7B"/>
    <w:rsid w:val="77AE12A3"/>
    <w:rsid w:val="77B56B1F"/>
    <w:rsid w:val="77B866D3"/>
    <w:rsid w:val="77BC475C"/>
    <w:rsid w:val="77C1693E"/>
    <w:rsid w:val="77C52CF4"/>
    <w:rsid w:val="77C620FD"/>
    <w:rsid w:val="77D074F3"/>
    <w:rsid w:val="77D31AA6"/>
    <w:rsid w:val="77D6701F"/>
    <w:rsid w:val="77D870BC"/>
    <w:rsid w:val="77DE08BF"/>
    <w:rsid w:val="77DE2925"/>
    <w:rsid w:val="77DF59E5"/>
    <w:rsid w:val="77DF669D"/>
    <w:rsid w:val="77E141C3"/>
    <w:rsid w:val="77E36D4C"/>
    <w:rsid w:val="77E51F05"/>
    <w:rsid w:val="77EB3293"/>
    <w:rsid w:val="77EC1C4C"/>
    <w:rsid w:val="77ED0DBA"/>
    <w:rsid w:val="77EE2602"/>
    <w:rsid w:val="77F41A5D"/>
    <w:rsid w:val="77F75A5E"/>
    <w:rsid w:val="77F9150C"/>
    <w:rsid w:val="77F92EE3"/>
    <w:rsid w:val="77FA466F"/>
    <w:rsid w:val="77FC724F"/>
    <w:rsid w:val="77FF2E6B"/>
    <w:rsid w:val="78014865"/>
    <w:rsid w:val="78034139"/>
    <w:rsid w:val="780350F4"/>
    <w:rsid w:val="780363C2"/>
    <w:rsid w:val="780A196C"/>
    <w:rsid w:val="780F08F1"/>
    <w:rsid w:val="780F09F4"/>
    <w:rsid w:val="780F6F82"/>
    <w:rsid w:val="781152FC"/>
    <w:rsid w:val="78146346"/>
    <w:rsid w:val="78153E6C"/>
    <w:rsid w:val="78174088"/>
    <w:rsid w:val="781B5927"/>
    <w:rsid w:val="781C344D"/>
    <w:rsid w:val="781F3B6D"/>
    <w:rsid w:val="78210A63"/>
    <w:rsid w:val="78252B16"/>
    <w:rsid w:val="78260025"/>
    <w:rsid w:val="78285575"/>
    <w:rsid w:val="78286882"/>
    <w:rsid w:val="782E3564"/>
    <w:rsid w:val="783059B2"/>
    <w:rsid w:val="7834070E"/>
    <w:rsid w:val="7834370D"/>
    <w:rsid w:val="783955CE"/>
    <w:rsid w:val="783B524E"/>
    <w:rsid w:val="783C764B"/>
    <w:rsid w:val="783E7FCF"/>
    <w:rsid w:val="783F3C54"/>
    <w:rsid w:val="78436C2C"/>
    <w:rsid w:val="78484242"/>
    <w:rsid w:val="7849330B"/>
    <w:rsid w:val="784B54E8"/>
    <w:rsid w:val="78534766"/>
    <w:rsid w:val="78544995"/>
    <w:rsid w:val="785901FD"/>
    <w:rsid w:val="78597AB5"/>
    <w:rsid w:val="785C79B3"/>
    <w:rsid w:val="7860158C"/>
    <w:rsid w:val="786054E2"/>
    <w:rsid w:val="78647A24"/>
    <w:rsid w:val="786646C8"/>
    <w:rsid w:val="786956BA"/>
    <w:rsid w:val="786C7F30"/>
    <w:rsid w:val="786E2ED7"/>
    <w:rsid w:val="786F17CF"/>
    <w:rsid w:val="7872402B"/>
    <w:rsid w:val="7879089F"/>
    <w:rsid w:val="787B4617"/>
    <w:rsid w:val="787C3EEC"/>
    <w:rsid w:val="787E4A3E"/>
    <w:rsid w:val="787E5EB6"/>
    <w:rsid w:val="78801C2E"/>
    <w:rsid w:val="788259A6"/>
    <w:rsid w:val="788334CC"/>
    <w:rsid w:val="788567F8"/>
    <w:rsid w:val="788756E6"/>
    <w:rsid w:val="78882EF5"/>
    <w:rsid w:val="788A2AAC"/>
    <w:rsid w:val="788D434B"/>
    <w:rsid w:val="788F1E71"/>
    <w:rsid w:val="7897429F"/>
    <w:rsid w:val="7897528D"/>
    <w:rsid w:val="78994A9D"/>
    <w:rsid w:val="789B10C8"/>
    <w:rsid w:val="789D1ACE"/>
    <w:rsid w:val="789E0306"/>
    <w:rsid w:val="78A24456"/>
    <w:rsid w:val="78A43CB2"/>
    <w:rsid w:val="78A90480"/>
    <w:rsid w:val="78AB7B6D"/>
    <w:rsid w:val="78B611AB"/>
    <w:rsid w:val="78BB3C7E"/>
    <w:rsid w:val="78BB7294"/>
    <w:rsid w:val="78C45AF7"/>
    <w:rsid w:val="78CA4C57"/>
    <w:rsid w:val="78CF04BF"/>
    <w:rsid w:val="78D12489"/>
    <w:rsid w:val="78D83818"/>
    <w:rsid w:val="78DB7356"/>
    <w:rsid w:val="78DD498A"/>
    <w:rsid w:val="78DE6954"/>
    <w:rsid w:val="78E026CC"/>
    <w:rsid w:val="78E04F89"/>
    <w:rsid w:val="78E120E6"/>
    <w:rsid w:val="78E24696"/>
    <w:rsid w:val="78E421BD"/>
    <w:rsid w:val="78E8332F"/>
    <w:rsid w:val="78EE4DE9"/>
    <w:rsid w:val="78F32001"/>
    <w:rsid w:val="78F46178"/>
    <w:rsid w:val="78FB5758"/>
    <w:rsid w:val="79002D6F"/>
    <w:rsid w:val="7900306A"/>
    <w:rsid w:val="7902023B"/>
    <w:rsid w:val="7908111E"/>
    <w:rsid w:val="79094DB5"/>
    <w:rsid w:val="790C5A7A"/>
    <w:rsid w:val="790E7239"/>
    <w:rsid w:val="79110AD8"/>
    <w:rsid w:val="79181E66"/>
    <w:rsid w:val="791B3704"/>
    <w:rsid w:val="791D4A81"/>
    <w:rsid w:val="79202AC9"/>
    <w:rsid w:val="792720A9"/>
    <w:rsid w:val="79273E57"/>
    <w:rsid w:val="792918C8"/>
    <w:rsid w:val="792A3948"/>
    <w:rsid w:val="792B056D"/>
    <w:rsid w:val="79330A4E"/>
    <w:rsid w:val="793622EC"/>
    <w:rsid w:val="79393B8B"/>
    <w:rsid w:val="793F3897"/>
    <w:rsid w:val="794013BD"/>
    <w:rsid w:val="79404AFC"/>
    <w:rsid w:val="79404F19"/>
    <w:rsid w:val="79425135"/>
    <w:rsid w:val="794E03FE"/>
    <w:rsid w:val="794F33AE"/>
    <w:rsid w:val="795135CA"/>
    <w:rsid w:val="79525D3E"/>
    <w:rsid w:val="79582B1F"/>
    <w:rsid w:val="795B7FA5"/>
    <w:rsid w:val="795D6A9B"/>
    <w:rsid w:val="79654980"/>
    <w:rsid w:val="79674B9C"/>
    <w:rsid w:val="79694470"/>
    <w:rsid w:val="796E1A86"/>
    <w:rsid w:val="796E5F2A"/>
    <w:rsid w:val="797C1F00"/>
    <w:rsid w:val="797D676F"/>
    <w:rsid w:val="797F5E4E"/>
    <w:rsid w:val="797F7E64"/>
    <w:rsid w:val="79820071"/>
    <w:rsid w:val="79825532"/>
    <w:rsid w:val="79836945"/>
    <w:rsid w:val="79856C26"/>
    <w:rsid w:val="79872B48"/>
    <w:rsid w:val="798E2128"/>
    <w:rsid w:val="79955265"/>
    <w:rsid w:val="79960FDD"/>
    <w:rsid w:val="799D05BD"/>
    <w:rsid w:val="79A33E26"/>
    <w:rsid w:val="79A36ADB"/>
    <w:rsid w:val="79A436FA"/>
    <w:rsid w:val="79A713FE"/>
    <w:rsid w:val="79A722B9"/>
    <w:rsid w:val="79A951B4"/>
    <w:rsid w:val="79B0077C"/>
    <w:rsid w:val="79B24069"/>
    <w:rsid w:val="79B3393D"/>
    <w:rsid w:val="79B53B59"/>
    <w:rsid w:val="79B871A5"/>
    <w:rsid w:val="79BD47BC"/>
    <w:rsid w:val="79BD6FB1"/>
    <w:rsid w:val="79BE1A84"/>
    <w:rsid w:val="79C124FE"/>
    <w:rsid w:val="79C2422B"/>
    <w:rsid w:val="79C36BB6"/>
    <w:rsid w:val="79CB512B"/>
    <w:rsid w:val="79CE4C1B"/>
    <w:rsid w:val="79D02741"/>
    <w:rsid w:val="79D21E6C"/>
    <w:rsid w:val="79D31E17"/>
    <w:rsid w:val="79D616AE"/>
    <w:rsid w:val="79D833A4"/>
    <w:rsid w:val="79DA35C0"/>
    <w:rsid w:val="79DC2A4B"/>
    <w:rsid w:val="79DF10D7"/>
    <w:rsid w:val="79DF2984"/>
    <w:rsid w:val="79E05927"/>
    <w:rsid w:val="79E5308B"/>
    <w:rsid w:val="79E8327B"/>
    <w:rsid w:val="79E93803"/>
    <w:rsid w:val="79EB72CF"/>
    <w:rsid w:val="79F16D16"/>
    <w:rsid w:val="79F346B8"/>
    <w:rsid w:val="79F51E5A"/>
    <w:rsid w:val="79F57588"/>
    <w:rsid w:val="79F87616"/>
    <w:rsid w:val="79FC1788"/>
    <w:rsid w:val="79FE105C"/>
    <w:rsid w:val="7A040E58"/>
    <w:rsid w:val="7A0438CB"/>
    <w:rsid w:val="7A055CB7"/>
    <w:rsid w:val="7A066E53"/>
    <w:rsid w:val="7A0D74F1"/>
    <w:rsid w:val="7A0E5017"/>
    <w:rsid w:val="7A0F6B20"/>
    <w:rsid w:val="7A122D59"/>
    <w:rsid w:val="7A13262E"/>
    <w:rsid w:val="7A207E6B"/>
    <w:rsid w:val="7A2401C6"/>
    <w:rsid w:val="7A252032"/>
    <w:rsid w:val="7A253E75"/>
    <w:rsid w:val="7A2B7977"/>
    <w:rsid w:val="7A2C0AE0"/>
    <w:rsid w:val="7A315709"/>
    <w:rsid w:val="7A364017"/>
    <w:rsid w:val="7A3740A0"/>
    <w:rsid w:val="7A3C7DD6"/>
    <w:rsid w:val="7A432F13"/>
    <w:rsid w:val="7A444843"/>
    <w:rsid w:val="7A480529"/>
    <w:rsid w:val="7A486646"/>
    <w:rsid w:val="7A48677B"/>
    <w:rsid w:val="7A4A24F3"/>
    <w:rsid w:val="7A4B626B"/>
    <w:rsid w:val="7A4C3F0C"/>
    <w:rsid w:val="7A4D1FE3"/>
    <w:rsid w:val="7A4E4C46"/>
    <w:rsid w:val="7A5073DE"/>
    <w:rsid w:val="7A5213A8"/>
    <w:rsid w:val="7A543372"/>
    <w:rsid w:val="7A5A52BF"/>
    <w:rsid w:val="7A5C5D83"/>
    <w:rsid w:val="7A657EE4"/>
    <w:rsid w:val="7A682979"/>
    <w:rsid w:val="7A6940FF"/>
    <w:rsid w:val="7A6B4218"/>
    <w:rsid w:val="7A6D4434"/>
    <w:rsid w:val="7A6E6D8B"/>
    <w:rsid w:val="7A70182E"/>
    <w:rsid w:val="7A7358BD"/>
    <w:rsid w:val="7A765096"/>
    <w:rsid w:val="7A7B26AD"/>
    <w:rsid w:val="7A8265E1"/>
    <w:rsid w:val="7A851FF7"/>
    <w:rsid w:val="7A94376E"/>
    <w:rsid w:val="7A984589"/>
    <w:rsid w:val="7AA00B7E"/>
    <w:rsid w:val="7AA0116B"/>
    <w:rsid w:val="7AA02113"/>
    <w:rsid w:val="7AA15E8B"/>
    <w:rsid w:val="7AA8546C"/>
    <w:rsid w:val="7AAA11E4"/>
    <w:rsid w:val="7AAA2F92"/>
    <w:rsid w:val="7AAC6929"/>
    <w:rsid w:val="7AAD21FD"/>
    <w:rsid w:val="7AAD2AD4"/>
    <w:rsid w:val="7AAE63CA"/>
    <w:rsid w:val="7AB20529"/>
    <w:rsid w:val="7AB7745D"/>
    <w:rsid w:val="7AB91427"/>
    <w:rsid w:val="7ABB5669"/>
    <w:rsid w:val="7ABE07EB"/>
    <w:rsid w:val="7ABE6832"/>
    <w:rsid w:val="7AC21775"/>
    <w:rsid w:val="7AC23757"/>
    <w:rsid w:val="7AC34054"/>
    <w:rsid w:val="7AC73B44"/>
    <w:rsid w:val="7ACA42CA"/>
    <w:rsid w:val="7AD1051F"/>
    <w:rsid w:val="7AD6194F"/>
    <w:rsid w:val="7AD973D3"/>
    <w:rsid w:val="7ADB5B50"/>
    <w:rsid w:val="7ADE2C3C"/>
    <w:rsid w:val="7AE30252"/>
    <w:rsid w:val="7AE75F94"/>
    <w:rsid w:val="7AE77294"/>
    <w:rsid w:val="7AEF5911"/>
    <w:rsid w:val="7AEF7AA2"/>
    <w:rsid w:val="7AF1296F"/>
    <w:rsid w:val="7AF1471D"/>
    <w:rsid w:val="7AF55B2D"/>
    <w:rsid w:val="7AFA5CC1"/>
    <w:rsid w:val="7AFB559C"/>
    <w:rsid w:val="7AFC32E6"/>
    <w:rsid w:val="7AFC584B"/>
    <w:rsid w:val="7AFF15FB"/>
    <w:rsid w:val="7B006E3F"/>
    <w:rsid w:val="7B0501C8"/>
    <w:rsid w:val="7B0940E7"/>
    <w:rsid w:val="7B0A1C83"/>
    <w:rsid w:val="7B0A57DF"/>
    <w:rsid w:val="7B0C59FB"/>
    <w:rsid w:val="7B0E1773"/>
    <w:rsid w:val="7B1138F9"/>
    <w:rsid w:val="7B123865"/>
    <w:rsid w:val="7B14665D"/>
    <w:rsid w:val="7B160627"/>
    <w:rsid w:val="7B193C74"/>
    <w:rsid w:val="7B1D7C08"/>
    <w:rsid w:val="7B1F786F"/>
    <w:rsid w:val="7B226FCC"/>
    <w:rsid w:val="7B235A36"/>
    <w:rsid w:val="7B252305"/>
    <w:rsid w:val="7B272834"/>
    <w:rsid w:val="7B2A5502"/>
    <w:rsid w:val="7B2D4F37"/>
    <w:rsid w:val="7B2E5971"/>
    <w:rsid w:val="7B3F7B7E"/>
    <w:rsid w:val="7B476A33"/>
    <w:rsid w:val="7B4909FD"/>
    <w:rsid w:val="7B4927AB"/>
    <w:rsid w:val="7B534CA5"/>
    <w:rsid w:val="7B5A4E02"/>
    <w:rsid w:val="7B5B24DE"/>
    <w:rsid w:val="7B5F2A03"/>
    <w:rsid w:val="7B603E48"/>
    <w:rsid w:val="7B615D46"/>
    <w:rsid w:val="7B624F18"/>
    <w:rsid w:val="7B66335D"/>
    <w:rsid w:val="7B686D42"/>
    <w:rsid w:val="7B6969A9"/>
    <w:rsid w:val="7B6C0247"/>
    <w:rsid w:val="7B6F1AE6"/>
    <w:rsid w:val="7B762E74"/>
    <w:rsid w:val="7B79088B"/>
    <w:rsid w:val="7B7A2964"/>
    <w:rsid w:val="7B811F45"/>
    <w:rsid w:val="7B841746"/>
    <w:rsid w:val="7B8657AD"/>
    <w:rsid w:val="7B8C08E9"/>
    <w:rsid w:val="7B8F3F36"/>
    <w:rsid w:val="7B963B66"/>
    <w:rsid w:val="7B9654E8"/>
    <w:rsid w:val="7B9A3006"/>
    <w:rsid w:val="7B9C36E0"/>
    <w:rsid w:val="7B9C6D7F"/>
    <w:rsid w:val="7B9D6653"/>
    <w:rsid w:val="7BAD0F8C"/>
    <w:rsid w:val="7BB10350"/>
    <w:rsid w:val="7BB128AD"/>
    <w:rsid w:val="7BBF2A6D"/>
    <w:rsid w:val="7BC02341"/>
    <w:rsid w:val="7BC10593"/>
    <w:rsid w:val="7BC25EFD"/>
    <w:rsid w:val="7BC368A3"/>
    <w:rsid w:val="7BC462D5"/>
    <w:rsid w:val="7BCB1412"/>
    <w:rsid w:val="7BCB4BEA"/>
    <w:rsid w:val="7BCE2CB0"/>
    <w:rsid w:val="7BD1454E"/>
    <w:rsid w:val="7BD81D81"/>
    <w:rsid w:val="7BDA05EF"/>
    <w:rsid w:val="7BDE6900"/>
    <w:rsid w:val="7BEA0994"/>
    <w:rsid w:val="7BEC215B"/>
    <w:rsid w:val="7BEE4817"/>
    <w:rsid w:val="7BF1074D"/>
    <w:rsid w:val="7BF22E42"/>
    <w:rsid w:val="7BF87D2D"/>
    <w:rsid w:val="7BF97117"/>
    <w:rsid w:val="7BFA55A5"/>
    <w:rsid w:val="7BFD3595"/>
    <w:rsid w:val="7BFE17E7"/>
    <w:rsid w:val="7BFF04E2"/>
    <w:rsid w:val="7C01670F"/>
    <w:rsid w:val="7C036161"/>
    <w:rsid w:val="7C036657"/>
    <w:rsid w:val="7C0861C2"/>
    <w:rsid w:val="7C086208"/>
    <w:rsid w:val="7C0C7A5C"/>
    <w:rsid w:val="7C0E7550"/>
    <w:rsid w:val="7C0F5EC4"/>
    <w:rsid w:val="7C110CE7"/>
    <w:rsid w:val="7C156B31"/>
    <w:rsid w:val="7C196023"/>
    <w:rsid w:val="7C1C080B"/>
    <w:rsid w:val="7C1D76DF"/>
    <w:rsid w:val="7C1E7C42"/>
    <w:rsid w:val="7C224DAA"/>
    <w:rsid w:val="7C27574E"/>
    <w:rsid w:val="7C2D18C4"/>
    <w:rsid w:val="7C2E19A1"/>
    <w:rsid w:val="7C352D2F"/>
    <w:rsid w:val="7C376AA7"/>
    <w:rsid w:val="7C3F3BAE"/>
    <w:rsid w:val="7C4774B4"/>
    <w:rsid w:val="7C4C4919"/>
    <w:rsid w:val="7C51421E"/>
    <w:rsid w:val="7C532F51"/>
    <w:rsid w:val="7C55517F"/>
    <w:rsid w:val="7C5A2796"/>
    <w:rsid w:val="7C5A3E43"/>
    <w:rsid w:val="7C631993"/>
    <w:rsid w:val="7C6C5AC7"/>
    <w:rsid w:val="7C705B15"/>
    <w:rsid w:val="7C726100"/>
    <w:rsid w:val="7C745605"/>
    <w:rsid w:val="7C75137E"/>
    <w:rsid w:val="7C75766A"/>
    <w:rsid w:val="7C773348"/>
    <w:rsid w:val="7C7750F6"/>
    <w:rsid w:val="7C7970C0"/>
    <w:rsid w:val="7C831CEC"/>
    <w:rsid w:val="7C833A9B"/>
    <w:rsid w:val="7C8415C1"/>
    <w:rsid w:val="7C88789A"/>
    <w:rsid w:val="7C8B294F"/>
    <w:rsid w:val="7C8E41ED"/>
    <w:rsid w:val="7C8F0691"/>
    <w:rsid w:val="7C8F243F"/>
    <w:rsid w:val="7C9238D7"/>
    <w:rsid w:val="7C972A58"/>
    <w:rsid w:val="7C9C4B5C"/>
    <w:rsid w:val="7C9E08D4"/>
    <w:rsid w:val="7CA0289E"/>
    <w:rsid w:val="7CA22801"/>
    <w:rsid w:val="7CA37C99"/>
    <w:rsid w:val="7CA431AC"/>
    <w:rsid w:val="7CA80310"/>
    <w:rsid w:val="7CA8482B"/>
    <w:rsid w:val="7CA92B7C"/>
    <w:rsid w:val="7CAB4D9F"/>
    <w:rsid w:val="7CB00608"/>
    <w:rsid w:val="7CB63E70"/>
    <w:rsid w:val="7CBB1486"/>
    <w:rsid w:val="7CC145C3"/>
    <w:rsid w:val="7CC52305"/>
    <w:rsid w:val="7CC6544B"/>
    <w:rsid w:val="7CC66242"/>
    <w:rsid w:val="7CC76D59"/>
    <w:rsid w:val="7CD10CAA"/>
    <w:rsid w:val="7CD51E1C"/>
    <w:rsid w:val="7CD54C68"/>
    <w:rsid w:val="7CDB7433"/>
    <w:rsid w:val="7CDC2679"/>
    <w:rsid w:val="7CDD764F"/>
    <w:rsid w:val="7CE00658"/>
    <w:rsid w:val="7CE0713F"/>
    <w:rsid w:val="7CE1176F"/>
    <w:rsid w:val="7CE87DA1"/>
    <w:rsid w:val="7CE9175B"/>
    <w:rsid w:val="7CEA2CFB"/>
    <w:rsid w:val="7CEC5AE4"/>
    <w:rsid w:val="7CF91FAF"/>
    <w:rsid w:val="7CFB1EB0"/>
    <w:rsid w:val="7CFB5700"/>
    <w:rsid w:val="7CFB6585"/>
    <w:rsid w:val="7CFC4F7F"/>
    <w:rsid w:val="7D0239FF"/>
    <w:rsid w:val="7D056BA5"/>
    <w:rsid w:val="7D07647A"/>
    <w:rsid w:val="7D0A60E0"/>
    <w:rsid w:val="7D0B583E"/>
    <w:rsid w:val="7D0D15B6"/>
    <w:rsid w:val="7D0E5A5A"/>
    <w:rsid w:val="7D1257C1"/>
    <w:rsid w:val="7D1312C2"/>
    <w:rsid w:val="7D196620"/>
    <w:rsid w:val="7D197F5B"/>
    <w:rsid w:val="7D1E1A15"/>
    <w:rsid w:val="7D1E37C3"/>
    <w:rsid w:val="7D20753B"/>
    <w:rsid w:val="7D260BDE"/>
    <w:rsid w:val="7D2708CA"/>
    <w:rsid w:val="7D275691"/>
    <w:rsid w:val="7D2D3F3E"/>
    <w:rsid w:val="7D311748"/>
    <w:rsid w:val="7D3532E1"/>
    <w:rsid w:val="7D360E79"/>
    <w:rsid w:val="7D372101"/>
    <w:rsid w:val="7D382AD7"/>
    <w:rsid w:val="7D42050F"/>
    <w:rsid w:val="7D4551F4"/>
    <w:rsid w:val="7D455CFB"/>
    <w:rsid w:val="7D52346D"/>
    <w:rsid w:val="7D541AAE"/>
    <w:rsid w:val="7D547DF1"/>
    <w:rsid w:val="7D567401"/>
    <w:rsid w:val="7D5A634C"/>
    <w:rsid w:val="7D5B0573"/>
    <w:rsid w:val="7D5B4A17"/>
    <w:rsid w:val="7D5E40CD"/>
    <w:rsid w:val="7D5F62B6"/>
    <w:rsid w:val="7D616C9F"/>
    <w:rsid w:val="7D617D11"/>
    <w:rsid w:val="7D63567A"/>
    <w:rsid w:val="7D6531A0"/>
    <w:rsid w:val="7D657644"/>
    <w:rsid w:val="7D6B2EAC"/>
    <w:rsid w:val="7D6E474B"/>
    <w:rsid w:val="7D7539AD"/>
    <w:rsid w:val="7D761851"/>
    <w:rsid w:val="7D7F0706"/>
    <w:rsid w:val="7D815E27"/>
    <w:rsid w:val="7D821FA4"/>
    <w:rsid w:val="7D843DC0"/>
    <w:rsid w:val="7D87580C"/>
    <w:rsid w:val="7D8A0E59"/>
    <w:rsid w:val="7D965A4F"/>
    <w:rsid w:val="7D97644D"/>
    <w:rsid w:val="7D985324"/>
    <w:rsid w:val="7D987C19"/>
    <w:rsid w:val="7D9F4904"/>
    <w:rsid w:val="7DA0242A"/>
    <w:rsid w:val="7DA05DFA"/>
    <w:rsid w:val="7DA104EE"/>
    <w:rsid w:val="7DA22646"/>
    <w:rsid w:val="7DA4016C"/>
    <w:rsid w:val="7DA97531"/>
    <w:rsid w:val="7DAA1DF6"/>
    <w:rsid w:val="7DAB14FB"/>
    <w:rsid w:val="7DAC7021"/>
    <w:rsid w:val="7DAE28C5"/>
    <w:rsid w:val="7DB008BF"/>
    <w:rsid w:val="7DB61C4E"/>
    <w:rsid w:val="7DB64AB7"/>
    <w:rsid w:val="7DB746B9"/>
    <w:rsid w:val="7DB859C6"/>
    <w:rsid w:val="7DC72735"/>
    <w:rsid w:val="7DCA4A14"/>
    <w:rsid w:val="7DCC4E86"/>
    <w:rsid w:val="7DCC7E3B"/>
    <w:rsid w:val="7DCD00E6"/>
    <w:rsid w:val="7DCD56F2"/>
    <w:rsid w:val="7DCE343B"/>
    <w:rsid w:val="7DCF7E3D"/>
    <w:rsid w:val="7DD21B80"/>
    <w:rsid w:val="7DD41A0F"/>
    <w:rsid w:val="7DD50893"/>
    <w:rsid w:val="7DD8185D"/>
    <w:rsid w:val="7DDA305A"/>
    <w:rsid w:val="7DE14F1D"/>
    <w:rsid w:val="7DE44A0D"/>
    <w:rsid w:val="7DE70059"/>
    <w:rsid w:val="7DE844FD"/>
    <w:rsid w:val="7DE92023"/>
    <w:rsid w:val="7DEB4B90"/>
    <w:rsid w:val="7DEF2DD8"/>
    <w:rsid w:val="7DF06F0E"/>
    <w:rsid w:val="7DF1156D"/>
    <w:rsid w:val="7DF764EE"/>
    <w:rsid w:val="7DFC1C6E"/>
    <w:rsid w:val="7DFD5ACF"/>
    <w:rsid w:val="7E0155BF"/>
    <w:rsid w:val="7E0415BF"/>
    <w:rsid w:val="7E052CF8"/>
    <w:rsid w:val="7E094473"/>
    <w:rsid w:val="7E0D112E"/>
    <w:rsid w:val="7E0E55E6"/>
    <w:rsid w:val="7E105802"/>
    <w:rsid w:val="7E112955"/>
    <w:rsid w:val="7E132BFC"/>
    <w:rsid w:val="7E162A33"/>
    <w:rsid w:val="7E18156E"/>
    <w:rsid w:val="7E1846B6"/>
    <w:rsid w:val="7E194CEF"/>
    <w:rsid w:val="7E1A41A3"/>
    <w:rsid w:val="7E1B08D1"/>
    <w:rsid w:val="7E1B53DE"/>
    <w:rsid w:val="7E1D1694"/>
    <w:rsid w:val="7E215319"/>
    <w:rsid w:val="7E235E07"/>
    <w:rsid w:val="7E260B81"/>
    <w:rsid w:val="7E260C32"/>
    <w:rsid w:val="7E282B4B"/>
    <w:rsid w:val="7E2B263C"/>
    <w:rsid w:val="7E2E230E"/>
    <w:rsid w:val="7E2E7A36"/>
    <w:rsid w:val="7E301257"/>
    <w:rsid w:val="7E310CBB"/>
    <w:rsid w:val="7E327526"/>
    <w:rsid w:val="7E3314F0"/>
    <w:rsid w:val="7E396311"/>
    <w:rsid w:val="7E3C2153"/>
    <w:rsid w:val="7E3E0A1E"/>
    <w:rsid w:val="7E3F0B91"/>
    <w:rsid w:val="7E4126EB"/>
    <w:rsid w:val="7E42004F"/>
    <w:rsid w:val="7E4D4360"/>
    <w:rsid w:val="7E5175E4"/>
    <w:rsid w:val="7E564B54"/>
    <w:rsid w:val="7E5E47BF"/>
    <w:rsid w:val="7E5E7184"/>
    <w:rsid w:val="7E611BB9"/>
    <w:rsid w:val="7E61605D"/>
    <w:rsid w:val="7E682F48"/>
    <w:rsid w:val="7E6873EC"/>
    <w:rsid w:val="7E6D630B"/>
    <w:rsid w:val="7E7458EF"/>
    <w:rsid w:val="7E795155"/>
    <w:rsid w:val="7E797560"/>
    <w:rsid w:val="7E7C2111"/>
    <w:rsid w:val="7E7E0DAC"/>
    <w:rsid w:val="7E7E6C0F"/>
    <w:rsid w:val="7E7F1319"/>
    <w:rsid w:val="7E81400A"/>
    <w:rsid w:val="7E855D33"/>
    <w:rsid w:val="7E8B30DA"/>
    <w:rsid w:val="7E8C10F9"/>
    <w:rsid w:val="7E8D6E52"/>
    <w:rsid w:val="7E9006F1"/>
    <w:rsid w:val="7E926217"/>
    <w:rsid w:val="7E927FC5"/>
    <w:rsid w:val="7E930A57"/>
    <w:rsid w:val="7E957AB5"/>
    <w:rsid w:val="7E971A7F"/>
    <w:rsid w:val="7E9A1075"/>
    <w:rsid w:val="7E9B3088"/>
    <w:rsid w:val="7E9E3C4A"/>
    <w:rsid w:val="7E9F26E2"/>
    <w:rsid w:val="7EA40BA3"/>
    <w:rsid w:val="7EA47CF8"/>
    <w:rsid w:val="7EA624E3"/>
    <w:rsid w:val="7EA62974"/>
    <w:rsid w:val="7EAD236E"/>
    <w:rsid w:val="7EAD3051"/>
    <w:rsid w:val="7EAE4381"/>
    <w:rsid w:val="7EB048EF"/>
    <w:rsid w:val="7EB4618D"/>
    <w:rsid w:val="7EBB2189"/>
    <w:rsid w:val="7EBB39C0"/>
    <w:rsid w:val="7EBC3294"/>
    <w:rsid w:val="7EBC7738"/>
    <w:rsid w:val="7EC319FB"/>
    <w:rsid w:val="7EC363D0"/>
    <w:rsid w:val="7EC3789B"/>
    <w:rsid w:val="7EC860DC"/>
    <w:rsid w:val="7ECA4FDF"/>
    <w:rsid w:val="7ECD2214"/>
    <w:rsid w:val="7ED317FE"/>
    <w:rsid w:val="7ED76320"/>
    <w:rsid w:val="7ED906DF"/>
    <w:rsid w:val="7ED93E46"/>
    <w:rsid w:val="7EDC3936"/>
    <w:rsid w:val="7EDD358D"/>
    <w:rsid w:val="7EDD51F2"/>
    <w:rsid w:val="7EE60311"/>
    <w:rsid w:val="7EEB4EE1"/>
    <w:rsid w:val="7EEF71C5"/>
    <w:rsid w:val="7EF0118F"/>
    <w:rsid w:val="7EF23159"/>
    <w:rsid w:val="7EF743D8"/>
    <w:rsid w:val="7EFA43CF"/>
    <w:rsid w:val="7EFC18E2"/>
    <w:rsid w:val="7EFC7B34"/>
    <w:rsid w:val="7F001CE7"/>
    <w:rsid w:val="7F01339C"/>
    <w:rsid w:val="7F016EF9"/>
    <w:rsid w:val="7F017163"/>
    <w:rsid w:val="7F0C421B"/>
    <w:rsid w:val="7F0D1E4F"/>
    <w:rsid w:val="7F0D7F93"/>
    <w:rsid w:val="7F10576C"/>
    <w:rsid w:val="7F1716D0"/>
    <w:rsid w:val="7F192494"/>
    <w:rsid w:val="7F1A5B2E"/>
    <w:rsid w:val="7F1A7F5F"/>
    <w:rsid w:val="7F1B3A14"/>
    <w:rsid w:val="7F201A75"/>
    <w:rsid w:val="7F211349"/>
    <w:rsid w:val="7F2350C1"/>
    <w:rsid w:val="7F264BB1"/>
    <w:rsid w:val="7F297F21"/>
    <w:rsid w:val="7F2F7F0A"/>
    <w:rsid w:val="7F305D33"/>
    <w:rsid w:val="7F3855CE"/>
    <w:rsid w:val="7F3E639F"/>
    <w:rsid w:val="7F3E7050"/>
    <w:rsid w:val="7F482D79"/>
    <w:rsid w:val="7F4C0ABC"/>
    <w:rsid w:val="7F4C286A"/>
    <w:rsid w:val="7F51351C"/>
    <w:rsid w:val="7F542987"/>
    <w:rsid w:val="7F547970"/>
    <w:rsid w:val="7F572FBC"/>
    <w:rsid w:val="7F596D35"/>
    <w:rsid w:val="7F5F2FD3"/>
    <w:rsid w:val="7F606FAC"/>
    <w:rsid w:val="7F6243A9"/>
    <w:rsid w:val="7F631C62"/>
    <w:rsid w:val="7F645E05"/>
    <w:rsid w:val="7F65089D"/>
    <w:rsid w:val="7F65392B"/>
    <w:rsid w:val="7F69394E"/>
    <w:rsid w:val="7F6B5FAF"/>
    <w:rsid w:val="7F6F7368"/>
    <w:rsid w:val="7F7303DB"/>
    <w:rsid w:val="7F7508B8"/>
    <w:rsid w:val="7F761695"/>
    <w:rsid w:val="7F792F33"/>
    <w:rsid w:val="7F7A2B6A"/>
    <w:rsid w:val="7F7E679B"/>
    <w:rsid w:val="7F814F8B"/>
    <w:rsid w:val="7F821A2C"/>
    <w:rsid w:val="7F853FCE"/>
    <w:rsid w:val="7F871AF4"/>
    <w:rsid w:val="7F875650"/>
    <w:rsid w:val="7F8F7E3F"/>
    <w:rsid w:val="7F902C16"/>
    <w:rsid w:val="7F914720"/>
    <w:rsid w:val="7F932247"/>
    <w:rsid w:val="7F9B73E9"/>
    <w:rsid w:val="7F9D4E73"/>
    <w:rsid w:val="7F9E0BEB"/>
    <w:rsid w:val="7FA2248A"/>
    <w:rsid w:val="7FA75CF2"/>
    <w:rsid w:val="7FA944A0"/>
    <w:rsid w:val="7FAC3308"/>
    <w:rsid w:val="7FAE7080"/>
    <w:rsid w:val="7FAF2ABB"/>
    <w:rsid w:val="7FB23265"/>
    <w:rsid w:val="7FB65F35"/>
    <w:rsid w:val="7FB777D7"/>
    <w:rsid w:val="7FB84381"/>
    <w:rsid w:val="7FBA7941"/>
    <w:rsid w:val="7FBB354B"/>
    <w:rsid w:val="7FBD72C3"/>
    <w:rsid w:val="7FC06DB4"/>
    <w:rsid w:val="7FC14C4B"/>
    <w:rsid w:val="7FC405AE"/>
    <w:rsid w:val="7FC9210C"/>
    <w:rsid w:val="7FCF5B96"/>
    <w:rsid w:val="7FD01FE6"/>
    <w:rsid w:val="7FD10FC1"/>
    <w:rsid w:val="7FD12D6F"/>
    <w:rsid w:val="7FD40C0F"/>
    <w:rsid w:val="7FD53611"/>
    <w:rsid w:val="7FDF723A"/>
    <w:rsid w:val="7FE0299E"/>
    <w:rsid w:val="7FE26D2A"/>
    <w:rsid w:val="7FE47E50"/>
    <w:rsid w:val="7FE86890"/>
    <w:rsid w:val="7FEA14B3"/>
    <w:rsid w:val="7FEE64B5"/>
    <w:rsid w:val="7FF0329E"/>
    <w:rsid w:val="7FF179B1"/>
    <w:rsid w:val="7FF27DF8"/>
    <w:rsid w:val="7FF554F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qFormat="1" w:unhideWhenUsed="0" w:uiPriority="99" w:name="index 9" w:locked="1"/>
    <w:lsdException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ascii="Times New Roman" w:hAnsi="Times New Roman" w:eastAsia="宋体" w:cs="Times New Roman"/>
      <w:kern w:val="2"/>
      <w:sz w:val="24"/>
      <w:szCs w:val="24"/>
      <w:lang w:val="en-US" w:eastAsia="zh-CN" w:bidi="ar-SA"/>
    </w:rPr>
  </w:style>
  <w:style w:type="paragraph" w:styleId="10">
    <w:name w:val="heading 1"/>
    <w:basedOn w:val="1"/>
    <w:next w:val="1"/>
    <w:link w:val="62"/>
    <w:qFormat/>
    <w:locked/>
    <w:uiPriority w:val="99"/>
    <w:pPr>
      <w:keepNext/>
      <w:overflowPunct w:val="0"/>
      <w:snapToGrid w:val="0"/>
      <w:spacing w:line="360" w:lineRule="auto"/>
      <w:ind w:left="0" w:firstLine="0"/>
      <w:jc w:val="left"/>
      <w:outlineLvl w:val="0"/>
    </w:pPr>
    <w:rPr>
      <w:rFonts w:ascii="Times New Roman" w:hAnsi="Times New Roman" w:eastAsia="宋体"/>
      <w:b/>
      <w:bCs/>
      <w:color w:val="000000"/>
      <w:kern w:val="44"/>
      <w:sz w:val="28"/>
      <w:szCs w:val="30"/>
    </w:rPr>
  </w:style>
  <w:style w:type="paragraph" w:styleId="11">
    <w:name w:val="heading 2"/>
    <w:basedOn w:val="1"/>
    <w:next w:val="12"/>
    <w:link w:val="91"/>
    <w:unhideWhenUsed/>
    <w:qFormat/>
    <w:locked/>
    <w:uiPriority w:val="0"/>
    <w:pPr>
      <w:keepNext/>
      <w:keepLines/>
      <w:spacing w:beforeLines="0" w:beforeAutospacing="0" w:afterLines="0" w:afterAutospacing="0" w:line="360" w:lineRule="auto"/>
      <w:jc w:val="left"/>
      <w:outlineLvl w:val="1"/>
    </w:pPr>
    <w:rPr>
      <w:rFonts w:ascii="Times New Roman" w:hAnsi="Times New Roman" w:eastAsia="宋体"/>
      <w:b/>
      <w:szCs w:val="21"/>
    </w:rPr>
  </w:style>
  <w:style w:type="paragraph" w:styleId="14">
    <w:name w:val="heading 3"/>
    <w:basedOn w:val="1"/>
    <w:next w:val="1"/>
    <w:unhideWhenUsed/>
    <w:qFormat/>
    <w:locked/>
    <w:uiPriority w:val="0"/>
    <w:pPr>
      <w:keepNext/>
      <w:keepLines/>
      <w:spacing w:beforeLines="0" w:beforeAutospacing="0" w:afterLines="0" w:afterAutospacing="0" w:line="360" w:lineRule="auto"/>
      <w:ind w:firstLine="0" w:firstLineChars="0"/>
      <w:outlineLvl w:val="2"/>
    </w:pPr>
    <w:rPr>
      <w:rFonts w:ascii="Times New Roman" w:hAnsi="Times New Roman" w:eastAsia="宋体"/>
    </w:rPr>
  </w:style>
  <w:style w:type="paragraph" w:styleId="9">
    <w:name w:val="heading 4"/>
    <w:basedOn w:val="1"/>
    <w:next w:val="1"/>
    <w:unhideWhenUsed/>
    <w:qFormat/>
    <w:locked/>
    <w:uiPriority w:val="0"/>
    <w:pPr>
      <w:keepNext/>
      <w:keepLines/>
      <w:spacing w:beforeLines="0" w:beforeAutospacing="0" w:afterLines="0" w:afterAutospacing="0" w:line="360" w:lineRule="auto"/>
      <w:jc w:val="left"/>
      <w:outlineLvl w:val="3"/>
    </w:pPr>
    <w:rPr>
      <w:rFonts w:eastAsia="宋体"/>
      <w:b/>
      <w:sz w:val="24"/>
      <w:szCs w:val="21"/>
    </w:rPr>
  </w:style>
  <w:style w:type="paragraph" w:styleId="15">
    <w:name w:val="heading 5"/>
    <w:basedOn w:val="1"/>
    <w:next w:val="1"/>
    <w:unhideWhenUsed/>
    <w:qFormat/>
    <w:locked/>
    <w:uiPriority w:val="0"/>
    <w:pPr>
      <w:snapToGrid w:val="0"/>
      <w:spacing w:beforeAutospacing="0" w:afterAutospacing="0"/>
      <w:ind w:firstLine="0" w:firstLineChars="0"/>
      <w:jc w:val="left"/>
      <w:outlineLvl w:val="4"/>
    </w:pPr>
    <w:rPr>
      <w:rFonts w:hint="eastAsia" w:eastAsia="宋体"/>
      <w:sz w:val="24"/>
      <w:szCs w:val="21"/>
    </w:rPr>
  </w:style>
  <w:style w:type="character" w:default="1" w:styleId="34">
    <w:name w:val="Default Paragraph Font"/>
    <w:semiHidden/>
    <w:qFormat/>
    <w:uiPriority w:val="0"/>
  </w:style>
  <w:style w:type="table" w:default="1" w:styleId="3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qFormat/>
    <w:locked/>
    <w:uiPriority w:val="0"/>
    <w:pPr>
      <w:ind w:firstLine="420" w:firstLineChars="200"/>
    </w:pPr>
  </w:style>
  <w:style w:type="paragraph" w:styleId="3">
    <w:name w:val="Body Text Indent"/>
    <w:basedOn w:val="1"/>
    <w:next w:val="4"/>
    <w:link w:val="66"/>
    <w:qFormat/>
    <w:uiPriority w:val="0"/>
    <w:pPr>
      <w:spacing w:after="120"/>
      <w:ind w:left="420" w:leftChars="200"/>
    </w:pPr>
    <w:rPr>
      <w:kern w:val="0"/>
      <w:sz w:val="24"/>
      <w:szCs w:val="20"/>
    </w:rPr>
  </w:style>
  <w:style w:type="paragraph" w:styleId="4">
    <w:name w:val="Body Text Indent 2"/>
    <w:basedOn w:val="1"/>
    <w:next w:val="5"/>
    <w:qFormat/>
    <w:locked/>
    <w:uiPriority w:val="0"/>
    <w:pPr>
      <w:spacing w:after="120" w:line="480" w:lineRule="auto"/>
      <w:ind w:left="420" w:leftChars="200"/>
    </w:pPr>
  </w:style>
  <w:style w:type="paragraph" w:styleId="5">
    <w:name w:val="toa heading"/>
    <w:basedOn w:val="1"/>
    <w:next w:val="1"/>
    <w:qFormat/>
    <w:locked/>
    <w:uiPriority w:val="0"/>
    <w:pPr>
      <w:spacing w:before="120" w:after="120" w:line="360" w:lineRule="auto"/>
      <w:ind w:firstLine="200" w:firstLineChars="200"/>
      <w:jc w:val="left"/>
    </w:pPr>
    <w:rPr>
      <w:sz w:val="24"/>
      <w:u w:val="single"/>
    </w:rPr>
  </w:style>
  <w:style w:type="paragraph" w:styleId="6">
    <w:name w:val="Body Text First Indent"/>
    <w:basedOn w:val="7"/>
    <w:next w:val="9"/>
    <w:qFormat/>
    <w:locked/>
    <w:uiPriority w:val="0"/>
    <w:pPr>
      <w:spacing w:after="120"/>
      <w:ind w:firstLine="420" w:firstLineChars="100"/>
    </w:pPr>
    <w:rPr>
      <w:sz w:val="21"/>
      <w:szCs w:val="24"/>
    </w:rPr>
  </w:style>
  <w:style w:type="paragraph" w:styleId="7">
    <w:name w:val="Body Text"/>
    <w:basedOn w:val="1"/>
    <w:next w:val="8"/>
    <w:link w:val="64"/>
    <w:qFormat/>
    <w:uiPriority w:val="0"/>
    <w:pPr>
      <w:widowControl/>
      <w:snapToGrid w:val="0"/>
      <w:spacing w:before="60" w:after="160" w:line="259" w:lineRule="auto"/>
      <w:ind w:right="113"/>
    </w:pPr>
    <w:rPr>
      <w:kern w:val="0"/>
      <w:sz w:val="18"/>
      <w:szCs w:val="20"/>
    </w:rPr>
  </w:style>
  <w:style w:type="paragraph" w:customStyle="1" w:styleId="8">
    <w:name w:val="默认段落"/>
    <w:basedOn w:val="1"/>
    <w:qFormat/>
    <w:uiPriority w:val="0"/>
    <w:pPr>
      <w:topLinePunct w:val="0"/>
    </w:pPr>
  </w:style>
  <w:style w:type="paragraph" w:styleId="12">
    <w:name w:val="Normal Indent"/>
    <w:basedOn w:val="1"/>
    <w:next w:val="13"/>
    <w:qFormat/>
    <w:locked/>
    <w:uiPriority w:val="0"/>
    <w:pPr>
      <w:ind w:firstLine="420"/>
    </w:pPr>
  </w:style>
  <w:style w:type="paragraph" w:customStyle="1" w:styleId="13">
    <w:name w:val="样式 正文文本 + 首行缩进:  2 字符"/>
    <w:basedOn w:val="7"/>
    <w:qFormat/>
    <w:uiPriority w:val="99"/>
    <w:pPr>
      <w:spacing w:after="200" w:line="480" w:lineRule="exact"/>
      <w:ind w:firstLine="480" w:firstLineChars="200"/>
    </w:pPr>
    <w:rPr>
      <w:rFonts w:ascii="宋体" w:hAnsi="宋体"/>
      <w:sz w:val="24"/>
    </w:rPr>
  </w:style>
  <w:style w:type="paragraph" w:styleId="16">
    <w:name w:val="annotation text"/>
    <w:basedOn w:val="1"/>
    <w:link w:val="65"/>
    <w:semiHidden/>
    <w:qFormat/>
    <w:uiPriority w:val="0"/>
    <w:pPr>
      <w:jc w:val="left"/>
    </w:pPr>
    <w:rPr>
      <w:kern w:val="0"/>
      <w:sz w:val="24"/>
      <w:szCs w:val="20"/>
    </w:rPr>
  </w:style>
  <w:style w:type="paragraph" w:styleId="17">
    <w:name w:val="Plain Text"/>
    <w:basedOn w:val="1"/>
    <w:next w:val="18"/>
    <w:qFormat/>
    <w:locked/>
    <w:uiPriority w:val="0"/>
    <w:pPr>
      <w:adjustRightInd w:val="0"/>
      <w:spacing w:line="312" w:lineRule="atLeast"/>
      <w:textAlignment w:val="baseline"/>
    </w:pPr>
    <w:rPr>
      <w:rFonts w:ascii="宋体" w:hAnsi="Courier New"/>
      <w:kern w:val="0"/>
      <w:szCs w:val="20"/>
    </w:rPr>
  </w:style>
  <w:style w:type="paragraph" w:customStyle="1" w:styleId="18">
    <w:name w:val="表内文字"/>
    <w:basedOn w:val="1"/>
    <w:next w:val="19"/>
    <w:qFormat/>
    <w:uiPriority w:val="0"/>
    <w:pPr>
      <w:suppressAutoHyphens/>
      <w:wordWrap w:val="0"/>
      <w:spacing w:line="360" w:lineRule="atLeast"/>
      <w:jc w:val="center"/>
    </w:pPr>
    <w:rPr>
      <w:rFonts w:ascii="Calibri" w:hAnsi="Calibri"/>
      <w:spacing w:val="18"/>
      <w:kern w:val="0"/>
      <w:sz w:val="32"/>
      <w:szCs w:val="20"/>
    </w:rPr>
  </w:style>
  <w:style w:type="paragraph" w:customStyle="1" w:styleId="19">
    <w:name w:val="+正文"/>
    <w:basedOn w:val="1"/>
    <w:qFormat/>
    <w:uiPriority w:val="0"/>
    <w:pPr>
      <w:spacing w:line="360" w:lineRule="auto"/>
      <w:ind w:firstLine="560" w:firstLineChars="200"/>
      <w:outlineLvl w:val="0"/>
    </w:pPr>
    <w:rPr>
      <w:rFonts w:ascii="宋体"/>
      <w:sz w:val="28"/>
      <w:szCs w:val="28"/>
    </w:rPr>
  </w:style>
  <w:style w:type="paragraph" w:styleId="20">
    <w:name w:val="Date"/>
    <w:basedOn w:val="1"/>
    <w:next w:val="1"/>
    <w:link w:val="68"/>
    <w:qFormat/>
    <w:uiPriority w:val="0"/>
    <w:pPr>
      <w:ind w:left="100" w:leftChars="2500"/>
    </w:pPr>
    <w:rPr>
      <w:kern w:val="0"/>
      <w:sz w:val="24"/>
      <w:szCs w:val="20"/>
    </w:rPr>
  </w:style>
  <w:style w:type="paragraph" w:styleId="21">
    <w:name w:val="Balloon Text"/>
    <w:basedOn w:val="1"/>
    <w:link w:val="69"/>
    <w:semiHidden/>
    <w:qFormat/>
    <w:uiPriority w:val="0"/>
    <w:rPr>
      <w:kern w:val="0"/>
      <w:sz w:val="18"/>
      <w:szCs w:val="20"/>
    </w:rPr>
  </w:style>
  <w:style w:type="paragraph" w:styleId="22">
    <w:name w:val="footer"/>
    <w:basedOn w:val="1"/>
    <w:link w:val="70"/>
    <w:qFormat/>
    <w:uiPriority w:val="99"/>
    <w:pPr>
      <w:tabs>
        <w:tab w:val="center" w:pos="4153"/>
        <w:tab w:val="right" w:pos="8306"/>
      </w:tabs>
      <w:snapToGrid w:val="0"/>
      <w:jc w:val="left"/>
    </w:pPr>
    <w:rPr>
      <w:kern w:val="0"/>
      <w:sz w:val="18"/>
      <w:szCs w:val="20"/>
    </w:rPr>
  </w:style>
  <w:style w:type="paragraph" w:styleId="23">
    <w:name w:val="header"/>
    <w:basedOn w:val="1"/>
    <w:next w:val="24"/>
    <w:link w:val="6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4">
    <w:name w:val="样式5"/>
    <w:basedOn w:val="25"/>
    <w:qFormat/>
    <w:uiPriority w:val="0"/>
    <w:pPr>
      <w:spacing w:line="580" w:lineRule="exact"/>
      <w:ind w:firstLine="720" w:firstLineChars="300"/>
    </w:pPr>
    <w:rPr>
      <w:rFonts w:ascii="黑体" w:eastAsia="黑体"/>
      <w:kern w:val="2"/>
    </w:rPr>
  </w:style>
  <w:style w:type="paragraph" w:customStyle="1" w:styleId="25">
    <w:name w:val="正文1"/>
    <w:basedOn w:val="1"/>
    <w:next w:val="1"/>
    <w:qFormat/>
    <w:uiPriority w:val="0"/>
    <w:pPr>
      <w:textAlignment w:val="top"/>
    </w:pPr>
    <w:rPr>
      <w:rFonts w:ascii="Times New Roman"/>
      <w:kern w:val="0"/>
      <w:sz w:val="24"/>
    </w:rPr>
  </w:style>
  <w:style w:type="paragraph" w:styleId="26">
    <w:name w:val="List"/>
    <w:basedOn w:val="1"/>
    <w:qFormat/>
    <w:locked/>
    <w:uiPriority w:val="0"/>
    <w:pPr>
      <w:ind w:left="200" w:hanging="200" w:hangingChars="200"/>
    </w:pPr>
  </w:style>
  <w:style w:type="paragraph" w:styleId="27">
    <w:name w:val="index 9"/>
    <w:basedOn w:val="1"/>
    <w:next w:val="1"/>
    <w:semiHidden/>
    <w:qFormat/>
    <w:locked/>
    <w:uiPriority w:val="99"/>
    <w:pPr>
      <w:ind w:left="3360"/>
      <w:jc w:val="left"/>
    </w:pPr>
  </w:style>
  <w:style w:type="paragraph" w:styleId="28">
    <w:name w:val="toc 2"/>
    <w:basedOn w:val="1"/>
    <w:next w:val="1"/>
    <w:semiHidden/>
    <w:qFormat/>
    <w:locked/>
    <w:uiPriority w:val="0"/>
    <w:pPr>
      <w:ind w:left="420" w:leftChars="200"/>
    </w:pPr>
  </w:style>
  <w:style w:type="paragraph" w:styleId="29">
    <w:name w:val="Body Text 2"/>
    <w:basedOn w:val="1"/>
    <w:qFormat/>
    <w:locked/>
    <w:uiPriority w:val="0"/>
    <w:pPr>
      <w:jc w:val="center"/>
    </w:pPr>
  </w:style>
  <w:style w:type="paragraph" w:styleId="30">
    <w:name w:val="Normal (Web)"/>
    <w:basedOn w:val="1"/>
    <w:link w:val="71"/>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6"/>
    <w:next w:val="16"/>
    <w:link w:val="72"/>
    <w:semiHidden/>
    <w:qFormat/>
    <w:uiPriority w:val="0"/>
    <w:rPr>
      <w:b/>
      <w:sz w:val="24"/>
      <w:szCs w:val="20"/>
    </w:rPr>
  </w:style>
  <w:style w:type="table" w:styleId="33">
    <w:name w:val="Table Grid"/>
    <w:basedOn w:val="3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locked/>
    <w:uiPriority w:val="0"/>
    <w:rPr>
      <w:b/>
    </w:rPr>
  </w:style>
  <w:style w:type="character" w:styleId="36">
    <w:name w:val="page number"/>
    <w:basedOn w:val="34"/>
    <w:qFormat/>
    <w:locked/>
    <w:uiPriority w:val="0"/>
  </w:style>
  <w:style w:type="character" w:styleId="37">
    <w:name w:val="Emphasis"/>
    <w:basedOn w:val="34"/>
    <w:qFormat/>
    <w:locked/>
    <w:uiPriority w:val="0"/>
    <w:rPr>
      <w:i/>
    </w:rPr>
  </w:style>
  <w:style w:type="character" w:styleId="38">
    <w:name w:val="Hyperlink"/>
    <w:unhideWhenUsed/>
    <w:qFormat/>
    <w:locked/>
    <w:uiPriority w:val="99"/>
    <w:rPr>
      <w:rFonts w:ascii="Arial" w:hAnsi="Arial" w:cs="Arial"/>
      <w:color w:val="0331BC"/>
      <w:u w:val="single"/>
    </w:rPr>
  </w:style>
  <w:style w:type="character" w:styleId="39">
    <w:name w:val="annotation reference"/>
    <w:semiHidden/>
    <w:qFormat/>
    <w:uiPriority w:val="0"/>
    <w:rPr>
      <w:sz w:val="21"/>
    </w:rPr>
  </w:style>
  <w:style w:type="paragraph" w:customStyle="1" w:styleId="40">
    <w:name w:val="样式 样式 样式 四号 左侧:  1.53 厘米 + 首行缩进:  2 字符 + 居中 左侧:  2 字符 首行缩进:  2..."/>
    <w:basedOn w:val="41"/>
    <w:qFormat/>
    <w:uiPriority w:val="0"/>
    <w:pPr>
      <w:ind w:firstLine="0" w:firstLineChars="0"/>
      <w:jc w:val="center"/>
    </w:pPr>
  </w:style>
  <w:style w:type="paragraph" w:customStyle="1" w:styleId="41">
    <w:name w:val="样式 样式 四号 左侧:  1.53 厘米 + 首行缩进:  2 字符"/>
    <w:basedOn w:val="42"/>
    <w:qFormat/>
    <w:uiPriority w:val="0"/>
    <w:pPr>
      <w:ind w:left="200" w:leftChars="200"/>
    </w:pPr>
    <w:rPr>
      <w:szCs w:val="20"/>
    </w:rPr>
  </w:style>
  <w:style w:type="paragraph" w:customStyle="1" w:styleId="42">
    <w:name w:val="样式 四号 左侧:  1.53 厘米"/>
    <w:basedOn w:val="1"/>
    <w:qFormat/>
    <w:uiPriority w:val="0"/>
    <w:pPr>
      <w:adjustRightInd w:val="0"/>
    </w:pPr>
    <w:rPr>
      <w:w w:val="90"/>
      <w:sz w:val="28"/>
      <w:szCs w:val="28"/>
    </w:rPr>
  </w:style>
  <w:style w:type="paragraph" w:customStyle="1" w:styleId="43">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character" w:customStyle="1" w:styleId="44">
    <w:name w:val="页脚 字符"/>
    <w:basedOn w:val="34"/>
    <w:qFormat/>
    <w:uiPriority w:val="99"/>
  </w:style>
  <w:style w:type="paragraph" w:customStyle="1" w:styleId="45">
    <w:name w:val="Default"/>
    <w:basedOn w:val="46"/>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纯文本1"/>
    <w:basedOn w:val="1"/>
    <w:qFormat/>
    <w:uiPriority w:val="99"/>
    <w:pPr>
      <w:autoSpaceDE w:val="0"/>
      <w:autoSpaceDN w:val="0"/>
      <w:adjustRightInd w:val="0"/>
      <w:textAlignment w:val="baseline"/>
    </w:pPr>
    <w:rPr>
      <w:rFonts w:ascii="宋体"/>
      <w:szCs w:val="20"/>
    </w:rPr>
  </w:style>
  <w:style w:type="paragraph" w:customStyle="1" w:styleId="47">
    <w:name w:val="策标题一"/>
    <w:basedOn w:val="10"/>
    <w:next w:val="1"/>
    <w:qFormat/>
    <w:uiPriority w:val="0"/>
    <w:pPr>
      <w:spacing w:line="360" w:lineRule="auto"/>
      <w:jc w:val="left"/>
    </w:pPr>
    <w:rPr>
      <w:rFonts w:eastAsia="宋体" w:asciiTheme="minorAscii" w:hAnsiTheme="minorAscii"/>
      <w:sz w:val="28"/>
      <w:szCs w:val="24"/>
      <w:lang w:eastAsia="en-US" w:bidi="en-US"/>
    </w:rPr>
  </w:style>
  <w:style w:type="paragraph" w:customStyle="1" w:styleId="48">
    <w:name w:val="策标题二"/>
    <w:basedOn w:val="11"/>
    <w:next w:val="1"/>
    <w:qFormat/>
    <w:uiPriority w:val="0"/>
    <w:pPr>
      <w:spacing w:line="360" w:lineRule="auto"/>
      <w:jc w:val="left"/>
    </w:pPr>
    <w:rPr>
      <w:rFonts w:eastAsia="宋体" w:cs="Times New Roman" w:asciiTheme="minorAscii" w:hAnsiTheme="minorAscii"/>
      <w:color w:val="000000"/>
      <w:lang w:eastAsia="en-US" w:bidi="en-US"/>
    </w:rPr>
  </w:style>
  <w:style w:type="paragraph" w:customStyle="1" w:styleId="49">
    <w:name w:val="策标题3"/>
    <w:basedOn w:val="14"/>
    <w:next w:val="1"/>
    <w:qFormat/>
    <w:uiPriority w:val="0"/>
    <w:pPr>
      <w:spacing w:line="360" w:lineRule="auto"/>
      <w:jc w:val="left"/>
    </w:pPr>
    <w:rPr>
      <w:rFonts w:eastAsia="宋体" w:cs="Times New Roman" w:asciiTheme="minorAscii" w:hAnsiTheme="minorAscii"/>
      <w:color w:val="000000"/>
      <w:sz w:val="24"/>
      <w:lang w:eastAsia="en-US" w:bidi="en-US"/>
    </w:rPr>
  </w:style>
  <w:style w:type="paragraph" w:customStyle="1" w:styleId="50">
    <w:name w:val="策正文"/>
    <w:basedOn w:val="1"/>
    <w:link w:val="93"/>
    <w:qFormat/>
    <w:uiPriority w:val="0"/>
    <w:pPr>
      <w:adjustRightInd w:val="0"/>
      <w:spacing w:line="360" w:lineRule="auto"/>
      <w:ind w:left="0" w:leftChars="0" w:firstLine="420" w:firstLineChars="200"/>
      <w:jc w:val="both"/>
    </w:pPr>
    <w:rPr>
      <w:rFonts w:eastAsia="宋体" w:asciiTheme="minorAscii" w:hAnsiTheme="minorAscii"/>
      <w:color w:val="000000"/>
      <w:lang w:eastAsia="en-US" w:bidi="en-US"/>
    </w:rPr>
  </w:style>
  <w:style w:type="paragraph" w:customStyle="1" w:styleId="51">
    <w:name w:val="表头"/>
    <w:basedOn w:val="26"/>
    <w:next w:val="1"/>
    <w:qFormat/>
    <w:uiPriority w:val="0"/>
    <w:pPr>
      <w:keepNext/>
      <w:keepLines/>
      <w:autoSpaceDE w:val="0"/>
      <w:autoSpaceDN w:val="0"/>
      <w:adjustRightInd w:val="0"/>
      <w:spacing w:line="240" w:lineRule="auto"/>
      <w:jc w:val="center"/>
    </w:pPr>
    <w:rPr>
      <w:rFonts w:eastAsia="宋体"/>
      <w:kern w:val="21"/>
      <w:szCs w:val="20"/>
    </w:rPr>
  </w:style>
  <w:style w:type="paragraph" w:customStyle="1" w:styleId="52">
    <w:name w:val="标题四"/>
    <w:basedOn w:val="53"/>
    <w:qFormat/>
    <w:uiPriority w:val="0"/>
  </w:style>
  <w:style w:type="paragraph" w:customStyle="1" w:styleId="53">
    <w:name w:val="标题3"/>
    <w:basedOn w:val="54"/>
    <w:next w:val="55"/>
    <w:qFormat/>
    <w:uiPriority w:val="0"/>
    <w:pPr>
      <w:suppressAutoHyphens/>
      <w:ind w:firstLine="482"/>
    </w:pPr>
    <w:rPr>
      <w:rFonts w:ascii="Times New Roman" w:hAnsi="Times New Roman"/>
      <w:b/>
      <w:bCs/>
      <w:spacing w:val="18"/>
      <w:kern w:val="0"/>
      <w:szCs w:val="20"/>
    </w:rPr>
  </w:style>
  <w:style w:type="paragraph" w:customStyle="1" w:styleId="54">
    <w:name w:val="正文2"/>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paragraph" w:customStyle="1" w:styleId="55">
    <w:name w:val="正文文本1"/>
    <w:basedOn w:val="56"/>
    <w:qFormat/>
    <w:uiPriority w:val="0"/>
    <w:pPr>
      <w:suppressAutoHyphens w:val="0"/>
      <w:adjustRightInd w:val="0"/>
      <w:snapToGrid w:val="0"/>
      <w:ind w:firstLine="200" w:firstLineChars="200"/>
      <w:jc w:val="left"/>
    </w:pPr>
    <w:rPr>
      <w:rFonts w:cs="Times New Roman"/>
      <w:b w:val="0"/>
      <w:kern w:val="2"/>
      <w:sz w:val="24"/>
      <w:szCs w:val="21"/>
    </w:rPr>
  </w:style>
  <w:style w:type="paragraph" w:customStyle="1" w:styleId="56">
    <w:name w:val="标题2"/>
    <w:basedOn w:val="57"/>
    <w:qFormat/>
    <w:uiPriority w:val="0"/>
    <w:pPr>
      <w:spacing w:line="360" w:lineRule="auto"/>
    </w:pPr>
    <w:rPr>
      <w:rFonts w:cs="宋体"/>
      <w:spacing w:val="0"/>
      <w:sz w:val="30"/>
    </w:rPr>
  </w:style>
  <w:style w:type="paragraph" w:customStyle="1" w:styleId="57">
    <w:name w:val="样式1"/>
    <w:basedOn w:val="54"/>
    <w:qFormat/>
    <w:uiPriority w:val="0"/>
    <w:pPr>
      <w:snapToGrid w:val="0"/>
      <w:spacing w:line="240" w:lineRule="auto"/>
      <w:ind w:firstLine="0" w:firstLineChars="0"/>
      <w:jc w:val="center"/>
    </w:pPr>
    <w:rPr>
      <w:rFonts w:hint="eastAsia" w:ascii="Times New Roman" w:hAnsi="Times New Roman" w:eastAsia="宋体" w:cs="Times New Roman"/>
      <w:b/>
      <w:bCs/>
      <w:color w:val="000000"/>
      <w:sz w:val="24"/>
      <w:lang w:eastAsia="zh-CN" w:bidi="en-US"/>
    </w:rPr>
  </w:style>
  <w:style w:type="paragraph" w:customStyle="1" w:styleId="58">
    <w:name w:val="策表格"/>
    <w:qFormat/>
    <w:uiPriority w:val="0"/>
    <w:pPr>
      <w:spacing w:line="240" w:lineRule="auto"/>
      <w:jc w:val="center"/>
    </w:pPr>
    <w:rPr>
      <w:rFonts w:eastAsia="宋体" w:asciiTheme="minorAscii" w:hAnsiTheme="minorAscii" w:cstheme="minorBidi"/>
      <w:sz w:val="21"/>
    </w:rPr>
  </w:style>
  <w:style w:type="paragraph" w:customStyle="1" w:styleId="59">
    <w:name w:val="表头111"/>
    <w:basedOn w:val="1"/>
    <w:qFormat/>
    <w:uiPriority w:val="0"/>
    <w:pPr>
      <w:spacing w:line="240" w:lineRule="auto"/>
      <w:jc w:val="center"/>
    </w:pPr>
    <w:rPr>
      <w:rFonts w:hint="default" w:eastAsia="宋体" w:asciiTheme="minorAscii" w:hAnsiTheme="minorAscii" w:cstheme="minorBidi"/>
      <w:b/>
      <w:color w:val="000000"/>
      <w:sz w:val="24"/>
      <w:lang w:eastAsia="zh-CN" w:bidi="en-US"/>
    </w:rPr>
  </w:style>
  <w:style w:type="paragraph" w:customStyle="1" w:styleId="60">
    <w:name w:val="表格   环评"/>
    <w:basedOn w:val="1"/>
    <w:next w:val="1"/>
    <w:link w:val="92"/>
    <w:qFormat/>
    <w:uiPriority w:val="0"/>
    <w:pPr>
      <w:keepNext/>
      <w:keepLines/>
      <w:spacing w:beforeLines="0" w:afterLines="0" w:line="360" w:lineRule="auto"/>
      <w:ind w:firstLine="0" w:firstLineChars="0"/>
      <w:jc w:val="center"/>
      <w:outlineLvl w:val="3"/>
    </w:pPr>
    <w:rPr>
      <w:rFonts w:hint="eastAsia"/>
      <w:sz w:val="21"/>
      <w:szCs w:val="21"/>
    </w:rPr>
  </w:style>
  <w:style w:type="paragraph" w:customStyle="1" w:styleId="61">
    <w:name w:val="表格正文"/>
    <w:basedOn w:val="1"/>
    <w:qFormat/>
    <w:uiPriority w:val="0"/>
    <w:pPr>
      <w:spacing w:line="360" w:lineRule="exact"/>
      <w:jc w:val="center"/>
    </w:pPr>
  </w:style>
  <w:style w:type="character" w:customStyle="1" w:styleId="62">
    <w:name w:val="标题 1 Char"/>
    <w:link w:val="10"/>
    <w:qFormat/>
    <w:uiPriority w:val="99"/>
    <w:rPr>
      <w:rFonts w:ascii="Times New Roman" w:hAnsi="Times New Roman" w:eastAsia="宋体"/>
      <w:b/>
      <w:bCs/>
      <w:color w:val="000000"/>
      <w:kern w:val="44"/>
      <w:sz w:val="28"/>
      <w:szCs w:val="30"/>
    </w:rPr>
  </w:style>
  <w:style w:type="paragraph" w:customStyle="1" w:styleId="63">
    <w:name w:val="表中表"/>
    <w:basedOn w:val="1"/>
    <w:qFormat/>
    <w:uiPriority w:val="0"/>
    <w:pPr>
      <w:spacing w:line="360" w:lineRule="auto"/>
      <w:jc w:val="center"/>
    </w:pPr>
    <w:rPr>
      <w:rFonts w:hint="eastAsia" w:ascii="Times New Roman" w:hAnsi="Times New Roman"/>
      <w:sz w:val="21"/>
      <w:szCs w:val="21"/>
      <w:lang w:val="en-GB"/>
    </w:rPr>
  </w:style>
  <w:style w:type="character" w:customStyle="1" w:styleId="64">
    <w:name w:val="正文文本 Char"/>
    <w:link w:val="7"/>
    <w:qFormat/>
    <w:locked/>
    <w:uiPriority w:val="0"/>
    <w:rPr>
      <w:sz w:val="18"/>
    </w:rPr>
  </w:style>
  <w:style w:type="character" w:customStyle="1" w:styleId="65">
    <w:name w:val="批注文字 Char"/>
    <w:link w:val="16"/>
    <w:qFormat/>
    <w:locked/>
    <w:uiPriority w:val="0"/>
    <w:rPr>
      <w:rFonts w:ascii="Times New Roman" w:hAnsi="Times New Roman" w:eastAsia="宋体"/>
      <w:sz w:val="24"/>
    </w:rPr>
  </w:style>
  <w:style w:type="character" w:customStyle="1" w:styleId="66">
    <w:name w:val="正文文本缩进 Char"/>
    <w:link w:val="3"/>
    <w:semiHidden/>
    <w:qFormat/>
    <w:locked/>
    <w:uiPriority w:val="0"/>
    <w:rPr>
      <w:rFonts w:ascii="Times New Roman" w:hAnsi="Times New Roman" w:eastAsia="宋体"/>
      <w:sz w:val="24"/>
    </w:rPr>
  </w:style>
  <w:style w:type="character" w:customStyle="1" w:styleId="67">
    <w:name w:val="页眉 Char"/>
    <w:link w:val="23"/>
    <w:qFormat/>
    <w:locked/>
    <w:uiPriority w:val="0"/>
    <w:rPr>
      <w:sz w:val="18"/>
    </w:rPr>
  </w:style>
  <w:style w:type="character" w:customStyle="1" w:styleId="68">
    <w:name w:val="日期 Char"/>
    <w:link w:val="20"/>
    <w:qFormat/>
    <w:locked/>
    <w:uiPriority w:val="0"/>
    <w:rPr>
      <w:rFonts w:ascii="Times New Roman" w:hAnsi="Times New Roman" w:eastAsia="宋体"/>
      <w:sz w:val="24"/>
    </w:rPr>
  </w:style>
  <w:style w:type="character" w:customStyle="1" w:styleId="69">
    <w:name w:val="批注框文本 Char"/>
    <w:link w:val="21"/>
    <w:semiHidden/>
    <w:qFormat/>
    <w:locked/>
    <w:uiPriority w:val="0"/>
    <w:rPr>
      <w:rFonts w:ascii="Times New Roman" w:hAnsi="Times New Roman" w:eastAsia="宋体"/>
      <w:sz w:val="18"/>
    </w:rPr>
  </w:style>
  <w:style w:type="character" w:customStyle="1" w:styleId="70">
    <w:name w:val="页脚 Char"/>
    <w:link w:val="22"/>
    <w:qFormat/>
    <w:locked/>
    <w:uiPriority w:val="99"/>
    <w:rPr>
      <w:sz w:val="18"/>
    </w:rPr>
  </w:style>
  <w:style w:type="character" w:customStyle="1" w:styleId="71">
    <w:name w:val="普通(网站) Char"/>
    <w:link w:val="30"/>
    <w:qFormat/>
    <w:locked/>
    <w:uiPriority w:val="0"/>
    <w:rPr>
      <w:rFonts w:ascii="宋体" w:hAnsi="宋体" w:eastAsia="宋体"/>
      <w:sz w:val="24"/>
    </w:rPr>
  </w:style>
  <w:style w:type="character" w:customStyle="1" w:styleId="72">
    <w:name w:val="批注主题 Char"/>
    <w:link w:val="31"/>
    <w:semiHidden/>
    <w:qFormat/>
    <w:locked/>
    <w:uiPriority w:val="0"/>
    <w:rPr>
      <w:rFonts w:ascii="Times New Roman" w:hAnsi="Times New Roman" w:eastAsia="宋体"/>
      <w:b/>
      <w:kern w:val="2"/>
      <w:sz w:val="24"/>
    </w:rPr>
  </w:style>
  <w:style w:type="character" w:customStyle="1" w:styleId="73">
    <w:name w:val="批注文字 字符1"/>
    <w:semiHidden/>
    <w:qFormat/>
    <w:uiPriority w:val="0"/>
    <w:rPr>
      <w:rFonts w:ascii="Times New Roman" w:hAnsi="Times New Roman" w:eastAsia="宋体"/>
      <w:sz w:val="24"/>
    </w:rPr>
  </w:style>
  <w:style w:type="character" w:customStyle="1" w:styleId="74">
    <w:name w:val="font21"/>
    <w:basedOn w:val="34"/>
    <w:qFormat/>
    <w:uiPriority w:val="0"/>
    <w:rPr>
      <w:rFonts w:hint="eastAsia" w:ascii="宋体" w:hAnsi="宋体" w:eastAsia="宋体" w:cs="宋体"/>
      <w:color w:val="000000"/>
      <w:sz w:val="21"/>
      <w:szCs w:val="21"/>
      <w:u w:val="none"/>
    </w:rPr>
  </w:style>
  <w:style w:type="character" w:customStyle="1" w:styleId="75">
    <w:name w:val="font81"/>
    <w:basedOn w:val="34"/>
    <w:qFormat/>
    <w:uiPriority w:val="0"/>
    <w:rPr>
      <w:rFonts w:hint="eastAsia" w:ascii="宋体" w:hAnsi="宋体" w:eastAsia="宋体" w:cs="宋体"/>
      <w:color w:val="000000"/>
      <w:sz w:val="21"/>
      <w:szCs w:val="21"/>
      <w:u w:val="none"/>
    </w:rPr>
  </w:style>
  <w:style w:type="character" w:customStyle="1" w:styleId="76">
    <w:name w:val="font51"/>
    <w:basedOn w:val="34"/>
    <w:qFormat/>
    <w:uiPriority w:val="0"/>
    <w:rPr>
      <w:rFonts w:hint="eastAsia" w:ascii="宋体" w:hAnsi="宋体" w:eastAsia="宋体" w:cs="宋体"/>
      <w:color w:val="000000"/>
      <w:sz w:val="21"/>
      <w:szCs w:val="21"/>
      <w:u w:val="none"/>
    </w:rPr>
  </w:style>
  <w:style w:type="character" w:customStyle="1" w:styleId="77">
    <w:name w:val="font11"/>
    <w:basedOn w:val="34"/>
    <w:qFormat/>
    <w:uiPriority w:val="0"/>
    <w:rPr>
      <w:rFonts w:hint="default" w:ascii="Times New Roman" w:hAnsi="Times New Roman" w:cs="Times New Roman"/>
      <w:color w:val="000000"/>
      <w:sz w:val="21"/>
      <w:szCs w:val="21"/>
      <w:u w:val="none"/>
    </w:rPr>
  </w:style>
  <w:style w:type="character" w:customStyle="1" w:styleId="78">
    <w:name w:val="日期 字符"/>
    <w:semiHidden/>
    <w:qFormat/>
    <w:uiPriority w:val="0"/>
    <w:rPr>
      <w:rFonts w:ascii="Times New Roman" w:hAnsi="Times New Roman" w:eastAsia="宋体"/>
      <w:sz w:val="24"/>
    </w:rPr>
  </w:style>
  <w:style w:type="character" w:customStyle="1" w:styleId="79">
    <w:name w:val="font31"/>
    <w:basedOn w:val="34"/>
    <w:qFormat/>
    <w:uiPriority w:val="0"/>
    <w:rPr>
      <w:rFonts w:hint="default" w:ascii="Times New Roman" w:hAnsi="Times New Roman" w:cs="Times New Roman"/>
      <w:color w:val="000000"/>
      <w:sz w:val="21"/>
      <w:szCs w:val="21"/>
      <w:u w:val="none"/>
    </w:rPr>
  </w:style>
  <w:style w:type="character" w:customStyle="1" w:styleId="80">
    <w:name w:val="表格 Char"/>
    <w:link w:val="81"/>
    <w:qFormat/>
    <w:locked/>
    <w:uiPriority w:val="0"/>
    <w:rPr>
      <w:rFonts w:ascii="宋体" w:hAnsi="宋体" w:eastAsia="宋体"/>
      <w:sz w:val="21"/>
    </w:rPr>
  </w:style>
  <w:style w:type="paragraph" w:customStyle="1" w:styleId="81">
    <w:name w:val="表格"/>
    <w:basedOn w:val="1"/>
    <w:next w:val="1"/>
    <w:link w:val="80"/>
    <w:qFormat/>
    <w:uiPriority w:val="0"/>
    <w:pPr>
      <w:adjustRightInd w:val="0"/>
      <w:snapToGrid w:val="0"/>
      <w:spacing w:line="240" w:lineRule="auto"/>
      <w:jc w:val="center"/>
    </w:pPr>
    <w:rPr>
      <w:rFonts w:ascii="宋体" w:hAnsi="宋体" w:eastAsia="宋体"/>
      <w:kern w:val="0"/>
      <w:sz w:val="21"/>
      <w:szCs w:val="20"/>
    </w:rPr>
  </w:style>
  <w:style w:type="character" w:customStyle="1" w:styleId="82">
    <w:name w:val="正文文本 字符1"/>
    <w:semiHidden/>
    <w:qFormat/>
    <w:uiPriority w:val="0"/>
    <w:rPr>
      <w:rFonts w:ascii="Times New Roman" w:hAnsi="Times New Roman" w:eastAsia="宋体"/>
      <w:sz w:val="24"/>
    </w:rPr>
  </w:style>
  <w:style w:type="paragraph" w:customStyle="1" w:styleId="83">
    <w:name w:val="正文_25"/>
    <w:qFormat/>
    <w:uiPriority w:val="0"/>
    <w:pPr>
      <w:widowControl w:val="0"/>
      <w:jc w:val="both"/>
    </w:pPr>
    <w:rPr>
      <w:rFonts w:ascii="Calibri" w:hAnsi="Calibri" w:eastAsia="宋体" w:cs="Times New Roman"/>
      <w:kern w:val="2"/>
      <w:sz w:val="21"/>
      <w:lang w:val="en-US" w:eastAsia="zh-CN" w:bidi="ar-SA"/>
    </w:rPr>
  </w:style>
  <w:style w:type="paragraph" w:customStyle="1" w:styleId="84">
    <w:name w:val="正文 首行缩进:  2 字符"/>
    <w:basedOn w:val="1"/>
    <w:semiHidden/>
    <w:qFormat/>
    <w:uiPriority w:val="0"/>
    <w:pPr>
      <w:spacing w:line="520" w:lineRule="exact"/>
      <w:ind w:firstLine="480" w:firstLineChars="200"/>
    </w:pPr>
    <w:rPr>
      <w:kern w:val="44"/>
      <w:sz w:val="24"/>
    </w:rPr>
  </w:style>
  <w:style w:type="paragraph" w:customStyle="1" w:styleId="85">
    <w:name w:val="正文_28"/>
    <w:qFormat/>
    <w:uiPriority w:val="0"/>
    <w:pPr>
      <w:widowControl w:val="0"/>
      <w:jc w:val="both"/>
    </w:pPr>
    <w:rPr>
      <w:rFonts w:ascii="Calibri" w:hAnsi="Calibri" w:eastAsia="宋体" w:cs="Times New Roman"/>
      <w:kern w:val="2"/>
      <w:sz w:val="21"/>
      <w:lang w:val="en-US" w:eastAsia="zh-CN" w:bidi="ar-SA"/>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_26"/>
    <w:qFormat/>
    <w:uiPriority w:val="0"/>
    <w:pPr>
      <w:widowControl w:val="0"/>
      <w:jc w:val="both"/>
    </w:pPr>
    <w:rPr>
      <w:rFonts w:ascii="Calibri" w:hAnsi="Calibri" w:eastAsia="宋体" w:cs="Times New Roman"/>
      <w:kern w:val="2"/>
      <w:sz w:val="21"/>
      <w:lang w:val="en-US" w:eastAsia="zh-CN" w:bidi="ar-SA"/>
    </w:rPr>
  </w:style>
  <w:style w:type="paragraph" w:customStyle="1" w:styleId="8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9">
    <w:name w:val="1.1.1.1"/>
    <w:basedOn w:val="1"/>
    <w:next w:val="1"/>
    <w:qFormat/>
    <w:uiPriority w:val="0"/>
    <w:pPr>
      <w:keepNext/>
      <w:keepLines/>
      <w:spacing w:beforeLines="0" w:afterLines="0"/>
      <w:outlineLvl w:val="2"/>
    </w:pPr>
    <w:rPr>
      <w:rFonts w:eastAsia="宋体" w:cs="Times New Roman"/>
      <w:sz w:val="24"/>
    </w:rPr>
  </w:style>
  <w:style w:type="paragraph" w:customStyle="1" w:styleId="90">
    <w:name w:val="A正文"/>
    <w:basedOn w:val="3"/>
    <w:qFormat/>
    <w:uiPriority w:val="0"/>
    <w:pPr>
      <w:spacing w:line="360" w:lineRule="auto"/>
      <w:ind w:firstLine="480"/>
    </w:pPr>
    <w:rPr>
      <w:rFonts w:ascii="Times New Roman" w:hAnsi="Times New Roman"/>
      <w:kern w:val="0"/>
      <w:sz w:val="24"/>
      <w:szCs w:val="24"/>
    </w:rPr>
  </w:style>
  <w:style w:type="character" w:customStyle="1" w:styleId="91">
    <w:name w:val="标题 2 Char"/>
    <w:link w:val="11"/>
    <w:qFormat/>
    <w:uiPriority w:val="0"/>
    <w:rPr>
      <w:rFonts w:ascii="Times New Roman" w:hAnsi="Times New Roman" w:eastAsia="宋体"/>
      <w:b/>
      <w:szCs w:val="21"/>
    </w:rPr>
  </w:style>
  <w:style w:type="character" w:customStyle="1" w:styleId="92">
    <w:name w:val="表格   环评 Char"/>
    <w:link w:val="60"/>
    <w:qFormat/>
    <w:uiPriority w:val="0"/>
    <w:rPr>
      <w:rFonts w:hint="eastAsia"/>
      <w:sz w:val="21"/>
      <w:szCs w:val="21"/>
    </w:rPr>
  </w:style>
  <w:style w:type="character" w:customStyle="1" w:styleId="93">
    <w:name w:val="策正文 Char1"/>
    <w:link w:val="50"/>
    <w:qFormat/>
    <w:uiPriority w:val="0"/>
    <w:rPr>
      <w:rFonts w:eastAsia="宋体" w:asciiTheme="minorAscii" w:hAnsiTheme="minorAscii"/>
      <w:color w:val="000000"/>
      <w:sz w:val="24"/>
      <w:lang w:eastAsia="en-US" w:bidi="en-US"/>
    </w:rPr>
  </w:style>
  <w:style w:type="paragraph" w:customStyle="1" w:styleId="94">
    <w:name w:val="Other|1"/>
    <w:basedOn w:val="1"/>
    <w:qFormat/>
    <w:uiPriority w:val="0"/>
    <w:pPr>
      <w:spacing w:after="40" w:line="430" w:lineRule="auto"/>
      <w:ind w:firstLine="400"/>
    </w:pPr>
    <w:rPr>
      <w:rFonts w:ascii="宋体" w:hAnsi="宋体" w:cs="宋体"/>
      <w:color w:val="526D84"/>
      <w:sz w:val="26"/>
      <w:szCs w:val="26"/>
      <w:lang w:val="zh-TW" w:eastAsia="zh-TW" w:bidi="zh-TW"/>
    </w:rPr>
  </w:style>
  <w:style w:type="paragraph" w:customStyle="1" w:styleId="95">
    <w:name w:val="表头  1"/>
    <w:basedOn w:val="1"/>
    <w:qFormat/>
    <w:uiPriority w:val="0"/>
    <w:pPr>
      <w:keepNext/>
      <w:keepLines/>
      <w:spacing w:line="240" w:lineRule="auto"/>
      <w:ind w:firstLine="0" w:firstLineChars="0"/>
      <w:jc w:val="center"/>
      <w:outlineLvl w:val="0"/>
    </w:pPr>
    <w:rPr>
      <w:rFonts w:eastAsia="宋体" w:cs="Times New Roman" w:asciiTheme="minorAscii" w:hAnsiTheme="minorAscii"/>
      <w:b/>
      <w:color w:val="000000"/>
      <w:kern w:val="44"/>
      <w:sz w:val="24"/>
      <w:lang w:eastAsia="en-US" w:bidi="en-US"/>
    </w:rPr>
  </w:style>
  <w:style w:type="paragraph" w:customStyle="1" w:styleId="96">
    <w:name w:val="表格文字"/>
    <w:basedOn w:val="1"/>
    <w:qFormat/>
    <w:uiPriority w:val="0"/>
    <w:pPr>
      <w:jc w:val="center"/>
    </w:pPr>
    <w:rPr>
      <w:rFonts w:ascii="FangSong_GB2312" w:hAnsi="Arial Black" w:eastAsia="FangSong_GB2312"/>
      <w:kern w:val="44"/>
      <w:sz w:val="24"/>
    </w:rPr>
  </w:style>
  <w:style w:type="paragraph" w:customStyle="1" w:styleId="97">
    <w:name w:val="Table Paragraph"/>
    <w:basedOn w:val="1"/>
    <w:qFormat/>
    <w:uiPriority w:val="1"/>
    <w:pPr>
      <w:autoSpaceDE w:val="0"/>
      <w:autoSpaceDN w:val="0"/>
      <w:jc w:val="left"/>
    </w:pPr>
    <w:rPr>
      <w:rFonts w:ascii="宋体" w:hAnsi="宋体" w:cs="宋体"/>
      <w:kern w:val="0"/>
      <w:sz w:val="22"/>
      <w:szCs w:val="22"/>
    </w:rPr>
  </w:style>
  <w:style w:type="paragraph" w:customStyle="1" w:styleId="98">
    <w:name w:val="表标题"/>
    <w:basedOn w:val="1"/>
    <w:qFormat/>
    <w:uiPriority w:val="0"/>
    <w:pPr>
      <w:spacing w:line="360" w:lineRule="auto"/>
      <w:ind w:firstLine="0" w:firstLineChars="0"/>
      <w:jc w:val="center"/>
    </w:pPr>
    <w:rPr>
      <w:b/>
    </w:rPr>
  </w:style>
  <w:style w:type="paragraph" w:customStyle="1" w:styleId="99">
    <w:name w:val="BodyText1I2"/>
    <w:basedOn w:val="100"/>
    <w:next w:val="1"/>
    <w:qFormat/>
    <w:uiPriority w:val="0"/>
    <w:pPr>
      <w:ind w:firstLine="420"/>
      <w:jc w:val="both"/>
    </w:pPr>
    <w:rPr>
      <w:sz w:val="21"/>
      <w:szCs w:val="22"/>
    </w:rPr>
  </w:style>
  <w:style w:type="paragraph" w:customStyle="1" w:styleId="100">
    <w:name w:val="BodyTextIndent"/>
    <w:basedOn w:val="1"/>
    <w:next w:val="101"/>
    <w:qFormat/>
    <w:uiPriority w:val="0"/>
    <w:pPr>
      <w:spacing w:after="120"/>
      <w:ind w:left="420" w:leftChars="200"/>
      <w:textAlignment w:val="baseline"/>
    </w:pPr>
  </w:style>
  <w:style w:type="paragraph" w:customStyle="1" w:styleId="101">
    <w:name w:val="BodyTextIndent2"/>
    <w:basedOn w:val="1"/>
    <w:next w:val="102"/>
    <w:qFormat/>
    <w:uiPriority w:val="0"/>
    <w:pPr>
      <w:spacing w:after="120" w:line="480" w:lineRule="auto"/>
      <w:ind w:left="420" w:leftChars="200"/>
      <w:textAlignment w:val="baseline"/>
    </w:pPr>
  </w:style>
  <w:style w:type="paragraph" w:customStyle="1" w:styleId="102">
    <w:name w:val="TOAHeading"/>
    <w:basedOn w:val="1"/>
    <w:next w:val="1"/>
    <w:qFormat/>
    <w:uiPriority w:val="0"/>
    <w:pPr>
      <w:spacing w:before="120" w:after="120"/>
      <w:ind w:firstLine="200"/>
      <w:textAlignment w:val="baseline"/>
    </w:pPr>
    <w:rPr>
      <w:u w:val="single"/>
    </w:rPr>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styleId="104">
    <w:name w:val="List Paragraph"/>
    <w:basedOn w:val="1"/>
    <w:qFormat/>
    <w:uiPriority w:val="99"/>
    <w:pPr>
      <w:widowControl w:val="0"/>
      <w:adjustRightInd/>
      <w:snapToGrid/>
      <w:spacing w:after="0" w:line="360" w:lineRule="auto"/>
      <w:ind w:left="357" w:firstLine="420" w:firstLineChars="200"/>
      <w:contextualSpacing/>
    </w:pPr>
    <w:rPr>
      <w:rFonts w:ascii="Calibri" w:hAnsi="Calibri" w:eastAsia="宋体"/>
      <w:kern w:val="2"/>
      <w:sz w:val="24"/>
    </w:rPr>
  </w:style>
  <w:style w:type="paragraph" w:customStyle="1" w:styleId="105">
    <w:name w:val="中文报告书样式"/>
    <w:basedOn w:val="1"/>
    <w:qFormat/>
    <w:uiPriority w:val="0"/>
    <w:pPr>
      <w:suppressAutoHyphens w:val="0"/>
      <w:wordWrap/>
      <w:adjustRightInd w:val="0"/>
      <w:spacing w:line="480" w:lineRule="atLeast"/>
      <w:ind w:firstLine="482" w:firstLineChars="0"/>
      <w:textAlignment w:val="baseline"/>
    </w:pPr>
    <w:rPr>
      <w:kern w:val="24"/>
      <w:szCs w:val="20"/>
    </w:rPr>
  </w:style>
  <w:style w:type="paragraph" w:customStyle="1" w:styleId="106">
    <w:name w:val="表格内容"/>
    <w:basedOn w:val="1"/>
    <w:qFormat/>
    <w:uiPriority w:val="0"/>
    <w:pPr>
      <w:jc w:val="center"/>
    </w:pPr>
    <w:rPr>
      <w:kern w:val="24"/>
      <w:szCs w:val="21"/>
    </w:rPr>
  </w:style>
  <w:style w:type="paragraph" w:customStyle="1" w:styleId="107">
    <w:name w:val="4正文 Char"/>
    <w:basedOn w:val="1"/>
    <w:qFormat/>
    <w:uiPriority w:val="0"/>
    <w:pPr>
      <w:spacing w:line="360" w:lineRule="auto"/>
      <w:ind w:firstLine="480" w:firstLineChars="200"/>
    </w:pPr>
    <w:rPr>
      <w:rFonts w:ascii="宋体" w:hAnsi="宋体" w:eastAsia="宋体" w:cs="宋体"/>
      <w:sz w:val="24"/>
      <w:szCs w:val="20"/>
    </w:rPr>
  </w:style>
  <w:style w:type="paragraph" w:customStyle="1" w:styleId="108">
    <w:name w:val="表头及表尾"/>
    <w:qFormat/>
    <w:uiPriority w:val="0"/>
    <w:pPr>
      <w:tabs>
        <w:tab w:val="center" w:pos="4200"/>
        <w:tab w:val="right" w:pos="8400"/>
      </w:tabs>
      <w:adjustRightInd w:val="0"/>
      <w:snapToGrid w:val="0"/>
      <w:spacing w:line="360" w:lineRule="auto"/>
      <w:jc w:val="center"/>
    </w:pPr>
    <w:rPr>
      <w:rFonts w:ascii="Times New Roman" w:hAnsi="Times New Roman" w:eastAsia="宋体" w:cs="Times New Roman"/>
      <w:b/>
      <w:snapToGrid w:val="0"/>
      <w:sz w:val="21"/>
      <w:szCs w:val="21"/>
      <w:lang w:val="en-US" w:eastAsia="zh-CN" w:bidi="ar-SA"/>
    </w:rPr>
  </w:style>
  <w:style w:type="paragraph" w:customStyle="1" w:styleId="109">
    <w:name w:val="标题1"/>
    <w:basedOn w:val="1"/>
    <w:qFormat/>
    <w:uiPriority w:val="0"/>
    <w:pPr>
      <w:adjustRightInd w:val="0"/>
      <w:snapToGrid w:val="0"/>
      <w:ind w:firstLine="0" w:firstLineChars="0"/>
      <w:jc w:val="left"/>
      <w:outlineLvl w:val="0"/>
    </w:pPr>
    <w:rPr>
      <w:b/>
      <w:bCs/>
      <w:sz w:val="28"/>
      <w:szCs w:val="72"/>
    </w:rPr>
  </w:style>
  <w:style w:type="paragraph" w:customStyle="1" w:styleId="110">
    <w:name w:val="环评正文"/>
    <w:basedOn w:val="1"/>
    <w:qFormat/>
    <w:uiPriority w:val="0"/>
    <w:pPr>
      <w:ind w:firstLine="200"/>
    </w:pPr>
  </w:style>
  <w:style w:type="paragraph" w:customStyle="1" w:styleId="111">
    <w:name w:val="7表格内容7"/>
    <w:basedOn w:val="1"/>
    <w:qFormat/>
    <w:uiPriority w:val="0"/>
    <w:pPr>
      <w:widowControl/>
      <w:spacing w:line="240" w:lineRule="auto"/>
      <w:ind w:firstLine="0" w:firstLineChars="0"/>
      <w:jc w:val="center"/>
    </w:pPr>
    <w:rPr>
      <w:rFonts w:ascii="宋体" w:hAnsi="宋体"/>
      <w:kern w:val="0"/>
      <w:sz w:val="21"/>
      <w:szCs w:val="21"/>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100" Target="embeddings/oleObject45.bin" Type="http://schemas.openxmlformats.org/officeDocument/2006/relationships/oleObject"/><Relationship Id="rId101" Target="media/image46.wmf" Type="http://schemas.openxmlformats.org/officeDocument/2006/relationships/image"/><Relationship Id="rId102" Target="embeddings/oleObject46.bin" Type="http://schemas.openxmlformats.org/officeDocument/2006/relationships/oleObject"/><Relationship Id="rId103" Target="media/image47.wmf" Type="http://schemas.openxmlformats.org/officeDocument/2006/relationships/image"/><Relationship Id="rId104" Target="embeddings/oleObject47.bin" Type="http://schemas.openxmlformats.org/officeDocument/2006/relationships/oleObject"/><Relationship Id="rId105" Target="media/image48.wmf" Type="http://schemas.openxmlformats.org/officeDocument/2006/relationships/image"/><Relationship Id="rId106" Target="embeddings/oleObject48.bin" Type="http://schemas.openxmlformats.org/officeDocument/2006/relationships/oleObject"/><Relationship Id="rId107" Target="media/image49.wmf" Type="http://schemas.openxmlformats.org/officeDocument/2006/relationships/image"/><Relationship Id="rId108" Target="media/image50.wmf" Type="http://schemas.openxmlformats.org/officeDocument/2006/relationships/image"/><Relationship Id="rId109" Target="embeddings/oleObject49.bin" Type="http://schemas.openxmlformats.org/officeDocument/2006/relationships/oleObject"/><Relationship Id="rId11" Target="media/image1.png" Type="http://schemas.openxmlformats.org/officeDocument/2006/relationships/image"/><Relationship Id="rId110" Target="media/image51.wmf" Type="http://schemas.openxmlformats.org/officeDocument/2006/relationships/image"/><Relationship Id="rId111" Target="embeddings/oleObject50.bin" Type="http://schemas.openxmlformats.org/officeDocument/2006/relationships/oleObject"/><Relationship Id="rId112" Target="media/image52.wmf" Type="http://schemas.openxmlformats.org/officeDocument/2006/relationships/image"/><Relationship Id="rId113" Target="embeddings/oleObject51.bin" Type="http://schemas.openxmlformats.org/officeDocument/2006/relationships/oleObject"/><Relationship Id="rId114" Target="media/image53.wmf" Type="http://schemas.openxmlformats.org/officeDocument/2006/relationships/image"/><Relationship Id="rId115" Target="media/image54.png" Type="http://schemas.openxmlformats.org/officeDocument/2006/relationships/image"/><Relationship Id="rId116" Target="media/image55.jpeg" Type="http://schemas.openxmlformats.org/officeDocument/2006/relationships/image"/><Relationship Id="rId117" Target="media/image56.png" Type="http://schemas.openxmlformats.org/officeDocument/2006/relationships/image"/><Relationship Id="rId118" Target="media/image57.jpeg" Type="http://schemas.openxmlformats.org/officeDocument/2006/relationships/image"/><Relationship Id="rId119" Target="media/image58.png" Type="http://schemas.openxmlformats.org/officeDocument/2006/relationships/image"/><Relationship Id="rId12" Target="media/image2.png" Type="http://schemas.openxmlformats.org/officeDocument/2006/relationships/image"/><Relationship Id="rId120" Target="../customXml/item1.xml" Type="http://schemas.openxmlformats.org/officeDocument/2006/relationships/customXml"/><Relationship Id="rId121" Target="numbering.xml" Type="http://schemas.openxmlformats.org/officeDocument/2006/relationships/numbering"/><Relationship Id="rId122" Target="fontTable.xml" Type="http://schemas.openxmlformats.org/officeDocument/2006/relationships/fontTable"/><Relationship Id="rId13" Target="media/image3.jpe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embeddings/oleObject1.bin" Type="http://schemas.openxmlformats.org/officeDocument/2006/relationships/oleObject"/><Relationship Id="rId17" Target="media/image6.wmf" Type="http://schemas.openxmlformats.org/officeDocument/2006/relationships/image"/><Relationship Id="rId18" Target="embeddings/oleObject2.bin" Type="http://schemas.openxmlformats.org/officeDocument/2006/relationships/oleObject"/><Relationship Id="rId19" Target="media/image7.wmf" Type="http://schemas.openxmlformats.org/officeDocument/2006/relationships/image"/><Relationship Id="rId2" Target="settings.xml" Type="http://schemas.openxmlformats.org/officeDocument/2006/relationships/settings"/><Relationship Id="rId20" Target="embeddings/oleObject3.bin" Type="http://schemas.openxmlformats.org/officeDocument/2006/relationships/oleObject"/><Relationship Id="rId21" Target="media/image8.wmf" Type="http://schemas.openxmlformats.org/officeDocument/2006/relationships/image"/><Relationship Id="rId22" Target="embeddings/oleObject4.bin" Type="http://schemas.openxmlformats.org/officeDocument/2006/relationships/oleObject"/><Relationship Id="rId23" Target="media/image9.wmf" Type="http://schemas.openxmlformats.org/officeDocument/2006/relationships/image"/><Relationship Id="rId24" Target="embeddings/oleObject5.bin" Type="http://schemas.openxmlformats.org/officeDocument/2006/relationships/oleObject"/><Relationship Id="rId25" Target="media/image10.wmf" Type="http://schemas.openxmlformats.org/officeDocument/2006/relationships/image"/><Relationship Id="rId26" Target="embeddings/oleObject6.bin" Type="http://schemas.openxmlformats.org/officeDocument/2006/relationships/oleObject"/><Relationship Id="rId27" Target="media/image11.wmf" Type="http://schemas.openxmlformats.org/officeDocument/2006/relationships/image"/><Relationship Id="rId28" Target="embeddings/oleObject7.bin" Type="http://schemas.openxmlformats.org/officeDocument/2006/relationships/oleObject"/><Relationship Id="rId29" Target="media/image12.wmf" Type="http://schemas.openxmlformats.org/officeDocument/2006/relationships/image"/><Relationship Id="rId3" Target="footnotes.xml" Type="http://schemas.openxmlformats.org/officeDocument/2006/relationships/footnotes"/><Relationship Id="rId30" Target="embeddings/oleObject8.bin" Type="http://schemas.openxmlformats.org/officeDocument/2006/relationships/oleObject"/><Relationship Id="rId31" Target="media/image13.wmf" Type="http://schemas.openxmlformats.org/officeDocument/2006/relationships/image"/><Relationship Id="rId32" Target="embeddings/oleObject9.bin" Type="http://schemas.openxmlformats.org/officeDocument/2006/relationships/oleObject"/><Relationship Id="rId33" Target="media/image14.wmf" Type="http://schemas.openxmlformats.org/officeDocument/2006/relationships/image"/><Relationship Id="rId34" Target="embeddings/oleObject10.bin" Type="http://schemas.openxmlformats.org/officeDocument/2006/relationships/oleObject"/><Relationship Id="rId35" Target="media/image15.wmf" Type="http://schemas.openxmlformats.org/officeDocument/2006/relationships/image"/><Relationship Id="rId36" Target="embeddings/oleObject11.bin" Type="http://schemas.openxmlformats.org/officeDocument/2006/relationships/oleObject"/><Relationship Id="rId37" Target="media/image16.wmf" Type="http://schemas.openxmlformats.org/officeDocument/2006/relationships/image"/><Relationship Id="rId38" Target="embeddings/oleObject12.bin" Type="http://schemas.openxmlformats.org/officeDocument/2006/relationships/oleObject"/><Relationship Id="rId39" Target="media/image17.wmf" Type="http://schemas.openxmlformats.org/officeDocument/2006/relationships/image"/><Relationship Id="rId4" Target="endnotes.xml" Type="http://schemas.openxmlformats.org/officeDocument/2006/relationships/endnotes"/><Relationship Id="rId40" Target="embeddings/oleObject13.bin" Type="http://schemas.openxmlformats.org/officeDocument/2006/relationships/oleObject"/><Relationship Id="rId41" Target="media/image18.wmf" Type="http://schemas.openxmlformats.org/officeDocument/2006/relationships/image"/><Relationship Id="rId42" Target="embeddings/oleObject14.bin" Type="http://schemas.openxmlformats.org/officeDocument/2006/relationships/oleObject"/><Relationship Id="rId43" Target="media/image19.wmf" Type="http://schemas.openxmlformats.org/officeDocument/2006/relationships/image"/><Relationship Id="rId44" Target="embeddings/oleObject15.bin" Type="http://schemas.openxmlformats.org/officeDocument/2006/relationships/oleObject"/><Relationship Id="rId45" Target="media/image20.wmf" Type="http://schemas.openxmlformats.org/officeDocument/2006/relationships/image"/><Relationship Id="rId46" Target="embeddings/oleObject16.bin" Type="http://schemas.openxmlformats.org/officeDocument/2006/relationships/oleObject"/><Relationship Id="rId47" Target="media/image21.wmf" Type="http://schemas.openxmlformats.org/officeDocument/2006/relationships/image"/><Relationship Id="rId48" Target="embeddings/oleObject17.bin" Type="http://schemas.openxmlformats.org/officeDocument/2006/relationships/oleObject"/><Relationship Id="rId49" Target="media/image22.wmf" Type="http://schemas.openxmlformats.org/officeDocument/2006/relationships/image"/><Relationship Id="rId5" Target="footer1.xml" Type="http://schemas.openxmlformats.org/officeDocument/2006/relationships/footer"/><Relationship Id="rId50" Target="embeddings/oleObject18.bin" Type="http://schemas.openxmlformats.org/officeDocument/2006/relationships/oleObject"/><Relationship Id="rId51" Target="media/image23.wmf" Type="http://schemas.openxmlformats.org/officeDocument/2006/relationships/image"/><Relationship Id="rId52" Target="embeddings/oleObject19.bin" Type="http://schemas.openxmlformats.org/officeDocument/2006/relationships/oleObject"/><Relationship Id="rId53" Target="media/image24.wmf" Type="http://schemas.openxmlformats.org/officeDocument/2006/relationships/image"/><Relationship Id="rId54" Target="embeddings/oleObject20.bin" Type="http://schemas.openxmlformats.org/officeDocument/2006/relationships/oleObject"/><Relationship Id="rId55" Target="media/image25.wmf" Type="http://schemas.openxmlformats.org/officeDocument/2006/relationships/image"/><Relationship Id="rId56" Target="embeddings/oleObject21.bin" Type="http://schemas.openxmlformats.org/officeDocument/2006/relationships/oleObject"/><Relationship Id="rId57" Target="media/image26.wmf" Type="http://schemas.openxmlformats.org/officeDocument/2006/relationships/image"/><Relationship Id="rId58" Target="embeddings/oleObject22.bin" Type="http://schemas.openxmlformats.org/officeDocument/2006/relationships/oleObject"/><Relationship Id="rId59" Target="media/image27.wmf" Type="http://schemas.openxmlformats.org/officeDocument/2006/relationships/image"/><Relationship Id="rId6" Target="footer2.xml" Type="http://schemas.openxmlformats.org/officeDocument/2006/relationships/footer"/><Relationship Id="rId60" Target="embeddings/oleObject23.bin" Type="http://schemas.openxmlformats.org/officeDocument/2006/relationships/oleObject"/><Relationship Id="rId61" Target="media/image28.wmf" Type="http://schemas.openxmlformats.org/officeDocument/2006/relationships/image"/><Relationship Id="rId62" Target="embeddings/oleObject24.bin" Type="http://schemas.openxmlformats.org/officeDocument/2006/relationships/oleObject"/><Relationship Id="rId63" Target="media/image29.wmf" Type="http://schemas.openxmlformats.org/officeDocument/2006/relationships/image"/><Relationship Id="rId64" Target="embeddings/oleObject25.bin" Type="http://schemas.openxmlformats.org/officeDocument/2006/relationships/oleObject"/><Relationship Id="rId65" Target="media/image30.wmf" Type="http://schemas.openxmlformats.org/officeDocument/2006/relationships/image"/><Relationship Id="rId66" Target="embeddings/oleObject26.bin" Type="http://schemas.openxmlformats.org/officeDocument/2006/relationships/oleObject"/><Relationship Id="rId67" Target="embeddings/oleObject27.bin" Type="http://schemas.openxmlformats.org/officeDocument/2006/relationships/oleObject"/><Relationship Id="rId68" Target="media/image31.wmf" Type="http://schemas.openxmlformats.org/officeDocument/2006/relationships/image"/><Relationship Id="rId69" Target="embeddings/oleObject28.bin" Type="http://schemas.openxmlformats.org/officeDocument/2006/relationships/oleObject"/><Relationship Id="rId7" Target="footer3.xml" Type="http://schemas.openxmlformats.org/officeDocument/2006/relationships/footer"/><Relationship Id="rId70" Target="media/image32.wmf" Type="http://schemas.openxmlformats.org/officeDocument/2006/relationships/image"/><Relationship Id="rId71" Target="embeddings/oleObject29.bin" Type="http://schemas.openxmlformats.org/officeDocument/2006/relationships/oleObject"/><Relationship Id="rId72" Target="media/image33.wmf" Type="http://schemas.openxmlformats.org/officeDocument/2006/relationships/image"/><Relationship Id="rId73" Target="embeddings/oleObject30.bin" Type="http://schemas.openxmlformats.org/officeDocument/2006/relationships/oleObject"/><Relationship Id="rId74" Target="embeddings/oleObject31.bin" Type="http://schemas.openxmlformats.org/officeDocument/2006/relationships/oleObject"/><Relationship Id="rId75" Target="media/image34.wmf" Type="http://schemas.openxmlformats.org/officeDocument/2006/relationships/image"/><Relationship Id="rId76" Target="embeddings/oleObject32.bin" Type="http://schemas.openxmlformats.org/officeDocument/2006/relationships/oleObject"/><Relationship Id="rId77" Target="embeddings/oleObject33.bin" Type="http://schemas.openxmlformats.org/officeDocument/2006/relationships/oleObject"/><Relationship Id="rId78" Target="media/image35.wmf" Type="http://schemas.openxmlformats.org/officeDocument/2006/relationships/image"/><Relationship Id="rId79" Target="embeddings/oleObject34.bin" Type="http://schemas.openxmlformats.org/officeDocument/2006/relationships/oleObject"/><Relationship Id="rId8" Target="footer4.xml" Type="http://schemas.openxmlformats.org/officeDocument/2006/relationships/footer"/><Relationship Id="rId80" Target="media/image36.wmf" Type="http://schemas.openxmlformats.org/officeDocument/2006/relationships/image"/><Relationship Id="rId81" Target="embeddings/oleObject35.bin" Type="http://schemas.openxmlformats.org/officeDocument/2006/relationships/oleObject"/><Relationship Id="rId82" Target="media/image37.wmf" Type="http://schemas.openxmlformats.org/officeDocument/2006/relationships/image"/><Relationship Id="rId83" Target="embeddings/oleObject36.bin" Type="http://schemas.openxmlformats.org/officeDocument/2006/relationships/oleObject"/><Relationship Id="rId84" Target="media/image38.wmf" Type="http://schemas.openxmlformats.org/officeDocument/2006/relationships/image"/><Relationship Id="rId85" Target="embeddings/oleObject37.bin" Type="http://schemas.openxmlformats.org/officeDocument/2006/relationships/oleObject"/><Relationship Id="rId86" Target="media/image39.wmf" Type="http://schemas.openxmlformats.org/officeDocument/2006/relationships/image"/><Relationship Id="rId87" Target="embeddings/oleObject38.bin" Type="http://schemas.openxmlformats.org/officeDocument/2006/relationships/oleObject"/><Relationship Id="rId88" Target="media/image40.wmf" Type="http://schemas.openxmlformats.org/officeDocument/2006/relationships/image"/><Relationship Id="rId89" Target="embeddings/oleObject39.bin" Type="http://schemas.openxmlformats.org/officeDocument/2006/relationships/oleObject"/><Relationship Id="rId9" Target="footer5.xml" Type="http://schemas.openxmlformats.org/officeDocument/2006/relationships/footer"/><Relationship Id="rId90" Target="media/image41.wmf" Type="http://schemas.openxmlformats.org/officeDocument/2006/relationships/image"/><Relationship Id="rId91" Target="embeddings/oleObject40.bin" Type="http://schemas.openxmlformats.org/officeDocument/2006/relationships/oleObject"/><Relationship Id="rId92" Target="media/image42.wmf" Type="http://schemas.openxmlformats.org/officeDocument/2006/relationships/image"/><Relationship Id="rId93" Target="embeddings/oleObject41.bin" Type="http://schemas.openxmlformats.org/officeDocument/2006/relationships/oleObject"/><Relationship Id="rId94" Target="media/image43.wmf" Type="http://schemas.openxmlformats.org/officeDocument/2006/relationships/image"/><Relationship Id="rId95" Target="embeddings/oleObject42.bin" Type="http://schemas.openxmlformats.org/officeDocument/2006/relationships/oleObject"/><Relationship Id="rId96" Target="embeddings/oleObject43.bin" Type="http://schemas.openxmlformats.org/officeDocument/2006/relationships/oleObject"/><Relationship Id="rId97" Target="media/image44.wmf" Type="http://schemas.openxmlformats.org/officeDocument/2006/relationships/image"/><Relationship Id="rId98" Target="embeddings/oleObject44.bin" Type="http://schemas.openxmlformats.org/officeDocument/2006/relationships/oleObject"/><Relationship Id="rId99" Target="media/image45.wmf" Type="http://schemas.openxmlformats.org/officeDocument/2006/relationships/image"/></Relationships>
</file>

<file path=word/_rels/settings.xml.rels><?xml version="1.0" encoding="UTF-8" standalone="no"?><Relationships xmlns="http://schemas.openxmlformats.org/package/2006/relationships"><Relationship Id="rId1" Target="file:///C:/dsoa/wdzx97.dot" TargetMode="External" Type="http://schemas.openxmlformats.org/officeDocument/2006/relationships/attachedTemplate"/></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61</Pages>
  <Words>36258</Words>
  <Characters>41688</Characters>
  <Lines>13</Lines>
  <Paragraphs>3</Paragraphs>
  <TotalTime>3</TotalTime>
  <ScaleCrop>false</ScaleCrop>
  <LinksUpToDate>false</LinksUpToDate>
  <CharactersWithSpaces>42071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2020-12-24T01:29:00Z</dcterms:created>
  <dc:creator>lhj</dc:creator>
  <cp:lastModifiedBy>邵静</cp:lastModifiedBy>
  <cp:lastPrinted>2021-11-12T05:52:00Z</cp:lastPrinted>
  <dcterms:modified xsi:type="dcterms:W3CDTF">2023-03-23T09:15:37Z</dcterms:modified>
  <cp:revision>37</cp:revision>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1A412C5A6AB6480AAC41BC30D84CAB7A</vt:lpwstr>
  </property>
</Properties>
</file>