
<file path=[Content_Types].xml><?xml version="1.0" encoding="utf-8"?>
<Types xmlns="http://schemas.openxmlformats.org/package/2006/content-types">
  <Default ContentType="application/vnd.openxmlformats-officedocument.oleObject" Extension="bin"/>
  <Default ContentType="image/jpeg" Extension="jpeg"/>
  <Default ContentType="image/.jpg" Extension="jpg"/>
  <Default ContentType="image/png" Extension="png"/>
  <Default ContentType="application/vnd.openxmlformats-package.relationships+xml" Extension="rels"/>
  <Default ContentType="image/x-wmf" Extension="wmf"/>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5.xml"/>
  <Override ContentType="application/vnd.openxmlformats-officedocument.wordprocessingml.footnotes+xml" PartName="/word/footnotes.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default" w:ascii="Times New Roman" w:hAnsi="Times New Roman" w:eastAsia="仿宋_GB2312" w:cs="Times New Roman"/>
          <w:color w:val="auto"/>
          <w:sz w:val="36"/>
          <w:szCs w:val="36"/>
          <w:highlight w:val="none"/>
        </w:rPr>
      </w:pPr>
    </w:p>
    <w:p>
      <w:pPr>
        <w:rPr>
          <w:rFonts w:hint="default" w:ascii="Times New Roman" w:hAnsi="Times New Roman" w:eastAsia="仿宋_GB2312" w:cs="Times New Roman"/>
          <w:color w:val="auto"/>
          <w:sz w:val="36"/>
          <w:szCs w:val="36"/>
          <w:highlight w:val="none"/>
        </w:rPr>
      </w:pPr>
    </w:p>
    <w:p>
      <w:pPr>
        <w:adjustRightInd w:val="0"/>
        <w:snapToGrid w:val="0"/>
        <w:jc w:val="center"/>
        <w:outlineLvl w:val="0"/>
        <w:rPr>
          <w:rFonts w:hint="default" w:ascii="Times New Roman" w:hAnsi="Times New Roman" w:eastAsia="方正小标宋_GBK" w:cs="Times New Roman"/>
          <w:bCs/>
          <w:color w:val="auto"/>
          <w:sz w:val="72"/>
          <w:szCs w:val="72"/>
          <w:highlight w:val="none"/>
        </w:rPr>
      </w:pPr>
      <w:r>
        <w:rPr>
          <w:rFonts w:hint="default" w:ascii="Times New Roman" w:hAnsi="Times New Roman" w:eastAsia="方正小标宋_GBK" w:cs="Times New Roman"/>
          <w:bCs/>
          <w:color w:val="auto"/>
          <w:sz w:val="72"/>
          <w:szCs w:val="72"/>
          <w:highlight w:val="none"/>
        </w:rPr>
        <w:t>建设项目环境影响报告表</w:t>
      </w:r>
    </w:p>
    <w:p>
      <w:pPr>
        <w:adjustRightInd w:val="0"/>
        <w:snapToGrid w:val="0"/>
        <w:spacing w:before="192" w:beforeLines="80"/>
        <w:jc w:val="center"/>
        <w:rPr>
          <w:rFonts w:hint="default" w:ascii="Times New Roman" w:hAnsi="Times New Roman" w:eastAsia="楷体_GB2312" w:cs="Times New Roman"/>
          <w:bCs/>
          <w:color w:val="auto"/>
          <w:sz w:val="44"/>
          <w:szCs w:val="44"/>
          <w:highlight w:val="none"/>
          <w:lang w:val="en-US" w:eastAsia="zh-CN"/>
        </w:rPr>
      </w:pPr>
      <w:r>
        <w:rPr>
          <w:rFonts w:hint="default" w:ascii="Times New Roman" w:hAnsi="Times New Roman" w:eastAsia="楷体_GB2312" w:cs="Times New Roman"/>
          <w:bCs/>
          <w:color w:val="auto"/>
          <w:sz w:val="44"/>
          <w:szCs w:val="44"/>
          <w:highlight w:val="none"/>
        </w:rPr>
        <w:t>（污染影响类）</w:t>
      </w:r>
      <w:r>
        <w:rPr>
          <w:rFonts w:hint="eastAsia" w:eastAsia="楷体_GB2312" w:cs="Times New Roman"/>
          <w:bCs/>
          <w:color w:val="auto"/>
          <w:sz w:val="44"/>
          <w:szCs w:val="44"/>
          <w:highlight w:val="none"/>
          <w:lang w:val="en-US" w:eastAsia="zh-CN"/>
        </w:rPr>
        <w:t xml:space="preserve">  </w:t>
      </w:r>
    </w:p>
    <w:p>
      <w:pPr>
        <w:adjustRightInd w:val="0"/>
        <w:snapToGrid w:val="0"/>
        <w:spacing w:line="360" w:lineRule="auto"/>
        <w:ind w:left="3355" w:leftChars="348" w:hanging="2520" w:hangingChars="900"/>
        <w:rPr>
          <w:rFonts w:hint="default" w:ascii="Times New Roman" w:hAnsi="Times New Roman" w:eastAsia="宋体" w:cs="Times New Roman"/>
          <w:bCs/>
          <w:color w:val="auto"/>
          <w:sz w:val="28"/>
          <w:szCs w:val="28"/>
          <w:highlight w:val="none"/>
        </w:rPr>
      </w:pPr>
    </w:p>
    <w:p>
      <w:pPr>
        <w:adjustRightInd w:val="0"/>
        <w:snapToGrid w:val="0"/>
        <w:spacing w:line="360" w:lineRule="auto"/>
        <w:ind w:left="3355" w:leftChars="348" w:hanging="2520" w:hangingChars="900"/>
        <w:rPr>
          <w:rFonts w:hint="eastAsia" w:ascii="Times New Roman" w:hAnsi="Times New Roman" w:eastAsia="宋体" w:cs="Times New Roman"/>
          <w:bCs/>
          <w:color w:val="auto"/>
          <w:sz w:val="28"/>
          <w:szCs w:val="28"/>
          <w:highlight w:val="none"/>
          <w:lang w:val="en-US" w:eastAsia="zh-CN"/>
        </w:rPr>
      </w:pPr>
    </w:p>
    <w:p>
      <w:pPr>
        <w:adjustRightInd w:val="0"/>
        <w:snapToGrid w:val="0"/>
        <w:spacing w:line="360" w:lineRule="auto"/>
        <w:ind w:left="3355" w:leftChars="348" w:hanging="2520" w:hangingChars="900"/>
        <w:rPr>
          <w:rFonts w:hint="default" w:ascii="Times New Roman" w:hAnsi="Times New Roman" w:eastAsia="宋体" w:cs="Times New Roman"/>
          <w:bCs/>
          <w:color w:val="auto"/>
          <w:sz w:val="28"/>
          <w:szCs w:val="28"/>
          <w:highlight w:val="none"/>
        </w:rPr>
      </w:pPr>
    </w:p>
    <w:p>
      <w:pPr>
        <w:adjustRightInd w:val="0"/>
        <w:snapToGrid w:val="0"/>
        <w:spacing w:line="360" w:lineRule="auto"/>
        <w:ind w:left="3355" w:leftChars="348" w:hanging="2520" w:hangingChars="900"/>
        <w:rPr>
          <w:rFonts w:hint="default" w:ascii="Times New Roman" w:hAnsi="Times New Roman" w:eastAsia="宋体" w:cs="Times New Roman"/>
          <w:bCs/>
          <w:color w:val="auto"/>
          <w:sz w:val="28"/>
          <w:szCs w:val="28"/>
          <w:highlight w:val="none"/>
        </w:rPr>
      </w:pPr>
    </w:p>
    <w:p>
      <w:pPr>
        <w:adjustRightInd w:val="0"/>
        <w:snapToGrid w:val="0"/>
        <w:spacing w:line="360" w:lineRule="auto"/>
        <w:ind w:left="3355" w:leftChars="348" w:hanging="2520" w:hangingChars="900"/>
        <w:rPr>
          <w:rFonts w:hint="default" w:ascii="Times New Roman" w:hAnsi="Times New Roman" w:eastAsia="宋体" w:cs="Times New Roman"/>
          <w:bCs/>
          <w:color w:val="auto"/>
          <w:sz w:val="28"/>
          <w:szCs w:val="28"/>
          <w:highlight w:val="none"/>
        </w:rPr>
      </w:pPr>
    </w:p>
    <w:p>
      <w:pPr>
        <w:adjustRightInd w:val="0"/>
        <w:snapToGrid w:val="0"/>
        <w:spacing w:line="360" w:lineRule="auto"/>
        <w:rPr>
          <w:rFonts w:hint="default" w:ascii="Times New Roman" w:hAnsi="Times New Roman" w:eastAsia="宋体" w:cs="Times New Roman"/>
          <w:bCs/>
          <w:color w:val="auto"/>
          <w:sz w:val="28"/>
          <w:szCs w:val="28"/>
          <w:highlight w:val="none"/>
        </w:rPr>
      </w:pPr>
    </w:p>
    <w:p>
      <w:pPr>
        <w:pStyle w:val="29"/>
        <w:rPr>
          <w:rFonts w:hint="eastAsia" w:ascii="仿宋" w:hAnsi="仿宋" w:eastAsia="仿宋" w:cs="仿宋"/>
          <w:color w:val="auto"/>
          <w:highlight w:val="none"/>
        </w:rPr>
      </w:pPr>
    </w:p>
    <w:p>
      <w:pPr>
        <w:pBdr>
          <w:top w:val="none" w:color="auto" w:sz="0" w:space="0"/>
          <w:left w:val="none" w:color="auto" w:sz="0" w:space="0"/>
          <w:bottom w:val="none" w:color="auto" w:sz="0" w:space="0"/>
          <w:right w:val="none" w:color="auto" w:sz="0" w:space="0"/>
          <w:between w:val="none" w:color="auto" w:sz="0" w:space="0"/>
        </w:pBdr>
        <w:adjustRightInd w:val="0"/>
        <w:snapToGrid w:val="0"/>
        <w:spacing w:line="360" w:lineRule="auto"/>
        <w:ind w:firstLine="640" w:firstLineChars="200"/>
        <w:jc w:val="both"/>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rPr>
        <w:t>项</w:t>
      </w:r>
      <w:r>
        <w:rPr>
          <w:rFonts w:hint="eastAsia" w:ascii="仿宋" w:hAnsi="仿宋" w:eastAsia="仿宋" w:cs="仿宋"/>
          <w:color w:val="auto"/>
          <w:sz w:val="32"/>
          <w:szCs w:val="32"/>
          <w:highlight w:val="none"/>
          <w:lang w:val="en-US" w:eastAsia="zh-CN"/>
        </w:rPr>
        <w:t xml:space="preserve">  </w:t>
      </w:r>
      <w:r>
        <w:rPr>
          <w:rFonts w:hint="eastAsia" w:ascii="仿宋" w:hAnsi="仿宋" w:eastAsia="仿宋" w:cs="仿宋"/>
          <w:color w:val="auto"/>
          <w:sz w:val="32"/>
          <w:szCs w:val="32"/>
          <w:highlight w:val="none"/>
        </w:rPr>
        <w:t>目</w:t>
      </w:r>
      <w:r>
        <w:rPr>
          <w:rFonts w:hint="eastAsia" w:ascii="仿宋" w:hAnsi="仿宋" w:eastAsia="仿宋" w:cs="仿宋"/>
          <w:color w:val="auto"/>
          <w:sz w:val="32"/>
          <w:szCs w:val="32"/>
          <w:highlight w:val="none"/>
          <w:lang w:val="en-US" w:eastAsia="zh-CN"/>
        </w:rPr>
        <w:t xml:space="preserve">  </w:t>
      </w:r>
      <w:r>
        <w:rPr>
          <w:rFonts w:hint="eastAsia" w:ascii="仿宋" w:hAnsi="仿宋" w:eastAsia="仿宋" w:cs="仿宋"/>
          <w:color w:val="auto"/>
          <w:sz w:val="32"/>
          <w:szCs w:val="32"/>
          <w:highlight w:val="none"/>
        </w:rPr>
        <w:t>名</w:t>
      </w:r>
      <w:r>
        <w:rPr>
          <w:rFonts w:hint="eastAsia" w:ascii="仿宋" w:hAnsi="仿宋" w:eastAsia="仿宋" w:cs="仿宋"/>
          <w:color w:val="auto"/>
          <w:sz w:val="32"/>
          <w:szCs w:val="32"/>
          <w:highlight w:val="none"/>
          <w:lang w:val="en-US" w:eastAsia="zh-CN"/>
        </w:rPr>
        <w:t xml:space="preserve">  </w:t>
      </w:r>
      <w:r>
        <w:rPr>
          <w:rFonts w:hint="eastAsia" w:ascii="仿宋" w:hAnsi="仿宋" w:eastAsia="仿宋" w:cs="仿宋"/>
          <w:color w:val="auto"/>
          <w:sz w:val="32"/>
          <w:szCs w:val="32"/>
          <w:highlight w:val="none"/>
        </w:rPr>
        <w:t>称</w:t>
      </w:r>
      <w:r>
        <w:rPr>
          <w:rFonts w:hint="eastAsia" w:ascii="仿宋" w:hAnsi="仿宋" w:eastAsia="仿宋" w:cs="仿宋"/>
          <w:color w:val="auto"/>
          <w:sz w:val="32"/>
          <w:szCs w:val="32"/>
          <w:highlight w:val="none"/>
          <w:lang w:val="en-US" w:eastAsia="zh-CN"/>
        </w:rPr>
        <w:t xml:space="preserve">  </w:t>
      </w:r>
      <w:r>
        <w:rPr>
          <w:rFonts w:hint="eastAsia" w:ascii="仿宋" w:hAnsi="仿宋" w:eastAsia="仿宋" w:cs="仿宋"/>
          <w:color w:val="auto"/>
          <w:sz w:val="32"/>
          <w:szCs w:val="32"/>
          <w:highlight w:val="none"/>
        </w:rPr>
        <w:t>：</w:t>
      </w:r>
      <w:r>
        <w:rPr>
          <w:rFonts w:hint="eastAsia" w:ascii="仿宋" w:hAnsi="仿宋" w:eastAsia="仿宋" w:cs="仿宋"/>
          <w:color w:val="auto"/>
          <w:sz w:val="32"/>
          <w:szCs w:val="32"/>
          <w:highlight w:val="none"/>
          <w:u w:val="single"/>
          <w:lang w:val="en-US" w:eastAsia="zh-CN"/>
        </w:rPr>
        <w:t>特种机械设备生产线技改项目</w:t>
      </w:r>
    </w:p>
    <w:p>
      <w:pPr>
        <w:pBdr>
          <w:top w:val="none" w:color="auto" w:sz="0" w:space="0"/>
          <w:left w:val="none" w:color="auto" w:sz="0" w:space="0"/>
          <w:bottom w:val="none" w:color="auto" w:sz="0" w:space="0"/>
          <w:right w:val="none" w:color="auto" w:sz="0" w:space="0"/>
          <w:between w:val="none" w:color="auto" w:sz="0" w:space="0"/>
        </w:pBdr>
        <w:adjustRightInd w:val="0"/>
        <w:snapToGrid w:val="0"/>
        <w:spacing w:line="360" w:lineRule="auto"/>
        <w:ind w:firstLine="640" w:firstLineChars="200"/>
        <w:jc w:val="both"/>
        <w:rPr>
          <w:rFonts w:hint="eastAsia" w:ascii="仿宋" w:hAnsi="仿宋" w:eastAsia="仿宋" w:cs="仿宋"/>
          <w:color w:val="auto"/>
          <w:sz w:val="32"/>
          <w:szCs w:val="32"/>
          <w:highlight w:val="none"/>
          <w:lang w:val="en-US"/>
        </w:rPr>
      </w:pPr>
      <w:r>
        <w:rPr>
          <w:rFonts w:hint="eastAsia" w:ascii="仿宋" w:hAnsi="仿宋" w:eastAsia="仿宋" w:cs="仿宋"/>
          <w:color w:val="auto"/>
          <w:sz w:val="32"/>
          <w:szCs w:val="32"/>
          <w:highlight w:val="none"/>
        </w:rPr>
        <w:t>建设单位（盖章）：</w:t>
      </w:r>
      <w:r>
        <w:rPr>
          <w:rFonts w:hint="eastAsia" w:ascii="仿宋" w:hAnsi="仿宋" w:eastAsia="仿宋" w:cs="仿宋"/>
          <w:color w:val="auto"/>
          <w:sz w:val="32"/>
          <w:szCs w:val="32"/>
          <w:highlight w:val="none"/>
          <w:u w:val="single"/>
          <w:lang w:val="en-US" w:eastAsia="zh-CN"/>
        </w:rPr>
        <w:t xml:space="preserve">秦皇岛联安机械科技有限公司     </w:t>
      </w:r>
      <w:r>
        <w:rPr>
          <w:rFonts w:hint="eastAsia" w:ascii="仿宋" w:hAnsi="仿宋" w:eastAsia="仿宋" w:cs="仿宋"/>
          <w:color w:val="auto"/>
          <w:sz w:val="32"/>
          <w:szCs w:val="32"/>
          <w:highlight w:val="none"/>
          <w:lang w:val="en-US" w:eastAsia="zh-CN"/>
        </w:rPr>
        <w:t xml:space="preserve">      </w:t>
      </w:r>
    </w:p>
    <w:p>
      <w:pPr>
        <w:pBdr>
          <w:top w:val="none" w:color="auto" w:sz="0" w:space="0"/>
          <w:left w:val="none" w:color="auto" w:sz="0" w:space="0"/>
          <w:bottom w:val="none" w:color="auto" w:sz="0" w:space="0"/>
          <w:right w:val="none" w:color="auto" w:sz="0" w:space="0"/>
          <w:between w:val="none" w:color="auto" w:sz="0" w:space="0"/>
        </w:pBdr>
        <w:adjustRightInd w:val="0"/>
        <w:snapToGrid w:val="0"/>
        <w:spacing w:line="360" w:lineRule="auto"/>
        <w:ind w:firstLine="640" w:firstLineChars="200"/>
        <w:jc w:val="both"/>
        <w:rPr>
          <w:rFonts w:hint="eastAsia" w:ascii="仿宋" w:hAnsi="仿宋" w:eastAsia="仿宋" w:cs="仿宋"/>
          <w:color w:val="auto"/>
          <w:sz w:val="32"/>
          <w:szCs w:val="32"/>
          <w:highlight w:val="none"/>
          <w:u w:val="single"/>
        </w:rPr>
      </w:pPr>
      <w:r>
        <w:rPr>
          <w:rFonts w:hint="eastAsia" w:ascii="仿宋" w:hAnsi="仿宋" w:eastAsia="仿宋" w:cs="仿宋"/>
          <w:color w:val="auto"/>
          <w:sz w:val="32"/>
          <w:szCs w:val="32"/>
          <w:highlight w:val="none"/>
        </w:rPr>
        <w:t>编</w:t>
      </w:r>
      <w:r>
        <w:rPr>
          <w:rFonts w:hint="eastAsia" w:ascii="仿宋" w:hAnsi="仿宋" w:eastAsia="仿宋" w:cs="仿宋"/>
          <w:color w:val="auto"/>
          <w:sz w:val="32"/>
          <w:szCs w:val="32"/>
          <w:highlight w:val="none"/>
          <w:lang w:val="en-US" w:eastAsia="zh-CN"/>
        </w:rPr>
        <w:t xml:space="preserve">  </w:t>
      </w:r>
      <w:r>
        <w:rPr>
          <w:rFonts w:hint="eastAsia" w:ascii="仿宋" w:hAnsi="仿宋" w:eastAsia="仿宋" w:cs="仿宋"/>
          <w:color w:val="auto"/>
          <w:sz w:val="32"/>
          <w:szCs w:val="32"/>
          <w:highlight w:val="none"/>
        </w:rPr>
        <w:t>制</w:t>
      </w:r>
      <w:r>
        <w:rPr>
          <w:rFonts w:hint="eastAsia" w:ascii="仿宋" w:hAnsi="仿宋" w:eastAsia="仿宋" w:cs="仿宋"/>
          <w:color w:val="auto"/>
          <w:sz w:val="32"/>
          <w:szCs w:val="32"/>
          <w:highlight w:val="none"/>
          <w:lang w:val="en-US" w:eastAsia="zh-CN"/>
        </w:rPr>
        <w:t xml:space="preserve">  </w:t>
      </w:r>
      <w:r>
        <w:rPr>
          <w:rFonts w:hint="eastAsia" w:ascii="仿宋" w:hAnsi="仿宋" w:eastAsia="仿宋" w:cs="仿宋"/>
          <w:color w:val="auto"/>
          <w:sz w:val="32"/>
          <w:szCs w:val="32"/>
          <w:highlight w:val="none"/>
        </w:rPr>
        <w:t>日</w:t>
      </w:r>
      <w:r>
        <w:rPr>
          <w:rFonts w:hint="eastAsia" w:ascii="仿宋" w:hAnsi="仿宋" w:eastAsia="仿宋" w:cs="仿宋"/>
          <w:color w:val="auto"/>
          <w:sz w:val="32"/>
          <w:szCs w:val="32"/>
          <w:highlight w:val="none"/>
          <w:lang w:val="en-US" w:eastAsia="zh-CN"/>
        </w:rPr>
        <w:t xml:space="preserve">  </w:t>
      </w:r>
      <w:r>
        <w:rPr>
          <w:rFonts w:hint="eastAsia" w:ascii="仿宋" w:hAnsi="仿宋" w:eastAsia="仿宋" w:cs="仿宋"/>
          <w:color w:val="auto"/>
          <w:sz w:val="32"/>
          <w:szCs w:val="32"/>
          <w:highlight w:val="none"/>
        </w:rPr>
        <w:t>期</w:t>
      </w:r>
      <w:r>
        <w:rPr>
          <w:rFonts w:hint="eastAsia" w:ascii="仿宋" w:hAnsi="仿宋" w:eastAsia="仿宋" w:cs="仿宋"/>
          <w:color w:val="auto"/>
          <w:sz w:val="32"/>
          <w:szCs w:val="32"/>
          <w:highlight w:val="none"/>
          <w:lang w:val="en-US" w:eastAsia="zh-CN"/>
        </w:rPr>
        <w:t xml:space="preserve">  </w:t>
      </w:r>
      <w:r>
        <w:rPr>
          <w:rFonts w:hint="eastAsia" w:ascii="仿宋" w:hAnsi="仿宋" w:eastAsia="仿宋" w:cs="仿宋"/>
          <w:color w:val="auto"/>
          <w:sz w:val="32"/>
          <w:szCs w:val="32"/>
          <w:highlight w:val="none"/>
        </w:rPr>
        <w:t>：</w:t>
      </w:r>
      <w:r>
        <w:rPr>
          <w:rFonts w:hint="eastAsia" w:ascii="仿宋" w:hAnsi="仿宋" w:eastAsia="仿宋" w:cs="仿宋"/>
          <w:color w:val="auto"/>
          <w:sz w:val="32"/>
          <w:szCs w:val="32"/>
          <w:highlight w:val="none"/>
          <w:u w:val="single"/>
        </w:rPr>
        <w:t>202</w:t>
      </w:r>
      <w:r>
        <w:rPr>
          <w:rFonts w:hint="eastAsia" w:ascii="仿宋" w:hAnsi="仿宋" w:eastAsia="仿宋" w:cs="仿宋"/>
          <w:color w:val="auto"/>
          <w:sz w:val="32"/>
          <w:szCs w:val="32"/>
          <w:highlight w:val="none"/>
          <w:u w:val="single"/>
          <w:lang w:val="en-US" w:eastAsia="zh-CN"/>
        </w:rPr>
        <w:t>3</w:t>
      </w:r>
      <w:r>
        <w:rPr>
          <w:rFonts w:hint="eastAsia" w:ascii="仿宋" w:hAnsi="仿宋" w:cs="仿宋"/>
          <w:color w:val="auto"/>
          <w:sz w:val="32"/>
          <w:szCs w:val="32"/>
          <w:highlight w:val="none"/>
          <w:u w:val="single"/>
          <w:lang w:val="en-US" w:eastAsia="zh-CN"/>
        </w:rPr>
        <w:t xml:space="preserve"> </w:t>
      </w:r>
      <w:r>
        <w:rPr>
          <w:rFonts w:hint="eastAsia" w:ascii="仿宋" w:hAnsi="仿宋" w:eastAsia="仿宋" w:cs="仿宋"/>
          <w:color w:val="auto"/>
          <w:sz w:val="32"/>
          <w:szCs w:val="32"/>
          <w:highlight w:val="none"/>
          <w:u w:val="single"/>
        </w:rPr>
        <w:t>年</w:t>
      </w:r>
      <w:r>
        <w:rPr>
          <w:rFonts w:hint="eastAsia" w:ascii="仿宋" w:hAnsi="仿宋" w:cs="仿宋"/>
          <w:color w:val="auto"/>
          <w:sz w:val="32"/>
          <w:szCs w:val="32"/>
          <w:highlight w:val="none"/>
          <w:u w:val="single"/>
          <w:lang w:val="en-US" w:eastAsia="zh-CN"/>
        </w:rPr>
        <w:t>3</w:t>
      </w:r>
      <w:r>
        <w:rPr>
          <w:rFonts w:hint="eastAsia" w:ascii="仿宋" w:hAnsi="仿宋" w:eastAsia="仿宋" w:cs="仿宋"/>
          <w:color w:val="auto"/>
          <w:sz w:val="32"/>
          <w:szCs w:val="32"/>
          <w:highlight w:val="none"/>
          <w:u w:val="single"/>
        </w:rPr>
        <w:t xml:space="preserve">月   </w:t>
      </w:r>
      <w:r>
        <w:rPr>
          <w:rFonts w:hint="eastAsia" w:ascii="仿宋" w:hAnsi="仿宋" w:eastAsia="仿宋" w:cs="仿宋"/>
          <w:color w:val="auto"/>
          <w:sz w:val="32"/>
          <w:szCs w:val="32"/>
          <w:highlight w:val="none"/>
          <w:u w:val="single"/>
          <w:lang w:val="en-US" w:eastAsia="zh-CN"/>
        </w:rPr>
        <w:t xml:space="preserve">       </w:t>
      </w:r>
      <w:r>
        <w:rPr>
          <w:rFonts w:hint="eastAsia" w:ascii="仿宋" w:hAnsi="仿宋" w:eastAsia="仿宋" w:cs="仿宋"/>
          <w:color w:val="auto"/>
          <w:sz w:val="32"/>
          <w:szCs w:val="32"/>
          <w:highlight w:val="none"/>
          <w:u w:val="single"/>
        </w:rPr>
        <w:t xml:space="preserve">     </w:t>
      </w:r>
      <w:r>
        <w:rPr>
          <w:rFonts w:hint="eastAsia" w:ascii="仿宋" w:hAnsi="仿宋" w:eastAsia="仿宋" w:cs="仿宋"/>
          <w:color w:val="auto"/>
          <w:sz w:val="32"/>
          <w:szCs w:val="32"/>
          <w:highlight w:val="none"/>
          <w:u w:val="single"/>
          <w:lang w:val="en-US" w:eastAsia="zh-CN"/>
        </w:rPr>
        <w:t xml:space="preserve">  </w:t>
      </w:r>
      <w:r>
        <w:rPr>
          <w:rFonts w:hint="eastAsia" w:ascii="仿宋" w:hAnsi="仿宋" w:eastAsia="仿宋" w:cs="仿宋"/>
          <w:color w:val="auto"/>
          <w:sz w:val="32"/>
          <w:szCs w:val="32"/>
          <w:highlight w:val="none"/>
          <w:u w:val="single"/>
        </w:rPr>
        <w:t xml:space="preserve">      </w:t>
      </w:r>
    </w:p>
    <w:p>
      <w:pPr>
        <w:adjustRightInd w:val="0"/>
        <w:snapToGrid w:val="0"/>
        <w:spacing w:line="288" w:lineRule="auto"/>
        <w:jc w:val="center"/>
        <w:rPr>
          <w:rFonts w:hint="default" w:ascii="Times New Roman" w:hAnsi="Times New Roman" w:eastAsia="宋体" w:cs="Times New Roman"/>
          <w:color w:val="auto"/>
          <w:sz w:val="36"/>
          <w:szCs w:val="36"/>
          <w:highlight w:val="none"/>
        </w:rPr>
      </w:pPr>
    </w:p>
    <w:p>
      <w:pPr>
        <w:adjustRightInd w:val="0"/>
        <w:snapToGrid w:val="0"/>
        <w:spacing w:line="288" w:lineRule="auto"/>
        <w:jc w:val="center"/>
        <w:rPr>
          <w:rFonts w:hint="default" w:ascii="Times New Roman" w:hAnsi="Times New Roman" w:eastAsia="宋体" w:cs="Times New Roman"/>
          <w:color w:val="auto"/>
          <w:sz w:val="36"/>
          <w:szCs w:val="36"/>
          <w:highlight w:val="none"/>
        </w:rPr>
      </w:pPr>
    </w:p>
    <w:p>
      <w:pPr>
        <w:adjustRightInd w:val="0"/>
        <w:snapToGrid w:val="0"/>
        <w:spacing w:line="288" w:lineRule="auto"/>
        <w:jc w:val="center"/>
        <w:rPr>
          <w:rFonts w:hint="default" w:ascii="Times New Roman" w:hAnsi="Times New Roman" w:eastAsia="宋体" w:cs="Times New Roman"/>
          <w:color w:val="auto"/>
          <w:sz w:val="36"/>
          <w:szCs w:val="36"/>
          <w:highlight w:val="none"/>
        </w:rPr>
      </w:pPr>
    </w:p>
    <w:p>
      <w:pPr>
        <w:rPr>
          <w:rFonts w:hint="default" w:ascii="Times New Roman" w:hAnsi="Times New Roman" w:eastAsia="宋体" w:cs="Times New Roman"/>
          <w:color w:val="auto"/>
          <w:sz w:val="36"/>
          <w:szCs w:val="36"/>
          <w:highlight w:val="none"/>
        </w:rPr>
      </w:pPr>
    </w:p>
    <w:p>
      <w:pPr>
        <w:pStyle w:val="10"/>
        <w:rPr>
          <w:rFonts w:hint="default"/>
          <w:color w:val="auto"/>
          <w:highlight w:val="none"/>
        </w:rPr>
      </w:pPr>
    </w:p>
    <w:p>
      <w:pPr>
        <w:adjustRightInd w:val="0"/>
        <w:snapToGrid w:val="0"/>
        <w:spacing w:line="288" w:lineRule="auto"/>
        <w:jc w:val="center"/>
        <w:rPr>
          <w:rFonts w:hint="default" w:ascii="Times New Roman" w:hAnsi="Times New Roman" w:eastAsia="宋体" w:cs="Times New Roman"/>
          <w:color w:val="auto"/>
          <w:sz w:val="36"/>
          <w:szCs w:val="36"/>
          <w:highlight w:val="none"/>
        </w:rPr>
      </w:pPr>
      <w:r>
        <w:rPr>
          <w:rFonts w:hint="default" w:ascii="Times New Roman" w:hAnsi="Times New Roman" w:eastAsia="楷体_GB2312" w:cs="Times New Roman"/>
          <w:color w:val="auto"/>
          <w:sz w:val="36"/>
          <w:szCs w:val="36"/>
          <w:highlight w:val="none"/>
        </w:rPr>
        <w:t>中华人民共和国生态环境部制</w:t>
      </w:r>
    </w:p>
    <w:p>
      <w:pPr>
        <w:rPr>
          <w:rFonts w:hint="eastAsia" w:ascii="Times New Roman" w:hAnsi="Times New Roman" w:eastAsia="楷体_GB2312" w:cs="Times New Roman"/>
          <w:bCs/>
          <w:color w:val="auto"/>
          <w:sz w:val="44"/>
          <w:szCs w:val="44"/>
          <w:highlight w:val="none"/>
        </w:rPr>
        <w:sectPr>
          <w:footerReference r:id="rId5" w:type="default"/>
          <w:pgSz w:w="11905" w:h="16838"/>
          <w:pgMar w:top="1440" w:right="1587" w:bottom="1440" w:left="1587" w:header="851" w:footer="850" w:gutter="0"/>
          <w:pgBorders>
            <w:top w:val="none" w:sz="0" w:space="0"/>
            <w:left w:val="none" w:sz="0" w:space="0"/>
            <w:bottom w:val="none" w:sz="0" w:space="0"/>
            <w:right w:val="none" w:sz="0" w:space="0"/>
          </w:pgBorders>
          <w:pgNumType w:fmt="decimal" w:start="1"/>
          <w:cols w:space="0" w:num="1"/>
          <w:rtlGutter w:val="0"/>
          <w:docGrid w:linePitch="312" w:charSpace="0"/>
        </w:sectPr>
      </w:pPr>
    </w:p>
    <w:p>
      <w:pPr>
        <w:rPr>
          <w:rFonts w:hint="eastAsia" w:ascii="Times New Roman" w:hAnsi="Times New Roman" w:eastAsia="楷体_GB2312" w:cs="Times New Roman"/>
          <w:bCs/>
          <w:color w:val="auto"/>
          <w:sz w:val="44"/>
          <w:szCs w:val="44"/>
          <w:highlight w:val="none"/>
        </w:rPr>
      </w:pPr>
      <w:r>
        <w:rPr>
          <w:rFonts w:hint="eastAsia" w:ascii="Times New Roman" w:hAnsi="Times New Roman" w:eastAsia="楷体_GB2312" w:cs="Times New Roman"/>
          <w:bCs/>
          <w:color w:val="auto"/>
          <w:sz w:val="44"/>
          <w:szCs w:val="44"/>
          <w:highlight w:val="none"/>
        </w:rPr>
        <w:t>目录</w:t>
      </w:r>
    </w:p>
    <w:p>
      <w:pPr>
        <w:pStyle w:val="103"/>
        <w:tabs>
          <w:tab w:val="right" w:leader="dot" w:pos="8844"/>
        </w:tabs>
        <w:spacing w:line="480" w:lineRule="auto"/>
        <w:rPr>
          <w:rFonts w:hint="eastAsia" w:ascii="仿宋" w:hAnsi="仿宋" w:eastAsia="仿宋" w:cs="仿宋"/>
          <w:color w:val="auto"/>
          <w:sz w:val="28"/>
          <w:szCs w:val="28"/>
          <w:highlight w:val="none"/>
          <w:lang w:val="en-US" w:eastAsia="zh-CN"/>
        </w:rPr>
      </w:pPr>
      <w:r>
        <w:rPr>
          <w:rFonts w:hint="eastAsia" w:ascii="仿宋" w:hAnsi="仿宋" w:eastAsia="仿宋" w:cs="仿宋"/>
          <w:b/>
          <w:bCs/>
          <w:color w:val="auto"/>
          <w:sz w:val="28"/>
          <w:szCs w:val="28"/>
          <w:highlight w:val="none"/>
          <w:lang w:val="en-US" w:eastAsia="zh-CN"/>
        </w:rPr>
        <w:t>资质材料及其他声明</w:t>
      </w:r>
    </w:p>
    <w:p>
      <w:pPr>
        <w:pStyle w:val="103"/>
        <w:tabs>
          <w:tab w:val="right" w:leader="dot" w:pos="8844"/>
        </w:tabs>
        <w:spacing w:line="480" w:lineRule="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1、建设单位免责声明</w:t>
      </w:r>
    </w:p>
    <w:p>
      <w:pPr>
        <w:pStyle w:val="103"/>
        <w:tabs>
          <w:tab w:val="right" w:leader="dot" w:pos="8844"/>
        </w:tabs>
        <w:spacing w:line="480" w:lineRule="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2、编制单位和编制人员情况表</w:t>
      </w:r>
    </w:p>
    <w:p>
      <w:pPr>
        <w:pStyle w:val="103"/>
        <w:tabs>
          <w:tab w:val="right" w:leader="dot" w:pos="8844"/>
        </w:tabs>
        <w:spacing w:line="480" w:lineRule="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3、编制主持人职业资格证书和社保证明</w:t>
      </w:r>
    </w:p>
    <w:p>
      <w:pPr>
        <w:pStyle w:val="103"/>
        <w:tabs>
          <w:tab w:val="right" w:leader="dot" w:pos="8844"/>
        </w:tabs>
        <w:spacing w:line="480" w:lineRule="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4、编制情况承诺书</w:t>
      </w:r>
    </w:p>
    <w:p>
      <w:pPr>
        <w:pStyle w:val="103"/>
        <w:tabs>
          <w:tab w:val="right" w:leader="dot" w:pos="8844"/>
        </w:tabs>
        <w:spacing w:line="480" w:lineRule="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5、编制单位营业执照</w:t>
      </w:r>
    </w:p>
    <w:p>
      <w:pPr>
        <w:pStyle w:val="103"/>
        <w:tabs>
          <w:tab w:val="right" w:leader="dot" w:pos="8844"/>
        </w:tabs>
        <w:spacing w:line="480" w:lineRule="auto"/>
        <w:rPr>
          <w:rFonts w:hint="eastAsia" w:ascii="仿宋" w:hAnsi="仿宋" w:eastAsia="仿宋" w:cs="仿宋"/>
          <w:color w:val="auto"/>
          <w:sz w:val="28"/>
          <w:szCs w:val="28"/>
          <w:highlight w:val="none"/>
          <w:lang w:val="en-US" w:eastAsia="zh-CN"/>
        </w:rPr>
      </w:pPr>
      <w:r>
        <w:rPr>
          <w:rFonts w:hint="eastAsia" w:ascii="仿宋" w:hAnsi="仿宋" w:eastAsia="仿宋" w:cs="仿宋"/>
          <w:b/>
          <w:bCs/>
          <w:color w:val="auto"/>
          <w:sz w:val="28"/>
          <w:szCs w:val="28"/>
          <w:highlight w:val="none"/>
          <w:lang w:val="en-US" w:eastAsia="zh-CN"/>
        </w:rPr>
        <w:t>环评报告正文</w:t>
      </w:r>
    </w:p>
    <w:p>
      <w:pPr>
        <w:pStyle w:val="103"/>
        <w:tabs>
          <w:tab w:val="right" w:leader="dot" w:pos="8844"/>
        </w:tabs>
        <w:spacing w:line="480" w:lineRule="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8"/>
          <w:szCs w:val="28"/>
          <w:highlight w:val="none"/>
          <w:lang w:val="en-US" w:eastAsia="zh-CN"/>
        </w:rPr>
        <w:fldChar w:fldCharType="begin"/>
      </w:r>
      <w:r>
        <w:rPr>
          <w:rFonts w:hint="eastAsia" w:ascii="仿宋" w:hAnsi="仿宋" w:eastAsia="仿宋" w:cs="仿宋"/>
          <w:color w:val="auto"/>
          <w:sz w:val="28"/>
          <w:szCs w:val="28"/>
          <w:highlight w:val="none"/>
          <w:lang w:val="en-US" w:eastAsia="zh-CN"/>
        </w:rPr>
        <w:instrText xml:space="preserve">TOC \o "1-1" \h \u </w:instrText>
      </w:r>
      <w:r>
        <w:rPr>
          <w:rFonts w:hint="eastAsia" w:ascii="仿宋" w:hAnsi="仿宋" w:eastAsia="仿宋" w:cs="仿宋"/>
          <w:color w:val="auto"/>
          <w:sz w:val="28"/>
          <w:szCs w:val="28"/>
          <w:highlight w:val="none"/>
          <w:lang w:val="en-US" w:eastAsia="zh-CN"/>
        </w:rPr>
        <w:fldChar w:fldCharType="separate"/>
      </w:r>
      <w:r>
        <w:rPr>
          <w:rFonts w:hint="eastAsia" w:ascii="仿宋" w:hAnsi="仿宋" w:eastAsia="仿宋" w:cs="仿宋"/>
          <w:color w:val="auto"/>
          <w:sz w:val="24"/>
          <w:szCs w:val="24"/>
          <w:highlight w:val="none"/>
          <w:lang w:val="en-US" w:eastAsia="zh-CN"/>
        </w:rPr>
        <w:fldChar w:fldCharType="begin"/>
      </w:r>
      <w:r>
        <w:rPr>
          <w:rFonts w:hint="eastAsia" w:ascii="仿宋" w:hAnsi="仿宋" w:eastAsia="仿宋" w:cs="仿宋"/>
          <w:color w:val="auto"/>
          <w:sz w:val="24"/>
          <w:szCs w:val="24"/>
          <w:highlight w:val="none"/>
          <w:lang w:val="en-US" w:eastAsia="zh-CN"/>
        </w:rPr>
        <w:instrText xml:space="preserve"> HYPERLINK \l _Toc9528 </w:instrText>
      </w:r>
      <w:r>
        <w:rPr>
          <w:rFonts w:hint="eastAsia" w:ascii="仿宋" w:hAnsi="仿宋" w:eastAsia="仿宋" w:cs="仿宋"/>
          <w:color w:val="auto"/>
          <w:sz w:val="24"/>
          <w:szCs w:val="24"/>
          <w:highlight w:val="none"/>
          <w:lang w:val="en-US" w:eastAsia="zh-CN"/>
        </w:rPr>
        <w:fldChar w:fldCharType="separate"/>
      </w:r>
      <w:r>
        <w:rPr>
          <w:rFonts w:hint="eastAsia" w:ascii="仿宋" w:hAnsi="仿宋" w:eastAsia="仿宋" w:cs="仿宋"/>
          <w:color w:val="auto"/>
          <w:sz w:val="24"/>
          <w:szCs w:val="24"/>
          <w:highlight w:val="none"/>
          <w:lang w:val="en-US" w:eastAsia="zh-CN"/>
        </w:rPr>
        <w:t>一、建设项目基本情况</w:t>
      </w:r>
      <w:r>
        <w:rPr>
          <w:rFonts w:hint="eastAsia" w:ascii="仿宋" w:hAnsi="仿宋" w:eastAsia="仿宋" w:cs="仿宋"/>
          <w:color w:val="auto"/>
          <w:sz w:val="24"/>
          <w:szCs w:val="24"/>
          <w:highlight w:val="none"/>
          <w:lang w:val="en-US" w:eastAsia="zh-CN"/>
        </w:rPr>
        <w:tab/>
      </w:r>
      <w:r>
        <w:rPr>
          <w:rFonts w:hint="eastAsia" w:ascii="仿宋" w:hAnsi="仿宋" w:eastAsia="仿宋" w:cs="仿宋"/>
          <w:color w:val="auto"/>
          <w:sz w:val="24"/>
          <w:szCs w:val="24"/>
          <w:highlight w:val="none"/>
          <w:lang w:val="en-US" w:eastAsia="zh-CN"/>
        </w:rPr>
        <w:t>1</w:t>
      </w:r>
      <w:r>
        <w:rPr>
          <w:rFonts w:hint="eastAsia" w:ascii="仿宋" w:hAnsi="仿宋" w:eastAsia="仿宋" w:cs="仿宋"/>
          <w:color w:val="auto"/>
          <w:sz w:val="24"/>
          <w:szCs w:val="24"/>
          <w:highlight w:val="none"/>
          <w:lang w:val="en-US" w:eastAsia="zh-CN"/>
        </w:rPr>
        <w:fldChar w:fldCharType="end"/>
      </w:r>
    </w:p>
    <w:p>
      <w:pPr>
        <w:pStyle w:val="103"/>
        <w:tabs>
          <w:tab w:val="right" w:leader="dot" w:pos="8844"/>
        </w:tabs>
        <w:spacing w:line="480" w:lineRule="auto"/>
        <w:rPr>
          <w:rFonts w:hint="default"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fldChar w:fldCharType="begin"/>
      </w:r>
      <w:r>
        <w:rPr>
          <w:rFonts w:hint="eastAsia" w:ascii="仿宋" w:hAnsi="仿宋" w:eastAsia="仿宋" w:cs="仿宋"/>
          <w:color w:val="auto"/>
          <w:sz w:val="24"/>
          <w:szCs w:val="24"/>
          <w:highlight w:val="none"/>
          <w:lang w:val="en-US" w:eastAsia="zh-CN"/>
        </w:rPr>
        <w:instrText xml:space="preserve"> HYPERLINK \l _Toc12870 </w:instrText>
      </w:r>
      <w:r>
        <w:rPr>
          <w:rFonts w:hint="eastAsia" w:ascii="仿宋" w:hAnsi="仿宋" w:eastAsia="仿宋" w:cs="仿宋"/>
          <w:color w:val="auto"/>
          <w:sz w:val="24"/>
          <w:szCs w:val="24"/>
          <w:highlight w:val="none"/>
          <w:lang w:val="en-US" w:eastAsia="zh-CN"/>
        </w:rPr>
        <w:fldChar w:fldCharType="separate"/>
      </w:r>
      <w:r>
        <w:rPr>
          <w:rFonts w:hint="eastAsia" w:ascii="仿宋" w:hAnsi="仿宋" w:eastAsia="仿宋" w:cs="仿宋"/>
          <w:color w:val="auto"/>
          <w:sz w:val="24"/>
          <w:szCs w:val="24"/>
          <w:highlight w:val="none"/>
          <w:lang w:val="en-US" w:eastAsia="zh-CN"/>
        </w:rPr>
        <w:t>二、建设项目工程分析</w:t>
      </w:r>
      <w:r>
        <w:rPr>
          <w:rFonts w:hint="eastAsia" w:ascii="仿宋" w:hAnsi="仿宋" w:eastAsia="仿宋" w:cs="仿宋"/>
          <w:color w:val="auto"/>
          <w:sz w:val="24"/>
          <w:szCs w:val="24"/>
          <w:highlight w:val="none"/>
          <w:lang w:val="en-US" w:eastAsia="zh-CN"/>
        </w:rPr>
        <w:tab/>
      </w:r>
      <w:r>
        <w:rPr>
          <w:rFonts w:hint="eastAsia" w:ascii="仿宋" w:hAnsi="仿宋" w:eastAsia="仿宋" w:cs="仿宋"/>
          <w:color w:val="auto"/>
          <w:sz w:val="24"/>
          <w:szCs w:val="24"/>
          <w:highlight w:val="none"/>
          <w:lang w:val="en-US" w:eastAsia="zh-CN"/>
        </w:rPr>
        <w:t>1</w:t>
      </w:r>
      <w:r>
        <w:rPr>
          <w:rFonts w:hint="eastAsia" w:ascii="仿宋" w:hAnsi="仿宋" w:eastAsia="仿宋" w:cs="仿宋"/>
          <w:color w:val="auto"/>
          <w:sz w:val="24"/>
          <w:szCs w:val="24"/>
          <w:highlight w:val="none"/>
          <w:lang w:val="en-US" w:eastAsia="zh-CN"/>
        </w:rPr>
        <w:fldChar w:fldCharType="end"/>
      </w:r>
      <w:r>
        <w:rPr>
          <w:rFonts w:hint="eastAsia" w:ascii="仿宋" w:hAnsi="仿宋" w:eastAsia="仿宋" w:cs="仿宋"/>
          <w:color w:val="auto"/>
          <w:sz w:val="24"/>
          <w:szCs w:val="24"/>
          <w:highlight w:val="none"/>
          <w:lang w:val="en-US" w:eastAsia="zh-CN"/>
        </w:rPr>
        <w:t>7</w:t>
      </w:r>
    </w:p>
    <w:p>
      <w:pPr>
        <w:pStyle w:val="103"/>
        <w:tabs>
          <w:tab w:val="right" w:leader="dot" w:pos="8844"/>
        </w:tabs>
        <w:spacing w:line="480" w:lineRule="auto"/>
        <w:rPr>
          <w:rFonts w:hint="default"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fldChar w:fldCharType="begin"/>
      </w:r>
      <w:r>
        <w:rPr>
          <w:rFonts w:hint="eastAsia" w:ascii="仿宋" w:hAnsi="仿宋" w:eastAsia="仿宋" w:cs="仿宋"/>
          <w:color w:val="auto"/>
          <w:sz w:val="24"/>
          <w:szCs w:val="24"/>
          <w:highlight w:val="none"/>
          <w:lang w:val="en-US" w:eastAsia="zh-CN"/>
        </w:rPr>
        <w:instrText xml:space="preserve"> HYPERLINK \l _Toc2477 </w:instrText>
      </w:r>
      <w:r>
        <w:rPr>
          <w:rFonts w:hint="eastAsia" w:ascii="仿宋" w:hAnsi="仿宋" w:eastAsia="仿宋" w:cs="仿宋"/>
          <w:color w:val="auto"/>
          <w:sz w:val="24"/>
          <w:szCs w:val="24"/>
          <w:highlight w:val="none"/>
          <w:lang w:val="en-US" w:eastAsia="zh-CN"/>
        </w:rPr>
        <w:fldChar w:fldCharType="separate"/>
      </w:r>
      <w:r>
        <w:rPr>
          <w:rFonts w:hint="eastAsia" w:ascii="仿宋" w:hAnsi="仿宋" w:eastAsia="仿宋" w:cs="仿宋"/>
          <w:color w:val="auto"/>
          <w:sz w:val="24"/>
          <w:szCs w:val="24"/>
          <w:highlight w:val="none"/>
          <w:lang w:val="en-US" w:eastAsia="zh-CN"/>
        </w:rPr>
        <w:t>三、区域环境质量现状、环境保护目标及评价标准</w:t>
      </w:r>
      <w:r>
        <w:rPr>
          <w:rFonts w:hint="eastAsia" w:ascii="仿宋" w:hAnsi="仿宋" w:eastAsia="仿宋" w:cs="仿宋"/>
          <w:color w:val="auto"/>
          <w:sz w:val="24"/>
          <w:szCs w:val="24"/>
          <w:highlight w:val="none"/>
          <w:lang w:val="en-US" w:eastAsia="zh-CN"/>
        </w:rPr>
        <w:tab/>
      </w:r>
      <w:r>
        <w:rPr>
          <w:rFonts w:hint="eastAsia" w:ascii="仿宋" w:hAnsi="仿宋" w:eastAsia="仿宋" w:cs="仿宋"/>
          <w:color w:val="auto"/>
          <w:sz w:val="24"/>
          <w:szCs w:val="24"/>
          <w:highlight w:val="none"/>
          <w:lang w:val="en-US" w:eastAsia="zh-CN"/>
        </w:rPr>
        <w:fldChar w:fldCharType="end"/>
      </w:r>
      <w:r>
        <w:rPr>
          <w:rFonts w:hint="eastAsia" w:ascii="仿宋" w:hAnsi="仿宋" w:eastAsia="仿宋" w:cs="仿宋"/>
          <w:color w:val="auto"/>
          <w:sz w:val="24"/>
          <w:szCs w:val="24"/>
          <w:highlight w:val="none"/>
          <w:lang w:val="en-US" w:eastAsia="zh-CN"/>
        </w:rPr>
        <w:t>31</w:t>
      </w:r>
    </w:p>
    <w:p>
      <w:pPr>
        <w:pStyle w:val="103"/>
        <w:tabs>
          <w:tab w:val="right" w:leader="dot" w:pos="8844"/>
        </w:tabs>
        <w:spacing w:line="480" w:lineRule="auto"/>
        <w:rPr>
          <w:rFonts w:hint="default"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fldChar w:fldCharType="begin"/>
      </w:r>
      <w:r>
        <w:rPr>
          <w:rFonts w:hint="eastAsia" w:ascii="仿宋" w:hAnsi="仿宋" w:eastAsia="仿宋" w:cs="仿宋"/>
          <w:color w:val="auto"/>
          <w:sz w:val="24"/>
          <w:szCs w:val="24"/>
          <w:highlight w:val="none"/>
          <w:lang w:val="en-US" w:eastAsia="zh-CN"/>
        </w:rPr>
        <w:instrText xml:space="preserve"> HYPERLINK \l _Toc6916 </w:instrText>
      </w:r>
      <w:r>
        <w:rPr>
          <w:rFonts w:hint="eastAsia" w:ascii="仿宋" w:hAnsi="仿宋" w:eastAsia="仿宋" w:cs="仿宋"/>
          <w:color w:val="auto"/>
          <w:sz w:val="24"/>
          <w:szCs w:val="24"/>
          <w:highlight w:val="none"/>
          <w:lang w:val="en-US" w:eastAsia="zh-CN"/>
        </w:rPr>
        <w:fldChar w:fldCharType="separate"/>
      </w:r>
      <w:r>
        <w:rPr>
          <w:rFonts w:hint="eastAsia" w:ascii="仿宋" w:hAnsi="仿宋" w:eastAsia="仿宋" w:cs="仿宋"/>
          <w:color w:val="auto"/>
          <w:sz w:val="24"/>
          <w:szCs w:val="24"/>
          <w:highlight w:val="none"/>
          <w:lang w:val="en-US" w:eastAsia="zh-CN"/>
        </w:rPr>
        <w:t>四、主要环境影响和保护措施</w:t>
      </w:r>
      <w:r>
        <w:rPr>
          <w:rFonts w:hint="eastAsia" w:ascii="仿宋" w:hAnsi="仿宋" w:eastAsia="仿宋" w:cs="仿宋"/>
          <w:color w:val="auto"/>
          <w:sz w:val="24"/>
          <w:szCs w:val="24"/>
          <w:highlight w:val="none"/>
          <w:lang w:val="en-US" w:eastAsia="zh-CN"/>
        </w:rPr>
        <w:tab/>
      </w:r>
      <w:r>
        <w:rPr>
          <w:rFonts w:hint="eastAsia" w:ascii="仿宋" w:hAnsi="仿宋" w:eastAsia="仿宋" w:cs="仿宋"/>
          <w:color w:val="auto"/>
          <w:sz w:val="24"/>
          <w:szCs w:val="24"/>
          <w:highlight w:val="none"/>
          <w:lang w:val="en-US" w:eastAsia="zh-CN"/>
        </w:rPr>
        <w:fldChar w:fldCharType="end"/>
      </w:r>
      <w:r>
        <w:rPr>
          <w:rFonts w:hint="eastAsia" w:ascii="仿宋" w:hAnsi="仿宋" w:eastAsia="仿宋" w:cs="仿宋"/>
          <w:color w:val="auto"/>
          <w:sz w:val="24"/>
          <w:szCs w:val="24"/>
          <w:highlight w:val="none"/>
          <w:lang w:val="en-US" w:eastAsia="zh-CN"/>
        </w:rPr>
        <w:t>37</w:t>
      </w:r>
    </w:p>
    <w:p>
      <w:pPr>
        <w:pStyle w:val="103"/>
        <w:tabs>
          <w:tab w:val="right" w:leader="dot" w:pos="8844"/>
        </w:tabs>
        <w:spacing w:line="480" w:lineRule="auto"/>
        <w:rPr>
          <w:rFonts w:hint="default"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fldChar w:fldCharType="begin"/>
      </w:r>
      <w:r>
        <w:rPr>
          <w:rFonts w:hint="eastAsia" w:ascii="仿宋" w:hAnsi="仿宋" w:eastAsia="仿宋" w:cs="仿宋"/>
          <w:color w:val="auto"/>
          <w:sz w:val="24"/>
          <w:szCs w:val="24"/>
          <w:highlight w:val="none"/>
          <w:lang w:val="en-US" w:eastAsia="zh-CN"/>
        </w:rPr>
        <w:instrText xml:space="preserve"> HYPERLINK \l _Toc3310 </w:instrText>
      </w:r>
      <w:r>
        <w:rPr>
          <w:rFonts w:hint="eastAsia" w:ascii="仿宋" w:hAnsi="仿宋" w:eastAsia="仿宋" w:cs="仿宋"/>
          <w:color w:val="auto"/>
          <w:sz w:val="24"/>
          <w:szCs w:val="24"/>
          <w:highlight w:val="none"/>
          <w:lang w:val="en-US" w:eastAsia="zh-CN"/>
        </w:rPr>
        <w:fldChar w:fldCharType="separate"/>
      </w:r>
      <w:r>
        <w:rPr>
          <w:rFonts w:hint="eastAsia" w:ascii="仿宋" w:hAnsi="仿宋" w:eastAsia="仿宋" w:cs="仿宋"/>
          <w:color w:val="auto"/>
          <w:sz w:val="24"/>
          <w:szCs w:val="24"/>
          <w:highlight w:val="none"/>
          <w:lang w:val="en-US" w:eastAsia="zh-CN"/>
        </w:rPr>
        <w:t>五、环境保护措施监督检查清单</w:t>
      </w:r>
      <w:r>
        <w:rPr>
          <w:rFonts w:hint="eastAsia" w:ascii="仿宋" w:hAnsi="仿宋" w:eastAsia="仿宋" w:cs="仿宋"/>
          <w:color w:val="auto"/>
          <w:sz w:val="24"/>
          <w:szCs w:val="24"/>
          <w:highlight w:val="none"/>
          <w:lang w:val="en-US" w:eastAsia="zh-CN"/>
        </w:rPr>
        <w:tab/>
      </w:r>
      <w:r>
        <w:rPr>
          <w:rFonts w:hint="eastAsia" w:ascii="仿宋" w:hAnsi="仿宋" w:eastAsia="仿宋" w:cs="仿宋"/>
          <w:color w:val="auto"/>
          <w:sz w:val="24"/>
          <w:szCs w:val="24"/>
          <w:highlight w:val="none"/>
          <w:lang w:val="en-US" w:eastAsia="zh-CN"/>
        </w:rPr>
        <w:fldChar w:fldCharType="end"/>
      </w:r>
      <w:r>
        <w:rPr>
          <w:rFonts w:hint="eastAsia" w:ascii="仿宋" w:hAnsi="仿宋" w:eastAsia="仿宋" w:cs="仿宋"/>
          <w:color w:val="auto"/>
          <w:sz w:val="24"/>
          <w:szCs w:val="24"/>
          <w:highlight w:val="none"/>
          <w:lang w:val="en-US" w:eastAsia="zh-CN"/>
        </w:rPr>
        <w:t>55</w:t>
      </w:r>
    </w:p>
    <w:p>
      <w:pPr>
        <w:pStyle w:val="103"/>
        <w:tabs>
          <w:tab w:val="right" w:leader="dot" w:pos="8844"/>
        </w:tabs>
        <w:spacing w:line="480" w:lineRule="auto"/>
        <w:rPr>
          <w:rFonts w:hint="default" w:ascii="仿宋" w:hAnsi="仿宋" w:eastAsia="仿宋" w:cs="仿宋"/>
          <w:color w:val="auto"/>
          <w:sz w:val="28"/>
          <w:szCs w:val="28"/>
          <w:highlight w:val="none"/>
          <w:lang w:val="en-US" w:eastAsia="zh-CN"/>
        </w:rPr>
      </w:pPr>
      <w:r>
        <w:rPr>
          <w:rFonts w:hint="eastAsia" w:ascii="仿宋" w:hAnsi="仿宋" w:eastAsia="仿宋" w:cs="仿宋"/>
          <w:color w:val="auto"/>
          <w:sz w:val="24"/>
          <w:szCs w:val="24"/>
          <w:highlight w:val="none"/>
          <w:lang w:val="en-US" w:eastAsia="zh-CN"/>
        </w:rPr>
        <w:fldChar w:fldCharType="begin"/>
      </w:r>
      <w:r>
        <w:rPr>
          <w:rFonts w:hint="eastAsia" w:ascii="仿宋" w:hAnsi="仿宋" w:eastAsia="仿宋" w:cs="仿宋"/>
          <w:color w:val="auto"/>
          <w:sz w:val="24"/>
          <w:szCs w:val="24"/>
          <w:highlight w:val="none"/>
          <w:lang w:val="en-US" w:eastAsia="zh-CN"/>
        </w:rPr>
        <w:instrText xml:space="preserve"> HYPERLINK \l _Toc19881 </w:instrText>
      </w:r>
      <w:r>
        <w:rPr>
          <w:rFonts w:hint="eastAsia" w:ascii="仿宋" w:hAnsi="仿宋" w:eastAsia="仿宋" w:cs="仿宋"/>
          <w:color w:val="auto"/>
          <w:sz w:val="24"/>
          <w:szCs w:val="24"/>
          <w:highlight w:val="none"/>
          <w:lang w:val="en-US" w:eastAsia="zh-CN"/>
        </w:rPr>
        <w:fldChar w:fldCharType="separate"/>
      </w:r>
      <w:r>
        <w:rPr>
          <w:rFonts w:hint="eastAsia" w:ascii="仿宋" w:hAnsi="仿宋" w:eastAsia="仿宋" w:cs="仿宋"/>
          <w:color w:val="auto"/>
          <w:sz w:val="24"/>
          <w:szCs w:val="24"/>
          <w:highlight w:val="none"/>
          <w:lang w:val="en-US" w:eastAsia="zh-CN"/>
        </w:rPr>
        <w:t>六、结论</w:t>
      </w:r>
      <w:r>
        <w:rPr>
          <w:rFonts w:hint="eastAsia" w:ascii="仿宋" w:hAnsi="仿宋" w:eastAsia="仿宋" w:cs="仿宋"/>
          <w:color w:val="auto"/>
          <w:sz w:val="24"/>
          <w:szCs w:val="24"/>
          <w:highlight w:val="none"/>
          <w:lang w:val="en-US" w:eastAsia="zh-CN"/>
        </w:rPr>
        <w:tab/>
      </w:r>
      <w:r>
        <w:rPr>
          <w:rFonts w:hint="eastAsia" w:ascii="仿宋" w:hAnsi="仿宋" w:eastAsia="仿宋" w:cs="仿宋"/>
          <w:color w:val="auto"/>
          <w:sz w:val="24"/>
          <w:szCs w:val="24"/>
          <w:highlight w:val="none"/>
          <w:lang w:val="en-US" w:eastAsia="zh-CN"/>
        </w:rPr>
        <w:fldChar w:fldCharType="end"/>
      </w:r>
      <w:r>
        <w:rPr>
          <w:rFonts w:hint="eastAsia" w:ascii="仿宋" w:hAnsi="仿宋" w:eastAsia="仿宋" w:cs="仿宋"/>
          <w:color w:val="auto"/>
          <w:sz w:val="24"/>
          <w:szCs w:val="24"/>
          <w:highlight w:val="none"/>
          <w:lang w:val="en-US" w:eastAsia="zh-CN"/>
        </w:rPr>
        <w:t>57</w:t>
      </w:r>
    </w:p>
    <w:p>
      <w:pPr>
        <w:pStyle w:val="103"/>
        <w:tabs>
          <w:tab w:val="right" w:leader="dot" w:pos="8844"/>
        </w:tabs>
        <w:spacing w:line="480" w:lineRule="auto"/>
        <w:rPr>
          <w:rFonts w:hint="eastAsia" w:ascii="仿宋" w:hAnsi="仿宋" w:eastAsia="仿宋" w:cs="仿宋"/>
          <w:b/>
          <w:bCs/>
          <w:color w:val="auto"/>
          <w:sz w:val="28"/>
          <w:szCs w:val="28"/>
          <w:highlight w:val="none"/>
          <w:lang w:val="en-US" w:eastAsia="zh-CN"/>
        </w:rPr>
      </w:pPr>
      <w:r>
        <w:rPr>
          <w:rFonts w:hint="eastAsia" w:ascii="仿宋" w:hAnsi="仿宋" w:eastAsia="仿宋" w:cs="仿宋"/>
          <w:color w:val="auto"/>
          <w:sz w:val="28"/>
          <w:szCs w:val="28"/>
          <w:highlight w:val="none"/>
          <w:lang w:val="en-US" w:eastAsia="zh-CN"/>
        </w:rPr>
        <w:fldChar w:fldCharType="end"/>
      </w:r>
      <w:r>
        <w:rPr>
          <w:rFonts w:hint="eastAsia" w:ascii="仿宋" w:hAnsi="仿宋" w:eastAsia="仿宋" w:cs="仿宋"/>
          <w:b/>
          <w:bCs/>
          <w:color w:val="auto"/>
          <w:sz w:val="28"/>
          <w:szCs w:val="28"/>
          <w:highlight w:val="none"/>
          <w:lang w:val="en-US" w:eastAsia="zh-CN"/>
        </w:rPr>
        <w:t>附图</w:t>
      </w:r>
    </w:p>
    <w:p>
      <w:pPr>
        <w:pStyle w:val="103"/>
        <w:tabs>
          <w:tab w:val="right" w:leader="dot" w:pos="8844"/>
        </w:tabs>
        <w:spacing w:line="480" w:lineRule="auto"/>
        <w:rPr>
          <w:rFonts w:hint="eastAsia" w:ascii="仿宋" w:hAnsi="仿宋" w:eastAsia="仿宋" w:cs="仿宋"/>
          <w:b/>
          <w:bCs/>
          <w:color w:val="auto"/>
          <w:sz w:val="28"/>
          <w:szCs w:val="28"/>
          <w:highlight w:val="none"/>
          <w:lang w:val="en-US" w:eastAsia="zh-CN"/>
        </w:rPr>
      </w:pPr>
      <w:r>
        <w:rPr>
          <w:rFonts w:hint="eastAsia" w:ascii="仿宋" w:hAnsi="仿宋" w:eastAsia="仿宋" w:cs="仿宋"/>
          <w:b/>
          <w:bCs/>
          <w:color w:val="auto"/>
          <w:sz w:val="28"/>
          <w:szCs w:val="28"/>
          <w:highlight w:val="none"/>
          <w:lang w:val="en-US" w:eastAsia="zh-CN"/>
        </w:rPr>
        <w:t>附件</w:t>
      </w:r>
    </w:p>
    <w:p>
      <w:pPr>
        <w:pStyle w:val="10"/>
        <w:bidi w:val="0"/>
        <w:jc w:val="center"/>
        <w:rPr>
          <w:rFonts w:hint="default" w:ascii="Times New Roman" w:hAnsi="Times New Roman" w:cs="Times New Roman"/>
          <w:color w:val="auto"/>
          <w:highlight w:val="none"/>
        </w:rPr>
        <w:sectPr>
          <w:footerReference r:id="rId6" w:type="default"/>
          <w:pgSz w:w="11905" w:h="16838"/>
          <w:pgMar w:top="1440" w:right="1587" w:bottom="1440" w:left="1587" w:header="851" w:footer="850" w:gutter="0"/>
          <w:pgBorders>
            <w:top w:val="none" w:sz="0" w:space="0"/>
            <w:left w:val="none" w:sz="0" w:space="0"/>
            <w:bottom w:val="none" w:sz="0" w:space="0"/>
            <w:right w:val="none" w:sz="0" w:space="0"/>
          </w:pgBorders>
          <w:pgNumType w:fmt="decimal" w:start="1"/>
          <w:cols w:space="0" w:num="1"/>
          <w:rtlGutter w:val="0"/>
          <w:docGrid w:linePitch="312" w:charSpace="0"/>
        </w:sectPr>
      </w:pPr>
    </w:p>
    <w:p>
      <w:pPr>
        <w:pStyle w:val="10"/>
        <w:bidi w:val="0"/>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一、建设项目基本情况</w:t>
      </w:r>
    </w:p>
    <w:tbl>
      <w:tblPr>
        <w:tblStyle w:val="32"/>
        <w:tblW w:w="4926"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441"/>
        <w:gridCol w:w="1387"/>
        <w:gridCol w:w="2043"/>
        <w:gridCol w:w="343"/>
        <w:gridCol w:w="1665"/>
        <w:gridCol w:w="169"/>
        <w:gridCol w:w="258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89" w:hRule="atLeast"/>
          <w:jc w:val="center"/>
        </w:trPr>
        <w:tc>
          <w:tcPr>
            <w:tcW w:w="1829" w:type="dxa"/>
            <w:gridSpan w:val="2"/>
            <w:noWrap w:val="0"/>
            <w:tcMar>
              <w:top w:w="16" w:type="dxa"/>
              <w:left w:w="16" w:type="dxa"/>
              <w:right w:w="16" w:type="dxa"/>
            </w:tcMar>
            <w:vAlign w:val="center"/>
          </w:tcPr>
          <w:p>
            <w:pPr>
              <w:pStyle w:val="11"/>
              <w:pageBreakBefore w:val="0"/>
              <w:widowControl w:val="0"/>
              <w:kinsoku/>
              <w:wordWrap/>
              <w:topLinePunct w:val="0"/>
              <w:bidi w:val="0"/>
              <w:spacing w:line="24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建设项目名称</w:t>
            </w:r>
          </w:p>
        </w:tc>
        <w:tc>
          <w:tcPr>
            <w:tcW w:w="6806" w:type="dxa"/>
            <w:gridSpan w:val="5"/>
            <w:noWrap w:val="0"/>
            <w:vAlign w:val="center"/>
          </w:tcPr>
          <w:p>
            <w:pPr>
              <w:adjustRightInd w:val="0"/>
              <w:snapToGrid w:val="0"/>
              <w:spacing w:line="240" w:lineRule="auto"/>
              <w:jc w:val="center"/>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highlight w:val="none"/>
                <w:lang w:val="en-US" w:eastAsia="zh-CN"/>
              </w:rPr>
              <w:t>特种机械设备生产线技改项目</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06" w:hRule="atLeast"/>
          <w:jc w:val="center"/>
        </w:trPr>
        <w:tc>
          <w:tcPr>
            <w:tcW w:w="1829" w:type="dxa"/>
            <w:gridSpan w:val="2"/>
            <w:noWrap w:val="0"/>
            <w:tcMar>
              <w:top w:w="16" w:type="dxa"/>
              <w:left w:w="16" w:type="dxa"/>
              <w:right w:w="16" w:type="dxa"/>
            </w:tcMar>
            <w:vAlign w:val="center"/>
          </w:tcPr>
          <w:p>
            <w:pPr>
              <w:pStyle w:val="11"/>
              <w:pageBreakBefore w:val="0"/>
              <w:widowControl w:val="0"/>
              <w:kinsoku/>
              <w:wordWrap/>
              <w:topLinePunct w:val="0"/>
              <w:bidi w:val="0"/>
              <w:spacing w:line="24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项目代码</w:t>
            </w:r>
          </w:p>
        </w:tc>
        <w:tc>
          <w:tcPr>
            <w:tcW w:w="6806" w:type="dxa"/>
            <w:gridSpan w:val="5"/>
            <w:noWrap w:val="0"/>
            <w:vAlign w:val="center"/>
          </w:tcPr>
          <w:p>
            <w:pPr>
              <w:adjustRightInd w:val="0"/>
              <w:snapToGrid w:val="0"/>
              <w:spacing w:line="240" w:lineRule="auto"/>
              <w:jc w:val="center"/>
              <w:rPr>
                <w:rFonts w:hint="default" w:ascii="Times New Roman" w:hAnsi="Times New Roman" w:eastAsia="宋体" w:cs="Times New Roman"/>
                <w:color w:val="auto"/>
                <w:sz w:val="24"/>
                <w:szCs w:val="24"/>
                <w:highlight w:val="none"/>
                <w:lang w:val="en-US" w:eastAsia="zh-CN"/>
              </w:rPr>
            </w:pPr>
            <w:r>
              <w:rPr>
                <w:rFonts w:hint="eastAsia" w:eastAsia="宋体" w:cs="Times New Roman"/>
                <w:color w:val="auto"/>
                <w:highlight w:val="none"/>
                <w:lang w:val="en-US" w:eastAsia="zh-CN"/>
              </w:rPr>
              <w:t>2209-130306-89-01-352802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79" w:hRule="atLeast"/>
          <w:jc w:val="center"/>
        </w:trPr>
        <w:tc>
          <w:tcPr>
            <w:tcW w:w="1829" w:type="dxa"/>
            <w:gridSpan w:val="2"/>
            <w:noWrap w:val="0"/>
            <w:tcMar>
              <w:top w:w="16" w:type="dxa"/>
              <w:left w:w="16" w:type="dxa"/>
              <w:right w:w="16" w:type="dxa"/>
            </w:tcMar>
            <w:vAlign w:val="center"/>
          </w:tcPr>
          <w:p>
            <w:pPr>
              <w:pStyle w:val="11"/>
              <w:pageBreakBefore w:val="0"/>
              <w:widowControl w:val="0"/>
              <w:kinsoku/>
              <w:wordWrap/>
              <w:topLinePunct w:val="0"/>
              <w:bidi w:val="0"/>
              <w:spacing w:line="24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建设单位联系人</w:t>
            </w:r>
          </w:p>
        </w:tc>
        <w:tc>
          <w:tcPr>
            <w:tcW w:w="2388" w:type="dxa"/>
            <w:gridSpan w:val="2"/>
            <w:noWrap w:val="0"/>
            <w:vAlign w:val="center"/>
          </w:tcPr>
          <w:p>
            <w:pPr>
              <w:adjustRightInd w:val="0"/>
              <w:snapToGrid w:val="0"/>
              <w:spacing w:line="240" w:lineRule="auto"/>
              <w:jc w:val="center"/>
              <w:rPr>
                <w:rFonts w:hint="default" w:ascii="Times New Roman" w:hAnsi="Times New Roman" w:eastAsia="宋体" w:cs="Times New Roman"/>
                <w:color w:val="auto"/>
                <w:sz w:val="24"/>
                <w:szCs w:val="24"/>
                <w:highlight w:val="none"/>
                <w:lang w:val="en-US" w:eastAsia="zh-CN"/>
              </w:rPr>
            </w:pPr>
            <w:r>
              <w:rPr>
                <w:rFonts w:hint="eastAsia" w:eastAsia="宋体" w:cs="Times New Roman"/>
                <w:color w:val="auto"/>
                <w:highlight w:val="none"/>
                <w:lang w:val="en-US" w:eastAsia="zh-CN"/>
              </w:rPr>
              <w:t>徐颖</w:t>
            </w:r>
          </w:p>
        </w:tc>
        <w:tc>
          <w:tcPr>
            <w:tcW w:w="1667" w:type="dxa"/>
            <w:noWrap w:val="0"/>
            <w:vAlign w:val="center"/>
          </w:tcPr>
          <w:p>
            <w:pPr>
              <w:adjustRightInd w:val="0"/>
              <w:snapToGrid w:val="0"/>
              <w:spacing w:line="240" w:lineRule="auto"/>
              <w:jc w:val="center"/>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b/>
                <w:bCs/>
                <w:color w:val="auto"/>
                <w:highlight w:val="none"/>
              </w:rPr>
              <w:t>联系方式</w:t>
            </w:r>
          </w:p>
        </w:tc>
        <w:tc>
          <w:tcPr>
            <w:tcW w:w="2751" w:type="dxa"/>
            <w:gridSpan w:val="2"/>
            <w:noWrap w:val="0"/>
            <w:vAlign w:val="center"/>
          </w:tcPr>
          <w:p>
            <w:pPr>
              <w:adjustRightInd w:val="0"/>
              <w:snapToGrid w:val="0"/>
              <w:spacing w:line="240" w:lineRule="auto"/>
              <w:jc w:val="center"/>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highlight w:val="none"/>
                <w:lang w:val="en-US" w:eastAsia="zh-CN"/>
              </w:rPr>
              <w:t>18603355639</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03" w:hRule="atLeast"/>
          <w:jc w:val="center"/>
        </w:trPr>
        <w:tc>
          <w:tcPr>
            <w:tcW w:w="1829" w:type="dxa"/>
            <w:gridSpan w:val="2"/>
            <w:noWrap w:val="0"/>
            <w:tcMar>
              <w:top w:w="16" w:type="dxa"/>
              <w:left w:w="16" w:type="dxa"/>
              <w:right w:w="16" w:type="dxa"/>
            </w:tcMar>
            <w:vAlign w:val="center"/>
          </w:tcPr>
          <w:p>
            <w:pPr>
              <w:pStyle w:val="11"/>
              <w:pageBreakBefore w:val="0"/>
              <w:widowControl w:val="0"/>
              <w:kinsoku/>
              <w:wordWrap/>
              <w:topLinePunct w:val="0"/>
              <w:bidi w:val="0"/>
              <w:spacing w:line="24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建设地点</w:t>
            </w:r>
          </w:p>
        </w:tc>
        <w:tc>
          <w:tcPr>
            <w:tcW w:w="6806" w:type="dxa"/>
            <w:gridSpan w:val="5"/>
            <w:noWrap w:val="0"/>
            <w:vAlign w:val="center"/>
          </w:tcPr>
          <w:p>
            <w:pPr>
              <w:adjustRightInd w:val="0"/>
              <w:snapToGrid w:val="0"/>
              <w:spacing w:line="240" w:lineRule="auto"/>
              <w:jc w:val="center"/>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highlight w:val="none"/>
                <w:lang w:val="en-US" w:eastAsia="zh-CN"/>
              </w:rPr>
              <w:t>抚宁经济开发区北规一街南创业路东 秦皇岛联安机械科技有限公司院内</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829" w:type="dxa"/>
            <w:gridSpan w:val="2"/>
            <w:noWrap w:val="0"/>
            <w:tcMar>
              <w:top w:w="16" w:type="dxa"/>
              <w:left w:w="16" w:type="dxa"/>
              <w:right w:w="16" w:type="dxa"/>
            </w:tcMar>
            <w:vAlign w:val="center"/>
          </w:tcPr>
          <w:p>
            <w:pPr>
              <w:pStyle w:val="11"/>
              <w:pageBreakBefore w:val="0"/>
              <w:widowControl w:val="0"/>
              <w:kinsoku/>
              <w:wordWrap/>
              <w:topLinePunct w:val="0"/>
              <w:bidi w:val="0"/>
              <w:spacing w:line="24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地理坐标</w:t>
            </w:r>
          </w:p>
        </w:tc>
        <w:tc>
          <w:tcPr>
            <w:tcW w:w="6806" w:type="dxa"/>
            <w:gridSpan w:val="5"/>
            <w:noWrap w:val="0"/>
            <w:vAlign w:val="center"/>
          </w:tcPr>
          <w:p>
            <w:pPr>
              <w:adjustRightInd w:val="0"/>
              <w:snapToGrid w:val="0"/>
              <w:spacing w:line="240" w:lineRule="auto"/>
              <w:jc w:val="center"/>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highlight w:val="none"/>
              </w:rPr>
              <w:t>北纬39°55′17.170″，东经119°13′53.83</w:t>
            </w:r>
            <w:r>
              <w:rPr>
                <w:rFonts w:hint="eastAsia" w:eastAsia="宋体" w:cs="Times New Roman"/>
                <w:color w:val="auto"/>
                <w:highlight w:val="none"/>
                <w:lang w:val="en-US" w:eastAsia="zh-CN"/>
              </w:rPr>
              <w:t>0</w:t>
            </w:r>
            <w:r>
              <w:rPr>
                <w:rFonts w:hint="default" w:ascii="Times New Roman" w:hAnsi="Times New Roman" w:eastAsia="宋体" w:cs="Times New Roman"/>
                <w:color w:val="auto"/>
                <w:highlight w:val="none"/>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820" w:hRule="atLeast"/>
          <w:jc w:val="center"/>
        </w:trPr>
        <w:tc>
          <w:tcPr>
            <w:tcW w:w="1829" w:type="dxa"/>
            <w:gridSpan w:val="2"/>
            <w:noWrap w:val="0"/>
            <w:tcMar>
              <w:top w:w="16" w:type="dxa"/>
              <w:left w:w="16" w:type="dxa"/>
              <w:right w:w="16" w:type="dxa"/>
            </w:tcMar>
            <w:vAlign w:val="center"/>
          </w:tcPr>
          <w:p>
            <w:pPr>
              <w:pStyle w:val="11"/>
              <w:pageBreakBefore w:val="0"/>
              <w:widowControl w:val="0"/>
              <w:kinsoku/>
              <w:wordWrap/>
              <w:topLinePunct w:val="0"/>
              <w:bidi w:val="0"/>
              <w:spacing w:line="24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国民经济</w:t>
            </w:r>
          </w:p>
          <w:p>
            <w:pPr>
              <w:pStyle w:val="11"/>
              <w:pageBreakBefore w:val="0"/>
              <w:widowControl w:val="0"/>
              <w:kinsoku/>
              <w:wordWrap/>
              <w:topLinePunct w:val="0"/>
              <w:bidi w:val="0"/>
              <w:spacing w:line="24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行业类别</w:t>
            </w:r>
          </w:p>
        </w:tc>
        <w:tc>
          <w:tcPr>
            <w:tcW w:w="2045" w:type="dxa"/>
            <w:noWrap w:val="0"/>
            <w:vAlign w:val="center"/>
          </w:tcPr>
          <w:p>
            <w:pPr>
              <w:adjustRightInd w:val="0"/>
              <w:snapToGrid w:val="0"/>
              <w:spacing w:line="240" w:lineRule="auto"/>
              <w:jc w:val="center"/>
              <w:rPr>
                <w:rFonts w:hint="default" w:ascii="Times New Roman" w:hAnsi="Times New Roman" w:eastAsia="宋体" w:cs="Times New Roman"/>
                <w:color w:val="auto"/>
                <w:sz w:val="24"/>
                <w:szCs w:val="24"/>
                <w:highlight w:val="none"/>
                <w:lang w:val="en-US"/>
              </w:rPr>
            </w:pPr>
            <w:r>
              <w:rPr>
                <w:rFonts w:hint="eastAsia" w:eastAsia="宋体" w:cs="Times New Roman"/>
                <w:color w:val="auto"/>
                <w:highlight w:val="none"/>
                <w:lang w:val="en-US" w:eastAsia="zh-CN"/>
              </w:rPr>
              <w:t>铸造机械制造</w:t>
            </w:r>
            <w:r>
              <w:rPr>
                <w:rFonts w:hint="default" w:ascii="Times New Roman" w:hAnsi="Times New Roman" w:eastAsia="宋体" w:cs="Times New Roman"/>
                <w:color w:val="auto"/>
                <w:highlight w:val="none"/>
              </w:rPr>
              <w:t>/C-</w:t>
            </w:r>
            <w:r>
              <w:rPr>
                <w:rFonts w:hint="eastAsia" w:eastAsia="宋体" w:cs="Times New Roman"/>
                <w:color w:val="auto"/>
                <w:highlight w:val="none"/>
                <w:lang w:val="en-US" w:eastAsia="zh-CN"/>
              </w:rPr>
              <w:t>3423</w:t>
            </w:r>
          </w:p>
        </w:tc>
        <w:tc>
          <w:tcPr>
            <w:tcW w:w="2179" w:type="dxa"/>
            <w:gridSpan w:val="3"/>
            <w:noWrap w:val="0"/>
            <w:vAlign w:val="center"/>
          </w:tcPr>
          <w:p>
            <w:pPr>
              <w:adjustRightInd w:val="0"/>
              <w:snapToGrid w:val="0"/>
              <w:spacing w:line="240" w:lineRule="auto"/>
              <w:jc w:val="center"/>
              <w:rPr>
                <w:rFonts w:hint="default" w:ascii="Times New Roman" w:hAnsi="Times New Roman" w:eastAsia="宋体" w:cs="Times New Roman"/>
                <w:b/>
                <w:bCs/>
                <w:color w:val="auto"/>
                <w:highlight w:val="none"/>
              </w:rPr>
            </w:pPr>
            <w:r>
              <w:rPr>
                <w:rFonts w:hint="default" w:ascii="Times New Roman" w:hAnsi="Times New Roman" w:eastAsia="宋体" w:cs="Times New Roman"/>
                <w:b/>
                <w:bCs/>
                <w:color w:val="auto"/>
                <w:highlight w:val="none"/>
              </w:rPr>
              <w:t>建设项目</w:t>
            </w:r>
          </w:p>
          <w:p>
            <w:pPr>
              <w:adjustRightInd w:val="0"/>
              <w:snapToGrid w:val="0"/>
              <w:spacing w:line="240" w:lineRule="auto"/>
              <w:jc w:val="center"/>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highlight w:val="none"/>
              </w:rPr>
              <w:t>行业类别</w:t>
            </w:r>
          </w:p>
        </w:tc>
        <w:tc>
          <w:tcPr>
            <w:tcW w:w="2582" w:type="dxa"/>
            <w:noWrap w:val="0"/>
            <w:vAlign w:val="center"/>
          </w:tcPr>
          <w:p>
            <w:pPr>
              <w:adjustRightInd w:val="0"/>
              <w:snapToGrid w:val="0"/>
              <w:spacing w:line="240" w:lineRule="auto"/>
              <w:jc w:val="center"/>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highlight w:val="none"/>
              </w:rPr>
              <w:t>三十</w:t>
            </w:r>
            <w:r>
              <w:rPr>
                <w:rFonts w:hint="eastAsia" w:cs="Times New Roman"/>
                <w:color w:val="auto"/>
                <w:highlight w:val="none"/>
                <w:lang w:val="en-US" w:eastAsia="zh-CN"/>
              </w:rPr>
              <w:t>二</w:t>
            </w:r>
            <w:r>
              <w:rPr>
                <w:rFonts w:hint="default" w:ascii="Times New Roman" w:hAnsi="Times New Roman" w:eastAsia="宋体" w:cs="Times New Roman"/>
                <w:color w:val="auto"/>
                <w:highlight w:val="none"/>
              </w:rPr>
              <w:t>、</w:t>
            </w:r>
            <w:r>
              <w:rPr>
                <w:rFonts w:hint="eastAsia" w:cs="Times New Roman"/>
                <w:color w:val="auto"/>
                <w:highlight w:val="none"/>
                <w:lang w:val="en-US" w:eastAsia="zh-CN"/>
              </w:rPr>
              <w:t>专用</w:t>
            </w:r>
            <w:r>
              <w:rPr>
                <w:rFonts w:hint="eastAsia" w:eastAsia="宋体" w:cs="Times New Roman"/>
                <w:color w:val="auto"/>
                <w:highlight w:val="none"/>
                <w:lang w:val="en-US" w:eastAsia="zh-CN"/>
              </w:rPr>
              <w:t>设备制造业</w:t>
            </w:r>
            <w:r>
              <w:rPr>
                <w:rFonts w:hint="eastAsia" w:cs="Times New Roman"/>
                <w:color w:val="auto"/>
                <w:highlight w:val="none"/>
                <w:lang w:val="en-US" w:eastAsia="zh-CN"/>
              </w:rPr>
              <w:t>70</w:t>
            </w:r>
            <w:r>
              <w:rPr>
                <w:rFonts w:hint="eastAsia" w:eastAsia="宋体" w:cs="Times New Roman"/>
                <w:color w:val="auto"/>
                <w:highlight w:val="none"/>
                <w:lang w:val="en-US" w:eastAsia="zh-CN"/>
              </w:rPr>
              <w:t xml:space="preserve"> 其他（仅分割、焊接、组装的除外：年用非溶剂型低VOCs含量涂料10吨以下的除外）</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829" w:type="dxa"/>
            <w:gridSpan w:val="2"/>
            <w:noWrap w:val="0"/>
            <w:tcMar>
              <w:top w:w="16" w:type="dxa"/>
              <w:left w:w="16" w:type="dxa"/>
              <w:right w:w="16" w:type="dxa"/>
            </w:tcMar>
            <w:vAlign w:val="center"/>
          </w:tcPr>
          <w:p>
            <w:pPr>
              <w:pStyle w:val="11"/>
              <w:pageBreakBefore w:val="0"/>
              <w:widowControl w:val="0"/>
              <w:kinsoku/>
              <w:wordWrap/>
              <w:topLinePunct w:val="0"/>
              <w:bidi w:val="0"/>
              <w:spacing w:line="24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建设性质</w:t>
            </w:r>
          </w:p>
        </w:tc>
        <w:tc>
          <w:tcPr>
            <w:tcW w:w="2045" w:type="dxa"/>
            <w:noWrap w:val="0"/>
            <w:vAlign w:val="center"/>
          </w:tcPr>
          <w:p>
            <w:pPr>
              <w:pageBreakBefore w:val="0"/>
              <w:widowControl w:val="0"/>
              <w:kinsoku/>
              <w:wordWrap/>
              <w:topLinePunct w:val="0"/>
              <w:bidi w:val="0"/>
              <w:spacing w:line="240" w:lineRule="auto"/>
              <w:jc w:val="both"/>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sym w:font="Wingdings 2" w:char="00A3"/>
            </w:r>
            <w:r>
              <w:rPr>
                <w:rFonts w:hint="default" w:ascii="Times New Roman" w:hAnsi="Times New Roman" w:eastAsia="宋体" w:cs="Times New Roman"/>
                <w:color w:val="auto"/>
                <w:sz w:val="24"/>
                <w:szCs w:val="24"/>
                <w:highlight w:val="none"/>
              </w:rPr>
              <w:t>新建（迁建）</w:t>
            </w:r>
          </w:p>
          <w:p>
            <w:pPr>
              <w:pageBreakBefore w:val="0"/>
              <w:widowControl w:val="0"/>
              <w:kinsoku/>
              <w:wordWrap/>
              <w:topLinePunct w:val="0"/>
              <w:bidi w:val="0"/>
              <w:spacing w:line="240" w:lineRule="auto"/>
              <w:jc w:val="both"/>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sym w:font="Wingdings 2" w:char="00A3"/>
            </w:r>
            <w:r>
              <w:rPr>
                <w:rFonts w:hint="default" w:ascii="Times New Roman" w:hAnsi="Times New Roman" w:eastAsia="宋体" w:cs="Times New Roman"/>
                <w:color w:val="auto"/>
                <w:sz w:val="24"/>
                <w:szCs w:val="24"/>
                <w:highlight w:val="none"/>
              </w:rPr>
              <w:t>改建</w:t>
            </w:r>
          </w:p>
          <w:p>
            <w:pPr>
              <w:pageBreakBefore w:val="0"/>
              <w:widowControl w:val="0"/>
              <w:kinsoku/>
              <w:wordWrap/>
              <w:topLinePunct w:val="0"/>
              <w:bidi w:val="0"/>
              <w:spacing w:line="240" w:lineRule="auto"/>
              <w:jc w:val="both"/>
              <w:textAlignment w:val="auto"/>
              <w:rPr>
                <w:rFonts w:hint="eastAsia" w:ascii="Times New Roman" w:hAnsi="Times New Roman" w:eastAsia="宋体" w:cs="Times New Roman"/>
                <w:color w:val="auto"/>
                <w:sz w:val="24"/>
                <w:szCs w:val="24"/>
                <w:highlight w:val="none"/>
                <w:lang w:eastAsia="zh-CN"/>
              </w:rPr>
            </w:pPr>
            <w:r>
              <w:rPr>
                <w:rFonts w:hint="eastAsia" w:cs="Times New Roman"/>
                <w:color w:val="auto"/>
                <w:sz w:val="24"/>
                <w:szCs w:val="24"/>
                <w:highlight w:val="none"/>
                <w:lang w:val="en-US" w:eastAsia="zh-CN"/>
              </w:rPr>
              <w:sym w:font="Wingdings 2" w:char="00A3"/>
            </w:r>
            <w:r>
              <w:rPr>
                <w:rFonts w:hint="eastAsia" w:cs="Times New Roman"/>
                <w:color w:val="auto"/>
                <w:sz w:val="24"/>
                <w:szCs w:val="24"/>
                <w:highlight w:val="none"/>
                <w:lang w:val="en-US" w:eastAsia="zh-CN"/>
              </w:rPr>
              <w:t>扩建</w:t>
            </w:r>
          </w:p>
          <w:p>
            <w:pPr>
              <w:pageBreakBefore w:val="0"/>
              <w:widowControl w:val="0"/>
              <w:kinsoku/>
              <w:wordWrap/>
              <w:topLinePunct w:val="0"/>
              <w:bidi w:val="0"/>
              <w:spacing w:line="240" w:lineRule="auto"/>
              <w:jc w:val="both"/>
              <w:textAlignment w:val="auto"/>
              <w:rPr>
                <w:rFonts w:hint="default" w:ascii="Times New Roman" w:hAnsi="Times New Roman" w:eastAsia="宋体" w:cs="Times New Roman"/>
                <w:color w:val="auto"/>
                <w:sz w:val="24"/>
                <w:szCs w:val="24"/>
                <w:highlight w:val="none"/>
              </w:rPr>
            </w:pPr>
            <w:r>
              <w:rPr>
                <w:rFonts w:hint="eastAsia" w:ascii="Times New Roman" w:hAnsi="Times New Roman" w:eastAsia="宋体" w:cs="Times New Roman"/>
                <w:color w:val="auto"/>
                <w:sz w:val="24"/>
                <w:szCs w:val="24"/>
                <w:highlight w:val="none"/>
                <w:lang w:eastAsia="zh-CN"/>
              </w:rPr>
              <w:sym w:font="Wingdings 2" w:char="0052"/>
            </w:r>
            <w:r>
              <w:rPr>
                <w:rFonts w:hint="default" w:ascii="Times New Roman" w:hAnsi="Times New Roman" w:eastAsia="宋体" w:cs="Times New Roman"/>
                <w:color w:val="auto"/>
                <w:sz w:val="24"/>
                <w:szCs w:val="24"/>
                <w:highlight w:val="none"/>
              </w:rPr>
              <w:t>技术改造</w:t>
            </w:r>
          </w:p>
        </w:tc>
        <w:tc>
          <w:tcPr>
            <w:tcW w:w="2179" w:type="dxa"/>
            <w:gridSpan w:val="3"/>
            <w:noWrap w:val="0"/>
            <w:vAlign w:val="center"/>
          </w:tcPr>
          <w:p>
            <w:pPr>
              <w:pageBreakBefore w:val="0"/>
              <w:widowControl w:val="0"/>
              <w:kinsoku/>
              <w:wordWrap/>
              <w:topLinePunct w:val="0"/>
              <w:bidi w:val="0"/>
              <w:adjustRightInd w:val="0"/>
              <w:snapToGrid w:val="0"/>
              <w:spacing w:line="240" w:lineRule="auto"/>
              <w:jc w:val="center"/>
              <w:textAlignment w:val="auto"/>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建设项目</w:t>
            </w:r>
          </w:p>
          <w:p>
            <w:pPr>
              <w:pageBreakBefore w:val="0"/>
              <w:widowControl w:val="0"/>
              <w:kinsoku/>
              <w:wordWrap/>
              <w:topLinePunct w:val="0"/>
              <w:bidi w:val="0"/>
              <w:adjustRightInd w:val="0"/>
              <w:snapToGrid w:val="0"/>
              <w:spacing w:line="240" w:lineRule="auto"/>
              <w:jc w:val="center"/>
              <w:textAlignment w:val="auto"/>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申报情形</w:t>
            </w:r>
          </w:p>
        </w:tc>
        <w:tc>
          <w:tcPr>
            <w:tcW w:w="2582" w:type="dxa"/>
            <w:noWrap w:val="0"/>
            <w:vAlign w:val="center"/>
          </w:tcPr>
          <w:p>
            <w:pPr>
              <w:pageBreakBefore w:val="0"/>
              <w:widowControl w:val="0"/>
              <w:kinsoku/>
              <w:wordWrap/>
              <w:topLinePunct w:val="0"/>
              <w:bidi w:val="0"/>
              <w:spacing w:line="240" w:lineRule="auto"/>
              <w:jc w:val="both"/>
              <w:textAlignment w:val="auto"/>
              <w:rPr>
                <w:rFonts w:hint="default" w:ascii="Times New Roman" w:hAnsi="Times New Roman" w:eastAsia="宋体" w:cs="Times New Roman"/>
                <w:color w:val="auto"/>
                <w:sz w:val="24"/>
                <w:szCs w:val="24"/>
                <w:highlight w:val="none"/>
                <w:lang w:eastAsia="zh-CN"/>
              </w:rPr>
            </w:pPr>
            <w:r>
              <w:rPr>
                <w:rFonts w:hint="default" w:ascii="Times New Roman" w:hAnsi="Times New Roman" w:eastAsia="宋体" w:cs="Times New Roman"/>
                <w:color w:val="auto"/>
                <w:sz w:val="24"/>
                <w:szCs w:val="24"/>
                <w:highlight w:val="none"/>
                <w:lang w:eastAsia="zh-CN"/>
              </w:rPr>
              <w:t>☑首次申报项目</w:t>
            </w:r>
          </w:p>
          <w:p>
            <w:pPr>
              <w:pageBreakBefore w:val="0"/>
              <w:widowControl w:val="0"/>
              <w:kinsoku/>
              <w:wordWrap/>
              <w:topLinePunct w:val="0"/>
              <w:bidi w:val="0"/>
              <w:spacing w:line="240" w:lineRule="auto"/>
              <w:jc w:val="both"/>
              <w:textAlignment w:val="auto"/>
              <w:rPr>
                <w:rFonts w:hint="default" w:ascii="Times New Roman" w:hAnsi="Times New Roman" w:eastAsia="宋体" w:cs="Times New Roman"/>
                <w:color w:val="auto"/>
                <w:sz w:val="24"/>
                <w:szCs w:val="24"/>
                <w:highlight w:val="none"/>
                <w:lang w:eastAsia="zh-CN"/>
              </w:rPr>
            </w:pPr>
            <w:r>
              <w:rPr>
                <w:rFonts w:hint="default" w:ascii="Times New Roman" w:hAnsi="Times New Roman" w:eastAsia="宋体" w:cs="Times New Roman"/>
                <w:color w:val="auto"/>
                <w:sz w:val="24"/>
                <w:szCs w:val="24"/>
                <w:highlight w:val="none"/>
                <w:lang w:eastAsia="zh-CN"/>
              </w:rPr>
              <w:sym w:font="Wingdings" w:char="00A8"/>
            </w:r>
            <w:r>
              <w:rPr>
                <w:rFonts w:hint="default" w:ascii="Times New Roman" w:hAnsi="Times New Roman" w:eastAsia="宋体" w:cs="Times New Roman"/>
                <w:color w:val="auto"/>
                <w:sz w:val="24"/>
                <w:szCs w:val="24"/>
                <w:highlight w:val="none"/>
                <w:lang w:eastAsia="zh-CN"/>
              </w:rPr>
              <w:t>不予批准后再次申报项目</w:t>
            </w:r>
          </w:p>
          <w:p>
            <w:pPr>
              <w:pageBreakBefore w:val="0"/>
              <w:widowControl w:val="0"/>
              <w:kinsoku/>
              <w:wordWrap/>
              <w:topLinePunct w:val="0"/>
              <w:bidi w:val="0"/>
              <w:spacing w:line="240" w:lineRule="auto"/>
              <w:jc w:val="both"/>
              <w:textAlignment w:val="auto"/>
              <w:rPr>
                <w:rFonts w:hint="default" w:ascii="Times New Roman" w:hAnsi="Times New Roman" w:eastAsia="宋体" w:cs="Times New Roman"/>
                <w:color w:val="auto"/>
                <w:sz w:val="24"/>
                <w:szCs w:val="24"/>
                <w:highlight w:val="none"/>
                <w:lang w:eastAsia="zh-CN"/>
              </w:rPr>
            </w:pPr>
            <w:r>
              <w:rPr>
                <w:rFonts w:hint="default" w:ascii="Times New Roman" w:hAnsi="Times New Roman" w:eastAsia="宋体" w:cs="Times New Roman"/>
                <w:color w:val="auto"/>
                <w:sz w:val="24"/>
                <w:szCs w:val="24"/>
                <w:highlight w:val="none"/>
                <w:lang w:eastAsia="zh-CN"/>
              </w:rPr>
              <w:sym w:font="Wingdings" w:char="00A8"/>
            </w:r>
            <w:r>
              <w:rPr>
                <w:rFonts w:hint="default" w:ascii="Times New Roman" w:hAnsi="Times New Roman" w:eastAsia="宋体" w:cs="Times New Roman"/>
                <w:color w:val="auto"/>
                <w:sz w:val="24"/>
                <w:szCs w:val="24"/>
                <w:highlight w:val="none"/>
                <w:lang w:eastAsia="zh-CN"/>
              </w:rPr>
              <w:t>超五年重新审核项目</w:t>
            </w:r>
          </w:p>
          <w:p>
            <w:pPr>
              <w:pageBreakBefore w:val="0"/>
              <w:widowControl w:val="0"/>
              <w:kinsoku/>
              <w:wordWrap/>
              <w:topLinePunct w:val="0"/>
              <w:bidi w:val="0"/>
              <w:spacing w:line="240" w:lineRule="auto"/>
              <w:jc w:val="both"/>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lang w:eastAsia="zh-CN"/>
              </w:rPr>
              <w:sym w:font="Wingdings" w:char="00A8"/>
            </w:r>
            <w:r>
              <w:rPr>
                <w:rFonts w:hint="default" w:ascii="Times New Roman" w:hAnsi="Times New Roman" w:eastAsia="宋体" w:cs="Times New Roman"/>
                <w:color w:val="auto"/>
                <w:sz w:val="24"/>
                <w:szCs w:val="24"/>
                <w:highlight w:val="none"/>
                <w:lang w:eastAsia="zh-CN"/>
              </w:rPr>
              <w:t>重大变动重新报批项目</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829" w:type="dxa"/>
            <w:gridSpan w:val="2"/>
            <w:noWrap w:val="0"/>
            <w:tcMar>
              <w:top w:w="16" w:type="dxa"/>
              <w:left w:w="16" w:type="dxa"/>
              <w:right w:w="16" w:type="dxa"/>
            </w:tcMar>
            <w:vAlign w:val="center"/>
          </w:tcPr>
          <w:p>
            <w:pPr>
              <w:pStyle w:val="11"/>
              <w:pageBreakBefore w:val="0"/>
              <w:widowControl w:val="0"/>
              <w:kinsoku/>
              <w:wordWrap/>
              <w:topLinePunct w:val="0"/>
              <w:bidi w:val="0"/>
              <w:spacing w:line="24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项目审批（核准/</w:t>
            </w:r>
          </w:p>
          <w:p>
            <w:pPr>
              <w:pStyle w:val="11"/>
              <w:pageBreakBefore w:val="0"/>
              <w:widowControl w:val="0"/>
              <w:kinsoku/>
              <w:wordWrap/>
              <w:topLinePunct w:val="0"/>
              <w:bidi w:val="0"/>
              <w:spacing w:line="24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备案）部门（选填）</w:t>
            </w:r>
          </w:p>
        </w:tc>
        <w:tc>
          <w:tcPr>
            <w:tcW w:w="2045" w:type="dxa"/>
            <w:noWrap w:val="0"/>
            <w:vAlign w:val="center"/>
          </w:tcPr>
          <w:p>
            <w:pPr>
              <w:pageBreakBefore w:val="0"/>
              <w:widowControl w:val="0"/>
              <w:kinsoku/>
              <w:wordWrap/>
              <w:topLinePunct w:val="0"/>
              <w:bidi w:val="0"/>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秦皇岛市抚宁区行政审批局</w:t>
            </w:r>
          </w:p>
        </w:tc>
        <w:tc>
          <w:tcPr>
            <w:tcW w:w="2179" w:type="dxa"/>
            <w:gridSpan w:val="3"/>
            <w:noWrap w:val="0"/>
            <w:vAlign w:val="center"/>
          </w:tcPr>
          <w:p>
            <w:pPr>
              <w:pageBreakBefore w:val="0"/>
              <w:widowControl w:val="0"/>
              <w:kinsoku/>
              <w:wordWrap/>
              <w:topLinePunct w:val="0"/>
              <w:bidi w:val="0"/>
              <w:adjustRightInd w:val="0"/>
              <w:snapToGrid w:val="0"/>
              <w:spacing w:line="240" w:lineRule="auto"/>
              <w:jc w:val="center"/>
              <w:textAlignment w:val="auto"/>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项目审批（核准/</w:t>
            </w:r>
          </w:p>
          <w:p>
            <w:pPr>
              <w:pageBreakBefore w:val="0"/>
              <w:widowControl w:val="0"/>
              <w:kinsoku/>
              <w:wordWrap/>
              <w:topLinePunct w:val="0"/>
              <w:bidi w:val="0"/>
              <w:adjustRightInd w:val="0"/>
              <w:snapToGrid w:val="0"/>
              <w:spacing w:line="24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b/>
                <w:bCs/>
                <w:color w:val="auto"/>
                <w:sz w:val="24"/>
                <w:szCs w:val="24"/>
                <w:highlight w:val="none"/>
              </w:rPr>
              <w:t>备案）文号（选填）</w:t>
            </w:r>
          </w:p>
        </w:tc>
        <w:tc>
          <w:tcPr>
            <w:tcW w:w="2582"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default" w:ascii="Times New Roman" w:hAnsi="Times New Roman" w:eastAsia="宋体" w:cs="Times New Roman"/>
                <w:color w:val="auto"/>
                <w:sz w:val="24"/>
                <w:szCs w:val="24"/>
                <w:highlight w:val="none"/>
              </w:rPr>
            </w:pPr>
            <w:r>
              <w:rPr>
                <w:rFonts w:hint="eastAsia" w:eastAsia="宋体" w:cs="Times New Roman"/>
                <w:color w:val="auto"/>
                <w:highlight w:val="none"/>
                <w:lang w:val="en-US" w:eastAsia="zh-CN"/>
              </w:rPr>
              <w:t>抚行审备</w:t>
            </w:r>
            <w:r>
              <w:rPr>
                <w:rFonts w:hint="default" w:ascii="Times New Roman" w:hAnsi="Times New Roman" w:eastAsia="宋体" w:cs="Times New Roman"/>
                <w:color w:val="auto"/>
                <w:highlight w:val="none"/>
              </w:rPr>
              <w:t>〔202</w:t>
            </w:r>
            <w:r>
              <w:rPr>
                <w:rFonts w:hint="eastAsia" w:eastAsia="宋体" w:cs="Times New Roman"/>
                <w:color w:val="auto"/>
                <w:highlight w:val="none"/>
                <w:lang w:val="en-US" w:eastAsia="zh-CN"/>
              </w:rPr>
              <w:t>2</w:t>
            </w:r>
            <w:r>
              <w:rPr>
                <w:rFonts w:hint="default" w:ascii="Times New Roman" w:hAnsi="Times New Roman" w:eastAsia="宋体" w:cs="Times New Roman"/>
                <w:color w:val="auto"/>
                <w:highlight w:val="none"/>
              </w:rPr>
              <w:t>〕</w:t>
            </w:r>
            <w:r>
              <w:rPr>
                <w:rFonts w:hint="eastAsia" w:eastAsia="宋体" w:cs="Times New Roman"/>
                <w:color w:val="auto"/>
                <w:highlight w:val="none"/>
                <w:lang w:val="en-US" w:eastAsia="zh-CN"/>
              </w:rPr>
              <w:t>92</w:t>
            </w:r>
            <w:r>
              <w:rPr>
                <w:rFonts w:hint="default" w:ascii="Times New Roman" w:hAnsi="Times New Roman" w:eastAsia="宋体" w:cs="Times New Roman"/>
                <w:color w:val="auto"/>
                <w:highlight w:val="none"/>
              </w:rPr>
              <w:t>号</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829" w:type="dxa"/>
            <w:gridSpan w:val="2"/>
            <w:noWrap w:val="0"/>
            <w:tcMar>
              <w:top w:w="16" w:type="dxa"/>
              <w:left w:w="16" w:type="dxa"/>
              <w:right w:w="16" w:type="dxa"/>
            </w:tcMar>
            <w:vAlign w:val="center"/>
          </w:tcPr>
          <w:p>
            <w:pPr>
              <w:pStyle w:val="11"/>
              <w:pageBreakBefore w:val="0"/>
              <w:widowControl w:val="0"/>
              <w:kinsoku/>
              <w:wordWrap/>
              <w:overflowPunct/>
              <w:topLinePunct w:val="0"/>
              <w:autoSpaceDE/>
              <w:autoSpaceDN/>
              <w:bidi w:val="0"/>
              <w:spacing w:beforeLines="0" w:afterLines="0" w:line="24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总投资（万元）</w:t>
            </w:r>
          </w:p>
        </w:tc>
        <w:tc>
          <w:tcPr>
            <w:tcW w:w="2045" w:type="dxa"/>
            <w:noWrap w:val="0"/>
            <w:vAlign w:val="center"/>
          </w:tcPr>
          <w:p>
            <w:pPr>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4"/>
                <w:szCs w:val="24"/>
                <w:highlight w:val="none"/>
                <w:lang w:val="en-US" w:eastAsia="zh-CN"/>
              </w:rPr>
            </w:pPr>
            <w:r>
              <w:rPr>
                <w:rFonts w:hint="eastAsia" w:cs="Times New Roman"/>
                <w:color w:val="auto"/>
                <w:sz w:val="24"/>
                <w:szCs w:val="24"/>
                <w:highlight w:val="none"/>
                <w:lang w:val="en-US" w:eastAsia="zh-CN"/>
              </w:rPr>
              <w:t>75</w:t>
            </w:r>
          </w:p>
        </w:tc>
        <w:tc>
          <w:tcPr>
            <w:tcW w:w="2179" w:type="dxa"/>
            <w:gridSpan w:val="3"/>
            <w:noWrap w:val="0"/>
            <w:tcMar>
              <w:top w:w="16" w:type="dxa"/>
              <w:left w:w="16" w:type="dxa"/>
              <w:right w:w="16" w:type="dxa"/>
            </w:tcMar>
            <w:vAlign w:val="center"/>
          </w:tcPr>
          <w:p>
            <w:pPr>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环保投资（万元）</w:t>
            </w:r>
          </w:p>
        </w:tc>
        <w:tc>
          <w:tcPr>
            <w:tcW w:w="2582" w:type="dxa"/>
            <w:noWrap w:val="0"/>
            <w:vAlign w:val="center"/>
          </w:tcPr>
          <w:p>
            <w:pPr>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4"/>
                <w:szCs w:val="24"/>
                <w:highlight w:val="none"/>
                <w:lang w:val="en-US" w:eastAsia="zh-CN"/>
              </w:rPr>
            </w:pPr>
            <w:r>
              <w:rPr>
                <w:rFonts w:hint="eastAsia" w:cs="Times New Roman"/>
                <w:color w:val="auto"/>
                <w:sz w:val="24"/>
                <w:szCs w:val="24"/>
                <w:highlight w:val="none"/>
                <w:lang w:val="en-US" w:eastAsia="zh-CN"/>
              </w:rPr>
              <w:t>7</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29" w:hRule="atLeast"/>
          <w:jc w:val="center"/>
        </w:trPr>
        <w:tc>
          <w:tcPr>
            <w:tcW w:w="1829" w:type="dxa"/>
            <w:gridSpan w:val="2"/>
            <w:noWrap w:val="0"/>
            <w:tcMar>
              <w:top w:w="16" w:type="dxa"/>
              <w:left w:w="16" w:type="dxa"/>
              <w:right w:w="16" w:type="dxa"/>
            </w:tcMar>
            <w:vAlign w:val="center"/>
          </w:tcPr>
          <w:p>
            <w:pPr>
              <w:pStyle w:val="11"/>
              <w:pageBreakBefore w:val="0"/>
              <w:widowControl w:val="0"/>
              <w:kinsoku/>
              <w:wordWrap/>
              <w:overflowPunct/>
              <w:topLinePunct w:val="0"/>
              <w:autoSpaceDE/>
              <w:autoSpaceDN/>
              <w:bidi w:val="0"/>
              <w:spacing w:beforeLines="0" w:afterLines="0" w:line="24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环保投资占比（%）</w:t>
            </w:r>
          </w:p>
        </w:tc>
        <w:tc>
          <w:tcPr>
            <w:tcW w:w="2045" w:type="dxa"/>
            <w:noWrap w:val="0"/>
            <w:vAlign w:val="center"/>
          </w:tcPr>
          <w:p>
            <w:pPr>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4"/>
                <w:szCs w:val="24"/>
                <w:highlight w:val="none"/>
                <w:lang w:val="en-US" w:eastAsia="zh-CN"/>
              </w:rPr>
            </w:pPr>
            <w:r>
              <w:rPr>
                <w:rFonts w:hint="eastAsia" w:cs="Times New Roman"/>
                <w:color w:val="auto"/>
                <w:sz w:val="24"/>
                <w:szCs w:val="24"/>
                <w:highlight w:val="none"/>
                <w:lang w:val="en-US" w:eastAsia="zh-CN"/>
              </w:rPr>
              <w:t>9.3</w:t>
            </w:r>
          </w:p>
        </w:tc>
        <w:tc>
          <w:tcPr>
            <w:tcW w:w="2179" w:type="dxa"/>
            <w:gridSpan w:val="3"/>
            <w:noWrap w:val="0"/>
            <w:tcMar>
              <w:top w:w="16" w:type="dxa"/>
              <w:left w:w="16" w:type="dxa"/>
              <w:right w:w="16" w:type="dxa"/>
            </w:tcMar>
            <w:vAlign w:val="center"/>
          </w:tcPr>
          <w:p>
            <w:pPr>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施工工期</w:t>
            </w:r>
          </w:p>
        </w:tc>
        <w:tc>
          <w:tcPr>
            <w:tcW w:w="2582" w:type="dxa"/>
            <w:noWrap w:val="0"/>
            <w:vAlign w:val="center"/>
          </w:tcPr>
          <w:p>
            <w:pPr>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4"/>
                <w:szCs w:val="24"/>
                <w:highlight w:val="none"/>
                <w:lang w:val="en-US" w:eastAsia="zh-CN"/>
              </w:rPr>
            </w:pPr>
            <w:r>
              <w:rPr>
                <w:rFonts w:hint="eastAsia" w:cs="Times New Roman"/>
                <w:color w:val="auto"/>
                <w:sz w:val="24"/>
                <w:szCs w:val="24"/>
                <w:highlight w:val="none"/>
                <w:lang w:val="en-US" w:eastAsia="zh-CN"/>
              </w:rPr>
              <w:t>2</w:t>
            </w:r>
            <w:r>
              <w:rPr>
                <w:rFonts w:hint="default" w:ascii="Times New Roman" w:hAnsi="Times New Roman" w:eastAsia="宋体" w:cs="Times New Roman"/>
                <w:color w:val="auto"/>
                <w:sz w:val="24"/>
                <w:szCs w:val="24"/>
                <w:highlight w:val="none"/>
                <w:lang w:val="en-US" w:eastAsia="zh-CN"/>
              </w:rPr>
              <w:t>个月</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1829" w:type="dxa"/>
            <w:gridSpan w:val="2"/>
            <w:noWrap w:val="0"/>
            <w:tcMar>
              <w:top w:w="16" w:type="dxa"/>
              <w:left w:w="16" w:type="dxa"/>
              <w:right w:w="16" w:type="dxa"/>
            </w:tcMar>
            <w:vAlign w:val="center"/>
          </w:tcPr>
          <w:p>
            <w:pPr>
              <w:pStyle w:val="11"/>
              <w:pageBreakBefore w:val="0"/>
              <w:widowControl w:val="0"/>
              <w:kinsoku/>
              <w:wordWrap/>
              <w:topLinePunct w:val="0"/>
              <w:bidi w:val="0"/>
              <w:spacing w:line="24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是否开工建设</w:t>
            </w:r>
          </w:p>
        </w:tc>
        <w:tc>
          <w:tcPr>
            <w:tcW w:w="2045" w:type="dxa"/>
            <w:noWrap w:val="0"/>
            <w:vAlign w:val="center"/>
          </w:tcPr>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lang w:eastAsia="zh-CN"/>
              </w:rPr>
              <w:sym w:font="Wingdings" w:char="00FE"/>
            </w:r>
            <w:r>
              <w:rPr>
                <w:rFonts w:hint="default" w:ascii="Times New Roman" w:hAnsi="Times New Roman" w:eastAsia="宋体" w:cs="Times New Roman"/>
                <w:color w:val="auto"/>
                <w:sz w:val="24"/>
                <w:szCs w:val="24"/>
                <w:highlight w:val="none"/>
              </w:rPr>
              <w:t>否</w:t>
            </w:r>
          </w:p>
          <w:p>
            <w:pPr>
              <w:pageBreakBefore w:val="0"/>
              <w:widowControl w:val="0"/>
              <w:kinsoku/>
              <w:wordWrap/>
              <w:topLinePunct w:val="0"/>
              <w:bidi w:val="0"/>
              <w:adjustRightInd w:val="0"/>
              <w:snapToGrid w:val="0"/>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lang w:eastAsia="zh-CN"/>
              </w:rPr>
              <w:sym w:font="Wingdings" w:char="00A8"/>
            </w:r>
            <w:r>
              <w:rPr>
                <w:rFonts w:hint="default" w:ascii="Times New Roman" w:hAnsi="Times New Roman" w:eastAsia="宋体" w:cs="Times New Roman"/>
                <w:color w:val="auto"/>
                <w:sz w:val="24"/>
                <w:szCs w:val="24"/>
                <w:highlight w:val="none"/>
              </w:rPr>
              <w:t>是：</w:t>
            </w:r>
          </w:p>
        </w:tc>
        <w:tc>
          <w:tcPr>
            <w:tcW w:w="2179" w:type="dxa"/>
            <w:gridSpan w:val="3"/>
            <w:noWrap w:val="0"/>
            <w:tcMar>
              <w:top w:w="16" w:type="dxa"/>
              <w:left w:w="16" w:type="dxa"/>
              <w:right w:w="16" w:type="dxa"/>
            </w:tcMar>
            <w:vAlign w:val="center"/>
          </w:tcPr>
          <w:p>
            <w:pPr>
              <w:pageBreakBefore w:val="0"/>
              <w:widowControl w:val="0"/>
              <w:kinsoku/>
              <w:wordWrap/>
              <w:topLinePunct w:val="0"/>
              <w:bidi w:val="0"/>
              <w:adjustRightInd w:val="0"/>
              <w:snapToGrid w:val="0"/>
              <w:spacing w:line="240" w:lineRule="auto"/>
              <w:jc w:val="center"/>
              <w:textAlignment w:val="auto"/>
              <w:rPr>
                <w:rFonts w:hint="default" w:ascii="Times New Roman" w:hAnsi="Times New Roman" w:eastAsia="宋体" w:cs="Times New Roman"/>
                <w:b/>
                <w:bCs/>
                <w:color w:val="auto"/>
                <w:spacing w:val="-6"/>
                <w:sz w:val="24"/>
                <w:szCs w:val="24"/>
                <w:highlight w:val="none"/>
              </w:rPr>
            </w:pPr>
            <w:r>
              <w:rPr>
                <w:rFonts w:hint="default" w:ascii="Times New Roman" w:hAnsi="Times New Roman" w:eastAsia="宋体" w:cs="Times New Roman"/>
                <w:b/>
                <w:bCs/>
                <w:color w:val="auto"/>
                <w:spacing w:val="-6"/>
                <w:sz w:val="24"/>
                <w:szCs w:val="24"/>
                <w:highlight w:val="none"/>
              </w:rPr>
              <w:t>用地（用海）</w:t>
            </w:r>
          </w:p>
          <w:p>
            <w:pPr>
              <w:pageBreakBefore w:val="0"/>
              <w:widowControl w:val="0"/>
              <w:kinsoku/>
              <w:wordWrap/>
              <w:topLinePunct w:val="0"/>
              <w:bidi w:val="0"/>
              <w:adjustRightInd w:val="0"/>
              <w:snapToGrid w:val="0"/>
              <w:spacing w:line="240" w:lineRule="auto"/>
              <w:jc w:val="center"/>
              <w:textAlignment w:val="auto"/>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pacing w:val="-6"/>
                <w:sz w:val="24"/>
                <w:szCs w:val="24"/>
                <w:highlight w:val="none"/>
              </w:rPr>
              <w:t>面积（m</w:t>
            </w:r>
            <w:r>
              <w:rPr>
                <w:rFonts w:hint="default" w:ascii="Times New Roman" w:hAnsi="Times New Roman" w:eastAsia="宋体" w:cs="Times New Roman"/>
                <w:b/>
                <w:bCs/>
                <w:color w:val="auto"/>
                <w:spacing w:val="-6"/>
                <w:sz w:val="24"/>
                <w:szCs w:val="24"/>
                <w:highlight w:val="none"/>
                <w:vertAlign w:val="superscript"/>
              </w:rPr>
              <w:t>2</w:t>
            </w:r>
            <w:r>
              <w:rPr>
                <w:rFonts w:hint="default" w:ascii="Times New Roman" w:hAnsi="Times New Roman" w:eastAsia="宋体" w:cs="Times New Roman"/>
                <w:b/>
                <w:bCs/>
                <w:color w:val="auto"/>
                <w:spacing w:val="-6"/>
                <w:sz w:val="24"/>
                <w:szCs w:val="24"/>
                <w:highlight w:val="none"/>
              </w:rPr>
              <w:t>）</w:t>
            </w:r>
          </w:p>
        </w:tc>
        <w:tc>
          <w:tcPr>
            <w:tcW w:w="2582" w:type="dxa"/>
            <w:noWrap w:val="0"/>
            <w:vAlign w:val="center"/>
          </w:tcPr>
          <w:p>
            <w:pPr>
              <w:pageBreakBefore w:val="0"/>
              <w:widowControl w:val="0"/>
              <w:kinsoku/>
              <w:wordWrap/>
              <w:topLinePunct w:val="0"/>
              <w:bidi w:val="0"/>
              <w:adjustRightInd w:val="0"/>
              <w:snapToGrid w:val="0"/>
              <w:spacing w:line="360" w:lineRule="auto"/>
              <w:jc w:val="center"/>
              <w:textAlignment w:val="auto"/>
              <w:rPr>
                <w:rFonts w:hint="default" w:ascii="Times New Roman" w:hAnsi="Times New Roman" w:eastAsia="宋体" w:cs="Times New Roman"/>
                <w:color w:val="auto"/>
                <w:sz w:val="24"/>
                <w:szCs w:val="24"/>
                <w:highlight w:val="none"/>
                <w:lang w:val="en-US" w:eastAsia="zh-CN"/>
              </w:rPr>
            </w:pPr>
            <w:r>
              <w:rPr>
                <w:rFonts w:hint="eastAsia" w:cs="Times New Roman"/>
                <w:color w:val="auto"/>
                <w:sz w:val="24"/>
                <w:szCs w:val="24"/>
                <w:highlight w:val="none"/>
                <w:lang w:val="en-US"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39" w:hRule="atLeast"/>
          <w:jc w:val="center"/>
        </w:trPr>
        <w:tc>
          <w:tcPr>
            <w:tcW w:w="1829" w:type="dxa"/>
            <w:gridSpan w:val="2"/>
            <w:noWrap w:val="0"/>
            <w:vAlign w:val="center"/>
          </w:tcPr>
          <w:p>
            <w:pPr>
              <w:pStyle w:val="11"/>
              <w:pageBreakBefore w:val="0"/>
              <w:widowControl w:val="0"/>
              <w:kinsoku/>
              <w:wordWrap/>
              <w:topLinePunct w:val="0"/>
              <w:bidi w:val="0"/>
              <w:spacing w:line="24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专项评价设置情况</w:t>
            </w:r>
          </w:p>
        </w:tc>
        <w:tc>
          <w:tcPr>
            <w:tcW w:w="6806" w:type="dxa"/>
            <w:gridSpan w:val="5"/>
            <w:noWrap w:val="0"/>
            <w:vAlign w:val="center"/>
          </w:tcPr>
          <w:p>
            <w:pPr>
              <w:pageBreakBefore w:val="0"/>
              <w:widowControl w:val="0"/>
              <w:kinsoku/>
              <w:wordWrap/>
              <w:topLinePunct w:val="0"/>
              <w:autoSpaceDE w:val="0"/>
              <w:autoSpaceDN w:val="0"/>
              <w:bidi w:val="0"/>
              <w:adjustRightInd w:val="0"/>
              <w:snapToGrid w:val="0"/>
              <w:spacing w:line="360" w:lineRule="auto"/>
              <w:jc w:val="center"/>
              <w:textAlignment w:val="auto"/>
              <w:rPr>
                <w:rFonts w:hint="default" w:ascii="Times New Roman" w:hAnsi="Times New Roman" w:eastAsia="宋体" w:cs="Times New Roman"/>
                <w:color w:val="auto"/>
                <w:kern w:val="0"/>
                <w:sz w:val="24"/>
                <w:szCs w:val="24"/>
                <w:highlight w:val="none"/>
                <w:lang w:val="en-US" w:eastAsia="zh-CN"/>
              </w:rPr>
            </w:pPr>
            <w:r>
              <w:rPr>
                <w:rFonts w:hint="default" w:ascii="Times New Roman" w:hAnsi="Times New Roman" w:eastAsia="宋体" w:cs="Times New Roman"/>
                <w:color w:val="auto"/>
                <w:kern w:val="0"/>
                <w:sz w:val="24"/>
                <w:szCs w:val="24"/>
                <w:highlight w:val="none"/>
                <w:lang w:val="en-US" w:eastAsia="zh-CN"/>
              </w:rPr>
              <w:t>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62" w:hRule="atLeast"/>
          <w:jc w:val="center"/>
        </w:trPr>
        <w:tc>
          <w:tcPr>
            <w:tcW w:w="1829" w:type="dxa"/>
            <w:gridSpan w:val="2"/>
            <w:noWrap w:val="0"/>
            <w:vAlign w:val="center"/>
          </w:tcPr>
          <w:p>
            <w:pPr>
              <w:pStyle w:val="11"/>
              <w:pageBreakBefore w:val="0"/>
              <w:widowControl w:val="0"/>
              <w:kinsoku/>
              <w:wordWrap/>
              <w:topLinePunct w:val="0"/>
              <w:bidi w:val="0"/>
              <w:spacing w:line="24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规划情况</w:t>
            </w:r>
          </w:p>
        </w:tc>
        <w:tc>
          <w:tcPr>
            <w:tcW w:w="6806" w:type="dxa"/>
            <w:gridSpan w:val="5"/>
            <w:noWrap w:val="0"/>
            <w:vAlign w:val="center"/>
          </w:tcPr>
          <w:p>
            <w:pPr>
              <w:keepNext w:val="0"/>
              <w:keepLines w:val="0"/>
              <w:pageBreakBefore w:val="0"/>
              <w:widowControl w:val="0"/>
              <w:kinsoku/>
              <w:wordWrap/>
              <w:overflowPunct/>
              <w:topLinePunct w:val="0"/>
              <w:autoSpaceDE w:val="0"/>
              <w:autoSpaceDN w:val="0"/>
              <w:bidi w:val="0"/>
              <w:adjustRightInd w:val="0"/>
              <w:snapToGrid w:val="0"/>
              <w:spacing w:line="360" w:lineRule="auto"/>
              <w:jc w:val="both"/>
              <w:textAlignment w:val="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kern w:val="2"/>
                <w:sz w:val="24"/>
                <w:szCs w:val="24"/>
                <w:highlight w:val="none"/>
                <w:lang w:val="en-US" w:eastAsia="zh-CN" w:bidi="ar-SA"/>
              </w:rPr>
              <w:t>规划名称：《河北抚宁经济开发区总体规划（2016年~2030年）》</w:t>
            </w:r>
          </w:p>
          <w:p>
            <w:pPr>
              <w:keepNext w:val="0"/>
              <w:keepLines w:val="0"/>
              <w:pageBreakBefore w:val="0"/>
              <w:widowControl w:val="0"/>
              <w:kinsoku/>
              <w:wordWrap/>
              <w:overflowPunct/>
              <w:topLinePunct w:val="0"/>
              <w:autoSpaceDE w:val="0"/>
              <w:autoSpaceDN w:val="0"/>
              <w:bidi w:val="0"/>
              <w:adjustRightInd w:val="0"/>
              <w:snapToGrid w:val="0"/>
              <w:spacing w:line="360" w:lineRule="auto"/>
              <w:jc w:val="both"/>
              <w:textAlignment w:val="auto"/>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kern w:val="2"/>
                <w:sz w:val="24"/>
                <w:szCs w:val="24"/>
                <w:highlight w:val="none"/>
                <w:lang w:val="en-US" w:eastAsia="zh-CN" w:bidi="ar-SA"/>
              </w:rPr>
              <w:t>审批机关：秦皇岛市城乡规划局</w:t>
            </w:r>
          </w:p>
          <w:p>
            <w:pPr>
              <w:pStyle w:val="50"/>
              <w:bidi w:val="0"/>
              <w:spacing w:line="360" w:lineRule="auto"/>
              <w:ind w:left="0" w:leftChars="0" w:firstLine="0" w:firstLineChars="0"/>
              <w:jc w:val="both"/>
              <w:rPr>
                <w:rFonts w:hint="default" w:ascii="Times New Roman" w:hAnsi="Times New Roman" w:cs="Times New Roman"/>
                <w:color w:val="auto"/>
                <w:sz w:val="24"/>
                <w:szCs w:val="24"/>
                <w:highlight w:val="none"/>
                <w:lang w:val="en-US" w:eastAsia="zh-CN"/>
              </w:rPr>
            </w:pPr>
            <w:r>
              <w:rPr>
                <w:rFonts w:hint="default" w:ascii="Times New Roman" w:hAnsi="Times New Roman" w:eastAsia="宋体" w:cs="Times New Roman"/>
                <w:color w:val="auto"/>
                <w:kern w:val="2"/>
                <w:sz w:val="24"/>
                <w:szCs w:val="24"/>
                <w:highlight w:val="none"/>
                <w:lang w:val="en-US" w:eastAsia="zh-CN" w:bidi="ar-SA"/>
              </w:rPr>
              <w:t>审批文件名称：《秦皇岛市城乡规划局关于对抚宁经济开发区总体规划的意见》文号：秦规函[2018]130号</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829" w:type="dxa"/>
            <w:gridSpan w:val="2"/>
            <w:noWrap w:val="0"/>
            <w:vAlign w:val="center"/>
          </w:tcPr>
          <w:p>
            <w:pPr>
              <w:pStyle w:val="11"/>
              <w:pageBreakBefore w:val="0"/>
              <w:widowControl w:val="0"/>
              <w:kinsoku/>
              <w:wordWrap/>
              <w:topLinePunct w:val="0"/>
              <w:bidi w:val="0"/>
              <w:spacing w:line="24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规划环境影响</w:t>
            </w:r>
          </w:p>
          <w:p>
            <w:pPr>
              <w:pStyle w:val="11"/>
              <w:pageBreakBefore w:val="0"/>
              <w:widowControl w:val="0"/>
              <w:kinsoku/>
              <w:wordWrap/>
              <w:topLinePunct w:val="0"/>
              <w:bidi w:val="0"/>
              <w:spacing w:line="24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评价情况</w:t>
            </w:r>
          </w:p>
        </w:tc>
        <w:tc>
          <w:tcPr>
            <w:tcW w:w="6806" w:type="dxa"/>
            <w:gridSpan w:val="5"/>
            <w:noWrap w:val="0"/>
            <w:vAlign w:val="center"/>
          </w:tcPr>
          <w:p>
            <w:pPr>
              <w:keepNext w:val="0"/>
              <w:keepLines w:val="0"/>
              <w:widowControl/>
              <w:suppressLineNumbers w:val="0"/>
              <w:jc w:val="left"/>
              <w:rPr>
                <w:color w:val="auto"/>
                <w:highlight w:val="none"/>
              </w:rPr>
            </w:pPr>
            <w:r>
              <w:rPr>
                <w:rFonts w:hint="eastAsia" w:ascii="宋体" w:hAnsi="宋体" w:eastAsia="宋体" w:cs="宋体"/>
                <w:color w:val="auto"/>
                <w:kern w:val="0"/>
                <w:sz w:val="24"/>
                <w:szCs w:val="24"/>
                <w:highlight w:val="none"/>
                <w:lang w:val="en-US" w:eastAsia="zh-CN" w:bidi="ar"/>
              </w:rPr>
              <w:t>规划环评名称：《河北抚宁经济开发区总体规划（</w:t>
            </w:r>
            <w:r>
              <w:rPr>
                <w:rFonts w:hint="default" w:ascii="Times New Roman" w:hAnsi="Times New Roman" w:eastAsia="宋体" w:cs="Times New Roman"/>
                <w:color w:val="auto"/>
                <w:kern w:val="0"/>
                <w:sz w:val="24"/>
                <w:szCs w:val="24"/>
                <w:highlight w:val="none"/>
                <w:lang w:val="en-US" w:eastAsia="zh-CN" w:bidi="ar"/>
              </w:rPr>
              <w:t>2016-2030</w:t>
            </w:r>
            <w:r>
              <w:rPr>
                <w:rFonts w:hint="eastAsia" w:ascii="宋体" w:hAnsi="宋体" w:eastAsia="宋体" w:cs="宋体"/>
                <w:color w:val="auto"/>
                <w:kern w:val="0"/>
                <w:sz w:val="24"/>
                <w:szCs w:val="24"/>
                <w:highlight w:val="none"/>
                <w:lang w:val="en-US" w:eastAsia="zh-CN" w:bidi="ar"/>
              </w:rPr>
              <w:t xml:space="preserve">年）环境影响报告书》 </w:t>
            </w:r>
          </w:p>
          <w:p>
            <w:pPr>
              <w:keepNext w:val="0"/>
              <w:keepLines w:val="0"/>
              <w:widowControl/>
              <w:suppressLineNumbers w:val="0"/>
              <w:jc w:val="left"/>
              <w:rPr>
                <w:color w:val="auto"/>
                <w:highlight w:val="none"/>
              </w:rPr>
            </w:pPr>
            <w:r>
              <w:rPr>
                <w:rFonts w:hint="eastAsia" w:ascii="宋体" w:hAnsi="宋体" w:eastAsia="宋体" w:cs="宋体"/>
                <w:color w:val="auto"/>
                <w:kern w:val="0"/>
                <w:sz w:val="24"/>
                <w:szCs w:val="24"/>
                <w:highlight w:val="none"/>
                <w:lang w:val="en-US" w:eastAsia="zh-CN" w:bidi="ar"/>
              </w:rPr>
              <w:t xml:space="preserve">审查机关：河北省生态环境厅（原河北省环境保护厅） </w:t>
            </w:r>
          </w:p>
          <w:p>
            <w:pPr>
              <w:keepNext w:val="0"/>
              <w:keepLines w:val="0"/>
              <w:widowControl/>
              <w:suppressLineNumbers w:val="0"/>
              <w:jc w:val="left"/>
              <w:rPr>
                <w:rFonts w:hint="default" w:ascii="Times New Roman" w:hAnsi="Times New Roman" w:eastAsia="宋体" w:cs="Times New Roman"/>
                <w:color w:val="auto"/>
                <w:kern w:val="2"/>
                <w:sz w:val="24"/>
                <w:szCs w:val="24"/>
                <w:highlight w:val="none"/>
                <w:lang w:val="en-US" w:eastAsia="zh-CN" w:bidi="ar-SA"/>
              </w:rPr>
            </w:pPr>
            <w:r>
              <w:rPr>
                <w:rFonts w:hint="eastAsia" w:ascii="宋体" w:hAnsi="宋体" w:eastAsia="宋体" w:cs="宋体"/>
                <w:color w:val="auto"/>
                <w:kern w:val="0"/>
                <w:sz w:val="24"/>
                <w:szCs w:val="24"/>
                <w:highlight w:val="none"/>
                <w:lang w:val="en-US" w:eastAsia="zh-CN" w:bidi="ar"/>
              </w:rPr>
              <w:t>审批文件名称及文号：冀环评函【</w:t>
            </w:r>
            <w:r>
              <w:rPr>
                <w:rFonts w:hint="default" w:ascii="Times New Roman" w:hAnsi="Times New Roman" w:eastAsia="宋体" w:cs="Times New Roman"/>
                <w:color w:val="auto"/>
                <w:kern w:val="0"/>
                <w:sz w:val="24"/>
                <w:szCs w:val="24"/>
                <w:highlight w:val="none"/>
                <w:lang w:val="en-US" w:eastAsia="zh-CN" w:bidi="ar"/>
              </w:rPr>
              <w:t>2018</w:t>
            </w:r>
            <w:r>
              <w:rPr>
                <w:rFonts w:hint="eastAsia" w:ascii="宋体" w:hAnsi="宋体" w:eastAsia="宋体" w:cs="宋体"/>
                <w:color w:val="auto"/>
                <w:kern w:val="0"/>
                <w:sz w:val="24"/>
                <w:szCs w:val="24"/>
                <w:highlight w:val="none"/>
                <w:lang w:val="en-US" w:eastAsia="zh-CN" w:bidi="ar"/>
              </w:rPr>
              <w:t>】</w:t>
            </w:r>
            <w:r>
              <w:rPr>
                <w:rFonts w:hint="default" w:ascii="Times New Roman" w:hAnsi="Times New Roman" w:eastAsia="宋体" w:cs="Times New Roman"/>
                <w:color w:val="auto"/>
                <w:kern w:val="0"/>
                <w:sz w:val="24"/>
                <w:szCs w:val="24"/>
                <w:highlight w:val="none"/>
                <w:lang w:val="en-US" w:eastAsia="zh-CN" w:bidi="ar"/>
              </w:rPr>
              <w:t>1188</w:t>
            </w:r>
            <w:r>
              <w:rPr>
                <w:rFonts w:hint="eastAsia" w:ascii="宋体" w:hAnsi="宋体" w:eastAsia="宋体" w:cs="宋体"/>
                <w:color w:val="auto"/>
                <w:kern w:val="0"/>
                <w:sz w:val="24"/>
                <w:szCs w:val="24"/>
                <w:highlight w:val="none"/>
                <w:lang w:val="en-US" w:eastAsia="zh-CN" w:bidi="ar"/>
              </w:rPr>
              <w:t>号</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560" w:hRule="atLeast"/>
          <w:jc w:val="center"/>
        </w:trPr>
        <w:tc>
          <w:tcPr>
            <w:tcW w:w="441" w:type="dxa"/>
            <w:noWrap w:val="0"/>
            <w:vAlign w:val="center"/>
          </w:tcPr>
          <w:p>
            <w:pPr>
              <w:pStyle w:val="11"/>
              <w:pageBreakBefore w:val="0"/>
              <w:widowControl w:val="0"/>
              <w:kinsoku/>
              <w:wordWrap/>
              <w:topLinePunct w:val="0"/>
              <w:bidi w:val="0"/>
              <w:spacing w:line="312" w:lineRule="auto"/>
              <w:jc w:val="center"/>
              <w:textAlignment w:val="auto"/>
              <w:rPr>
                <w:rFonts w:hint="default" w:ascii="Times New Roman" w:hAnsi="Times New Roman" w:eastAsia="宋体" w:cs="Times New Roman"/>
                <w:color w:val="auto"/>
                <w:sz w:val="24"/>
                <w:szCs w:val="24"/>
                <w:highlight w:val="none"/>
              </w:rPr>
            </w:pPr>
          </w:p>
          <w:p>
            <w:pPr>
              <w:pStyle w:val="11"/>
              <w:pageBreakBefore w:val="0"/>
              <w:widowControl w:val="0"/>
              <w:kinsoku/>
              <w:wordWrap/>
              <w:topLinePunct w:val="0"/>
              <w:bidi w:val="0"/>
              <w:spacing w:line="312" w:lineRule="auto"/>
              <w:jc w:val="center"/>
              <w:textAlignment w:val="auto"/>
              <w:rPr>
                <w:rFonts w:hint="default" w:ascii="Times New Roman" w:hAnsi="Times New Roman" w:eastAsia="宋体" w:cs="Times New Roman"/>
                <w:color w:val="auto"/>
                <w:sz w:val="24"/>
                <w:szCs w:val="24"/>
                <w:highlight w:val="none"/>
              </w:rPr>
            </w:pPr>
          </w:p>
          <w:p>
            <w:pPr>
              <w:pStyle w:val="11"/>
              <w:pageBreakBefore w:val="0"/>
              <w:widowControl w:val="0"/>
              <w:kinsoku/>
              <w:wordWrap/>
              <w:topLinePunct w:val="0"/>
              <w:bidi w:val="0"/>
              <w:spacing w:line="312" w:lineRule="auto"/>
              <w:jc w:val="center"/>
              <w:textAlignment w:val="auto"/>
              <w:rPr>
                <w:rFonts w:hint="default" w:ascii="Times New Roman" w:hAnsi="Times New Roman" w:eastAsia="宋体" w:cs="Times New Roman"/>
                <w:color w:val="auto"/>
                <w:sz w:val="24"/>
                <w:szCs w:val="24"/>
                <w:highlight w:val="none"/>
              </w:rPr>
            </w:pPr>
          </w:p>
          <w:p>
            <w:pPr>
              <w:pStyle w:val="11"/>
              <w:pageBreakBefore w:val="0"/>
              <w:widowControl w:val="0"/>
              <w:kinsoku/>
              <w:wordWrap/>
              <w:topLinePunct w:val="0"/>
              <w:bidi w:val="0"/>
              <w:spacing w:line="312" w:lineRule="auto"/>
              <w:jc w:val="center"/>
              <w:textAlignment w:val="auto"/>
              <w:rPr>
                <w:rFonts w:hint="default" w:ascii="Times New Roman" w:hAnsi="Times New Roman" w:eastAsia="宋体" w:cs="Times New Roman"/>
                <w:color w:val="auto"/>
                <w:sz w:val="24"/>
                <w:szCs w:val="24"/>
                <w:highlight w:val="none"/>
              </w:rPr>
            </w:pPr>
          </w:p>
          <w:p>
            <w:pPr>
              <w:pStyle w:val="11"/>
              <w:pageBreakBefore w:val="0"/>
              <w:widowControl w:val="0"/>
              <w:kinsoku/>
              <w:wordWrap/>
              <w:topLinePunct w:val="0"/>
              <w:bidi w:val="0"/>
              <w:spacing w:line="312" w:lineRule="auto"/>
              <w:jc w:val="center"/>
              <w:textAlignment w:val="auto"/>
              <w:rPr>
                <w:rFonts w:hint="default" w:ascii="Times New Roman" w:hAnsi="Times New Roman" w:eastAsia="宋体" w:cs="Times New Roman"/>
                <w:color w:val="auto"/>
                <w:sz w:val="24"/>
                <w:szCs w:val="24"/>
                <w:highlight w:val="none"/>
              </w:rPr>
            </w:pPr>
          </w:p>
          <w:p>
            <w:pPr>
              <w:pStyle w:val="11"/>
              <w:pageBreakBefore w:val="0"/>
              <w:widowControl w:val="0"/>
              <w:kinsoku/>
              <w:wordWrap/>
              <w:topLinePunct w:val="0"/>
              <w:bidi w:val="0"/>
              <w:spacing w:line="312" w:lineRule="auto"/>
              <w:jc w:val="center"/>
              <w:textAlignment w:val="auto"/>
              <w:rPr>
                <w:rFonts w:hint="default" w:ascii="Times New Roman" w:hAnsi="Times New Roman" w:eastAsia="宋体" w:cs="Times New Roman"/>
                <w:color w:val="auto"/>
                <w:sz w:val="24"/>
                <w:szCs w:val="24"/>
                <w:highlight w:val="none"/>
              </w:rPr>
            </w:pPr>
          </w:p>
          <w:p>
            <w:pPr>
              <w:pStyle w:val="11"/>
              <w:pageBreakBefore w:val="0"/>
              <w:widowControl w:val="0"/>
              <w:kinsoku/>
              <w:wordWrap/>
              <w:topLinePunct w:val="0"/>
              <w:bidi w:val="0"/>
              <w:spacing w:line="312" w:lineRule="auto"/>
              <w:jc w:val="center"/>
              <w:textAlignment w:val="auto"/>
              <w:rPr>
                <w:rFonts w:hint="default" w:ascii="Times New Roman" w:hAnsi="Times New Roman" w:eastAsia="宋体" w:cs="Times New Roman"/>
                <w:color w:val="auto"/>
                <w:sz w:val="24"/>
                <w:szCs w:val="24"/>
                <w:highlight w:val="none"/>
              </w:rPr>
            </w:pPr>
          </w:p>
          <w:p>
            <w:pPr>
              <w:pStyle w:val="11"/>
              <w:pageBreakBefore w:val="0"/>
              <w:widowControl w:val="0"/>
              <w:kinsoku/>
              <w:wordWrap/>
              <w:topLinePunct w:val="0"/>
              <w:bidi w:val="0"/>
              <w:spacing w:line="312" w:lineRule="auto"/>
              <w:jc w:val="center"/>
              <w:textAlignment w:val="auto"/>
              <w:rPr>
                <w:rFonts w:hint="default" w:ascii="Times New Roman" w:hAnsi="Times New Roman" w:eastAsia="宋体" w:cs="Times New Roman"/>
                <w:color w:val="auto"/>
                <w:sz w:val="24"/>
                <w:szCs w:val="24"/>
                <w:highlight w:val="none"/>
              </w:rPr>
            </w:pPr>
          </w:p>
          <w:p>
            <w:pPr>
              <w:pStyle w:val="11"/>
              <w:pageBreakBefore w:val="0"/>
              <w:widowControl w:val="0"/>
              <w:kinsoku/>
              <w:wordWrap/>
              <w:topLinePunct w:val="0"/>
              <w:bidi w:val="0"/>
              <w:spacing w:line="312" w:lineRule="auto"/>
              <w:jc w:val="center"/>
              <w:textAlignment w:val="auto"/>
              <w:rPr>
                <w:rFonts w:hint="default" w:ascii="Times New Roman" w:hAnsi="Times New Roman" w:eastAsia="宋体" w:cs="Times New Roman"/>
                <w:color w:val="auto"/>
                <w:sz w:val="24"/>
                <w:szCs w:val="24"/>
                <w:highlight w:val="none"/>
              </w:rPr>
            </w:pPr>
          </w:p>
          <w:p>
            <w:pPr>
              <w:pStyle w:val="11"/>
              <w:pageBreakBefore w:val="0"/>
              <w:widowControl w:val="0"/>
              <w:kinsoku/>
              <w:wordWrap/>
              <w:topLinePunct w:val="0"/>
              <w:bidi w:val="0"/>
              <w:spacing w:line="312" w:lineRule="auto"/>
              <w:jc w:val="center"/>
              <w:textAlignment w:val="auto"/>
              <w:rPr>
                <w:rFonts w:hint="default" w:ascii="Times New Roman" w:hAnsi="Times New Roman" w:eastAsia="宋体" w:cs="Times New Roman"/>
                <w:color w:val="auto"/>
                <w:sz w:val="24"/>
                <w:szCs w:val="24"/>
                <w:highlight w:val="none"/>
              </w:rPr>
            </w:pPr>
          </w:p>
          <w:p>
            <w:pPr>
              <w:pStyle w:val="11"/>
              <w:pageBreakBefore w:val="0"/>
              <w:widowControl w:val="0"/>
              <w:kinsoku/>
              <w:wordWrap/>
              <w:topLinePunct w:val="0"/>
              <w:bidi w:val="0"/>
              <w:spacing w:line="312"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规划及规划环境影响评价符合性分析</w:t>
            </w:r>
          </w:p>
          <w:p>
            <w:pPr>
              <w:pStyle w:val="11"/>
              <w:pageBreakBefore w:val="0"/>
              <w:widowControl w:val="0"/>
              <w:kinsoku/>
              <w:wordWrap/>
              <w:topLinePunct w:val="0"/>
              <w:bidi w:val="0"/>
              <w:spacing w:line="312" w:lineRule="auto"/>
              <w:jc w:val="center"/>
              <w:textAlignment w:val="auto"/>
              <w:rPr>
                <w:rFonts w:hint="default" w:ascii="Times New Roman" w:hAnsi="Times New Roman" w:eastAsia="宋体" w:cs="Times New Roman"/>
                <w:color w:val="auto"/>
                <w:sz w:val="24"/>
                <w:szCs w:val="24"/>
                <w:highlight w:val="none"/>
              </w:rPr>
            </w:pPr>
          </w:p>
          <w:p>
            <w:pPr>
              <w:pStyle w:val="11"/>
              <w:pageBreakBefore w:val="0"/>
              <w:widowControl w:val="0"/>
              <w:kinsoku/>
              <w:wordWrap/>
              <w:topLinePunct w:val="0"/>
              <w:bidi w:val="0"/>
              <w:spacing w:line="312" w:lineRule="auto"/>
              <w:jc w:val="center"/>
              <w:textAlignment w:val="auto"/>
              <w:rPr>
                <w:rFonts w:hint="default" w:ascii="Times New Roman" w:hAnsi="Times New Roman" w:eastAsia="宋体" w:cs="Times New Roman"/>
                <w:color w:val="auto"/>
                <w:sz w:val="24"/>
                <w:szCs w:val="24"/>
                <w:highlight w:val="none"/>
              </w:rPr>
            </w:pPr>
          </w:p>
          <w:p>
            <w:pPr>
              <w:pStyle w:val="11"/>
              <w:pageBreakBefore w:val="0"/>
              <w:widowControl w:val="0"/>
              <w:kinsoku/>
              <w:wordWrap/>
              <w:topLinePunct w:val="0"/>
              <w:bidi w:val="0"/>
              <w:spacing w:line="312" w:lineRule="auto"/>
              <w:jc w:val="center"/>
              <w:textAlignment w:val="auto"/>
              <w:rPr>
                <w:rFonts w:hint="default" w:ascii="Times New Roman" w:hAnsi="Times New Roman" w:eastAsia="宋体" w:cs="Times New Roman"/>
                <w:color w:val="auto"/>
                <w:sz w:val="24"/>
                <w:szCs w:val="24"/>
                <w:highlight w:val="none"/>
              </w:rPr>
            </w:pPr>
          </w:p>
          <w:p>
            <w:pPr>
              <w:pStyle w:val="11"/>
              <w:pageBreakBefore w:val="0"/>
              <w:widowControl w:val="0"/>
              <w:kinsoku/>
              <w:wordWrap/>
              <w:topLinePunct w:val="0"/>
              <w:bidi w:val="0"/>
              <w:spacing w:line="312" w:lineRule="auto"/>
              <w:jc w:val="center"/>
              <w:textAlignment w:val="auto"/>
              <w:rPr>
                <w:rFonts w:hint="default" w:ascii="Times New Roman" w:hAnsi="Times New Roman" w:eastAsia="宋体" w:cs="Times New Roman"/>
                <w:color w:val="auto"/>
                <w:sz w:val="24"/>
                <w:szCs w:val="24"/>
                <w:highlight w:val="none"/>
              </w:rPr>
            </w:pPr>
          </w:p>
          <w:p>
            <w:pPr>
              <w:pStyle w:val="11"/>
              <w:pageBreakBefore w:val="0"/>
              <w:widowControl w:val="0"/>
              <w:kinsoku/>
              <w:wordWrap/>
              <w:topLinePunct w:val="0"/>
              <w:bidi w:val="0"/>
              <w:spacing w:line="312" w:lineRule="auto"/>
              <w:jc w:val="center"/>
              <w:textAlignment w:val="auto"/>
              <w:rPr>
                <w:rFonts w:hint="default" w:ascii="Times New Roman" w:hAnsi="Times New Roman" w:eastAsia="宋体" w:cs="Times New Roman"/>
                <w:color w:val="auto"/>
                <w:sz w:val="24"/>
                <w:szCs w:val="24"/>
                <w:highlight w:val="none"/>
              </w:rPr>
            </w:pPr>
          </w:p>
          <w:p>
            <w:pPr>
              <w:pStyle w:val="11"/>
              <w:pageBreakBefore w:val="0"/>
              <w:widowControl w:val="0"/>
              <w:kinsoku/>
              <w:wordWrap/>
              <w:topLinePunct w:val="0"/>
              <w:bidi w:val="0"/>
              <w:spacing w:line="312" w:lineRule="auto"/>
              <w:jc w:val="center"/>
              <w:textAlignment w:val="auto"/>
              <w:rPr>
                <w:rFonts w:hint="default" w:ascii="Times New Roman" w:hAnsi="Times New Roman" w:eastAsia="宋体" w:cs="Times New Roman"/>
                <w:color w:val="auto"/>
                <w:sz w:val="24"/>
                <w:szCs w:val="24"/>
                <w:highlight w:val="none"/>
              </w:rPr>
            </w:pPr>
          </w:p>
          <w:p>
            <w:pPr>
              <w:pStyle w:val="11"/>
              <w:pageBreakBefore w:val="0"/>
              <w:widowControl w:val="0"/>
              <w:kinsoku/>
              <w:wordWrap/>
              <w:topLinePunct w:val="0"/>
              <w:bidi w:val="0"/>
              <w:spacing w:line="312" w:lineRule="auto"/>
              <w:jc w:val="center"/>
              <w:textAlignment w:val="auto"/>
              <w:rPr>
                <w:rFonts w:hint="default" w:ascii="Times New Roman" w:hAnsi="Times New Roman" w:eastAsia="宋体" w:cs="Times New Roman"/>
                <w:color w:val="auto"/>
                <w:sz w:val="24"/>
                <w:szCs w:val="24"/>
                <w:highlight w:val="none"/>
              </w:rPr>
            </w:pPr>
          </w:p>
          <w:p>
            <w:pPr>
              <w:pStyle w:val="11"/>
              <w:pageBreakBefore w:val="0"/>
              <w:widowControl w:val="0"/>
              <w:kinsoku/>
              <w:wordWrap/>
              <w:topLinePunct w:val="0"/>
              <w:bidi w:val="0"/>
              <w:spacing w:line="312" w:lineRule="auto"/>
              <w:jc w:val="center"/>
              <w:textAlignment w:val="auto"/>
              <w:rPr>
                <w:rFonts w:hint="default" w:ascii="Times New Roman" w:hAnsi="Times New Roman" w:eastAsia="宋体" w:cs="Times New Roman"/>
                <w:color w:val="auto"/>
                <w:sz w:val="24"/>
                <w:szCs w:val="24"/>
                <w:highlight w:val="none"/>
              </w:rPr>
            </w:pPr>
          </w:p>
          <w:p>
            <w:pPr>
              <w:pStyle w:val="11"/>
              <w:pageBreakBefore w:val="0"/>
              <w:widowControl w:val="0"/>
              <w:kinsoku/>
              <w:wordWrap/>
              <w:topLinePunct w:val="0"/>
              <w:bidi w:val="0"/>
              <w:spacing w:line="312" w:lineRule="auto"/>
              <w:jc w:val="center"/>
              <w:textAlignment w:val="auto"/>
              <w:rPr>
                <w:rFonts w:hint="default" w:ascii="Times New Roman" w:hAnsi="Times New Roman" w:eastAsia="宋体" w:cs="Times New Roman"/>
                <w:color w:val="auto"/>
                <w:sz w:val="24"/>
                <w:szCs w:val="24"/>
                <w:highlight w:val="none"/>
              </w:rPr>
            </w:pPr>
          </w:p>
          <w:p>
            <w:pPr>
              <w:pStyle w:val="11"/>
              <w:pageBreakBefore w:val="0"/>
              <w:widowControl w:val="0"/>
              <w:kinsoku/>
              <w:wordWrap/>
              <w:topLinePunct w:val="0"/>
              <w:bidi w:val="0"/>
              <w:spacing w:line="312" w:lineRule="auto"/>
              <w:jc w:val="center"/>
              <w:textAlignment w:val="auto"/>
              <w:rPr>
                <w:rFonts w:hint="default" w:ascii="Times New Roman" w:hAnsi="Times New Roman" w:eastAsia="宋体" w:cs="Times New Roman"/>
                <w:color w:val="auto"/>
                <w:sz w:val="24"/>
                <w:szCs w:val="24"/>
                <w:highlight w:val="none"/>
              </w:rPr>
            </w:pPr>
          </w:p>
          <w:p>
            <w:pPr>
              <w:pStyle w:val="11"/>
              <w:pageBreakBefore w:val="0"/>
              <w:widowControl w:val="0"/>
              <w:kinsoku/>
              <w:wordWrap/>
              <w:topLinePunct w:val="0"/>
              <w:bidi w:val="0"/>
              <w:spacing w:line="312" w:lineRule="auto"/>
              <w:jc w:val="center"/>
              <w:textAlignment w:val="auto"/>
              <w:rPr>
                <w:rFonts w:hint="default" w:ascii="Times New Roman" w:hAnsi="Times New Roman" w:eastAsia="宋体" w:cs="Times New Roman"/>
                <w:color w:val="auto"/>
                <w:sz w:val="24"/>
                <w:szCs w:val="24"/>
                <w:highlight w:val="none"/>
              </w:rPr>
            </w:pPr>
          </w:p>
          <w:p>
            <w:pPr>
              <w:pStyle w:val="11"/>
              <w:pageBreakBefore w:val="0"/>
              <w:widowControl w:val="0"/>
              <w:kinsoku/>
              <w:wordWrap/>
              <w:topLinePunct w:val="0"/>
              <w:bidi w:val="0"/>
              <w:spacing w:line="312" w:lineRule="auto"/>
              <w:jc w:val="center"/>
              <w:textAlignment w:val="auto"/>
              <w:rPr>
                <w:rFonts w:hint="default" w:ascii="Times New Roman" w:hAnsi="Times New Roman" w:eastAsia="宋体" w:cs="Times New Roman"/>
                <w:color w:val="auto"/>
                <w:sz w:val="24"/>
                <w:szCs w:val="24"/>
                <w:highlight w:val="none"/>
              </w:rPr>
            </w:pPr>
          </w:p>
          <w:p>
            <w:pPr>
              <w:pStyle w:val="11"/>
              <w:pageBreakBefore w:val="0"/>
              <w:widowControl w:val="0"/>
              <w:kinsoku/>
              <w:wordWrap/>
              <w:topLinePunct w:val="0"/>
              <w:bidi w:val="0"/>
              <w:spacing w:line="312" w:lineRule="auto"/>
              <w:jc w:val="center"/>
              <w:textAlignment w:val="auto"/>
              <w:rPr>
                <w:rFonts w:hint="default" w:ascii="Times New Roman" w:hAnsi="Times New Roman" w:eastAsia="宋体" w:cs="Times New Roman"/>
                <w:color w:val="auto"/>
                <w:sz w:val="24"/>
                <w:szCs w:val="24"/>
                <w:highlight w:val="none"/>
              </w:rPr>
            </w:pPr>
          </w:p>
          <w:p>
            <w:pPr>
              <w:pStyle w:val="11"/>
              <w:pageBreakBefore w:val="0"/>
              <w:widowControl w:val="0"/>
              <w:kinsoku/>
              <w:wordWrap/>
              <w:topLinePunct w:val="0"/>
              <w:bidi w:val="0"/>
              <w:spacing w:line="312" w:lineRule="auto"/>
              <w:jc w:val="center"/>
              <w:textAlignment w:val="auto"/>
              <w:rPr>
                <w:rFonts w:hint="default" w:ascii="Times New Roman" w:hAnsi="Times New Roman" w:eastAsia="宋体" w:cs="Times New Roman"/>
                <w:color w:val="auto"/>
                <w:sz w:val="24"/>
                <w:szCs w:val="24"/>
                <w:highlight w:val="none"/>
              </w:rPr>
            </w:pPr>
          </w:p>
          <w:p>
            <w:pPr>
              <w:pStyle w:val="11"/>
              <w:pageBreakBefore w:val="0"/>
              <w:widowControl w:val="0"/>
              <w:kinsoku/>
              <w:wordWrap/>
              <w:topLinePunct w:val="0"/>
              <w:bidi w:val="0"/>
              <w:spacing w:line="312" w:lineRule="auto"/>
              <w:jc w:val="center"/>
              <w:textAlignment w:val="auto"/>
              <w:rPr>
                <w:rFonts w:hint="default" w:ascii="Times New Roman" w:hAnsi="Times New Roman" w:eastAsia="宋体" w:cs="Times New Roman"/>
                <w:color w:val="auto"/>
                <w:sz w:val="24"/>
                <w:szCs w:val="24"/>
                <w:highlight w:val="none"/>
              </w:rPr>
            </w:pPr>
          </w:p>
          <w:p>
            <w:pPr>
              <w:pStyle w:val="11"/>
              <w:pageBreakBefore w:val="0"/>
              <w:widowControl w:val="0"/>
              <w:kinsoku/>
              <w:wordWrap/>
              <w:topLinePunct w:val="0"/>
              <w:bidi w:val="0"/>
              <w:spacing w:line="312" w:lineRule="auto"/>
              <w:jc w:val="center"/>
              <w:textAlignment w:val="auto"/>
              <w:rPr>
                <w:rFonts w:hint="default" w:ascii="Times New Roman" w:hAnsi="Times New Roman" w:eastAsia="宋体" w:cs="Times New Roman"/>
                <w:color w:val="auto"/>
                <w:sz w:val="24"/>
                <w:szCs w:val="24"/>
                <w:highlight w:val="none"/>
              </w:rPr>
            </w:pPr>
          </w:p>
          <w:p>
            <w:pPr>
              <w:pStyle w:val="11"/>
              <w:pageBreakBefore w:val="0"/>
              <w:widowControl w:val="0"/>
              <w:kinsoku/>
              <w:wordWrap/>
              <w:topLinePunct w:val="0"/>
              <w:bidi w:val="0"/>
              <w:spacing w:line="312" w:lineRule="auto"/>
              <w:jc w:val="center"/>
              <w:textAlignment w:val="auto"/>
              <w:rPr>
                <w:rFonts w:hint="default" w:ascii="Times New Roman" w:hAnsi="Times New Roman" w:eastAsia="宋体" w:cs="Times New Roman"/>
                <w:color w:val="auto"/>
                <w:sz w:val="24"/>
                <w:szCs w:val="24"/>
                <w:highlight w:val="none"/>
              </w:rPr>
            </w:pPr>
          </w:p>
          <w:p>
            <w:pPr>
              <w:pStyle w:val="11"/>
              <w:pageBreakBefore w:val="0"/>
              <w:widowControl w:val="0"/>
              <w:kinsoku/>
              <w:wordWrap/>
              <w:topLinePunct w:val="0"/>
              <w:bidi w:val="0"/>
              <w:spacing w:line="312" w:lineRule="auto"/>
              <w:jc w:val="center"/>
              <w:textAlignment w:val="auto"/>
              <w:rPr>
                <w:rFonts w:hint="default" w:ascii="Times New Roman" w:hAnsi="Times New Roman" w:eastAsia="宋体" w:cs="Times New Roman"/>
                <w:color w:val="auto"/>
                <w:sz w:val="24"/>
                <w:szCs w:val="24"/>
                <w:highlight w:val="none"/>
              </w:rPr>
            </w:pPr>
          </w:p>
          <w:p>
            <w:pPr>
              <w:pStyle w:val="11"/>
              <w:pageBreakBefore w:val="0"/>
              <w:widowControl w:val="0"/>
              <w:kinsoku/>
              <w:wordWrap/>
              <w:topLinePunct w:val="0"/>
              <w:bidi w:val="0"/>
              <w:spacing w:line="312"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规划及规划环境影响评价符合性分析</w:t>
            </w:r>
          </w:p>
        </w:tc>
        <w:tc>
          <w:tcPr>
            <w:tcW w:w="8194" w:type="dxa"/>
            <w:gridSpan w:val="6"/>
            <w:noWrap w:val="0"/>
            <w:vAlign w:val="center"/>
          </w:tcPr>
          <w:p>
            <w:pPr>
              <w:keepNext w:val="0"/>
              <w:keepLines w:val="0"/>
              <w:widowControl/>
              <w:suppressLineNumbers w:val="0"/>
              <w:ind w:firstLine="480" w:firstLineChars="200"/>
              <w:jc w:val="both"/>
              <w:rPr>
                <w:color w:val="auto"/>
                <w:highlight w:val="none"/>
              </w:rPr>
            </w:pPr>
            <w:r>
              <w:rPr>
                <w:rFonts w:hint="default" w:ascii="Times New Roman" w:hAnsi="Times New Roman" w:eastAsia="宋体" w:cs="Times New Roman"/>
                <w:color w:val="auto"/>
                <w:kern w:val="2"/>
                <w:sz w:val="24"/>
                <w:szCs w:val="24"/>
                <w:highlight w:val="none"/>
                <w:lang w:val="en-US" w:eastAsia="zh-CN" w:bidi="ar-SA"/>
              </w:rPr>
              <w:t>《河北抚宁经济开发区总体规划（2016-2030年）环境影响报告书》</w:t>
            </w:r>
            <w:r>
              <w:rPr>
                <w:rFonts w:hint="eastAsia" w:ascii="宋体" w:hAnsi="宋体" w:eastAsia="宋体" w:cs="宋体"/>
                <w:color w:val="auto"/>
                <w:kern w:val="0"/>
                <w:sz w:val="24"/>
                <w:szCs w:val="24"/>
                <w:highlight w:val="none"/>
                <w:lang w:val="en-US" w:eastAsia="zh-CN" w:bidi="ar"/>
              </w:rPr>
              <w:t>中关于规划范围、定位、产业布局和用地规划相关内容如下：</w:t>
            </w:r>
          </w:p>
          <w:p>
            <w:pPr>
              <w:pStyle w:val="50"/>
              <w:bidi w:val="0"/>
              <w:ind w:left="0" w:leftChars="0" w:firstLine="480" w:firstLineChars="200"/>
              <w:jc w:val="both"/>
              <w:rPr>
                <w:rFonts w:hint="eastAsia" w:ascii="Times New Roman" w:hAnsi="Times New Roman" w:cs="Times New Roman"/>
                <w:color w:val="auto"/>
                <w:kern w:val="0"/>
                <w:sz w:val="24"/>
                <w:szCs w:val="24"/>
                <w:highlight w:val="none"/>
                <w:lang w:val="en-US" w:eastAsia="zh-CN"/>
              </w:rPr>
            </w:pPr>
            <w:r>
              <w:rPr>
                <w:rFonts w:hint="eastAsia" w:ascii="Times New Roman" w:hAnsi="Times New Roman" w:cs="Times New Roman"/>
                <w:color w:val="auto"/>
                <w:kern w:val="0"/>
                <w:sz w:val="24"/>
                <w:szCs w:val="24"/>
                <w:highlight w:val="none"/>
                <w:lang w:val="en-US" w:eastAsia="zh-CN"/>
              </w:rPr>
              <w:t>规划范围：北至北规一街，西至滨河东大街和碧海路，南至规划环城南路，东至下庄，规划范围总面积19.10万平方公里。</w:t>
            </w:r>
          </w:p>
          <w:p>
            <w:pPr>
              <w:pStyle w:val="50"/>
              <w:bidi w:val="0"/>
              <w:ind w:left="0" w:leftChars="0" w:firstLine="480" w:firstLineChars="200"/>
              <w:jc w:val="both"/>
              <w:rPr>
                <w:rFonts w:hint="eastAsia" w:ascii="Times New Roman" w:hAnsi="Times New Roman" w:cs="Times New Roman"/>
                <w:color w:val="auto"/>
                <w:kern w:val="0"/>
                <w:sz w:val="24"/>
                <w:szCs w:val="24"/>
                <w:highlight w:val="none"/>
                <w:lang w:val="en-US" w:eastAsia="zh-CN"/>
              </w:rPr>
            </w:pPr>
            <w:r>
              <w:rPr>
                <w:rFonts w:hint="eastAsia" w:ascii="Times New Roman" w:hAnsi="Times New Roman" w:cs="Times New Roman"/>
                <w:color w:val="auto"/>
                <w:kern w:val="0"/>
                <w:sz w:val="24"/>
                <w:szCs w:val="24"/>
                <w:highlight w:val="none"/>
                <w:lang w:val="en-US" w:eastAsia="zh-CN"/>
              </w:rPr>
              <w:t>功能定位及产业布局：秦皇岛市产业、技术辐射扩散的主要承接地，抚宁区经济增长及以食品生物为基础，新能源产业、高新技术产业和先进制造业为支撑，智能制造产业为主导的河北省沿海地区生态型、现代化工业聚集区。</w:t>
            </w:r>
          </w:p>
          <w:p>
            <w:pPr>
              <w:pStyle w:val="50"/>
              <w:bidi w:val="0"/>
              <w:ind w:left="0" w:leftChars="0" w:firstLine="480" w:firstLineChars="200"/>
              <w:jc w:val="both"/>
              <w:rPr>
                <w:rFonts w:hint="eastAsia" w:ascii="Times New Roman" w:hAnsi="Times New Roman" w:cs="Times New Roman"/>
                <w:color w:val="auto"/>
                <w:kern w:val="0"/>
                <w:sz w:val="24"/>
                <w:szCs w:val="24"/>
                <w:highlight w:val="none"/>
                <w:lang w:val="en-US" w:eastAsia="zh-CN"/>
              </w:rPr>
            </w:pPr>
            <w:r>
              <w:rPr>
                <w:rFonts w:hint="eastAsia" w:ascii="Times New Roman" w:hAnsi="Times New Roman" w:cs="Times New Roman"/>
                <w:color w:val="auto"/>
                <w:kern w:val="0"/>
                <w:sz w:val="24"/>
                <w:szCs w:val="24"/>
                <w:highlight w:val="none"/>
                <w:lang w:val="en-US" w:eastAsia="zh-CN"/>
              </w:rPr>
              <w:t>用地规划：①近期主要向北、向东的发展方向；②以至海港区快速交通线建设为依托建设东部园区，实现规划区与中心城区联动发展态势；③优化做强北部工业区，初步实现现代化工业园区的建设；④注重调整园区村庄安置与开发的用地布局，进一步改善园区的生态环境和景观风貌。</w:t>
            </w:r>
          </w:p>
          <w:p>
            <w:pPr>
              <w:pStyle w:val="50"/>
              <w:bidi w:val="0"/>
              <w:ind w:left="0" w:leftChars="0" w:firstLine="480" w:firstLineChars="200"/>
              <w:jc w:val="both"/>
              <w:rPr>
                <w:rFonts w:hint="eastAsia" w:ascii="Times New Roman" w:hAnsi="Times New Roman" w:cs="Times New Roman"/>
                <w:color w:val="auto"/>
                <w:kern w:val="0"/>
                <w:sz w:val="24"/>
                <w:szCs w:val="24"/>
                <w:highlight w:val="none"/>
                <w:lang w:val="en-US" w:eastAsia="zh-CN"/>
              </w:rPr>
            </w:pPr>
            <w:r>
              <w:rPr>
                <w:rFonts w:hint="eastAsia" w:ascii="Times New Roman" w:hAnsi="Times New Roman" w:cs="Times New Roman"/>
                <w:color w:val="auto"/>
                <w:kern w:val="0"/>
                <w:sz w:val="24"/>
                <w:szCs w:val="24"/>
                <w:highlight w:val="none"/>
                <w:lang w:val="en-US" w:eastAsia="zh-CN"/>
              </w:rPr>
              <w:t>本项目为C3423</w:t>
            </w:r>
            <w:r>
              <w:rPr>
                <w:rFonts w:hint="eastAsia" w:eastAsia="宋体" w:cs="Times New Roman"/>
                <w:color w:val="auto"/>
                <w:highlight w:val="none"/>
                <w:lang w:val="en-US" w:eastAsia="zh-CN"/>
              </w:rPr>
              <w:t>铸造机械制造</w:t>
            </w:r>
            <w:r>
              <w:rPr>
                <w:rFonts w:hint="eastAsia" w:ascii="Times New Roman" w:hAnsi="Times New Roman" w:cs="Times New Roman"/>
                <w:color w:val="auto"/>
                <w:kern w:val="0"/>
                <w:sz w:val="24"/>
                <w:szCs w:val="24"/>
                <w:highlight w:val="none"/>
                <w:lang w:val="en-US" w:eastAsia="zh-CN"/>
              </w:rPr>
              <w:t>，属于制造业，位于</w:t>
            </w:r>
            <w:r>
              <w:rPr>
                <w:rFonts w:hint="default" w:ascii="Times New Roman" w:hAnsi="Times New Roman" w:eastAsia="宋体" w:cs="Times New Roman"/>
                <w:color w:val="auto"/>
                <w:highlight w:val="none"/>
                <w:lang w:val="en-US" w:eastAsia="zh-CN"/>
              </w:rPr>
              <w:t>抚宁经济开发区北规一街南创业路东 秦皇岛联安机械科技有限公司院内</w:t>
            </w:r>
            <w:r>
              <w:rPr>
                <w:rFonts w:hint="eastAsia" w:ascii="Times New Roman" w:hAnsi="Times New Roman" w:cs="Times New Roman"/>
                <w:color w:val="auto"/>
                <w:kern w:val="0"/>
                <w:sz w:val="24"/>
                <w:szCs w:val="24"/>
                <w:highlight w:val="none"/>
                <w:lang w:val="en-US" w:eastAsia="zh-CN"/>
              </w:rPr>
              <w:t>，符合其产业定位和规划布局。</w:t>
            </w:r>
          </w:p>
          <w:p>
            <w:pPr>
              <w:pStyle w:val="50"/>
              <w:bidi w:val="0"/>
              <w:ind w:left="0" w:leftChars="0" w:firstLine="480" w:firstLineChars="200"/>
              <w:jc w:val="both"/>
              <w:rPr>
                <w:rFonts w:hint="eastAsia" w:ascii="Times New Roman" w:hAnsi="Times New Roman" w:cs="Times New Roman"/>
                <w:color w:val="auto"/>
                <w:kern w:val="0"/>
                <w:sz w:val="24"/>
                <w:szCs w:val="24"/>
                <w:highlight w:val="none"/>
                <w:lang w:val="en-US" w:eastAsia="zh-CN"/>
              </w:rPr>
            </w:pPr>
            <w:r>
              <w:rPr>
                <w:rFonts w:hint="eastAsia" w:ascii="Times New Roman" w:hAnsi="Times New Roman" w:cs="Times New Roman"/>
                <w:color w:val="auto"/>
                <w:kern w:val="0"/>
                <w:sz w:val="24"/>
                <w:szCs w:val="24"/>
                <w:highlight w:val="none"/>
                <w:lang w:val="en-US" w:eastAsia="zh-CN"/>
              </w:rPr>
              <w:t>本项目与规划环评负面清单符合性分析，具体如下：</w:t>
            </w:r>
          </w:p>
          <w:p>
            <w:pPr>
              <w:pStyle w:val="51"/>
              <w:pageBreakBefore w:val="0"/>
              <w:widowControl w:val="0"/>
              <w:kinsoku/>
              <w:wordWrap/>
              <w:topLinePunct w:val="0"/>
              <w:bidi w:val="0"/>
              <w:spacing w:line="240" w:lineRule="auto"/>
              <w:textAlignment w:val="auto"/>
              <w:rPr>
                <w:rFonts w:hint="eastAsia" w:ascii="Times New Roman" w:hAnsi="Times New Roman" w:eastAsia="宋体" w:cs="Times New Roman"/>
                <w:color w:val="auto"/>
                <w:sz w:val="21"/>
                <w:szCs w:val="16"/>
                <w:highlight w:val="none"/>
                <w:lang w:val="en-US" w:eastAsia="zh-CN"/>
              </w:rPr>
            </w:pPr>
            <w:r>
              <w:rPr>
                <w:rFonts w:hint="eastAsia" w:ascii="Times New Roman" w:hAnsi="Times New Roman" w:eastAsia="宋体" w:cs="Times New Roman"/>
                <w:color w:val="auto"/>
                <w:sz w:val="21"/>
                <w:szCs w:val="16"/>
                <w:highlight w:val="none"/>
                <w:lang w:val="en-US" w:eastAsia="zh-CN"/>
              </w:rPr>
              <w:t>表1-1 本项目与规划环评负面清单符合性分析一览表</w:t>
            </w:r>
          </w:p>
          <w:tbl>
            <w:tblPr>
              <w:tblStyle w:val="33"/>
              <w:tblpPr w:leftFromText="180" w:rightFromText="180" w:vertAnchor="text" w:tblpXSpec="center" w:tblpY="1"/>
              <w:tblOverlap w:val="never"/>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91"/>
              <w:gridCol w:w="690"/>
              <w:gridCol w:w="3217"/>
              <w:gridCol w:w="2665"/>
              <w:gridCol w:w="99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5" w:type="pct"/>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序号</w:t>
                  </w:r>
                </w:p>
              </w:tc>
              <w:tc>
                <w:tcPr>
                  <w:tcW w:w="434" w:type="pct"/>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清单类型</w:t>
                  </w:r>
                </w:p>
              </w:tc>
              <w:tc>
                <w:tcPr>
                  <w:tcW w:w="2021" w:type="pct"/>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内容</w:t>
                  </w:r>
                </w:p>
              </w:tc>
              <w:tc>
                <w:tcPr>
                  <w:tcW w:w="1673" w:type="pct"/>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本项目</w:t>
                  </w:r>
                </w:p>
              </w:tc>
              <w:tc>
                <w:tcPr>
                  <w:tcW w:w="625" w:type="pct"/>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是否属于负面清单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5" w:type="pct"/>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1</w:t>
                  </w:r>
                </w:p>
              </w:tc>
              <w:tc>
                <w:tcPr>
                  <w:tcW w:w="434" w:type="pct"/>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污染物排放强度</w:t>
                  </w:r>
                </w:p>
              </w:tc>
              <w:tc>
                <w:tcPr>
                  <w:tcW w:w="2021" w:type="pct"/>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①新能源企业VOC排放满足《工业企业挥发性有机污染物排放控制标准》(DB13/2322-2016)中的一半。</w:t>
                  </w:r>
                </w:p>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②其他企业满足特别排放限值要求。</w:t>
                  </w:r>
                </w:p>
              </w:tc>
              <w:tc>
                <w:tcPr>
                  <w:tcW w:w="1673" w:type="pct"/>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本项目不属于新能源企业，本项目排放污染物浓度满足《工业企业挥发性有机污染物排放控制标准》(DB13/2322-2016)中</w:t>
                  </w:r>
                  <w:r>
                    <w:rPr>
                      <w:rFonts w:hint="eastAsia" w:ascii="Times New Roman" w:hAnsi="Times New Roman" w:eastAsia="宋体" w:cs="Times New Roman"/>
                      <w:color w:val="auto"/>
                      <w:sz w:val="21"/>
                      <w:szCs w:val="21"/>
                      <w:highlight w:val="none"/>
                      <w:lang w:val="en-US" w:eastAsia="zh-CN"/>
                    </w:rPr>
                    <w:t>表面涂装业</w:t>
                  </w:r>
                  <w:r>
                    <w:rPr>
                      <w:rFonts w:hint="default" w:ascii="Times New Roman" w:hAnsi="Times New Roman" w:eastAsia="宋体" w:cs="Times New Roman"/>
                      <w:color w:val="auto"/>
                      <w:sz w:val="21"/>
                      <w:szCs w:val="21"/>
                      <w:highlight w:val="none"/>
                      <w:lang w:val="en-US" w:eastAsia="zh-CN"/>
                    </w:rPr>
                    <w:t>标准：</w:t>
                  </w:r>
                  <w:r>
                    <w:rPr>
                      <w:rFonts w:hint="eastAsia" w:cs="Times New Roman"/>
                      <w:color w:val="auto"/>
                      <w:sz w:val="21"/>
                      <w:szCs w:val="21"/>
                      <w:highlight w:val="none"/>
                      <w:lang w:val="en-US" w:eastAsia="zh-CN"/>
                    </w:rPr>
                    <w:t>60</w:t>
                  </w:r>
                  <w:r>
                    <w:rPr>
                      <w:rFonts w:hint="default" w:ascii="Times New Roman" w:hAnsi="Times New Roman" w:eastAsia="宋体" w:cs="Times New Roman"/>
                      <w:color w:val="auto"/>
                      <w:sz w:val="21"/>
                      <w:szCs w:val="21"/>
                      <w:highlight w:val="none"/>
                      <w:lang w:val="en-US" w:eastAsia="zh-CN"/>
                    </w:rPr>
                    <w:t>mg/m³</w:t>
                  </w:r>
                </w:p>
              </w:tc>
              <w:tc>
                <w:tcPr>
                  <w:tcW w:w="625" w:type="pct"/>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5" w:type="pct"/>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w:t>
                  </w:r>
                </w:p>
              </w:tc>
              <w:tc>
                <w:tcPr>
                  <w:tcW w:w="434" w:type="pct"/>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环境风险防控</w:t>
                  </w:r>
                </w:p>
              </w:tc>
              <w:tc>
                <w:tcPr>
                  <w:tcW w:w="2021" w:type="pct"/>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both"/>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①禁止被列入《“高污染、高环境风险”产品名录（2017年）》产品项目入区。</w:t>
                  </w:r>
                </w:p>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both"/>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②园区及园区内各企业编制污染防治应急预案并在相关环保部门备案。</w:t>
                  </w:r>
                </w:p>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both"/>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③禁止在村庄搬迁完成前建设对环境产生风险较大的建设项目。</w:t>
                  </w:r>
                </w:p>
              </w:tc>
              <w:tc>
                <w:tcPr>
                  <w:tcW w:w="1673" w:type="pct"/>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本项目不在</w:t>
                  </w:r>
                  <w:r>
                    <w:rPr>
                      <w:rFonts w:hint="default" w:ascii="Times New Roman" w:hAnsi="Times New Roman" w:eastAsia="宋体" w:cs="Times New Roman"/>
                      <w:color w:val="auto"/>
                      <w:sz w:val="21"/>
                      <w:szCs w:val="21"/>
                      <w:highlight w:val="none"/>
                    </w:rPr>
                    <w:t>《环境保护综合名录（</w:t>
                  </w:r>
                  <w:r>
                    <w:rPr>
                      <w:rFonts w:hint="eastAsia" w:cs="Times New Roman"/>
                      <w:color w:val="auto"/>
                      <w:sz w:val="21"/>
                      <w:szCs w:val="21"/>
                      <w:highlight w:val="none"/>
                      <w:lang w:val="en-US" w:eastAsia="zh-CN"/>
                    </w:rPr>
                    <w:t>2021</w:t>
                  </w:r>
                  <w:r>
                    <w:rPr>
                      <w:rFonts w:hint="default" w:ascii="Times New Roman" w:hAnsi="Times New Roman" w:eastAsia="宋体" w:cs="Times New Roman"/>
                      <w:color w:val="auto"/>
                      <w:sz w:val="21"/>
                      <w:szCs w:val="21"/>
                      <w:highlight w:val="none"/>
                    </w:rPr>
                    <w:t>年版）</w:t>
                  </w:r>
                  <w:r>
                    <w:rPr>
                      <w:rFonts w:hint="eastAsia" w:cs="Times New Roman"/>
                      <w:color w:val="auto"/>
                      <w:sz w:val="21"/>
                      <w:szCs w:val="21"/>
                      <w:highlight w:val="none"/>
                      <w:lang w:eastAsia="zh-CN"/>
                    </w:rPr>
                    <w:t>》</w:t>
                  </w:r>
                  <w:r>
                    <w:rPr>
                      <w:rFonts w:hint="eastAsia" w:cs="Times New Roman"/>
                      <w:color w:val="auto"/>
                      <w:sz w:val="21"/>
                      <w:szCs w:val="21"/>
                      <w:highlight w:val="none"/>
                      <w:lang w:val="en-US" w:eastAsia="zh-CN"/>
                    </w:rPr>
                    <w:t>高污染、高环境风险名录中</w:t>
                  </w:r>
                  <w:r>
                    <w:rPr>
                      <w:rFonts w:hint="default" w:ascii="Times New Roman" w:hAnsi="Times New Roman" w:eastAsia="宋体" w:cs="Times New Roman"/>
                      <w:color w:val="auto"/>
                      <w:sz w:val="21"/>
                      <w:szCs w:val="21"/>
                      <w:highlight w:val="none"/>
                      <w:lang w:val="en-US" w:eastAsia="zh-CN"/>
                    </w:rPr>
                    <w:t>；本报告要求企业建成后</w:t>
                  </w:r>
                  <w:r>
                    <w:rPr>
                      <w:rFonts w:hint="eastAsia" w:eastAsia="宋体" w:cs="Times New Roman"/>
                      <w:color w:val="auto"/>
                      <w:sz w:val="21"/>
                      <w:szCs w:val="21"/>
                      <w:highlight w:val="none"/>
                      <w:lang w:val="en-US" w:eastAsia="zh-CN"/>
                    </w:rPr>
                    <w:t>对</w:t>
                  </w:r>
                  <w:r>
                    <w:rPr>
                      <w:rFonts w:hint="default" w:ascii="Times New Roman" w:hAnsi="Times New Roman" w:eastAsia="宋体" w:cs="Times New Roman"/>
                      <w:color w:val="auto"/>
                      <w:sz w:val="21"/>
                      <w:szCs w:val="21"/>
                      <w:highlight w:val="none"/>
                      <w:lang w:val="en-US" w:eastAsia="zh-CN"/>
                    </w:rPr>
                    <w:t>突发环境事件应急预案</w:t>
                  </w:r>
                  <w:r>
                    <w:rPr>
                      <w:rFonts w:hint="eastAsia" w:cs="Times New Roman"/>
                      <w:color w:val="auto"/>
                      <w:sz w:val="21"/>
                      <w:szCs w:val="21"/>
                      <w:highlight w:val="none"/>
                      <w:lang w:val="en-US" w:eastAsia="zh-CN"/>
                    </w:rPr>
                    <w:t>进行修订并备案</w:t>
                  </w:r>
                  <w:r>
                    <w:rPr>
                      <w:rFonts w:hint="default" w:ascii="Times New Roman" w:hAnsi="Times New Roman" w:eastAsia="宋体" w:cs="Times New Roman"/>
                      <w:color w:val="auto"/>
                      <w:sz w:val="21"/>
                      <w:szCs w:val="21"/>
                      <w:highlight w:val="none"/>
                      <w:lang w:val="en-US" w:eastAsia="zh-CN"/>
                    </w:rPr>
                    <w:t>；本项目环境风险为一般，</w:t>
                  </w:r>
                  <w:r>
                    <w:rPr>
                      <w:rFonts w:hint="eastAsia" w:ascii="Times New Roman" w:hAnsi="Times New Roman" w:eastAsia="宋体" w:cs="Times New Roman"/>
                      <w:color w:val="auto"/>
                      <w:sz w:val="21"/>
                      <w:szCs w:val="21"/>
                      <w:highlight w:val="none"/>
                      <w:lang w:val="en-US" w:eastAsia="zh-CN"/>
                    </w:rPr>
                    <w:t>不</w:t>
                  </w:r>
                  <w:r>
                    <w:rPr>
                      <w:rFonts w:hint="default" w:ascii="Times New Roman" w:hAnsi="Times New Roman" w:eastAsia="宋体" w:cs="Times New Roman"/>
                      <w:color w:val="auto"/>
                      <w:sz w:val="21"/>
                      <w:szCs w:val="21"/>
                      <w:highlight w:val="none"/>
                      <w:lang w:val="en-US" w:eastAsia="zh-CN"/>
                    </w:rPr>
                    <w:t>属于风险较大的建设项目</w:t>
                  </w:r>
                </w:p>
              </w:tc>
              <w:tc>
                <w:tcPr>
                  <w:tcW w:w="625" w:type="pct"/>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5" w:type="pct"/>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3</w:t>
                  </w:r>
                </w:p>
              </w:tc>
              <w:tc>
                <w:tcPr>
                  <w:tcW w:w="434" w:type="pct"/>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产业准入</w:t>
                  </w:r>
                </w:p>
              </w:tc>
              <w:tc>
                <w:tcPr>
                  <w:tcW w:w="2021" w:type="pct"/>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both"/>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①《产业结构调整指导目录(201</w:t>
                  </w:r>
                  <w:r>
                    <w:rPr>
                      <w:rFonts w:hint="eastAsia" w:ascii="Times New Roman" w:hAnsi="Times New Roman" w:eastAsia="宋体" w:cs="Times New Roman"/>
                      <w:color w:val="auto"/>
                      <w:sz w:val="21"/>
                      <w:szCs w:val="21"/>
                      <w:highlight w:val="none"/>
                      <w:lang w:val="en-US" w:eastAsia="zh-CN"/>
                    </w:rPr>
                    <w:t>1</w:t>
                  </w:r>
                  <w:r>
                    <w:rPr>
                      <w:rFonts w:hint="default" w:ascii="Times New Roman" w:hAnsi="Times New Roman" w:eastAsia="宋体" w:cs="Times New Roman"/>
                      <w:color w:val="auto"/>
                      <w:sz w:val="21"/>
                      <w:szCs w:val="21"/>
                      <w:highlight w:val="none"/>
                      <w:lang w:val="en-US" w:eastAsia="zh-CN"/>
                    </w:rPr>
                    <w:t>年本)》（2013年修订）中限制类、淘汰类项目；</w:t>
                  </w:r>
                </w:p>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both"/>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《外商投资产业指导目录》（2015年修订）中限制类、禁止类项目</w:t>
                  </w:r>
                </w:p>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both"/>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②属于《关于抑制部分行业产能过剩和重复建设引导产业健康发展的若干意见》(国发[2009]38 号)中的项目</w:t>
                  </w:r>
                </w:p>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both"/>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③列入《“高污染、高环境风险”产品名录（2017年）》产品项目</w:t>
                  </w:r>
                </w:p>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both"/>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④属于《河北省新增限制和淘汰类产业目录（2015年版）》中的限制类和淘汰类项目</w:t>
                  </w:r>
                </w:p>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both"/>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⑤属于《河北省禁止投资的产业目录（2014年版）》中明令禁止的建设项目</w:t>
                  </w:r>
                </w:p>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both"/>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⑥不符合行业准入条件的建设项目</w:t>
                  </w:r>
                </w:p>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both"/>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⑦不能满足《河北省环境敏感区支持、限制及禁止建设项目名录(2005年修订版)》要求的项目</w:t>
                  </w:r>
                </w:p>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both"/>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⑧清洁生产水平达不到国内先进水平及以上的新建项目。其中燃料乙醇项目清洁生产水平不得小于一级水平。</w:t>
                  </w:r>
                </w:p>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both"/>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⑨不符合园区产业定位项目（拟入区项目）</w:t>
                  </w:r>
                </w:p>
              </w:tc>
              <w:tc>
                <w:tcPr>
                  <w:tcW w:w="1673" w:type="pct"/>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本项目不属于《产业结构调整指导目录(2019年本)》、《外商投资产业指导目录（2017年修订）》中限制类、禁止类项目；不属于《关于抑制部分行业产能过剩和重复建设引导产业健康发展的若干意见》中所提到的行业；未列入</w:t>
                  </w:r>
                  <w:r>
                    <w:rPr>
                      <w:rFonts w:hint="default" w:ascii="Times New Roman" w:hAnsi="Times New Roman" w:eastAsia="宋体" w:cs="Times New Roman"/>
                      <w:color w:val="auto"/>
                      <w:sz w:val="21"/>
                      <w:szCs w:val="21"/>
                      <w:highlight w:val="none"/>
                    </w:rPr>
                    <w:t>《环境保护综合名录（</w:t>
                  </w:r>
                  <w:r>
                    <w:rPr>
                      <w:rFonts w:hint="eastAsia" w:cs="Times New Roman"/>
                      <w:color w:val="auto"/>
                      <w:sz w:val="21"/>
                      <w:szCs w:val="21"/>
                      <w:highlight w:val="none"/>
                      <w:lang w:val="en-US" w:eastAsia="zh-CN"/>
                    </w:rPr>
                    <w:t>2021</w:t>
                  </w:r>
                  <w:r>
                    <w:rPr>
                      <w:rFonts w:hint="default" w:ascii="Times New Roman" w:hAnsi="Times New Roman" w:eastAsia="宋体" w:cs="Times New Roman"/>
                      <w:color w:val="auto"/>
                      <w:sz w:val="21"/>
                      <w:szCs w:val="21"/>
                      <w:highlight w:val="none"/>
                    </w:rPr>
                    <w:t>年版）</w:t>
                  </w:r>
                  <w:r>
                    <w:rPr>
                      <w:rFonts w:hint="eastAsia"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lang w:val="en-US" w:eastAsia="zh-CN"/>
                    </w:rPr>
                    <w:t>；不属于《河北省新增限制和淘汰类产业目录（2015年版）》、《河北省禁止投资的产业目录（2014 年版）》中所限制、淘汰禁止类的项目；本项目符合行业准入条件；</w:t>
                  </w:r>
                </w:p>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本项目所在抚宁经济开发区，不在《河北省环境敏感区支持、限制及禁止建设项目名录(2005年修订版)》所规定的环境敏感区内；本项目性质为</w:t>
                  </w:r>
                  <w:r>
                    <w:rPr>
                      <w:rFonts w:hint="eastAsia" w:cs="Times New Roman"/>
                      <w:color w:val="auto"/>
                      <w:sz w:val="21"/>
                      <w:szCs w:val="21"/>
                      <w:highlight w:val="none"/>
                      <w:lang w:val="en-US" w:eastAsia="zh-CN"/>
                    </w:rPr>
                    <w:t>技改</w:t>
                  </w:r>
                  <w:r>
                    <w:rPr>
                      <w:rFonts w:hint="default" w:ascii="Times New Roman" w:hAnsi="Times New Roman" w:eastAsia="宋体" w:cs="Times New Roman"/>
                      <w:color w:val="auto"/>
                      <w:sz w:val="21"/>
                      <w:szCs w:val="21"/>
                      <w:highlight w:val="none"/>
                      <w:lang w:val="en-US" w:eastAsia="zh-CN"/>
                    </w:rPr>
                    <w:t>，</w:t>
                  </w:r>
                  <w:r>
                    <w:rPr>
                      <w:rFonts w:hint="eastAsia" w:eastAsia="宋体" w:cs="Times New Roman"/>
                      <w:color w:val="auto"/>
                      <w:sz w:val="21"/>
                      <w:szCs w:val="21"/>
                      <w:highlight w:val="none"/>
                      <w:lang w:val="en-US" w:eastAsia="zh-CN"/>
                    </w:rPr>
                    <w:t>为制造业，符合园区产业定位。</w:t>
                  </w:r>
                </w:p>
              </w:tc>
              <w:tc>
                <w:tcPr>
                  <w:tcW w:w="625" w:type="pct"/>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否</w:t>
                  </w:r>
                </w:p>
              </w:tc>
            </w:tr>
          </w:tbl>
          <w:p>
            <w:pPr>
              <w:pStyle w:val="50"/>
              <w:bidi w:val="0"/>
              <w:spacing w:line="240" w:lineRule="auto"/>
              <w:ind w:left="0" w:leftChars="0" w:firstLine="480" w:firstLineChars="200"/>
              <w:jc w:val="both"/>
              <w:rPr>
                <w:rFonts w:hint="default" w:ascii="Times New Roman" w:hAnsi="Times New Roman" w:cs="Times New Roman"/>
                <w:color w:val="auto"/>
                <w:kern w:val="0"/>
                <w:sz w:val="24"/>
                <w:szCs w:val="24"/>
                <w:highlight w:val="none"/>
                <w:lang w:val="en-US" w:eastAsia="zh-CN"/>
              </w:rPr>
            </w:pPr>
            <w:r>
              <w:rPr>
                <w:rFonts w:hint="eastAsia" w:ascii="Times New Roman" w:hAnsi="Times New Roman" w:cs="Times New Roman"/>
                <w:color w:val="auto"/>
                <w:kern w:val="0"/>
                <w:sz w:val="24"/>
                <w:szCs w:val="24"/>
                <w:highlight w:val="none"/>
                <w:lang w:val="en-US" w:eastAsia="zh-CN"/>
              </w:rPr>
              <w:t>综上所述，本项目建设符合规划环评中各项管控要求。</w:t>
            </w:r>
          </w:p>
          <w:p>
            <w:pPr>
              <w:pStyle w:val="50"/>
              <w:bidi w:val="0"/>
              <w:spacing w:line="240" w:lineRule="auto"/>
              <w:ind w:left="0" w:leftChars="0" w:firstLine="480" w:firstLineChars="200"/>
              <w:jc w:val="both"/>
              <w:rPr>
                <w:rFonts w:hint="default" w:ascii="Times New Roman" w:hAnsi="Times New Roman" w:cs="Times New Roman"/>
                <w:color w:val="auto"/>
                <w:kern w:val="0"/>
                <w:sz w:val="24"/>
                <w:szCs w:val="24"/>
                <w:highlight w:val="none"/>
                <w:lang w:val="en-US" w:eastAsia="zh-CN"/>
              </w:rPr>
            </w:pPr>
          </w:p>
        </w:tc>
      </w:tr>
    </w:tbl>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r>
        <w:rPr>
          <w:rFonts w:hint="default" w:ascii="Times New Roman" w:hAnsi="Times New Roman" w:eastAsia="宋体" w:cs="Times New Roman"/>
          <w:b/>
          <w:bCs/>
          <w:color w:val="auto"/>
          <w:kern w:val="0"/>
          <w:sz w:val="24"/>
          <w:szCs w:val="24"/>
          <w:highlight w:val="none"/>
        </w:rPr>
        <w:br w:type="page"/>
      </w:r>
    </w:p>
    <w:tbl>
      <w:tblPr>
        <w:tblStyle w:val="32"/>
        <w:tblW w:w="486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441"/>
        <w:gridCol w:w="8255"/>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590" w:hRule="atLeast"/>
          <w:jc w:val="center"/>
        </w:trPr>
        <w:tc>
          <w:tcPr>
            <w:tcW w:w="441" w:type="dxa"/>
            <w:noWrap w:val="0"/>
            <w:vAlign w:val="center"/>
          </w:tcPr>
          <w:p>
            <w:pPr>
              <w:pStyle w:val="12"/>
              <w:rPr>
                <w:rFonts w:hint="default" w:ascii="Times New Roman" w:hAnsi="Times New Roman" w:cs="Times New Roman"/>
                <w:color w:val="auto"/>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Style w:val="10"/>
              <w:rPr>
                <w:rFonts w:hint="default" w:ascii="Times New Roman" w:hAnsi="Times New Roman" w:eastAsia="宋体" w:cs="Times New Roman"/>
                <w:b/>
                <w:bCs/>
                <w:color w:val="auto"/>
                <w:kern w:val="0"/>
                <w:sz w:val="24"/>
                <w:szCs w:val="24"/>
                <w:highlight w:val="none"/>
              </w:rPr>
            </w:pPr>
          </w:p>
          <w:p>
            <w:pPr>
              <w:rPr>
                <w:rFonts w:hint="default" w:ascii="Times New Roman" w:hAnsi="Times New Roman" w:eastAsia="宋体" w:cs="Times New Roman"/>
                <w:b/>
                <w:bCs/>
                <w:color w:val="auto"/>
                <w:kern w:val="0"/>
                <w:sz w:val="24"/>
                <w:szCs w:val="24"/>
                <w:highlight w:val="none"/>
              </w:rPr>
            </w:pPr>
          </w:p>
          <w:p>
            <w:pPr>
              <w:pStyle w:val="10"/>
              <w:rPr>
                <w:rFonts w:hint="default" w:ascii="Times New Roman" w:hAnsi="Times New Roman" w:eastAsia="宋体" w:cs="Times New Roman"/>
                <w:b/>
                <w:bCs/>
                <w:color w:val="auto"/>
                <w:kern w:val="0"/>
                <w:sz w:val="24"/>
                <w:szCs w:val="24"/>
                <w:highlight w:val="none"/>
              </w:rPr>
            </w:pPr>
          </w:p>
          <w:p>
            <w:pPr>
              <w:rPr>
                <w:rFonts w:hint="default" w:ascii="Times New Roman" w:hAnsi="Times New Roman" w:eastAsia="宋体" w:cs="Times New Roman"/>
                <w:b/>
                <w:bCs/>
                <w:color w:val="auto"/>
                <w:kern w:val="0"/>
                <w:sz w:val="24"/>
                <w:szCs w:val="24"/>
                <w:highlight w:val="none"/>
              </w:rPr>
            </w:pPr>
          </w:p>
          <w:p>
            <w:pPr>
              <w:pStyle w:val="10"/>
              <w:rPr>
                <w:rFonts w:hint="default" w:ascii="Times New Roman" w:hAnsi="Times New Roman" w:eastAsia="宋体" w:cs="Times New Roman"/>
                <w:b/>
                <w:bCs/>
                <w:color w:val="auto"/>
                <w:kern w:val="0"/>
                <w:sz w:val="24"/>
                <w:szCs w:val="24"/>
                <w:highlight w:val="none"/>
              </w:rPr>
            </w:pPr>
          </w:p>
          <w:p>
            <w:pPr>
              <w:rPr>
                <w:rFonts w:hint="default" w:ascii="Times New Roman" w:hAnsi="Times New Roman" w:eastAsia="宋体" w:cs="Times New Roman"/>
                <w:b/>
                <w:bCs/>
                <w:color w:val="auto"/>
                <w:kern w:val="0"/>
                <w:sz w:val="24"/>
                <w:szCs w:val="24"/>
                <w:highlight w:val="none"/>
              </w:rPr>
            </w:pPr>
          </w:p>
          <w:p>
            <w:pPr>
              <w:pStyle w:val="10"/>
              <w:rPr>
                <w:rFonts w:hint="default" w:ascii="Times New Roman" w:hAnsi="Times New Roman" w:cs="Times New Roman"/>
                <w:color w:val="auto"/>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r>
              <w:rPr>
                <w:rFonts w:hint="default" w:ascii="Times New Roman" w:hAnsi="Times New Roman" w:eastAsia="宋体" w:cs="Times New Roman"/>
                <w:b/>
                <w:bCs/>
                <w:color w:val="auto"/>
                <w:kern w:val="0"/>
                <w:sz w:val="24"/>
                <w:szCs w:val="24"/>
                <w:highlight w:val="none"/>
              </w:rPr>
              <w:t>其他符合性分析</w:t>
            </w: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Style w:val="10"/>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Style w:val="10"/>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rPr>
                <w:rFonts w:hint="default" w:ascii="Times New Roman" w:hAnsi="Times New Roman" w:eastAsia="宋体" w:cs="Times New Roman"/>
                <w:b/>
                <w:bCs/>
                <w:color w:val="auto"/>
                <w:kern w:val="0"/>
                <w:sz w:val="24"/>
                <w:szCs w:val="24"/>
                <w:highlight w:val="none"/>
              </w:rPr>
            </w:pPr>
          </w:p>
          <w:p>
            <w:pPr>
              <w:pStyle w:val="12"/>
              <w:rPr>
                <w:rFonts w:hint="default" w:ascii="Times New Roman" w:hAnsi="Times New Roman" w:eastAsia="宋体" w:cs="Times New Roman"/>
                <w:b/>
                <w:bCs/>
                <w:color w:val="auto"/>
                <w:kern w:val="0"/>
                <w:sz w:val="24"/>
                <w:szCs w:val="24"/>
                <w:highlight w:val="none"/>
              </w:rPr>
            </w:pPr>
          </w:p>
          <w:p>
            <w:pPr>
              <w:rPr>
                <w:rFonts w:hint="default" w:ascii="Times New Roman" w:hAnsi="Times New Roman" w:eastAsia="宋体" w:cs="Times New Roman"/>
                <w:b/>
                <w:bCs/>
                <w:color w:val="auto"/>
                <w:kern w:val="0"/>
                <w:sz w:val="24"/>
                <w:szCs w:val="24"/>
                <w:highlight w:val="none"/>
              </w:rPr>
            </w:pPr>
          </w:p>
          <w:p>
            <w:pPr>
              <w:pStyle w:val="12"/>
              <w:rPr>
                <w:rFonts w:hint="default" w:ascii="Times New Roman" w:hAnsi="Times New Roman" w:eastAsia="宋体" w:cs="Times New Roman"/>
                <w:b/>
                <w:bCs/>
                <w:color w:val="auto"/>
                <w:kern w:val="0"/>
                <w:sz w:val="24"/>
                <w:szCs w:val="24"/>
                <w:highlight w:val="none"/>
              </w:rPr>
            </w:pPr>
          </w:p>
          <w:p>
            <w:pPr>
              <w:rPr>
                <w:rFonts w:hint="default" w:ascii="Times New Roman" w:hAnsi="Times New Roman" w:eastAsia="宋体" w:cs="Times New Roman"/>
                <w:b/>
                <w:bCs/>
                <w:color w:val="auto"/>
                <w:kern w:val="0"/>
                <w:sz w:val="24"/>
                <w:szCs w:val="24"/>
                <w:highlight w:val="none"/>
              </w:rPr>
            </w:pPr>
          </w:p>
          <w:p>
            <w:pPr>
              <w:pStyle w:val="12"/>
              <w:rPr>
                <w:rFonts w:hint="default" w:ascii="Times New Roman" w:hAnsi="Times New Roman" w:eastAsia="宋体" w:cs="Times New Roman"/>
                <w:b/>
                <w:bCs/>
                <w:color w:val="auto"/>
                <w:kern w:val="0"/>
                <w:sz w:val="24"/>
                <w:szCs w:val="24"/>
                <w:highlight w:val="none"/>
              </w:rPr>
            </w:pPr>
          </w:p>
          <w:p>
            <w:pPr>
              <w:rPr>
                <w:rFonts w:hint="default" w:ascii="Times New Roman" w:hAnsi="Times New Roman" w:eastAsia="宋体" w:cs="Times New Roman"/>
                <w:b/>
                <w:bCs/>
                <w:color w:val="auto"/>
                <w:kern w:val="0"/>
                <w:sz w:val="24"/>
                <w:szCs w:val="24"/>
                <w:highlight w:val="none"/>
              </w:rPr>
            </w:pPr>
          </w:p>
          <w:p>
            <w:pPr>
              <w:pStyle w:val="12"/>
              <w:rPr>
                <w:rFonts w:hint="default" w:ascii="Times New Roman" w:hAnsi="Times New Roman" w:cs="Times New Roman"/>
                <w:color w:val="auto"/>
                <w:highlight w:val="none"/>
              </w:rPr>
            </w:pPr>
          </w:p>
          <w:p>
            <w:pPr>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r>
              <w:rPr>
                <w:rFonts w:hint="default" w:ascii="Times New Roman" w:hAnsi="Times New Roman" w:eastAsia="宋体" w:cs="Times New Roman"/>
                <w:b/>
                <w:bCs/>
                <w:color w:val="auto"/>
                <w:kern w:val="0"/>
                <w:sz w:val="24"/>
                <w:szCs w:val="24"/>
                <w:highlight w:val="none"/>
              </w:rPr>
              <w:t>其他符合性分析</w:t>
            </w:r>
          </w:p>
          <w:p>
            <w:pPr>
              <w:pStyle w:val="10"/>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Style w:val="10"/>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Style w:val="10"/>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Style w:val="10"/>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Style w:val="10"/>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Style w:val="10"/>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Style w:val="10"/>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Style w:val="10"/>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Style w:val="10"/>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Style w:val="10"/>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bidi w:val="0"/>
              <w:spacing w:line="312" w:lineRule="auto"/>
              <w:jc w:val="both"/>
              <w:textAlignment w:val="auto"/>
              <w:rPr>
                <w:rFonts w:hint="default" w:ascii="Times New Roman" w:hAnsi="Times New Roman" w:eastAsia="宋体" w:cs="Times New Roman"/>
                <w:color w:val="auto"/>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Style w:val="10"/>
              <w:rPr>
                <w:rFonts w:hint="default" w:ascii="Times New Roman" w:hAnsi="Times New Roman" w:eastAsia="宋体" w:cs="Times New Roman"/>
                <w:b/>
                <w:bCs/>
                <w:color w:val="auto"/>
                <w:kern w:val="0"/>
                <w:sz w:val="24"/>
                <w:szCs w:val="24"/>
                <w:highlight w:val="none"/>
              </w:rPr>
            </w:pPr>
          </w:p>
          <w:p>
            <w:pPr>
              <w:rPr>
                <w:rFonts w:hint="default" w:ascii="Times New Roman" w:hAnsi="Times New Roman" w:eastAsia="宋体" w:cs="Times New Roman"/>
                <w:b/>
                <w:bCs/>
                <w:color w:val="auto"/>
                <w:kern w:val="0"/>
                <w:sz w:val="24"/>
                <w:szCs w:val="24"/>
                <w:highlight w:val="none"/>
              </w:rPr>
            </w:pPr>
          </w:p>
          <w:p>
            <w:pPr>
              <w:pStyle w:val="10"/>
              <w:rPr>
                <w:rFonts w:hint="default" w:ascii="Times New Roman" w:hAnsi="Times New Roman" w:eastAsia="宋体" w:cs="Times New Roman"/>
                <w:b/>
                <w:bCs/>
                <w:color w:val="auto"/>
                <w:kern w:val="0"/>
                <w:sz w:val="24"/>
                <w:szCs w:val="24"/>
                <w:highlight w:val="none"/>
              </w:rPr>
            </w:pPr>
          </w:p>
          <w:p>
            <w:pPr>
              <w:rPr>
                <w:rFonts w:hint="default" w:ascii="Times New Roman" w:hAnsi="Times New Roman" w:eastAsia="宋体" w:cs="Times New Roman"/>
                <w:b/>
                <w:bCs/>
                <w:color w:val="auto"/>
                <w:kern w:val="0"/>
                <w:sz w:val="24"/>
                <w:szCs w:val="24"/>
                <w:highlight w:val="none"/>
              </w:rPr>
            </w:pPr>
          </w:p>
          <w:p>
            <w:pPr>
              <w:rPr>
                <w:rFonts w:hint="default" w:ascii="Times New Roman" w:hAnsi="Times New Roman" w:eastAsia="宋体" w:cs="Times New Roman"/>
                <w:b/>
                <w:bCs/>
                <w:color w:val="auto"/>
                <w:kern w:val="0"/>
                <w:sz w:val="24"/>
                <w:szCs w:val="24"/>
                <w:highlight w:val="none"/>
              </w:rPr>
            </w:pPr>
          </w:p>
          <w:p>
            <w:pPr>
              <w:pStyle w:val="10"/>
              <w:rPr>
                <w:rFonts w:hint="default"/>
                <w:color w:val="auto"/>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r>
              <w:rPr>
                <w:rFonts w:hint="default" w:ascii="Times New Roman" w:hAnsi="Times New Roman" w:eastAsia="宋体" w:cs="Times New Roman"/>
                <w:b/>
                <w:bCs/>
                <w:color w:val="auto"/>
                <w:kern w:val="0"/>
                <w:sz w:val="24"/>
                <w:szCs w:val="24"/>
                <w:highlight w:val="none"/>
              </w:rPr>
              <w:t>其他符合性分析</w:t>
            </w: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Style w:val="10"/>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Style w:val="10"/>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Style w:val="10"/>
              <w:rPr>
                <w:rFonts w:hint="default" w:ascii="Times New Roman" w:hAnsi="Times New Roman" w:eastAsia="宋体" w:cs="Times New Roman"/>
                <w:b/>
                <w:bCs/>
                <w:color w:val="auto"/>
                <w:kern w:val="0"/>
                <w:sz w:val="24"/>
                <w:szCs w:val="24"/>
                <w:highlight w:val="none"/>
              </w:rPr>
            </w:pPr>
          </w:p>
          <w:p>
            <w:pPr>
              <w:rPr>
                <w:rFonts w:hint="default"/>
                <w:color w:val="auto"/>
                <w:highlight w:val="none"/>
              </w:rPr>
            </w:pPr>
          </w:p>
          <w:p>
            <w:pPr>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r>
              <w:rPr>
                <w:rFonts w:hint="default" w:ascii="Times New Roman" w:hAnsi="Times New Roman" w:eastAsia="宋体" w:cs="Times New Roman"/>
                <w:b/>
                <w:bCs/>
                <w:color w:val="auto"/>
                <w:kern w:val="0"/>
                <w:sz w:val="24"/>
                <w:szCs w:val="24"/>
                <w:highlight w:val="none"/>
              </w:rPr>
              <w:t>其他符合性分析</w:t>
            </w:r>
          </w:p>
          <w:p>
            <w:pPr>
              <w:pStyle w:val="10"/>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Style w:val="10"/>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Style w:val="10"/>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Style w:val="10"/>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Style w:val="10"/>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Style w:val="10"/>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Style w:val="10"/>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Style w:val="10"/>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Style w:val="10"/>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Style w:val="10"/>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Style w:val="10"/>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Style w:val="10"/>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Style w:val="10"/>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Style w:val="10"/>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Style w:val="10"/>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Style w:val="10"/>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Style w:val="10"/>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Style w:val="10"/>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Style w:val="10"/>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Style w:val="10"/>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Style w:val="10"/>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Style w:val="10"/>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Style w:val="10"/>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Style w:val="10"/>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Style w:val="10"/>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Style w:val="10"/>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Style w:val="10"/>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Style w:val="10"/>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Style w:val="10"/>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Style w:val="10"/>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r>
              <w:rPr>
                <w:rFonts w:hint="default" w:ascii="Times New Roman" w:hAnsi="Times New Roman" w:eastAsia="宋体" w:cs="Times New Roman"/>
                <w:b/>
                <w:bCs/>
                <w:color w:val="auto"/>
                <w:kern w:val="0"/>
                <w:sz w:val="24"/>
                <w:szCs w:val="24"/>
                <w:highlight w:val="none"/>
              </w:rPr>
              <w:t>其他符合性分析</w:t>
            </w:r>
          </w:p>
          <w:p>
            <w:pPr>
              <w:pageBreakBefore w:val="0"/>
              <w:widowControl w:val="0"/>
              <w:kinsoku/>
              <w:wordWrap/>
              <w:topLinePunct w:val="0"/>
              <w:bidi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r>
              <w:rPr>
                <w:rFonts w:hint="default" w:ascii="Times New Roman" w:hAnsi="Times New Roman" w:eastAsia="宋体" w:cs="Times New Roman"/>
                <w:b/>
                <w:bCs/>
                <w:color w:val="auto"/>
                <w:kern w:val="0"/>
                <w:sz w:val="24"/>
                <w:szCs w:val="24"/>
                <w:highlight w:val="none"/>
              </w:rPr>
              <w:t>其他符合性分析</w:t>
            </w: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r>
              <w:rPr>
                <w:rFonts w:hint="default" w:ascii="Times New Roman" w:hAnsi="Times New Roman" w:eastAsia="宋体" w:cs="Times New Roman"/>
                <w:b/>
                <w:bCs/>
                <w:color w:val="auto"/>
                <w:kern w:val="0"/>
                <w:sz w:val="24"/>
                <w:szCs w:val="24"/>
                <w:highlight w:val="none"/>
              </w:rPr>
              <w:t>其他符合性分析</w:t>
            </w: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r>
              <w:rPr>
                <w:rFonts w:hint="default" w:ascii="Times New Roman" w:hAnsi="Times New Roman" w:eastAsia="宋体" w:cs="Times New Roman"/>
                <w:b/>
                <w:bCs/>
                <w:color w:val="auto"/>
                <w:kern w:val="0"/>
                <w:sz w:val="24"/>
                <w:szCs w:val="24"/>
                <w:highlight w:val="none"/>
              </w:rPr>
              <w:t>其他符合性分析</w:t>
            </w: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r>
              <w:rPr>
                <w:rFonts w:hint="default" w:ascii="Times New Roman" w:hAnsi="Times New Roman" w:eastAsia="宋体" w:cs="Times New Roman"/>
                <w:b/>
                <w:bCs/>
                <w:color w:val="auto"/>
                <w:kern w:val="0"/>
                <w:sz w:val="24"/>
                <w:szCs w:val="24"/>
                <w:highlight w:val="none"/>
              </w:rPr>
              <w:t>其他符合性分析</w:t>
            </w: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tc>
        <w:tc>
          <w:tcPr>
            <w:tcW w:w="8257"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504" w:firstLineChars="200"/>
              <w:jc w:val="left"/>
              <w:textAlignment w:val="auto"/>
              <w:rPr>
                <w:rFonts w:hint="default" w:ascii="Times New Roman" w:hAnsi="Times New Roman" w:eastAsia="宋体" w:cs="Times New Roman"/>
                <w:color w:val="auto"/>
                <w:spacing w:val="6"/>
                <w:sz w:val="24"/>
                <w:szCs w:val="24"/>
                <w:highlight w:val="none"/>
              </w:rPr>
            </w:pPr>
            <w:r>
              <w:rPr>
                <w:rFonts w:hint="default" w:ascii="Times New Roman" w:hAnsi="Times New Roman" w:eastAsia="宋体" w:cs="Times New Roman"/>
                <w:color w:val="auto"/>
                <w:spacing w:val="6"/>
                <w:sz w:val="24"/>
                <w:szCs w:val="24"/>
                <w:highlight w:val="none"/>
                <w:lang w:val="en-US" w:eastAsia="zh-CN"/>
              </w:rPr>
              <w:t>1、</w:t>
            </w:r>
            <w:r>
              <w:rPr>
                <w:rFonts w:hint="default" w:ascii="Times New Roman" w:hAnsi="Times New Roman" w:eastAsia="宋体" w:cs="Times New Roman"/>
                <w:color w:val="auto"/>
                <w:spacing w:val="6"/>
                <w:sz w:val="24"/>
                <w:szCs w:val="24"/>
                <w:highlight w:val="none"/>
              </w:rPr>
              <w:t>产业政策分析</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both"/>
              <w:textAlignment w:val="auto"/>
              <w:rPr>
                <w:rFonts w:hint="eastAsia" w:ascii="Times New Roman" w:hAnsi="Times New Roman"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（1）项目为</w:t>
            </w:r>
            <w:r>
              <w:rPr>
                <w:rFonts w:hint="eastAsia" w:ascii="Times New Roman" w:hAnsi="Times New Roman" w:cs="Times New Roman"/>
                <w:color w:val="auto"/>
                <w:kern w:val="0"/>
                <w:sz w:val="24"/>
                <w:szCs w:val="24"/>
                <w:highlight w:val="none"/>
                <w:lang w:val="en-US" w:eastAsia="zh-CN"/>
              </w:rPr>
              <w:t>C</w:t>
            </w:r>
            <w:r>
              <w:rPr>
                <w:rFonts w:hint="eastAsia" w:cs="Times New Roman"/>
                <w:color w:val="auto"/>
                <w:kern w:val="0"/>
                <w:sz w:val="24"/>
                <w:szCs w:val="24"/>
                <w:highlight w:val="none"/>
                <w:lang w:val="en-US" w:eastAsia="zh-CN"/>
              </w:rPr>
              <w:t>3423铸造机械制造</w:t>
            </w:r>
            <w:r>
              <w:rPr>
                <w:rFonts w:hint="default" w:ascii="Times New Roman" w:hAnsi="Times New Roman" w:eastAsia="宋体" w:cs="Times New Roman"/>
                <w:bCs/>
                <w:color w:val="auto"/>
                <w:sz w:val="24"/>
                <w:szCs w:val="24"/>
                <w:highlight w:val="none"/>
                <w:lang w:val="en-US" w:eastAsia="zh-CN"/>
              </w:rPr>
              <w:t>，不属于2019年10月30日</w:t>
            </w:r>
            <w:r>
              <w:rPr>
                <w:rFonts w:hint="default" w:ascii="Times New Roman" w:hAnsi="Times New Roman" w:eastAsia="宋体" w:cs="Times New Roman"/>
                <w:bCs/>
                <w:color w:val="auto"/>
                <w:sz w:val="24"/>
                <w:szCs w:val="24"/>
                <w:highlight w:val="none"/>
                <w:lang w:eastAsia="zh-CN"/>
              </w:rPr>
              <w:t>国家发改委令第2</w:t>
            </w:r>
            <w:r>
              <w:rPr>
                <w:rFonts w:hint="default" w:ascii="Times New Roman" w:hAnsi="Times New Roman" w:eastAsia="宋体" w:cs="Times New Roman"/>
                <w:bCs/>
                <w:color w:val="auto"/>
                <w:sz w:val="24"/>
                <w:szCs w:val="24"/>
                <w:highlight w:val="none"/>
                <w:lang w:val="en-US" w:eastAsia="zh-CN"/>
              </w:rPr>
              <w:t>9</w:t>
            </w:r>
            <w:r>
              <w:rPr>
                <w:rFonts w:hint="default" w:ascii="Times New Roman" w:hAnsi="Times New Roman" w:eastAsia="宋体" w:cs="Times New Roman"/>
                <w:bCs/>
                <w:color w:val="auto"/>
                <w:sz w:val="24"/>
                <w:szCs w:val="24"/>
                <w:highlight w:val="none"/>
                <w:lang w:eastAsia="zh-CN"/>
              </w:rPr>
              <w:t>号《产业结构调整指导目录(20</w:t>
            </w:r>
            <w:r>
              <w:rPr>
                <w:rFonts w:hint="default" w:ascii="Times New Roman" w:hAnsi="Times New Roman" w:eastAsia="宋体" w:cs="Times New Roman"/>
                <w:bCs/>
                <w:color w:val="auto"/>
                <w:sz w:val="24"/>
                <w:szCs w:val="24"/>
                <w:highlight w:val="none"/>
                <w:lang w:val="en-US" w:eastAsia="zh-CN"/>
              </w:rPr>
              <w:t>19</w:t>
            </w:r>
            <w:r>
              <w:rPr>
                <w:rFonts w:hint="default" w:ascii="Times New Roman" w:hAnsi="Times New Roman" w:eastAsia="宋体" w:cs="Times New Roman"/>
                <w:bCs/>
                <w:color w:val="auto"/>
                <w:sz w:val="24"/>
                <w:szCs w:val="24"/>
                <w:highlight w:val="none"/>
                <w:lang w:eastAsia="zh-CN"/>
              </w:rPr>
              <w:t>年本)》</w:t>
            </w:r>
            <w:r>
              <w:rPr>
                <w:rFonts w:hint="default" w:ascii="Times New Roman" w:hAnsi="Times New Roman" w:eastAsia="宋体" w:cs="Times New Roman"/>
                <w:bCs/>
                <w:color w:val="auto"/>
                <w:sz w:val="24"/>
                <w:szCs w:val="24"/>
                <w:highlight w:val="none"/>
                <w:lang w:val="en-US" w:eastAsia="zh-CN"/>
              </w:rPr>
              <w:t>中限制类和淘汰类，</w:t>
            </w:r>
            <w:r>
              <w:rPr>
                <w:rFonts w:hint="eastAsia" w:cs="Times New Roman"/>
                <w:bCs/>
                <w:color w:val="auto"/>
                <w:sz w:val="24"/>
                <w:szCs w:val="24"/>
                <w:highlight w:val="none"/>
                <w:lang w:val="en-US" w:eastAsia="zh-CN"/>
              </w:rPr>
              <w:t>为允许类，</w:t>
            </w:r>
            <w:r>
              <w:rPr>
                <w:rFonts w:hint="default" w:ascii="Times New Roman" w:hAnsi="Times New Roman" w:eastAsia="宋体" w:cs="Times New Roman"/>
                <w:bCs/>
                <w:color w:val="auto"/>
                <w:sz w:val="24"/>
                <w:szCs w:val="24"/>
                <w:highlight w:val="none"/>
                <w:lang w:val="en-US" w:eastAsia="zh-CN"/>
              </w:rPr>
              <w:t>符合国家产业政策。项目已取得</w:t>
            </w:r>
            <w:r>
              <w:rPr>
                <w:rFonts w:hint="eastAsia" w:ascii="Times New Roman" w:hAnsi="Times New Roman" w:eastAsia="宋体" w:cs="Times New Roman"/>
                <w:bCs/>
                <w:color w:val="auto"/>
                <w:sz w:val="24"/>
                <w:szCs w:val="24"/>
                <w:highlight w:val="none"/>
                <w:lang w:val="en-US" w:eastAsia="zh-CN"/>
              </w:rPr>
              <w:t>秦皇岛市抚宁区</w:t>
            </w:r>
            <w:r>
              <w:rPr>
                <w:rFonts w:hint="default" w:ascii="Times New Roman" w:hAnsi="Times New Roman" w:eastAsia="宋体" w:cs="Times New Roman"/>
                <w:bCs/>
                <w:color w:val="auto"/>
                <w:sz w:val="24"/>
                <w:szCs w:val="24"/>
                <w:highlight w:val="none"/>
                <w:lang w:val="en-US" w:eastAsia="zh-CN"/>
              </w:rPr>
              <w:t>行政审批局企业投资项目备案信息，备案编号：抚行审备〔2022〕</w:t>
            </w:r>
            <w:r>
              <w:rPr>
                <w:rFonts w:hint="eastAsia" w:cs="Times New Roman"/>
                <w:bCs/>
                <w:color w:val="auto"/>
                <w:sz w:val="24"/>
                <w:szCs w:val="24"/>
                <w:highlight w:val="none"/>
                <w:lang w:val="en-US" w:eastAsia="zh-CN"/>
              </w:rPr>
              <w:t>92</w:t>
            </w:r>
            <w:r>
              <w:rPr>
                <w:rFonts w:hint="default" w:ascii="Times New Roman" w:hAnsi="Times New Roman" w:eastAsia="宋体" w:cs="Times New Roman"/>
                <w:bCs/>
                <w:color w:val="auto"/>
                <w:sz w:val="24"/>
                <w:szCs w:val="24"/>
                <w:highlight w:val="none"/>
                <w:lang w:val="en-US" w:eastAsia="zh-CN"/>
              </w:rPr>
              <w:t>号，项目代码：</w:t>
            </w:r>
            <w:r>
              <w:rPr>
                <w:rFonts w:hint="eastAsia" w:eastAsia="宋体" w:cs="Times New Roman"/>
                <w:color w:val="auto"/>
                <w:highlight w:val="none"/>
                <w:lang w:val="en-US" w:eastAsia="zh-CN"/>
              </w:rPr>
              <w:t>2209-130306-89-01-352802</w:t>
            </w:r>
            <w:r>
              <w:rPr>
                <w:rFonts w:hint="default" w:ascii="Times New Roman" w:hAnsi="Times New Roman" w:eastAsia="宋体" w:cs="Times New Roman"/>
                <w:bCs/>
                <w:color w:val="auto"/>
                <w:sz w:val="24"/>
                <w:szCs w:val="24"/>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both"/>
              <w:textAlignment w:val="auto"/>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（2）</w:t>
            </w:r>
            <w:r>
              <w:rPr>
                <w:rFonts w:hint="eastAsia" w:cs="Times New Roman"/>
                <w:color w:val="auto"/>
                <w:kern w:val="0"/>
                <w:sz w:val="24"/>
                <w:szCs w:val="24"/>
                <w:highlight w:val="none"/>
                <w:lang w:val="en-US" w:eastAsia="zh-CN"/>
              </w:rPr>
              <w:t>企业所使用的</w:t>
            </w:r>
            <w:r>
              <w:rPr>
                <w:rFonts w:hint="eastAsia" w:cs="Times New Roman"/>
                <w:bCs/>
                <w:color w:val="auto"/>
                <w:sz w:val="24"/>
                <w:szCs w:val="24"/>
                <w:highlight w:val="none"/>
                <w:lang w:val="en-US" w:eastAsia="zh-CN"/>
              </w:rPr>
              <w:t>生产设备、污染治理防治措施均符合</w:t>
            </w:r>
            <w:r>
              <w:rPr>
                <w:rFonts w:hint="default" w:ascii="Times New Roman" w:hAnsi="Times New Roman" w:eastAsia="宋体" w:cs="Times New Roman"/>
                <w:bCs/>
                <w:color w:val="auto"/>
                <w:sz w:val="24"/>
                <w:szCs w:val="24"/>
                <w:highlight w:val="none"/>
                <w:lang w:val="en-US" w:eastAsia="zh-CN"/>
              </w:rPr>
              <w:t>《落后设备管理名录》</w:t>
            </w:r>
            <w:r>
              <w:rPr>
                <w:rFonts w:hint="eastAsia" w:cs="Times New Roman"/>
                <w:bCs/>
                <w:color w:val="auto"/>
                <w:sz w:val="24"/>
                <w:szCs w:val="24"/>
                <w:highlight w:val="none"/>
                <w:lang w:val="en-US" w:eastAsia="zh-CN"/>
              </w:rPr>
              <w:t>、</w:t>
            </w:r>
            <w:r>
              <w:rPr>
                <w:rFonts w:hint="default" w:ascii="Times New Roman" w:hAnsi="Times New Roman" w:eastAsia="宋体" w:cs="Times New Roman"/>
                <w:bCs/>
                <w:color w:val="auto"/>
                <w:sz w:val="24"/>
                <w:szCs w:val="24"/>
                <w:highlight w:val="none"/>
                <w:lang w:val="en-US" w:eastAsia="zh-CN"/>
              </w:rPr>
              <w:t>《产业结构调整指导目录(2019年本)》相关要求</w:t>
            </w:r>
            <w:r>
              <w:rPr>
                <w:rFonts w:hint="eastAsia" w:cs="Times New Roman"/>
                <w:bCs/>
                <w:color w:val="auto"/>
                <w:sz w:val="24"/>
                <w:szCs w:val="24"/>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3）项目不属于《关于河北省区域禁（限）批建项目的实施意见（试行）》（冀政[2009]89号）中区域禁止和限制建设项目，不在该文件规定的环境敏感区内，也不属于《河北省新增限制和淘汰类产业目录（2015年版）》中限制和淘汰类项目，符合河北省政策要求。</w:t>
            </w:r>
            <w:r>
              <w:rPr>
                <w:rFonts w:hint="eastAsia" w:cs="Times New Roman"/>
                <w:bCs/>
                <w:color w:val="auto"/>
                <w:sz w:val="24"/>
                <w:szCs w:val="24"/>
                <w:highlight w:val="non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（4）项目不属于秦皇岛市发展和改革委员会制定的《秦皇岛市限制和禁止投资的产业目录（2020年修订版）》中限制类和淘汰类，符合秦皇岛市产业政策要求。</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rFonts w:hint="default" w:ascii="Times New Roman" w:hAnsi="Times New Roman" w:eastAsia="宋体" w:cs="Times New Roman"/>
                <w:bCs/>
                <w:color w:val="auto"/>
                <w:sz w:val="24"/>
                <w:szCs w:val="24"/>
                <w:highlight w:val="none"/>
                <w:lang w:val="en-US" w:eastAsia="zh-CN"/>
              </w:rPr>
            </w:pPr>
            <w:r>
              <w:rPr>
                <w:rFonts w:hint="eastAsia" w:cs="Times New Roman"/>
                <w:bCs/>
                <w:color w:val="auto"/>
                <w:sz w:val="24"/>
                <w:szCs w:val="24"/>
                <w:highlight w:val="none"/>
                <w:lang w:val="en-US" w:eastAsia="zh-CN"/>
              </w:rPr>
              <w:t>综上，本项目建设符合相关产业政策。</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2、选址合理性分析</w:t>
            </w:r>
          </w:p>
          <w:p>
            <w:pPr>
              <w:pStyle w:val="50"/>
              <w:bidi w:val="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本项目位于</w:t>
            </w:r>
            <w:r>
              <w:rPr>
                <w:rFonts w:hint="eastAsia" w:ascii="Times New Roman" w:hAnsi="Times New Roman" w:cs="Times New Roman"/>
                <w:color w:val="auto"/>
                <w:highlight w:val="none"/>
                <w:lang w:val="en-US" w:eastAsia="zh-CN"/>
              </w:rPr>
              <w:t>联安机械院内</w:t>
            </w:r>
            <w:r>
              <w:rPr>
                <w:rFonts w:hint="default" w:ascii="Times New Roman" w:hAnsi="Times New Roman" w:cs="Times New Roman"/>
                <w:color w:val="auto"/>
                <w:highlight w:val="none"/>
                <w:lang w:val="en-US" w:eastAsia="zh-CN"/>
              </w:rPr>
              <w:t>，</w:t>
            </w:r>
            <w:r>
              <w:rPr>
                <w:rFonts w:hint="eastAsia" w:ascii="Times New Roman" w:hAnsi="Times New Roman" w:cs="Times New Roman"/>
                <w:color w:val="auto"/>
                <w:highlight w:val="none"/>
                <w:lang w:val="en-US" w:eastAsia="zh-CN"/>
              </w:rPr>
              <w:t>不新增占地</w:t>
            </w:r>
            <w:r>
              <w:rPr>
                <w:rFonts w:hint="default" w:ascii="Times New Roman" w:hAnsi="Times New Roman" w:cs="Times New Roman"/>
                <w:color w:val="auto"/>
                <w:highlight w:val="none"/>
                <w:lang w:val="en-US" w:eastAsia="zh-CN"/>
              </w:rPr>
              <w:t>，</w:t>
            </w:r>
            <w:r>
              <w:rPr>
                <w:rFonts w:hint="eastAsia" w:ascii="Times New Roman" w:hAnsi="Times New Roman" w:cs="Times New Roman"/>
                <w:color w:val="auto"/>
                <w:highlight w:val="none"/>
                <w:lang w:val="en-US" w:eastAsia="zh-CN"/>
              </w:rPr>
              <w:t>新建喷漆房位于厂区中部，有组织非甲烷总烃排气筒500m范围内无大气敏感点，废气经治理后可达标排放，对周边环境影响较小，</w:t>
            </w:r>
            <w:r>
              <w:rPr>
                <w:rFonts w:hint="default" w:ascii="Times New Roman" w:hAnsi="Times New Roman" w:cs="Times New Roman"/>
                <w:color w:val="auto"/>
                <w:highlight w:val="none"/>
                <w:lang w:val="en-US" w:eastAsia="zh-CN"/>
              </w:rPr>
              <w:t>符合秦皇岛市土地利用总体规划要求同时符合秦皇岛市城乡规划要求</w:t>
            </w:r>
            <w:r>
              <w:rPr>
                <w:rFonts w:hint="eastAsia" w:ascii="Times New Roman" w:hAnsi="Times New Roman" w:cs="Times New Roman"/>
                <w:color w:val="auto"/>
                <w:highlight w:val="none"/>
                <w:lang w:val="en-US" w:eastAsia="zh-CN"/>
              </w:rPr>
              <w:t>（详见附图4）</w:t>
            </w:r>
            <w:r>
              <w:rPr>
                <w:rFonts w:hint="default" w:ascii="Times New Roman" w:hAnsi="Times New Roman" w:cs="Times New Roman"/>
                <w:color w:val="auto"/>
                <w:highlight w:val="none"/>
                <w:lang w:val="en-US" w:eastAsia="zh-CN"/>
              </w:rPr>
              <w:t>。</w:t>
            </w:r>
          </w:p>
          <w:p>
            <w:pPr>
              <w:pStyle w:val="50"/>
              <w:bidi w:val="0"/>
              <w:rPr>
                <w:rFonts w:hint="eastAsia"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厂址周围无饮用水源保护区、自然保护区和风景名胜区等敏感区域。项目不在国土资源部、国家发展和改革委员会发布的《限制用地项目目录（2012年本）》和《禁止用地项目目录（2012年本）》的范围内，项目场地不在河北省冀政[2009]89号《关于河北省区域禁（限）批建设项目的实施意见（试行）》范围内，也不属于《河北省环境敏感区支持、限制及禁止建设项目名录（2005年本）》中的限制、禁止内容</w:t>
            </w:r>
            <w:r>
              <w:rPr>
                <w:rFonts w:hint="eastAsia" w:ascii="Times New Roman" w:hAnsi="Times New Roman" w:cs="Times New Roman"/>
                <w:color w:val="auto"/>
                <w:highlight w:val="none"/>
                <w:lang w:val="en-US" w:eastAsia="zh-CN"/>
              </w:rPr>
              <w:t>。</w:t>
            </w:r>
          </w:p>
          <w:p>
            <w:pPr>
              <w:pStyle w:val="50"/>
              <w:bidi w:val="0"/>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综上所述，本项目选址可行</w:t>
            </w:r>
            <w:r>
              <w:rPr>
                <w:rFonts w:hint="default" w:ascii="Times New Roman" w:hAnsi="Times New Roman" w:cs="Times New Roman"/>
                <w:color w:val="auto"/>
                <w:highlight w:val="none"/>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80" w:leftChars="0"/>
              <w:jc w:val="left"/>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bCs/>
                <w:color w:val="auto"/>
                <w:sz w:val="24"/>
                <w:szCs w:val="24"/>
                <w:highlight w:val="none"/>
                <w:lang w:val="en-US" w:eastAsia="zh-CN"/>
              </w:rPr>
              <w:t>3、平面布局合理</w:t>
            </w:r>
            <w:r>
              <w:rPr>
                <w:rFonts w:hint="default" w:ascii="Times New Roman" w:hAnsi="Times New Roman" w:eastAsia="宋体" w:cs="Times New Roman"/>
                <w:bCs/>
                <w:color w:val="auto"/>
                <w:sz w:val="24"/>
                <w:szCs w:val="24"/>
                <w:highlight w:val="none"/>
              </w:rPr>
              <w:t>性分析</w:t>
            </w:r>
          </w:p>
          <w:p>
            <w:pPr>
              <w:pStyle w:val="2"/>
              <w:keepNext w:val="0"/>
              <w:keepLines w:val="0"/>
              <w:pageBreakBefore w:val="0"/>
              <w:widowControl w:val="0"/>
              <w:kinsoku/>
              <w:wordWrap/>
              <w:overflowPunct/>
              <w:topLinePunct w:val="0"/>
              <w:autoSpaceDE/>
              <w:autoSpaceDN/>
              <w:bidi w:val="0"/>
              <w:adjustRightInd w:val="0"/>
              <w:snapToGrid w:val="0"/>
              <w:spacing w:after="0" w:line="360" w:lineRule="auto"/>
              <w:ind w:left="0" w:leftChars="0" w:firstLine="480" w:firstLineChars="200"/>
              <w:textAlignment w:val="auto"/>
              <w:rPr>
                <w:rFonts w:hint="default" w:ascii="Times New Roman" w:hAnsi="Times New Roman" w:eastAsia="宋体" w:cs="Times New Roman"/>
                <w:bCs/>
                <w:color w:val="auto"/>
                <w:sz w:val="24"/>
                <w:szCs w:val="24"/>
                <w:highlight w:val="none"/>
                <w:lang w:val="en-US" w:eastAsia="zh-CN"/>
              </w:rPr>
            </w:pPr>
            <w:r>
              <w:rPr>
                <w:rFonts w:hint="eastAsia" w:cs="Times New Roman"/>
                <w:bCs/>
                <w:color w:val="auto"/>
                <w:sz w:val="24"/>
                <w:szCs w:val="24"/>
                <w:highlight w:val="none"/>
                <w:lang w:val="en-US" w:eastAsia="zh-CN"/>
              </w:rPr>
              <w:t>本次技改项目在</w:t>
            </w:r>
            <w:r>
              <w:rPr>
                <w:rFonts w:hint="default" w:ascii="Times New Roman" w:hAnsi="Times New Roman" w:eastAsia="宋体" w:cs="Times New Roman"/>
                <w:color w:val="auto"/>
                <w:highlight w:val="none"/>
                <w:lang w:val="en-US" w:eastAsia="zh-CN"/>
              </w:rPr>
              <w:t>联安机械</w:t>
            </w:r>
            <w:r>
              <w:rPr>
                <w:rFonts w:hint="eastAsia" w:cs="Times New Roman"/>
                <w:color w:val="auto"/>
                <w:highlight w:val="none"/>
                <w:lang w:val="en-US" w:eastAsia="zh-CN"/>
              </w:rPr>
              <w:t>院内进行建设，新建喷漆房在现有生产车间内建设，位于生产车间南侧，不影响生产车间整体运行及物料进出，布局合理。</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jc w:val="left"/>
              <w:textAlignment w:val="auto"/>
              <w:rPr>
                <w:rFonts w:hint="default" w:ascii="Times New Roman" w:hAnsi="Times New Roman" w:eastAsia="宋体" w:cs="Times New Roman"/>
                <w:bCs/>
                <w:color w:val="auto"/>
                <w:sz w:val="24"/>
                <w:szCs w:val="24"/>
                <w:highlight w:val="none"/>
              </w:rPr>
            </w:pPr>
            <w:r>
              <w:rPr>
                <w:rFonts w:hint="default" w:ascii="Times New Roman" w:hAnsi="Times New Roman" w:eastAsia="宋体" w:cs="Times New Roman"/>
                <w:bCs/>
                <w:color w:val="auto"/>
                <w:sz w:val="24"/>
                <w:szCs w:val="24"/>
                <w:highlight w:val="none"/>
                <w:lang w:val="en-US" w:eastAsia="zh-CN"/>
              </w:rPr>
              <w:t>4、</w:t>
            </w:r>
            <w:r>
              <w:rPr>
                <w:rFonts w:hint="default" w:ascii="Times New Roman" w:hAnsi="Times New Roman" w:eastAsia="宋体" w:cs="Times New Roman"/>
                <w:bCs/>
                <w:color w:val="auto"/>
                <w:sz w:val="24"/>
                <w:szCs w:val="24"/>
                <w:highlight w:val="none"/>
                <w:lang w:eastAsia="zh-CN"/>
              </w:rPr>
              <w:t>“</w:t>
            </w:r>
            <w:r>
              <w:rPr>
                <w:rFonts w:hint="default" w:ascii="Times New Roman" w:hAnsi="Times New Roman" w:eastAsia="宋体" w:cs="Times New Roman"/>
                <w:bCs/>
                <w:color w:val="auto"/>
                <w:sz w:val="24"/>
                <w:szCs w:val="24"/>
                <w:highlight w:val="none"/>
              </w:rPr>
              <w:t>三线一单</w:t>
            </w:r>
            <w:r>
              <w:rPr>
                <w:rFonts w:hint="default" w:ascii="Times New Roman" w:hAnsi="Times New Roman" w:eastAsia="宋体" w:cs="Times New Roman"/>
                <w:bCs/>
                <w:color w:val="auto"/>
                <w:sz w:val="24"/>
                <w:szCs w:val="24"/>
                <w:highlight w:val="none"/>
                <w:lang w:eastAsia="zh-CN"/>
              </w:rPr>
              <w:t>”</w:t>
            </w:r>
            <w:r>
              <w:rPr>
                <w:rFonts w:hint="default" w:ascii="Times New Roman" w:hAnsi="Times New Roman" w:eastAsia="宋体" w:cs="Times New Roman"/>
                <w:bCs/>
                <w:color w:val="auto"/>
                <w:sz w:val="24"/>
                <w:szCs w:val="24"/>
                <w:highlight w:val="none"/>
              </w:rPr>
              <w:t>符合性分析</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jc w:val="left"/>
              <w:textAlignment w:val="auto"/>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color w:val="auto"/>
                <w:sz w:val="24"/>
                <w:szCs w:val="24"/>
                <w:highlight w:val="none"/>
              </w:rPr>
              <w:t>根据《关于以改善环境质量为核心加强环境影响评价管理的通知》（环环评[2016]150号），文中</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为适应以改善环境质量为核心的环境管理要求，切实加强环境影响评价（以下简称环评）管理，落实生态保护红线、环境质量底线、资源利用上线和环境准入负面清单（以下简称</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三线一单</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）约束，建立项目环评审批与规划环评、现有项目环境管理、区域环境质量联动机制（以下简称</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三挂钩</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机制），更好地发挥环评制度从源头防范环境污染和生态破坏的作用，加快推进改善环境质量</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的要求，本项目结合生态环境部关于</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三线一单</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要求进行判定，详见下表。</w:t>
            </w:r>
          </w:p>
          <w:p>
            <w:pPr>
              <w:pStyle w:val="51"/>
              <w:pageBreakBefore w:val="0"/>
              <w:widowControl w:val="0"/>
              <w:kinsoku/>
              <w:wordWrap/>
              <w:topLinePunct w:val="0"/>
              <w:bidi w:val="0"/>
              <w:spacing w:line="240" w:lineRule="auto"/>
              <w:textAlignment w:val="auto"/>
              <w:rPr>
                <w:rFonts w:hint="default" w:ascii="Times New Roman" w:hAnsi="Times New Roman" w:eastAsia="宋体" w:cs="Times New Roman"/>
                <w:color w:val="auto"/>
                <w:sz w:val="21"/>
                <w:szCs w:val="16"/>
                <w:highlight w:val="none"/>
                <w:lang w:val="en-US" w:eastAsia="zh-CN"/>
              </w:rPr>
            </w:pPr>
            <w:r>
              <w:rPr>
                <w:rFonts w:hint="default" w:ascii="Times New Roman" w:hAnsi="Times New Roman" w:eastAsia="宋体" w:cs="Times New Roman"/>
                <w:color w:val="auto"/>
                <w:sz w:val="21"/>
                <w:szCs w:val="16"/>
                <w:highlight w:val="none"/>
                <w:lang w:val="en-US" w:eastAsia="zh-CN"/>
              </w:rPr>
              <w:t>表1-2  “三线一单”符合性分析</w:t>
            </w:r>
          </w:p>
          <w:tbl>
            <w:tblPr>
              <w:tblStyle w:val="32"/>
              <w:tblW w:w="499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35"/>
              <w:gridCol w:w="3150"/>
              <w:gridCol w:w="37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08" w:type="pct"/>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内容</w:t>
                  </w:r>
                </w:p>
              </w:tc>
              <w:tc>
                <w:tcPr>
                  <w:tcW w:w="1963" w:type="pct"/>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文件要求</w:t>
                  </w:r>
                </w:p>
              </w:tc>
              <w:tc>
                <w:tcPr>
                  <w:tcW w:w="2328" w:type="pct"/>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符合性分析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08" w:type="pct"/>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生态保护红线</w:t>
                  </w:r>
                </w:p>
              </w:tc>
              <w:tc>
                <w:tcPr>
                  <w:tcW w:w="1963" w:type="pct"/>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生态保护红线是生态空间范围内具有特殊重要生态功能必须实行强制性严格保护的区域。在生态保护红线范围内，严控各类开发建设活动，依法不予审批新建工业项目和矿产开发项目的环评文件。</w:t>
                  </w:r>
                </w:p>
              </w:tc>
              <w:tc>
                <w:tcPr>
                  <w:tcW w:w="2328" w:type="pct"/>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本项目</w:t>
                  </w:r>
                  <w:r>
                    <w:rPr>
                      <w:rFonts w:hint="eastAsia" w:cs="Times New Roman"/>
                      <w:color w:val="auto"/>
                      <w:sz w:val="21"/>
                      <w:szCs w:val="21"/>
                      <w:highlight w:val="none"/>
                      <w:lang w:val="en-US" w:eastAsia="zh-CN"/>
                    </w:rPr>
                    <w:t>在联安机械厂区内建设</w:t>
                  </w:r>
                  <w:r>
                    <w:rPr>
                      <w:rFonts w:hint="default" w:ascii="Times New Roman" w:hAnsi="Times New Roman" w:eastAsia="宋体" w:cs="Times New Roman"/>
                      <w:color w:val="auto"/>
                      <w:sz w:val="21"/>
                      <w:szCs w:val="21"/>
                      <w:highlight w:val="none"/>
                    </w:rPr>
                    <w:t>，该地区周围无自然保护区、风景名胜区、饮用水水源保护区等生态保护目标，</w:t>
                  </w:r>
                  <w:r>
                    <w:rPr>
                      <w:rFonts w:hint="eastAsia" w:cs="Times New Roman"/>
                      <w:color w:val="auto"/>
                      <w:sz w:val="21"/>
                      <w:szCs w:val="21"/>
                      <w:highlight w:val="none"/>
                      <w:lang w:val="en-US" w:eastAsia="zh-CN"/>
                    </w:rPr>
                    <w:t>不位于生态保护红线内，</w:t>
                  </w:r>
                  <w:r>
                    <w:rPr>
                      <w:rFonts w:hint="default" w:ascii="Times New Roman" w:hAnsi="Times New Roman" w:eastAsia="宋体" w:cs="Times New Roman"/>
                      <w:color w:val="auto"/>
                      <w:sz w:val="21"/>
                      <w:szCs w:val="21"/>
                      <w:highlight w:val="none"/>
                    </w:rPr>
                    <w:t>满足生态保护红线要求。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08" w:type="pct"/>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环境质量底线</w:t>
                  </w:r>
                </w:p>
              </w:tc>
              <w:tc>
                <w:tcPr>
                  <w:tcW w:w="1963" w:type="pct"/>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环境质量底线是国家和地方设置的大气、水和土壤环境质量目标，也是改善环境质量的基准线。项目环评应对照区域环境质量目标，深入分析预测项目建设对环境质量的影响，强化污染防治措施和污染物排放控制要求。</w:t>
                  </w:r>
                </w:p>
              </w:tc>
              <w:tc>
                <w:tcPr>
                  <w:tcW w:w="2328" w:type="pct"/>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sz w:val="21"/>
                      <w:szCs w:val="21"/>
                      <w:highlight w:val="none"/>
                    </w:rPr>
                    <w:t>本项目所在区域环境空气质量</w:t>
                  </w:r>
                  <w:r>
                    <w:rPr>
                      <w:rFonts w:hint="eastAsia" w:cs="Times New Roman"/>
                      <w:color w:val="auto"/>
                      <w:sz w:val="21"/>
                      <w:szCs w:val="21"/>
                      <w:highlight w:val="none"/>
                      <w:lang w:val="en-US" w:eastAsia="zh-CN"/>
                    </w:rPr>
                    <w:t>臭氧不</w:t>
                  </w:r>
                  <w:r>
                    <w:rPr>
                      <w:rFonts w:hint="default" w:ascii="Times New Roman" w:hAnsi="Times New Roman" w:eastAsia="宋体" w:cs="Times New Roman"/>
                      <w:color w:val="auto"/>
                      <w:sz w:val="21"/>
                      <w:szCs w:val="21"/>
                      <w:highlight w:val="none"/>
                    </w:rPr>
                    <w:t>达标，经过国家和社会各界的共同努力，环境空气质量可以得到改善，长期以来可以达标，项目所在区域声环境质量、水环境质量能够满足相应的标准要求，</w:t>
                  </w:r>
                  <w:r>
                    <w:rPr>
                      <w:rFonts w:hint="eastAsia" w:cs="Times New Roman"/>
                      <w:color w:val="auto"/>
                      <w:sz w:val="21"/>
                      <w:szCs w:val="21"/>
                      <w:highlight w:val="none"/>
                      <w:lang w:val="en-US" w:eastAsia="zh-CN"/>
                    </w:rPr>
                    <w:t>本项目废气主要为喷漆房产生的非甲烷总烃，经处理后达标排放，不新增生活污水的排放，固体废物妥善处置，</w:t>
                  </w:r>
                  <w:r>
                    <w:rPr>
                      <w:rFonts w:hint="default" w:ascii="Times New Roman" w:hAnsi="Times New Roman" w:eastAsia="宋体" w:cs="Times New Roman"/>
                      <w:color w:val="auto"/>
                      <w:sz w:val="21"/>
                      <w:szCs w:val="21"/>
                      <w:highlight w:val="none"/>
                    </w:rPr>
                    <w:t>对周围环境的影响不大，符合环境质量底线要求。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08" w:type="pct"/>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资源利用上线</w:t>
                  </w:r>
                </w:p>
              </w:tc>
              <w:tc>
                <w:tcPr>
                  <w:tcW w:w="1963" w:type="pct"/>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资源利用上线是各地区能源、水、土地等资源消耗不得突破的</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天花板</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相关规划环评应依据有关资源利用上线，对规划实施以及规划内项目的资源开发利用，区分不同行业，从能源资源开发等量或减量替代、开采方式和规模控制、利用效率和保护措施等方面提出建议，为规划编制和审批决策提供重要依据。</w:t>
                  </w:r>
                </w:p>
              </w:tc>
              <w:tc>
                <w:tcPr>
                  <w:tcW w:w="2328" w:type="pct"/>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本项目为</w:t>
                  </w:r>
                  <w:r>
                    <w:rPr>
                      <w:rFonts w:hint="default" w:ascii="Times New Roman" w:hAnsi="Times New Roman" w:eastAsia="宋体" w:cs="Times New Roman"/>
                      <w:color w:val="auto"/>
                      <w:sz w:val="21"/>
                      <w:szCs w:val="21"/>
                      <w:highlight w:val="none"/>
                      <w:lang w:val="en-US" w:eastAsia="zh-CN"/>
                    </w:rPr>
                    <w:t>技术改造</w:t>
                  </w:r>
                  <w:r>
                    <w:rPr>
                      <w:rFonts w:hint="default" w:ascii="Times New Roman" w:hAnsi="Times New Roman" w:eastAsia="宋体" w:cs="Times New Roman"/>
                      <w:color w:val="auto"/>
                      <w:sz w:val="21"/>
                      <w:szCs w:val="21"/>
                      <w:highlight w:val="none"/>
                      <w:lang w:eastAsia="zh-CN"/>
                    </w:rPr>
                    <w:t>项目</w:t>
                  </w:r>
                  <w:r>
                    <w:rPr>
                      <w:rFonts w:hint="default" w:ascii="Times New Roman" w:hAnsi="Times New Roman" w:eastAsia="宋体" w:cs="Times New Roman"/>
                      <w:color w:val="auto"/>
                      <w:sz w:val="21"/>
                      <w:szCs w:val="21"/>
                      <w:highlight w:val="none"/>
                    </w:rPr>
                    <w:t>，</w:t>
                  </w:r>
                  <w:r>
                    <w:rPr>
                      <w:rFonts w:hint="eastAsia" w:cs="Times New Roman"/>
                      <w:color w:val="auto"/>
                      <w:sz w:val="21"/>
                      <w:szCs w:val="21"/>
                      <w:highlight w:val="none"/>
                      <w:lang w:val="en-US" w:eastAsia="zh-CN"/>
                    </w:rPr>
                    <w:t>不</w:t>
                  </w:r>
                  <w:r>
                    <w:rPr>
                      <w:rFonts w:hint="default" w:ascii="Times New Roman" w:hAnsi="Times New Roman" w:eastAsia="宋体" w:cs="Times New Roman"/>
                      <w:color w:val="auto"/>
                      <w:sz w:val="21"/>
                      <w:szCs w:val="21"/>
                      <w:highlight w:val="none"/>
                      <w:lang w:val="en-US" w:eastAsia="zh-CN"/>
                    </w:rPr>
                    <w:t>新</w:t>
                  </w:r>
                  <w:r>
                    <w:rPr>
                      <w:rFonts w:hint="default" w:ascii="Times New Roman" w:hAnsi="Times New Roman" w:eastAsia="宋体" w:cs="Times New Roman"/>
                      <w:color w:val="auto"/>
                      <w:sz w:val="21"/>
                      <w:szCs w:val="21"/>
                      <w:highlight w:val="none"/>
                    </w:rPr>
                    <w:t>增新</w:t>
                  </w:r>
                  <w:r>
                    <w:rPr>
                      <w:rFonts w:hint="default" w:ascii="Times New Roman" w:hAnsi="Times New Roman" w:eastAsia="宋体" w:cs="Times New Roman"/>
                      <w:color w:val="auto"/>
                      <w:sz w:val="21"/>
                      <w:szCs w:val="21"/>
                      <w:highlight w:val="none"/>
                      <w:lang w:val="en-US" w:eastAsia="zh-CN"/>
                    </w:rPr>
                    <w:t>鲜</w:t>
                  </w:r>
                  <w:r>
                    <w:rPr>
                      <w:rFonts w:hint="default" w:ascii="Times New Roman" w:hAnsi="Times New Roman" w:eastAsia="宋体" w:cs="Times New Roman"/>
                      <w:color w:val="auto"/>
                      <w:sz w:val="21"/>
                      <w:szCs w:val="21"/>
                      <w:highlight w:val="none"/>
                    </w:rPr>
                    <w:t>水用量、</w:t>
                  </w:r>
                  <w:r>
                    <w:rPr>
                      <w:rFonts w:hint="eastAsia" w:cs="Times New Roman"/>
                      <w:color w:val="auto"/>
                      <w:sz w:val="21"/>
                      <w:szCs w:val="21"/>
                      <w:highlight w:val="none"/>
                      <w:lang w:val="en-US" w:eastAsia="zh-CN"/>
                    </w:rPr>
                    <w:t>新增用电量较小，</w:t>
                  </w:r>
                  <w:r>
                    <w:rPr>
                      <w:rFonts w:hint="default" w:ascii="Times New Roman" w:hAnsi="Times New Roman" w:eastAsia="宋体" w:cs="Times New Roman"/>
                      <w:color w:val="auto"/>
                      <w:sz w:val="21"/>
                      <w:szCs w:val="21"/>
                      <w:highlight w:val="none"/>
                    </w:rPr>
                    <w:t>能源需求结构及数量，符合资源利用上线要求。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08" w:type="pct"/>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环境准入负面清单</w:t>
                  </w:r>
                </w:p>
              </w:tc>
              <w:tc>
                <w:tcPr>
                  <w:tcW w:w="1963" w:type="pct"/>
                  <w:noWrap w:val="0"/>
                  <w:vAlign w:val="center"/>
                </w:tcPr>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环境准入负面清单是基于生态保护红线、环境质量底线和资源利用上线，以清单方式列出的禁止、限制等差别化环境准入条件和要求。要在规划环评清单式管理试点的基础上，从布局选址、资源利用效率、资源配置方式等方面入手，制定环境准入负面清单，充分发挥负面清单对产业发展和项目准入的指导和约束作用。</w:t>
                  </w:r>
                </w:p>
              </w:tc>
              <w:tc>
                <w:tcPr>
                  <w:tcW w:w="2328" w:type="pct"/>
                  <w:noWrap w:val="0"/>
                  <w:vAlign w:val="center"/>
                </w:tcPr>
                <w:p>
                  <w:pPr>
                    <w:pStyle w:val="53"/>
                    <w:keepNext w:val="0"/>
                    <w:keepLines w:val="0"/>
                    <w:pageBreakBefore w:val="0"/>
                    <w:widowControl w:val="0"/>
                    <w:kinsoku/>
                    <w:wordWrap/>
                    <w:overflowPunct/>
                    <w:topLinePunct w:val="0"/>
                    <w:bidi w:val="0"/>
                    <w:adjustRightInd w:val="0"/>
                    <w:snapToGrid w:val="0"/>
                    <w:spacing w:line="240" w:lineRule="auto"/>
                    <w:ind w:firstLine="420" w:firstLineChars="200"/>
                    <w:jc w:val="left"/>
                    <w:textAlignment w:val="auto"/>
                    <w:rPr>
                      <w:rFonts w:hint="default" w:ascii="Times New Roman" w:hAnsi="Times New Roman" w:eastAsia="宋体" w:cs="Times New Roman"/>
                      <w:b w:val="0"/>
                      <w:snapToGrid w:val="0"/>
                      <w:color w:val="auto"/>
                      <w:spacing w:val="0"/>
                      <w:w w:val="100"/>
                      <w:sz w:val="21"/>
                      <w:szCs w:val="21"/>
                      <w:highlight w:val="none"/>
                    </w:rPr>
                  </w:pPr>
                  <w:r>
                    <w:rPr>
                      <w:rFonts w:hint="default" w:ascii="Times New Roman" w:hAnsi="Times New Roman" w:eastAsia="宋体" w:cs="Times New Roman"/>
                      <w:b w:val="0"/>
                      <w:snapToGrid w:val="0"/>
                      <w:color w:val="auto"/>
                      <w:spacing w:val="0"/>
                      <w:w w:val="100"/>
                      <w:sz w:val="21"/>
                      <w:szCs w:val="21"/>
                      <w:highlight w:val="none"/>
                    </w:rPr>
                    <w:t>本项目不属于《市场准入负面清单（</w:t>
                  </w:r>
                  <w:r>
                    <w:rPr>
                      <w:rFonts w:hint="default" w:ascii="Times New Roman" w:hAnsi="Times New Roman" w:eastAsia="宋体" w:cs="Times New Roman"/>
                      <w:b w:val="0"/>
                      <w:snapToGrid w:val="0"/>
                      <w:color w:val="auto"/>
                      <w:spacing w:val="0"/>
                      <w:w w:val="100"/>
                      <w:sz w:val="21"/>
                      <w:szCs w:val="21"/>
                      <w:highlight w:val="none"/>
                      <w:lang w:val="en-US" w:eastAsia="zh-CN"/>
                    </w:rPr>
                    <w:t>2020</w:t>
                  </w:r>
                  <w:r>
                    <w:rPr>
                      <w:rFonts w:hint="default" w:ascii="Times New Roman" w:hAnsi="Times New Roman" w:eastAsia="宋体" w:cs="Times New Roman"/>
                      <w:b w:val="0"/>
                      <w:snapToGrid w:val="0"/>
                      <w:color w:val="auto"/>
                      <w:spacing w:val="0"/>
                      <w:w w:val="100"/>
                      <w:sz w:val="21"/>
                      <w:szCs w:val="21"/>
                      <w:highlight w:val="none"/>
                    </w:rPr>
                    <w:t>年版）》、《河北省禁止投资的产业目录》、《秦皇岛市</w:t>
                  </w:r>
                  <w:r>
                    <w:rPr>
                      <w:rFonts w:hint="default" w:ascii="Times New Roman" w:hAnsi="Times New Roman" w:eastAsia="宋体" w:cs="Times New Roman"/>
                      <w:b w:val="0"/>
                      <w:snapToGrid w:val="0"/>
                      <w:color w:val="auto"/>
                      <w:spacing w:val="0"/>
                      <w:w w:val="100"/>
                      <w:sz w:val="21"/>
                      <w:szCs w:val="21"/>
                      <w:highlight w:val="none"/>
                      <w:lang w:eastAsia="zh-CN"/>
                    </w:rPr>
                    <w:t>限</w:t>
                  </w:r>
                  <w:r>
                    <w:rPr>
                      <w:rFonts w:hint="default" w:ascii="Times New Roman" w:hAnsi="Times New Roman" w:eastAsia="宋体" w:cs="Times New Roman"/>
                      <w:b w:val="0"/>
                      <w:snapToGrid w:val="0"/>
                      <w:color w:val="auto"/>
                      <w:spacing w:val="0"/>
                      <w:w w:val="100"/>
                      <w:sz w:val="21"/>
                      <w:szCs w:val="21"/>
                      <w:highlight w:val="none"/>
                      <w:lang w:val="en-US" w:eastAsia="zh-CN"/>
                    </w:rPr>
                    <w:t>制</w:t>
                  </w:r>
                  <w:r>
                    <w:rPr>
                      <w:rFonts w:hint="default" w:ascii="Times New Roman" w:hAnsi="Times New Roman" w:eastAsia="宋体" w:cs="Times New Roman"/>
                      <w:b w:val="0"/>
                      <w:snapToGrid w:val="0"/>
                      <w:color w:val="auto"/>
                      <w:spacing w:val="0"/>
                      <w:w w:val="100"/>
                      <w:sz w:val="21"/>
                      <w:szCs w:val="21"/>
                      <w:highlight w:val="none"/>
                    </w:rPr>
                    <w:t>和禁止投资的产业目录（2020年修订版）》中的</w:t>
                  </w:r>
                  <w:r>
                    <w:rPr>
                      <w:rFonts w:hint="default" w:ascii="Times New Roman" w:hAnsi="Times New Roman" w:eastAsia="宋体" w:cs="Times New Roman"/>
                      <w:b w:val="0"/>
                      <w:snapToGrid w:val="0"/>
                      <w:color w:val="auto"/>
                      <w:spacing w:val="0"/>
                      <w:w w:val="100"/>
                      <w:sz w:val="21"/>
                      <w:szCs w:val="21"/>
                      <w:highlight w:val="none"/>
                      <w:lang w:eastAsia="zh-CN"/>
                    </w:rPr>
                    <w:t>限</w:t>
                  </w:r>
                  <w:r>
                    <w:rPr>
                      <w:rFonts w:hint="default" w:ascii="Times New Roman" w:hAnsi="Times New Roman" w:eastAsia="宋体" w:cs="Times New Roman"/>
                      <w:b w:val="0"/>
                      <w:snapToGrid w:val="0"/>
                      <w:color w:val="auto"/>
                      <w:spacing w:val="0"/>
                      <w:w w:val="100"/>
                      <w:sz w:val="21"/>
                      <w:szCs w:val="21"/>
                      <w:highlight w:val="none"/>
                      <w:lang w:val="en-US" w:eastAsia="zh-CN"/>
                    </w:rPr>
                    <w:t>制</w:t>
                  </w:r>
                  <w:r>
                    <w:rPr>
                      <w:rFonts w:hint="default" w:ascii="Times New Roman" w:hAnsi="Times New Roman" w:eastAsia="宋体" w:cs="Times New Roman"/>
                      <w:b w:val="0"/>
                      <w:snapToGrid w:val="0"/>
                      <w:color w:val="auto"/>
                      <w:spacing w:val="0"/>
                      <w:w w:val="100"/>
                      <w:sz w:val="21"/>
                      <w:szCs w:val="21"/>
                      <w:highlight w:val="none"/>
                    </w:rPr>
                    <w:t>类和淘汰类项目，不在环境准入负面清单之列。</w:t>
                  </w:r>
                </w:p>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rPr>
                  </w:pPr>
                </w:p>
              </w:tc>
            </w:tr>
          </w:tbl>
          <w:p>
            <w:pPr>
              <w:pStyle w:val="40"/>
              <w:widowControl w:val="0"/>
              <w:numPr>
                <w:ilvl w:val="0"/>
                <w:numId w:val="0"/>
              </w:numPr>
              <w:adjustRightInd w:val="0"/>
              <w:spacing w:line="360" w:lineRule="auto"/>
              <w:jc w:val="both"/>
              <w:rPr>
                <w:rFonts w:hint="eastAsia" w:ascii="Times New Roman" w:hAnsi="Times New Roman" w:eastAsia="宋体" w:cs="Times New Roman"/>
                <w:color w:val="auto"/>
                <w:highlight w:val="none"/>
                <w:lang w:eastAsia="zh-CN"/>
              </w:rPr>
            </w:pPr>
          </w:p>
          <w:p>
            <w:pPr>
              <w:pStyle w:val="40"/>
              <w:widowControl w:val="0"/>
              <w:numPr>
                <w:ilvl w:val="0"/>
                <w:numId w:val="0"/>
              </w:numPr>
              <w:adjustRightInd w:val="0"/>
              <w:spacing w:line="360" w:lineRule="auto"/>
              <w:jc w:val="both"/>
              <w:rPr>
                <w:rFonts w:hint="eastAsia" w:ascii="Times New Roman" w:hAnsi="Times New Roman" w:eastAsia="宋体" w:cs="Times New Roman"/>
                <w:color w:val="auto"/>
                <w:highlight w:val="none"/>
                <w:lang w:eastAsia="zh-CN"/>
              </w:rPr>
            </w:pPr>
            <w:r>
              <w:rPr>
                <w:rFonts w:hint="eastAsia" w:ascii="Times New Roman" w:hAnsi="Times New Roman" w:eastAsia="宋体" w:cs="Times New Roman"/>
                <w:color w:val="auto"/>
                <w:highlight w:val="none"/>
                <w:lang w:eastAsia="zh-CN"/>
              </w:rPr>
              <w:drawing>
                <wp:inline distT="0" distB="0" distL="114300" distR="114300">
                  <wp:extent cx="5104130" cy="6383655"/>
                  <wp:effectExtent l="0" t="0" r="1270" b="17145"/>
                  <wp:docPr id="7" name="图片 7" descr="16696914636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1669691463607"/>
                          <pic:cNvPicPr>
                            <a:picLocks noChangeAspect="1"/>
                          </pic:cNvPicPr>
                        </pic:nvPicPr>
                        <pic:blipFill>
                          <a:blip r:embed="rId11"/>
                          <a:stretch>
                            <a:fillRect/>
                          </a:stretch>
                        </pic:blipFill>
                        <pic:spPr>
                          <a:xfrm>
                            <a:off x="0" y="0"/>
                            <a:ext cx="5104130" cy="6383655"/>
                          </a:xfrm>
                          <a:prstGeom prst="rect">
                            <a:avLst/>
                          </a:prstGeom>
                        </pic:spPr>
                      </pic:pic>
                    </a:graphicData>
                  </a:graphic>
                </wp:inline>
              </w:drawing>
            </w:r>
          </w:p>
          <w:p>
            <w:pPr>
              <w:pStyle w:val="51"/>
              <w:pageBreakBefore w:val="0"/>
              <w:widowControl w:val="0"/>
              <w:kinsoku/>
              <w:wordWrap/>
              <w:topLinePunct w:val="0"/>
              <w:bidi w:val="0"/>
              <w:spacing w:line="240" w:lineRule="auto"/>
              <w:textAlignment w:val="auto"/>
              <w:rPr>
                <w:rFonts w:hint="default" w:ascii="Times New Roman" w:hAnsi="Times New Roman" w:cs="Times New Roman"/>
                <w:color w:val="auto"/>
                <w:sz w:val="21"/>
                <w:szCs w:val="16"/>
                <w:highlight w:val="none"/>
                <w:lang w:val="en-US" w:eastAsia="zh-CN"/>
              </w:rPr>
            </w:pPr>
            <w:r>
              <w:rPr>
                <w:rFonts w:hint="default" w:ascii="Times New Roman" w:hAnsi="Times New Roman" w:cs="Times New Roman"/>
                <w:color w:val="auto"/>
                <w:sz w:val="21"/>
                <w:szCs w:val="16"/>
                <w:highlight w:val="none"/>
                <w:lang w:val="en-US" w:eastAsia="zh-CN"/>
              </w:rPr>
              <w:t>图</w:t>
            </w:r>
            <w:r>
              <w:rPr>
                <w:rFonts w:hint="eastAsia" w:cs="Times New Roman"/>
                <w:color w:val="auto"/>
                <w:sz w:val="21"/>
                <w:szCs w:val="16"/>
                <w:highlight w:val="none"/>
                <w:lang w:val="en-US" w:eastAsia="zh-CN"/>
              </w:rPr>
              <w:t>1-</w:t>
            </w:r>
            <w:r>
              <w:rPr>
                <w:rFonts w:hint="default" w:ascii="Times New Roman" w:hAnsi="Times New Roman" w:cs="Times New Roman"/>
                <w:color w:val="auto"/>
                <w:sz w:val="21"/>
                <w:szCs w:val="16"/>
                <w:highlight w:val="none"/>
                <w:lang w:val="en-US" w:eastAsia="zh-CN"/>
              </w:rPr>
              <w:t>1  本项目与生态保护红线位置关系</w:t>
            </w:r>
          </w:p>
          <w:p>
            <w:pPr>
              <w:autoSpaceDE w:val="0"/>
              <w:autoSpaceDN w:val="0"/>
              <w:adjustRightInd w:val="0"/>
              <w:snapToGrid w:val="0"/>
              <w:spacing w:line="360" w:lineRule="auto"/>
              <w:ind w:firstLine="480" w:firstLineChars="200"/>
              <w:rPr>
                <w:rFonts w:hint="default" w:ascii="Times New Roman" w:hAnsi="Times New Roman" w:cs="Times New Roman"/>
                <w:snapToGrid w:val="0"/>
                <w:color w:val="auto"/>
                <w:sz w:val="24"/>
                <w:highlight w:val="none"/>
              </w:rPr>
            </w:pPr>
            <w:r>
              <w:rPr>
                <w:rFonts w:hint="default" w:ascii="Times New Roman" w:hAnsi="Times New Roman" w:cs="Times New Roman"/>
                <w:color w:val="auto"/>
                <w:highlight w:val="none"/>
                <w:lang w:val="en-US" w:eastAsia="zh-CN"/>
              </w:rPr>
              <w:t>（5）</w:t>
            </w:r>
            <w:r>
              <w:rPr>
                <w:rFonts w:hint="default" w:ascii="Times New Roman" w:hAnsi="Times New Roman" w:cs="Times New Roman"/>
                <w:snapToGrid w:val="0"/>
                <w:color w:val="auto"/>
                <w:sz w:val="24"/>
                <w:highlight w:val="none"/>
              </w:rPr>
              <w:t>本项目位于</w:t>
            </w:r>
            <w:r>
              <w:rPr>
                <w:rFonts w:hint="default" w:ascii="Times New Roman" w:hAnsi="Times New Roman" w:eastAsia="宋体" w:cs="Times New Roman"/>
                <w:color w:val="auto"/>
                <w:sz w:val="24"/>
                <w:szCs w:val="24"/>
                <w:highlight w:val="none"/>
                <w:lang w:val="en-US" w:eastAsia="zh-CN"/>
              </w:rPr>
              <w:t>秦皇岛市</w:t>
            </w:r>
            <w:r>
              <w:rPr>
                <w:rFonts w:hint="default" w:ascii="Times New Roman" w:hAnsi="Times New Roman" w:cs="Times New Roman"/>
                <w:color w:val="auto"/>
                <w:sz w:val="24"/>
                <w:szCs w:val="24"/>
                <w:highlight w:val="none"/>
                <w:lang w:val="en-US" w:eastAsia="zh-CN"/>
              </w:rPr>
              <w:t>抚宁区</w:t>
            </w:r>
            <w:r>
              <w:rPr>
                <w:rFonts w:hint="default" w:ascii="Times New Roman" w:hAnsi="Times New Roman" w:eastAsia="宋体" w:cs="Times New Roman"/>
                <w:color w:val="auto"/>
                <w:highlight w:val="none"/>
                <w:lang w:val="en-US" w:eastAsia="zh-CN"/>
              </w:rPr>
              <w:t>秦皇岛联安机械科技有限公司院内</w:t>
            </w:r>
            <w:r>
              <w:rPr>
                <w:rFonts w:hint="default" w:ascii="Times New Roman" w:hAnsi="Times New Roman" w:cs="Times New Roman"/>
                <w:snapToGrid w:val="0"/>
                <w:color w:val="auto"/>
                <w:sz w:val="24"/>
                <w:highlight w:val="none"/>
              </w:rPr>
              <w:t>，按照《秦皇岛市人民政府关于秦皇岛市"三线一单"生态环境分区管控的实施意见》（秦政字【2021】6号）文件中规定本项目属于重点管控区；</w:t>
            </w:r>
          </w:p>
          <w:p>
            <w:pPr>
              <w:pStyle w:val="51"/>
              <w:pageBreakBefore w:val="0"/>
              <w:widowControl w:val="0"/>
              <w:kinsoku/>
              <w:wordWrap/>
              <w:topLinePunct w:val="0"/>
              <w:bidi w:val="0"/>
              <w:spacing w:line="240" w:lineRule="auto"/>
              <w:textAlignment w:val="auto"/>
              <w:rPr>
                <w:rFonts w:hint="default" w:ascii="Times New Roman" w:hAnsi="Times New Roman" w:eastAsia="宋体" w:cs="Times New Roman"/>
                <w:color w:val="auto"/>
                <w:sz w:val="21"/>
                <w:szCs w:val="16"/>
                <w:highlight w:val="none"/>
                <w:lang w:val="en-US" w:eastAsia="zh-CN"/>
              </w:rPr>
            </w:pPr>
            <w:r>
              <w:rPr>
                <w:rFonts w:hint="default" w:ascii="Times New Roman" w:hAnsi="Times New Roman" w:eastAsia="宋体" w:cs="Times New Roman"/>
                <w:color w:val="auto"/>
                <w:sz w:val="21"/>
                <w:szCs w:val="16"/>
                <w:highlight w:val="none"/>
                <w:lang w:val="en-US" w:eastAsia="zh-CN"/>
              </w:rPr>
              <w:t>表</w:t>
            </w:r>
            <w:r>
              <w:rPr>
                <w:rFonts w:hint="eastAsia" w:ascii="Times New Roman" w:hAnsi="Times New Roman" w:eastAsia="宋体" w:cs="Times New Roman"/>
                <w:color w:val="auto"/>
                <w:sz w:val="21"/>
                <w:szCs w:val="16"/>
                <w:highlight w:val="none"/>
                <w:lang w:val="en-US" w:eastAsia="zh-CN"/>
              </w:rPr>
              <w:t>1-</w:t>
            </w:r>
            <w:r>
              <w:rPr>
                <w:rFonts w:hint="default" w:ascii="Times New Roman" w:hAnsi="Times New Roman" w:eastAsia="宋体" w:cs="Times New Roman"/>
                <w:color w:val="auto"/>
                <w:sz w:val="21"/>
                <w:szCs w:val="16"/>
                <w:highlight w:val="none"/>
                <w:lang w:val="en-US" w:eastAsia="zh-CN"/>
              </w:rPr>
              <w:t>3 本项目与秦皇岛市人民政府关于秦皇岛市"三线一单"生态环境分区管控的实施意见关系一览表</w:t>
            </w:r>
          </w:p>
          <w:tbl>
            <w:tblPr>
              <w:tblStyle w:val="32"/>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8"/>
              <w:gridCol w:w="896"/>
              <w:gridCol w:w="5137"/>
              <w:gridCol w:w="131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22" w:type="pct"/>
                  <w:noWrap w:val="0"/>
                  <w:vAlign w:val="center"/>
                </w:tcPr>
                <w:p>
                  <w:pPr>
                    <w:keepNext w:val="0"/>
                    <w:keepLines w:val="0"/>
                    <w:pageBreakBefore w:val="0"/>
                    <w:widowControl w:val="0"/>
                    <w:shd w:val="clear"/>
                    <w:kinsoku/>
                    <w:wordWrap/>
                    <w:overflowPunct/>
                    <w:topLinePunct w:val="0"/>
                    <w:autoSpaceDE/>
                    <w:autoSpaceDN/>
                    <w:bidi w:val="0"/>
                    <w:adjustRightInd w:val="0"/>
                    <w:snapToGrid w:val="0"/>
                    <w:spacing w:line="240" w:lineRule="auto"/>
                    <w:jc w:val="center"/>
                    <w:textAlignment w:val="auto"/>
                    <w:rPr>
                      <w:rFonts w:hint="eastAsia"/>
                      <w:color w:val="auto"/>
                      <w:sz w:val="21"/>
                      <w:szCs w:val="21"/>
                      <w:highlight w:val="none"/>
                    </w:rPr>
                  </w:pPr>
                  <w:r>
                    <w:rPr>
                      <w:color w:val="auto"/>
                      <w:sz w:val="21"/>
                      <w:szCs w:val="21"/>
                      <w:highlight w:val="none"/>
                    </w:rPr>
                    <w:t>序号</w:t>
                  </w:r>
                </w:p>
              </w:tc>
              <w:tc>
                <w:tcPr>
                  <w:tcW w:w="558" w:type="pct"/>
                  <w:noWrap w:val="0"/>
                  <w:vAlign w:val="center"/>
                </w:tcPr>
                <w:p>
                  <w:pPr>
                    <w:keepNext w:val="0"/>
                    <w:keepLines w:val="0"/>
                    <w:pageBreakBefore w:val="0"/>
                    <w:widowControl w:val="0"/>
                    <w:shd w:val="clear"/>
                    <w:kinsoku/>
                    <w:wordWrap/>
                    <w:overflowPunct/>
                    <w:topLinePunct w:val="0"/>
                    <w:autoSpaceDE/>
                    <w:autoSpaceDN/>
                    <w:bidi w:val="0"/>
                    <w:adjustRightInd w:val="0"/>
                    <w:snapToGrid w:val="0"/>
                    <w:spacing w:line="240" w:lineRule="auto"/>
                    <w:jc w:val="center"/>
                    <w:textAlignment w:val="auto"/>
                    <w:rPr>
                      <w:color w:val="auto"/>
                      <w:sz w:val="21"/>
                      <w:szCs w:val="21"/>
                      <w:highlight w:val="none"/>
                    </w:rPr>
                  </w:pPr>
                  <w:r>
                    <w:rPr>
                      <w:color w:val="auto"/>
                      <w:sz w:val="21"/>
                      <w:szCs w:val="21"/>
                      <w:highlight w:val="none"/>
                    </w:rPr>
                    <w:t>文件</w:t>
                  </w:r>
                </w:p>
              </w:tc>
              <w:tc>
                <w:tcPr>
                  <w:tcW w:w="3200" w:type="pct"/>
                  <w:noWrap w:val="0"/>
                  <w:vAlign w:val="center"/>
                </w:tcPr>
                <w:p>
                  <w:pPr>
                    <w:keepNext w:val="0"/>
                    <w:keepLines w:val="0"/>
                    <w:pageBreakBefore w:val="0"/>
                    <w:widowControl w:val="0"/>
                    <w:shd w:val="clear"/>
                    <w:kinsoku/>
                    <w:wordWrap/>
                    <w:overflowPunct/>
                    <w:topLinePunct w:val="0"/>
                    <w:autoSpaceDE/>
                    <w:autoSpaceDN/>
                    <w:bidi w:val="0"/>
                    <w:adjustRightInd w:val="0"/>
                    <w:snapToGrid w:val="0"/>
                    <w:spacing w:line="240" w:lineRule="auto"/>
                    <w:jc w:val="center"/>
                    <w:textAlignment w:val="auto"/>
                    <w:rPr>
                      <w:color w:val="auto"/>
                      <w:sz w:val="21"/>
                      <w:szCs w:val="21"/>
                      <w:highlight w:val="none"/>
                    </w:rPr>
                  </w:pPr>
                  <w:r>
                    <w:rPr>
                      <w:color w:val="auto"/>
                      <w:sz w:val="21"/>
                      <w:szCs w:val="21"/>
                      <w:highlight w:val="none"/>
                    </w:rPr>
                    <w:t>相关内容</w:t>
                  </w:r>
                </w:p>
              </w:tc>
              <w:tc>
                <w:tcPr>
                  <w:tcW w:w="819" w:type="pct"/>
                  <w:noWrap w:val="0"/>
                  <w:vAlign w:val="center"/>
                </w:tcPr>
                <w:p>
                  <w:pPr>
                    <w:keepNext w:val="0"/>
                    <w:keepLines w:val="0"/>
                    <w:pageBreakBefore w:val="0"/>
                    <w:widowControl w:val="0"/>
                    <w:shd w:val="clear"/>
                    <w:kinsoku/>
                    <w:wordWrap/>
                    <w:overflowPunct/>
                    <w:topLinePunct w:val="0"/>
                    <w:autoSpaceDE/>
                    <w:autoSpaceDN/>
                    <w:bidi w:val="0"/>
                    <w:adjustRightInd w:val="0"/>
                    <w:snapToGrid w:val="0"/>
                    <w:spacing w:line="240" w:lineRule="auto"/>
                    <w:jc w:val="center"/>
                    <w:textAlignment w:val="auto"/>
                    <w:rPr>
                      <w:color w:val="auto"/>
                      <w:sz w:val="21"/>
                      <w:szCs w:val="21"/>
                      <w:highlight w:val="none"/>
                    </w:rPr>
                  </w:pPr>
                  <w:r>
                    <w:rPr>
                      <w:color w:val="auto"/>
                      <w:sz w:val="21"/>
                      <w:szCs w:val="21"/>
                      <w:highlight w:val="none"/>
                    </w:rPr>
                    <w:t>相符性分析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22" w:type="pct"/>
                  <w:noWrap w:val="0"/>
                  <w:vAlign w:val="center"/>
                </w:tcPr>
                <w:p>
                  <w:pPr>
                    <w:keepNext w:val="0"/>
                    <w:keepLines w:val="0"/>
                    <w:pageBreakBefore w:val="0"/>
                    <w:widowControl w:val="0"/>
                    <w:shd w:val="clear"/>
                    <w:kinsoku/>
                    <w:wordWrap/>
                    <w:overflowPunct/>
                    <w:topLinePunct w:val="0"/>
                    <w:autoSpaceDE/>
                    <w:autoSpaceDN/>
                    <w:bidi w:val="0"/>
                    <w:adjustRightInd w:val="0"/>
                    <w:snapToGrid w:val="0"/>
                    <w:spacing w:line="240" w:lineRule="auto"/>
                    <w:jc w:val="center"/>
                    <w:textAlignment w:val="auto"/>
                    <w:rPr>
                      <w:rFonts w:hint="eastAsia"/>
                      <w:color w:val="auto"/>
                      <w:sz w:val="21"/>
                      <w:szCs w:val="21"/>
                      <w:highlight w:val="none"/>
                    </w:rPr>
                  </w:pPr>
                  <w:r>
                    <w:rPr>
                      <w:rFonts w:hint="eastAsia"/>
                      <w:color w:val="auto"/>
                      <w:sz w:val="21"/>
                      <w:szCs w:val="21"/>
                      <w:highlight w:val="none"/>
                    </w:rPr>
                    <w:t>1</w:t>
                  </w:r>
                </w:p>
              </w:tc>
              <w:tc>
                <w:tcPr>
                  <w:tcW w:w="558" w:type="pct"/>
                  <w:noWrap w:val="0"/>
                  <w:vAlign w:val="center"/>
                </w:tcPr>
                <w:p>
                  <w:pPr>
                    <w:keepNext w:val="0"/>
                    <w:keepLines w:val="0"/>
                    <w:pageBreakBefore w:val="0"/>
                    <w:widowControl w:val="0"/>
                    <w:shd w:val="clear"/>
                    <w:kinsoku/>
                    <w:wordWrap/>
                    <w:overflowPunct/>
                    <w:topLinePunct w:val="0"/>
                    <w:autoSpaceDE/>
                    <w:autoSpaceDN/>
                    <w:bidi w:val="0"/>
                    <w:adjustRightInd w:val="0"/>
                    <w:snapToGrid w:val="0"/>
                    <w:spacing w:line="240" w:lineRule="auto"/>
                    <w:jc w:val="center"/>
                    <w:textAlignment w:val="auto"/>
                    <w:rPr>
                      <w:color w:val="auto"/>
                      <w:sz w:val="21"/>
                      <w:szCs w:val="21"/>
                      <w:highlight w:val="none"/>
                    </w:rPr>
                  </w:pPr>
                  <w:r>
                    <w:rPr>
                      <w:color w:val="auto"/>
                      <w:sz w:val="21"/>
                      <w:szCs w:val="21"/>
                      <w:highlight w:val="none"/>
                    </w:rPr>
                    <w:t>总体准入要求</w:t>
                  </w:r>
                </w:p>
              </w:tc>
              <w:tc>
                <w:tcPr>
                  <w:tcW w:w="3200" w:type="pct"/>
                  <w:noWrap w:val="0"/>
                  <w:vAlign w:val="center"/>
                </w:tcPr>
                <w:p>
                  <w:pPr>
                    <w:keepNext w:val="0"/>
                    <w:keepLines w:val="0"/>
                    <w:pageBreakBefore w:val="0"/>
                    <w:widowControl w:val="0"/>
                    <w:shd w:val="clear"/>
                    <w:kinsoku/>
                    <w:wordWrap/>
                    <w:overflowPunct/>
                    <w:topLinePunct w:val="0"/>
                    <w:autoSpaceDE/>
                    <w:autoSpaceDN/>
                    <w:bidi w:val="0"/>
                    <w:adjustRightInd w:val="0"/>
                    <w:snapToGrid w:val="0"/>
                    <w:spacing w:line="240" w:lineRule="auto"/>
                    <w:jc w:val="center"/>
                    <w:textAlignment w:val="auto"/>
                    <w:rPr>
                      <w:color w:val="auto"/>
                      <w:sz w:val="21"/>
                      <w:szCs w:val="21"/>
                      <w:highlight w:val="none"/>
                    </w:rPr>
                  </w:pPr>
                  <w:r>
                    <w:rPr>
                      <w:color w:val="auto"/>
                      <w:sz w:val="21"/>
                      <w:szCs w:val="21"/>
                      <w:highlight w:val="none"/>
                    </w:rPr>
                    <w:t>满足空间布局约束、污染物排放管控、环境风险防控、资源开发利用；</w:t>
                  </w:r>
                </w:p>
              </w:tc>
              <w:tc>
                <w:tcPr>
                  <w:tcW w:w="819" w:type="pct"/>
                  <w:noWrap w:val="0"/>
                  <w:vAlign w:val="center"/>
                </w:tcPr>
                <w:p>
                  <w:pPr>
                    <w:keepNext w:val="0"/>
                    <w:keepLines w:val="0"/>
                    <w:pageBreakBefore w:val="0"/>
                    <w:widowControl w:val="0"/>
                    <w:shd w:val="clear"/>
                    <w:kinsoku/>
                    <w:wordWrap/>
                    <w:overflowPunct/>
                    <w:topLinePunct w:val="0"/>
                    <w:autoSpaceDE/>
                    <w:autoSpaceDN/>
                    <w:bidi w:val="0"/>
                    <w:adjustRightInd w:val="0"/>
                    <w:snapToGrid w:val="0"/>
                    <w:spacing w:line="240" w:lineRule="auto"/>
                    <w:jc w:val="center"/>
                    <w:textAlignment w:val="auto"/>
                    <w:rPr>
                      <w:rFonts w:hint="eastAsia"/>
                      <w:color w:val="auto"/>
                      <w:sz w:val="21"/>
                      <w:szCs w:val="21"/>
                      <w:highlight w:val="none"/>
                    </w:rPr>
                  </w:pPr>
                  <w:r>
                    <w:rPr>
                      <w:rFonts w:hint="eastAsia"/>
                      <w:color w:val="auto"/>
                      <w:sz w:val="21"/>
                      <w:szCs w:val="21"/>
                      <w:highlight w:val="none"/>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jc w:val="center"/>
              </w:trPr>
              <w:tc>
                <w:tcPr>
                  <w:tcW w:w="422" w:type="pct"/>
                  <w:noWrap w:val="0"/>
                  <w:vAlign w:val="center"/>
                </w:tcPr>
                <w:p>
                  <w:pPr>
                    <w:keepNext w:val="0"/>
                    <w:keepLines w:val="0"/>
                    <w:pageBreakBefore w:val="0"/>
                    <w:widowControl w:val="0"/>
                    <w:shd w:val="clear"/>
                    <w:kinsoku/>
                    <w:wordWrap/>
                    <w:overflowPunct/>
                    <w:topLinePunct w:val="0"/>
                    <w:autoSpaceDE/>
                    <w:autoSpaceDN/>
                    <w:bidi w:val="0"/>
                    <w:adjustRightInd w:val="0"/>
                    <w:snapToGrid w:val="0"/>
                    <w:spacing w:line="240" w:lineRule="auto"/>
                    <w:jc w:val="center"/>
                    <w:textAlignment w:val="auto"/>
                    <w:rPr>
                      <w:rFonts w:hint="eastAsia"/>
                      <w:color w:val="auto"/>
                      <w:sz w:val="21"/>
                      <w:szCs w:val="21"/>
                      <w:highlight w:val="none"/>
                    </w:rPr>
                  </w:pPr>
                  <w:r>
                    <w:rPr>
                      <w:rFonts w:hint="eastAsia"/>
                      <w:color w:val="auto"/>
                      <w:sz w:val="21"/>
                      <w:szCs w:val="21"/>
                      <w:highlight w:val="none"/>
                    </w:rPr>
                    <w:t>2</w:t>
                  </w:r>
                </w:p>
              </w:tc>
              <w:tc>
                <w:tcPr>
                  <w:tcW w:w="558" w:type="pct"/>
                  <w:noWrap w:val="0"/>
                  <w:vAlign w:val="center"/>
                </w:tcPr>
                <w:p>
                  <w:pPr>
                    <w:keepNext w:val="0"/>
                    <w:keepLines w:val="0"/>
                    <w:pageBreakBefore w:val="0"/>
                    <w:widowControl w:val="0"/>
                    <w:shd w:val="clear"/>
                    <w:kinsoku/>
                    <w:wordWrap/>
                    <w:overflowPunct/>
                    <w:topLinePunct w:val="0"/>
                    <w:autoSpaceDE/>
                    <w:autoSpaceDN/>
                    <w:bidi w:val="0"/>
                    <w:adjustRightInd w:val="0"/>
                    <w:snapToGrid w:val="0"/>
                    <w:spacing w:line="240" w:lineRule="auto"/>
                    <w:jc w:val="center"/>
                    <w:textAlignment w:val="auto"/>
                    <w:rPr>
                      <w:color w:val="auto"/>
                      <w:sz w:val="21"/>
                      <w:szCs w:val="21"/>
                      <w:highlight w:val="none"/>
                    </w:rPr>
                  </w:pPr>
                  <w:r>
                    <w:rPr>
                      <w:color w:val="auto"/>
                      <w:sz w:val="21"/>
                      <w:szCs w:val="21"/>
                      <w:highlight w:val="none"/>
                    </w:rPr>
                    <w:t>生态环境空间</w:t>
                  </w:r>
                </w:p>
                <w:p>
                  <w:pPr>
                    <w:keepNext w:val="0"/>
                    <w:keepLines w:val="0"/>
                    <w:pageBreakBefore w:val="0"/>
                    <w:widowControl w:val="0"/>
                    <w:shd w:val="clear"/>
                    <w:kinsoku/>
                    <w:wordWrap/>
                    <w:overflowPunct/>
                    <w:topLinePunct w:val="0"/>
                    <w:autoSpaceDE/>
                    <w:autoSpaceDN/>
                    <w:bidi w:val="0"/>
                    <w:adjustRightInd w:val="0"/>
                    <w:snapToGrid w:val="0"/>
                    <w:spacing w:line="240" w:lineRule="auto"/>
                    <w:jc w:val="center"/>
                    <w:textAlignment w:val="auto"/>
                    <w:rPr>
                      <w:color w:val="auto"/>
                      <w:sz w:val="21"/>
                      <w:szCs w:val="21"/>
                      <w:highlight w:val="none"/>
                    </w:rPr>
                  </w:pPr>
                  <w:r>
                    <w:rPr>
                      <w:color w:val="auto"/>
                      <w:sz w:val="21"/>
                      <w:szCs w:val="21"/>
                      <w:highlight w:val="none"/>
                    </w:rPr>
                    <w:t>总体管控要求</w:t>
                  </w:r>
                </w:p>
              </w:tc>
              <w:tc>
                <w:tcPr>
                  <w:tcW w:w="3200" w:type="pct"/>
                  <w:noWrap w:val="0"/>
                  <w:vAlign w:val="center"/>
                </w:tcPr>
                <w:p>
                  <w:pPr>
                    <w:keepNext w:val="0"/>
                    <w:keepLines w:val="0"/>
                    <w:pageBreakBefore w:val="0"/>
                    <w:widowControl w:val="0"/>
                    <w:shd w:val="clear"/>
                    <w:kinsoku/>
                    <w:wordWrap/>
                    <w:overflowPunct/>
                    <w:topLinePunct w:val="0"/>
                    <w:autoSpaceDE/>
                    <w:autoSpaceDN/>
                    <w:bidi w:val="0"/>
                    <w:adjustRightInd w:val="0"/>
                    <w:snapToGrid w:val="0"/>
                    <w:spacing w:line="240" w:lineRule="auto"/>
                    <w:jc w:val="center"/>
                    <w:textAlignment w:val="auto"/>
                    <w:rPr>
                      <w:color w:val="auto"/>
                      <w:sz w:val="21"/>
                      <w:szCs w:val="21"/>
                      <w:highlight w:val="none"/>
                    </w:rPr>
                  </w:pPr>
                  <w:r>
                    <w:rPr>
                      <w:color w:val="auto"/>
                      <w:sz w:val="21"/>
                      <w:szCs w:val="21"/>
                      <w:highlight w:val="none"/>
                    </w:rPr>
                    <w:t>满足生态保护红线总体要求：禁止建设开发活动，允许建设开发活动；自然保护区空间布局约束：禁止开</w:t>
                  </w:r>
                  <w:r>
                    <w:rPr>
                      <w:rFonts w:hint="eastAsia"/>
                      <w:color w:val="auto"/>
                      <w:sz w:val="21"/>
                      <w:szCs w:val="21"/>
                      <w:highlight w:val="none"/>
                    </w:rPr>
                    <w:t>发</w:t>
                  </w:r>
                  <w:r>
                    <w:rPr>
                      <w:color w:val="auto"/>
                      <w:sz w:val="21"/>
                      <w:szCs w:val="21"/>
                      <w:highlight w:val="none"/>
                    </w:rPr>
                    <w:t>建设活动的要求，限制开发建设活动的要求；风景名胜区空间布局约束：禁止开发建设活动的要求，限制开发建设活动的要求；森林公园空间布局约束：禁止开发建设活动的要求，限制开发建设活动的要求；湿地公园空间布局约束：禁止开发建设活动的要求，限制开发建设活动的要求；地质公园空间布局约束：禁止开发建设活动的要求，限制开发建设活动的要求；一般生态空间总体要求：空间布局；水源涵养、水土保持、防风固沙、生物多样性保护、水土流失、土地沙化、河湖滨岸带空间布局约束要求。</w:t>
                  </w:r>
                </w:p>
              </w:tc>
              <w:tc>
                <w:tcPr>
                  <w:tcW w:w="819" w:type="pct"/>
                  <w:noWrap w:val="0"/>
                  <w:vAlign w:val="center"/>
                </w:tcPr>
                <w:p>
                  <w:pPr>
                    <w:keepNext w:val="0"/>
                    <w:keepLines w:val="0"/>
                    <w:pageBreakBefore w:val="0"/>
                    <w:widowControl w:val="0"/>
                    <w:shd w:val="clear"/>
                    <w:kinsoku/>
                    <w:wordWrap/>
                    <w:overflowPunct/>
                    <w:topLinePunct w:val="0"/>
                    <w:autoSpaceDE/>
                    <w:autoSpaceDN/>
                    <w:bidi w:val="0"/>
                    <w:adjustRightInd w:val="0"/>
                    <w:snapToGrid w:val="0"/>
                    <w:spacing w:line="240" w:lineRule="auto"/>
                    <w:jc w:val="center"/>
                    <w:textAlignment w:val="auto"/>
                    <w:rPr>
                      <w:rFonts w:hint="default" w:eastAsia="宋体"/>
                      <w:color w:val="auto"/>
                      <w:sz w:val="21"/>
                      <w:szCs w:val="21"/>
                      <w:highlight w:val="none"/>
                      <w:lang w:val="en-US" w:eastAsia="zh-CN"/>
                    </w:rPr>
                  </w:pPr>
                  <w:r>
                    <w:rPr>
                      <w:rFonts w:hint="default" w:eastAsia="宋体"/>
                      <w:color w:val="auto"/>
                      <w:sz w:val="21"/>
                      <w:szCs w:val="21"/>
                      <w:highlight w:val="none"/>
                      <w:lang w:val="en-US" w:eastAsia="zh-CN"/>
                    </w:rPr>
                    <w:t>项目不占用生态保护红线、自然保护区、风景名胜区、森林公园、湿地公园等生态环境敏感区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2" w:hRule="atLeast"/>
                <w:jc w:val="center"/>
              </w:trPr>
              <w:tc>
                <w:tcPr>
                  <w:tcW w:w="422" w:type="pct"/>
                  <w:noWrap w:val="0"/>
                  <w:vAlign w:val="center"/>
                </w:tcPr>
                <w:p>
                  <w:pPr>
                    <w:keepNext w:val="0"/>
                    <w:keepLines w:val="0"/>
                    <w:pageBreakBefore w:val="0"/>
                    <w:widowControl w:val="0"/>
                    <w:shd w:val="clear"/>
                    <w:kinsoku/>
                    <w:wordWrap/>
                    <w:overflowPunct/>
                    <w:topLinePunct w:val="0"/>
                    <w:autoSpaceDE/>
                    <w:autoSpaceDN/>
                    <w:bidi w:val="0"/>
                    <w:adjustRightInd w:val="0"/>
                    <w:snapToGrid w:val="0"/>
                    <w:spacing w:line="240" w:lineRule="auto"/>
                    <w:jc w:val="center"/>
                    <w:textAlignment w:val="auto"/>
                    <w:rPr>
                      <w:rFonts w:hint="eastAsia"/>
                      <w:color w:val="auto"/>
                      <w:sz w:val="21"/>
                      <w:szCs w:val="21"/>
                      <w:highlight w:val="none"/>
                    </w:rPr>
                  </w:pPr>
                  <w:r>
                    <w:rPr>
                      <w:rFonts w:hint="eastAsia"/>
                      <w:color w:val="auto"/>
                      <w:sz w:val="21"/>
                      <w:szCs w:val="21"/>
                      <w:highlight w:val="none"/>
                    </w:rPr>
                    <w:t>3</w:t>
                  </w:r>
                </w:p>
              </w:tc>
              <w:tc>
                <w:tcPr>
                  <w:tcW w:w="558" w:type="pct"/>
                  <w:noWrap w:val="0"/>
                  <w:vAlign w:val="center"/>
                </w:tcPr>
                <w:p>
                  <w:pPr>
                    <w:keepNext w:val="0"/>
                    <w:keepLines w:val="0"/>
                    <w:pageBreakBefore w:val="0"/>
                    <w:widowControl w:val="0"/>
                    <w:shd w:val="clear"/>
                    <w:kinsoku/>
                    <w:wordWrap/>
                    <w:overflowPunct/>
                    <w:topLinePunct w:val="0"/>
                    <w:autoSpaceDE/>
                    <w:autoSpaceDN/>
                    <w:bidi w:val="0"/>
                    <w:adjustRightInd w:val="0"/>
                    <w:snapToGrid w:val="0"/>
                    <w:spacing w:line="240" w:lineRule="auto"/>
                    <w:jc w:val="center"/>
                    <w:textAlignment w:val="auto"/>
                    <w:rPr>
                      <w:color w:val="auto"/>
                      <w:sz w:val="21"/>
                      <w:szCs w:val="21"/>
                      <w:highlight w:val="none"/>
                    </w:rPr>
                  </w:pPr>
                  <w:r>
                    <w:rPr>
                      <w:color w:val="auto"/>
                      <w:sz w:val="21"/>
                      <w:szCs w:val="21"/>
                      <w:highlight w:val="none"/>
                    </w:rPr>
                    <w:t>大气环境总体管控要求</w:t>
                  </w:r>
                </w:p>
              </w:tc>
              <w:tc>
                <w:tcPr>
                  <w:tcW w:w="3200" w:type="pct"/>
                  <w:noWrap w:val="0"/>
                  <w:vAlign w:val="center"/>
                </w:tcPr>
                <w:p>
                  <w:pPr>
                    <w:keepNext w:val="0"/>
                    <w:keepLines w:val="0"/>
                    <w:pageBreakBefore w:val="0"/>
                    <w:widowControl w:val="0"/>
                    <w:shd w:val="clear"/>
                    <w:kinsoku/>
                    <w:wordWrap/>
                    <w:overflowPunct/>
                    <w:topLinePunct w:val="0"/>
                    <w:autoSpaceDE/>
                    <w:autoSpaceDN/>
                    <w:bidi w:val="0"/>
                    <w:adjustRightInd w:val="0"/>
                    <w:snapToGrid w:val="0"/>
                    <w:spacing w:line="240" w:lineRule="auto"/>
                    <w:jc w:val="center"/>
                    <w:textAlignment w:val="auto"/>
                    <w:rPr>
                      <w:color w:val="auto"/>
                      <w:sz w:val="21"/>
                      <w:szCs w:val="21"/>
                      <w:highlight w:val="none"/>
                    </w:rPr>
                  </w:pPr>
                  <w:r>
                    <w:rPr>
                      <w:color w:val="auto"/>
                      <w:sz w:val="21"/>
                      <w:szCs w:val="21"/>
                      <w:highlight w:val="none"/>
                    </w:rPr>
                    <w:t>满足空间布局约束；</w:t>
                  </w:r>
                </w:p>
                <w:p>
                  <w:pPr>
                    <w:keepNext w:val="0"/>
                    <w:keepLines w:val="0"/>
                    <w:pageBreakBefore w:val="0"/>
                    <w:widowControl w:val="0"/>
                    <w:shd w:val="clear"/>
                    <w:kinsoku/>
                    <w:wordWrap/>
                    <w:overflowPunct/>
                    <w:topLinePunct w:val="0"/>
                    <w:autoSpaceDE/>
                    <w:autoSpaceDN/>
                    <w:bidi w:val="0"/>
                    <w:adjustRightInd w:val="0"/>
                    <w:snapToGrid w:val="0"/>
                    <w:spacing w:line="240" w:lineRule="auto"/>
                    <w:jc w:val="center"/>
                    <w:textAlignment w:val="auto"/>
                    <w:rPr>
                      <w:rFonts w:hint="eastAsia" w:eastAsia="宋体"/>
                      <w:color w:val="auto"/>
                      <w:sz w:val="21"/>
                      <w:szCs w:val="21"/>
                      <w:highlight w:val="none"/>
                      <w:lang w:eastAsia="zh-CN"/>
                    </w:rPr>
                  </w:pPr>
                  <w:r>
                    <w:rPr>
                      <w:rFonts w:hint="eastAsia"/>
                      <w:color w:val="auto"/>
                      <w:sz w:val="21"/>
                      <w:szCs w:val="21"/>
                      <w:highlight w:val="none"/>
                      <w:lang w:val="en-US" w:eastAsia="zh-CN"/>
                    </w:rPr>
                    <w:t>1.</w:t>
                  </w:r>
                  <w:r>
                    <w:rPr>
                      <w:color w:val="auto"/>
                      <w:sz w:val="21"/>
                      <w:szCs w:val="21"/>
                      <w:highlight w:val="none"/>
                    </w:rPr>
                    <w:t xml:space="preserve">污染物排放管控：对于国家或地方排放标准中已规定大气污染物特别排放限值的行业以及锅炉，新受理环评的建设项目执行大气污染物特别排放限值； </w:t>
                  </w:r>
                  <w:r>
                    <w:rPr>
                      <w:rFonts w:hint="eastAsia"/>
                      <w:color w:val="auto"/>
                      <w:sz w:val="21"/>
                      <w:szCs w:val="21"/>
                      <w:highlight w:val="none"/>
                      <w:lang w:val="en-US" w:eastAsia="zh-CN"/>
                    </w:rPr>
                    <w:t>2.加强挥发性有机物管控和深度治理。对标行业先进水平，完成对石化、化工、涂装、印刷等重点行业开展挥发性有机物深度治理。加强对市涉挥发性有机物排放企业的监督管理，通过分表计电等方式，对有组织排放和无组织排放源进行全方位管控。组织行业专家对全市所有涉挥发性有机物排放企业编制“一厂一策”清单报告，并按要求限期整改，规范企业挥发性有机物在线监测设备或超标报警装置的安装使用和数据联网，对于排气量大于20000立方米/小时的重点企业全部安装在线监控装置，推进VOCs在线监测监管平台建立工作</w:t>
                  </w:r>
                  <w:r>
                    <w:rPr>
                      <w:rFonts w:hint="eastAsia"/>
                      <w:color w:val="auto"/>
                      <w:sz w:val="21"/>
                      <w:szCs w:val="21"/>
                      <w:highlight w:val="none"/>
                      <w:lang w:eastAsia="zh-CN"/>
                    </w:rPr>
                    <w:t>；</w:t>
                  </w:r>
                  <w:r>
                    <w:rPr>
                      <w:rFonts w:hint="eastAsia"/>
                      <w:color w:val="auto"/>
                      <w:sz w:val="21"/>
                      <w:szCs w:val="21"/>
                      <w:highlight w:val="none"/>
                      <w:lang w:val="en-US" w:eastAsia="zh-CN"/>
                    </w:rPr>
                    <w:t>3.参照《低挥发性有机化合物含量涂料产品技术要求》（GB/T38597-2020），开展低挥发性有机物含量涂料推广替代试点工作，加快推进党政机关单位定点印刷企业率先使用水性油墨、大豆油墨等低VOCs含量油墨和胶黏剂；</w:t>
                  </w:r>
                </w:p>
              </w:tc>
              <w:tc>
                <w:tcPr>
                  <w:tcW w:w="819" w:type="pct"/>
                  <w:noWrap w:val="0"/>
                  <w:vAlign w:val="center"/>
                </w:tcPr>
                <w:p>
                  <w:pPr>
                    <w:keepNext w:val="0"/>
                    <w:keepLines w:val="0"/>
                    <w:pageBreakBefore w:val="0"/>
                    <w:widowControl w:val="0"/>
                    <w:numPr>
                      <w:ilvl w:val="0"/>
                      <w:numId w:val="0"/>
                    </w:numPr>
                    <w:shd w:val="clear"/>
                    <w:kinsoku/>
                    <w:wordWrap/>
                    <w:overflowPunct/>
                    <w:topLinePunct w:val="0"/>
                    <w:autoSpaceDE/>
                    <w:autoSpaceDN/>
                    <w:bidi w:val="0"/>
                    <w:adjustRightInd w:val="0"/>
                    <w:snapToGrid w:val="0"/>
                    <w:spacing w:line="240" w:lineRule="auto"/>
                    <w:jc w:val="both"/>
                    <w:textAlignment w:val="auto"/>
                    <w:rPr>
                      <w:rFonts w:hint="default"/>
                      <w:color w:val="auto"/>
                      <w:sz w:val="21"/>
                      <w:szCs w:val="21"/>
                      <w:highlight w:val="none"/>
                      <w:lang w:val="en-US" w:eastAsia="zh-CN"/>
                    </w:rPr>
                  </w:pPr>
                  <w:r>
                    <w:rPr>
                      <w:rFonts w:hint="eastAsia"/>
                      <w:color w:val="auto"/>
                      <w:sz w:val="21"/>
                      <w:szCs w:val="21"/>
                      <w:highlight w:val="none"/>
                      <w:lang w:val="en-US" w:eastAsia="zh-CN"/>
                    </w:rPr>
                    <w:t>1.本项目不涉及锅炉；非甲烷总烃执行特别排放限制；2.本项目废气治理设施采用“分表计电”，本项目建设完成后厂界安装超标报警装置并在排气筒安装在线监测设备；3.根据企业提供的油漆监测报告，并对比《低挥发性有机化合物含量涂料产品技术要求》（GB/T38597-2020）限值要求，本项目使用油漆为低VOCs油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98" w:hRule="atLeast"/>
                <w:jc w:val="center"/>
              </w:trPr>
              <w:tc>
                <w:tcPr>
                  <w:tcW w:w="422" w:type="pct"/>
                  <w:noWrap w:val="0"/>
                  <w:vAlign w:val="center"/>
                </w:tcPr>
                <w:p>
                  <w:pPr>
                    <w:keepNext w:val="0"/>
                    <w:keepLines w:val="0"/>
                    <w:pageBreakBefore w:val="0"/>
                    <w:widowControl w:val="0"/>
                    <w:shd w:val="clear"/>
                    <w:kinsoku/>
                    <w:wordWrap/>
                    <w:overflowPunct/>
                    <w:topLinePunct w:val="0"/>
                    <w:autoSpaceDE/>
                    <w:autoSpaceDN/>
                    <w:bidi w:val="0"/>
                    <w:adjustRightInd w:val="0"/>
                    <w:snapToGrid w:val="0"/>
                    <w:spacing w:line="240" w:lineRule="auto"/>
                    <w:jc w:val="center"/>
                    <w:textAlignment w:val="auto"/>
                    <w:rPr>
                      <w:rFonts w:hint="eastAsia"/>
                      <w:color w:val="auto"/>
                      <w:sz w:val="21"/>
                      <w:szCs w:val="21"/>
                      <w:highlight w:val="none"/>
                    </w:rPr>
                  </w:pPr>
                  <w:r>
                    <w:rPr>
                      <w:rFonts w:hint="eastAsia"/>
                      <w:color w:val="auto"/>
                      <w:sz w:val="21"/>
                      <w:szCs w:val="21"/>
                      <w:highlight w:val="none"/>
                    </w:rPr>
                    <w:t>4</w:t>
                  </w:r>
                </w:p>
              </w:tc>
              <w:tc>
                <w:tcPr>
                  <w:tcW w:w="558" w:type="pct"/>
                  <w:noWrap w:val="0"/>
                  <w:vAlign w:val="center"/>
                </w:tcPr>
                <w:p>
                  <w:pPr>
                    <w:keepNext w:val="0"/>
                    <w:keepLines w:val="0"/>
                    <w:pageBreakBefore w:val="0"/>
                    <w:widowControl w:val="0"/>
                    <w:shd w:val="clear"/>
                    <w:kinsoku/>
                    <w:wordWrap/>
                    <w:overflowPunct/>
                    <w:topLinePunct w:val="0"/>
                    <w:autoSpaceDE/>
                    <w:autoSpaceDN/>
                    <w:bidi w:val="0"/>
                    <w:adjustRightInd w:val="0"/>
                    <w:snapToGrid w:val="0"/>
                    <w:spacing w:line="240" w:lineRule="auto"/>
                    <w:jc w:val="center"/>
                    <w:textAlignment w:val="auto"/>
                    <w:rPr>
                      <w:color w:val="auto"/>
                      <w:sz w:val="21"/>
                      <w:szCs w:val="21"/>
                      <w:highlight w:val="none"/>
                    </w:rPr>
                  </w:pPr>
                  <w:r>
                    <w:rPr>
                      <w:color w:val="auto"/>
                      <w:sz w:val="21"/>
                      <w:szCs w:val="21"/>
                      <w:highlight w:val="none"/>
                    </w:rPr>
                    <w:t>地表水环境总体管控要求</w:t>
                  </w:r>
                </w:p>
              </w:tc>
              <w:tc>
                <w:tcPr>
                  <w:tcW w:w="3200" w:type="pct"/>
                  <w:noWrap w:val="0"/>
                  <w:vAlign w:val="center"/>
                </w:tcPr>
                <w:p>
                  <w:pPr>
                    <w:keepNext w:val="0"/>
                    <w:keepLines w:val="0"/>
                    <w:pageBreakBefore w:val="0"/>
                    <w:widowControl w:val="0"/>
                    <w:shd w:val="clear"/>
                    <w:kinsoku/>
                    <w:wordWrap/>
                    <w:overflowPunct/>
                    <w:topLinePunct w:val="0"/>
                    <w:autoSpaceDE/>
                    <w:autoSpaceDN/>
                    <w:bidi w:val="0"/>
                    <w:adjustRightInd w:val="0"/>
                    <w:snapToGrid w:val="0"/>
                    <w:spacing w:line="240" w:lineRule="auto"/>
                    <w:jc w:val="center"/>
                    <w:textAlignment w:val="auto"/>
                    <w:rPr>
                      <w:color w:val="auto"/>
                      <w:sz w:val="21"/>
                      <w:szCs w:val="21"/>
                      <w:highlight w:val="none"/>
                    </w:rPr>
                  </w:pPr>
                  <w:r>
                    <w:rPr>
                      <w:color w:val="auto"/>
                      <w:sz w:val="21"/>
                      <w:szCs w:val="21"/>
                      <w:highlight w:val="none"/>
                    </w:rPr>
                    <w:t>空间布局约束：对上一年度水体不能达到目标要求或未完成水污染物总量减排任务的区域暂停审批新增排放水污染物的建设项目；</w:t>
                  </w:r>
                </w:p>
                <w:p>
                  <w:pPr>
                    <w:keepNext w:val="0"/>
                    <w:keepLines w:val="0"/>
                    <w:pageBreakBefore w:val="0"/>
                    <w:widowControl w:val="0"/>
                    <w:shd w:val="clear"/>
                    <w:kinsoku/>
                    <w:wordWrap/>
                    <w:overflowPunct/>
                    <w:topLinePunct w:val="0"/>
                    <w:autoSpaceDE/>
                    <w:autoSpaceDN/>
                    <w:bidi w:val="0"/>
                    <w:adjustRightInd w:val="0"/>
                    <w:snapToGrid w:val="0"/>
                    <w:spacing w:line="240" w:lineRule="auto"/>
                    <w:jc w:val="center"/>
                    <w:textAlignment w:val="auto"/>
                    <w:rPr>
                      <w:color w:val="auto"/>
                      <w:sz w:val="21"/>
                      <w:szCs w:val="21"/>
                      <w:highlight w:val="none"/>
                    </w:rPr>
                  </w:pPr>
                  <w:r>
                    <w:rPr>
                      <w:color w:val="auto"/>
                      <w:sz w:val="21"/>
                      <w:szCs w:val="21"/>
                      <w:highlight w:val="none"/>
                    </w:rPr>
                    <w:t>污染物排放管控：</w:t>
                  </w:r>
                  <w:r>
                    <w:rPr>
                      <w:rFonts w:hint="eastAsia"/>
                      <w:color w:val="auto"/>
                      <w:sz w:val="21"/>
                      <w:szCs w:val="21"/>
                      <w:highlight w:val="none"/>
                    </w:rPr>
                    <w:t>1.</w:t>
                  </w:r>
                  <w:r>
                    <w:rPr>
                      <w:color w:val="auto"/>
                      <w:sz w:val="21"/>
                      <w:szCs w:val="21"/>
                      <w:highlight w:val="none"/>
                    </w:rPr>
                    <w:t>严格控制高污染、高耗水行业新增产能；2.实施总氮排放总量控制。满足环境风险防控。</w:t>
                  </w:r>
                </w:p>
              </w:tc>
              <w:tc>
                <w:tcPr>
                  <w:tcW w:w="819" w:type="pct"/>
                  <w:noWrap w:val="0"/>
                  <w:vAlign w:val="center"/>
                </w:tcPr>
                <w:p>
                  <w:pPr>
                    <w:keepNext w:val="0"/>
                    <w:keepLines w:val="0"/>
                    <w:pageBreakBefore w:val="0"/>
                    <w:widowControl w:val="0"/>
                    <w:shd w:val="clear"/>
                    <w:kinsoku/>
                    <w:wordWrap/>
                    <w:overflowPunct/>
                    <w:topLinePunct w:val="0"/>
                    <w:autoSpaceDE/>
                    <w:autoSpaceDN/>
                    <w:bidi w:val="0"/>
                    <w:adjustRightInd w:val="0"/>
                    <w:snapToGrid w:val="0"/>
                    <w:spacing w:line="240" w:lineRule="auto"/>
                    <w:jc w:val="center"/>
                    <w:textAlignment w:val="auto"/>
                    <w:rPr>
                      <w:rFonts w:hint="default" w:eastAsia="宋体"/>
                      <w:color w:val="auto"/>
                      <w:sz w:val="21"/>
                      <w:szCs w:val="21"/>
                      <w:highlight w:val="none"/>
                      <w:lang w:val="en-US" w:eastAsia="zh-CN"/>
                    </w:rPr>
                  </w:pPr>
                  <w:r>
                    <w:rPr>
                      <w:rFonts w:hint="eastAsia"/>
                      <w:color w:val="auto"/>
                      <w:sz w:val="21"/>
                      <w:szCs w:val="21"/>
                      <w:highlight w:val="none"/>
                      <w:lang w:val="en-US" w:eastAsia="zh-CN"/>
                    </w:rPr>
                    <w:t>本项目无新增用水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0" w:hRule="atLeast"/>
                <w:jc w:val="center"/>
              </w:trPr>
              <w:tc>
                <w:tcPr>
                  <w:tcW w:w="422" w:type="pct"/>
                  <w:noWrap w:val="0"/>
                  <w:vAlign w:val="center"/>
                </w:tcPr>
                <w:p>
                  <w:pPr>
                    <w:keepNext w:val="0"/>
                    <w:keepLines w:val="0"/>
                    <w:pageBreakBefore w:val="0"/>
                    <w:widowControl w:val="0"/>
                    <w:shd w:val="clear"/>
                    <w:kinsoku/>
                    <w:wordWrap/>
                    <w:overflowPunct/>
                    <w:topLinePunct w:val="0"/>
                    <w:autoSpaceDE/>
                    <w:autoSpaceDN/>
                    <w:bidi w:val="0"/>
                    <w:adjustRightInd w:val="0"/>
                    <w:snapToGrid w:val="0"/>
                    <w:spacing w:line="240" w:lineRule="auto"/>
                    <w:jc w:val="center"/>
                    <w:textAlignment w:val="auto"/>
                    <w:rPr>
                      <w:color w:val="auto"/>
                      <w:sz w:val="21"/>
                      <w:szCs w:val="21"/>
                      <w:highlight w:val="none"/>
                    </w:rPr>
                  </w:pPr>
                  <w:r>
                    <w:rPr>
                      <w:rFonts w:hint="eastAsia"/>
                      <w:color w:val="auto"/>
                      <w:sz w:val="21"/>
                      <w:szCs w:val="21"/>
                      <w:highlight w:val="none"/>
                    </w:rPr>
                    <w:t>5</w:t>
                  </w:r>
                </w:p>
              </w:tc>
              <w:tc>
                <w:tcPr>
                  <w:tcW w:w="558" w:type="pct"/>
                  <w:noWrap w:val="0"/>
                  <w:vAlign w:val="center"/>
                </w:tcPr>
                <w:p>
                  <w:pPr>
                    <w:keepNext w:val="0"/>
                    <w:keepLines w:val="0"/>
                    <w:pageBreakBefore w:val="0"/>
                    <w:widowControl w:val="0"/>
                    <w:shd w:val="clear"/>
                    <w:kinsoku/>
                    <w:wordWrap/>
                    <w:overflowPunct/>
                    <w:topLinePunct w:val="0"/>
                    <w:autoSpaceDE/>
                    <w:autoSpaceDN/>
                    <w:bidi w:val="0"/>
                    <w:adjustRightInd w:val="0"/>
                    <w:snapToGrid w:val="0"/>
                    <w:spacing w:line="240" w:lineRule="auto"/>
                    <w:jc w:val="center"/>
                    <w:textAlignment w:val="auto"/>
                    <w:rPr>
                      <w:color w:val="auto"/>
                      <w:sz w:val="21"/>
                      <w:szCs w:val="21"/>
                      <w:highlight w:val="none"/>
                    </w:rPr>
                  </w:pPr>
                  <w:r>
                    <w:rPr>
                      <w:color w:val="auto"/>
                      <w:sz w:val="21"/>
                      <w:szCs w:val="21"/>
                      <w:highlight w:val="none"/>
                    </w:rPr>
                    <w:t>近岸海域环境总体管控要求</w:t>
                  </w:r>
                </w:p>
              </w:tc>
              <w:tc>
                <w:tcPr>
                  <w:tcW w:w="3200" w:type="pct"/>
                  <w:noWrap w:val="0"/>
                  <w:vAlign w:val="center"/>
                </w:tcPr>
                <w:p>
                  <w:pPr>
                    <w:keepNext w:val="0"/>
                    <w:keepLines w:val="0"/>
                    <w:pageBreakBefore w:val="0"/>
                    <w:widowControl w:val="0"/>
                    <w:shd w:val="clear"/>
                    <w:kinsoku/>
                    <w:wordWrap/>
                    <w:overflowPunct/>
                    <w:topLinePunct w:val="0"/>
                    <w:autoSpaceDE/>
                    <w:autoSpaceDN/>
                    <w:bidi w:val="0"/>
                    <w:adjustRightInd w:val="0"/>
                    <w:snapToGrid w:val="0"/>
                    <w:spacing w:line="240" w:lineRule="auto"/>
                    <w:jc w:val="center"/>
                    <w:textAlignment w:val="auto"/>
                    <w:rPr>
                      <w:color w:val="auto"/>
                      <w:sz w:val="21"/>
                      <w:szCs w:val="21"/>
                      <w:highlight w:val="none"/>
                    </w:rPr>
                  </w:pPr>
                  <w:r>
                    <w:rPr>
                      <w:color w:val="auto"/>
                      <w:sz w:val="21"/>
                      <w:szCs w:val="21"/>
                      <w:highlight w:val="none"/>
                    </w:rPr>
                    <w:t>满足重要种质资源保护区、重要滨海旅游区、海洋 保护区、沙源保护海域、港口航运区、工业与城镇用海、农渔业区、保留区要求。</w:t>
                  </w:r>
                </w:p>
              </w:tc>
              <w:tc>
                <w:tcPr>
                  <w:tcW w:w="819" w:type="pct"/>
                  <w:noWrap w:val="0"/>
                  <w:vAlign w:val="center"/>
                </w:tcPr>
                <w:p>
                  <w:pPr>
                    <w:keepNext w:val="0"/>
                    <w:keepLines w:val="0"/>
                    <w:pageBreakBefore w:val="0"/>
                    <w:widowControl w:val="0"/>
                    <w:shd w:val="clear"/>
                    <w:kinsoku/>
                    <w:wordWrap/>
                    <w:overflowPunct/>
                    <w:topLinePunct w:val="0"/>
                    <w:autoSpaceDE/>
                    <w:autoSpaceDN/>
                    <w:bidi w:val="0"/>
                    <w:adjustRightInd w:val="0"/>
                    <w:snapToGrid w:val="0"/>
                    <w:spacing w:line="240" w:lineRule="auto"/>
                    <w:jc w:val="center"/>
                    <w:textAlignment w:val="auto"/>
                    <w:rPr>
                      <w:rFonts w:hint="eastAsia" w:eastAsia="宋体"/>
                      <w:color w:val="auto"/>
                      <w:sz w:val="21"/>
                      <w:szCs w:val="21"/>
                      <w:highlight w:val="none"/>
                      <w:lang w:val="en-US" w:eastAsia="zh-CN"/>
                    </w:rPr>
                  </w:pPr>
                  <w:r>
                    <w:rPr>
                      <w:rFonts w:hint="eastAsia"/>
                      <w:color w:val="auto"/>
                      <w:sz w:val="21"/>
                      <w:szCs w:val="21"/>
                      <w:highlight w:val="none"/>
                      <w:lang w:val="en-US" w:eastAsia="zh-CN"/>
                    </w:rPr>
                    <w:t>不涉及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4" w:hRule="atLeast"/>
                <w:jc w:val="center"/>
              </w:trPr>
              <w:tc>
                <w:tcPr>
                  <w:tcW w:w="422" w:type="pct"/>
                  <w:noWrap w:val="0"/>
                  <w:vAlign w:val="center"/>
                </w:tcPr>
                <w:p>
                  <w:pPr>
                    <w:keepNext w:val="0"/>
                    <w:keepLines w:val="0"/>
                    <w:pageBreakBefore w:val="0"/>
                    <w:widowControl w:val="0"/>
                    <w:shd w:val="clear"/>
                    <w:kinsoku/>
                    <w:wordWrap/>
                    <w:overflowPunct/>
                    <w:topLinePunct w:val="0"/>
                    <w:autoSpaceDE/>
                    <w:autoSpaceDN/>
                    <w:bidi w:val="0"/>
                    <w:adjustRightInd w:val="0"/>
                    <w:snapToGrid w:val="0"/>
                    <w:spacing w:line="240" w:lineRule="auto"/>
                    <w:jc w:val="center"/>
                    <w:textAlignment w:val="auto"/>
                    <w:rPr>
                      <w:color w:val="auto"/>
                      <w:sz w:val="21"/>
                      <w:szCs w:val="21"/>
                      <w:highlight w:val="none"/>
                    </w:rPr>
                  </w:pPr>
                  <w:r>
                    <w:rPr>
                      <w:rFonts w:hint="eastAsia"/>
                      <w:color w:val="auto"/>
                      <w:sz w:val="21"/>
                      <w:szCs w:val="21"/>
                      <w:highlight w:val="none"/>
                    </w:rPr>
                    <w:t>6</w:t>
                  </w:r>
                </w:p>
              </w:tc>
              <w:tc>
                <w:tcPr>
                  <w:tcW w:w="558" w:type="pct"/>
                  <w:noWrap w:val="0"/>
                  <w:vAlign w:val="center"/>
                </w:tcPr>
                <w:p>
                  <w:pPr>
                    <w:keepNext w:val="0"/>
                    <w:keepLines w:val="0"/>
                    <w:pageBreakBefore w:val="0"/>
                    <w:widowControl w:val="0"/>
                    <w:shd w:val="clear"/>
                    <w:kinsoku/>
                    <w:wordWrap/>
                    <w:overflowPunct/>
                    <w:topLinePunct w:val="0"/>
                    <w:autoSpaceDE/>
                    <w:autoSpaceDN/>
                    <w:bidi w:val="0"/>
                    <w:adjustRightInd w:val="0"/>
                    <w:snapToGrid w:val="0"/>
                    <w:spacing w:line="240" w:lineRule="auto"/>
                    <w:jc w:val="center"/>
                    <w:textAlignment w:val="auto"/>
                    <w:rPr>
                      <w:color w:val="auto"/>
                      <w:sz w:val="21"/>
                      <w:szCs w:val="21"/>
                      <w:highlight w:val="none"/>
                    </w:rPr>
                  </w:pPr>
                  <w:r>
                    <w:rPr>
                      <w:color w:val="auto"/>
                      <w:sz w:val="21"/>
                      <w:szCs w:val="21"/>
                      <w:highlight w:val="none"/>
                    </w:rPr>
                    <w:t>土壤及地下水风险防控总体管控要求</w:t>
                  </w:r>
                </w:p>
              </w:tc>
              <w:tc>
                <w:tcPr>
                  <w:tcW w:w="3200" w:type="pct"/>
                  <w:noWrap w:val="0"/>
                  <w:vAlign w:val="center"/>
                </w:tcPr>
                <w:p>
                  <w:pPr>
                    <w:keepNext w:val="0"/>
                    <w:keepLines w:val="0"/>
                    <w:pageBreakBefore w:val="0"/>
                    <w:widowControl w:val="0"/>
                    <w:shd w:val="clear"/>
                    <w:kinsoku/>
                    <w:wordWrap/>
                    <w:overflowPunct/>
                    <w:topLinePunct w:val="0"/>
                    <w:autoSpaceDE/>
                    <w:autoSpaceDN/>
                    <w:bidi w:val="0"/>
                    <w:adjustRightInd w:val="0"/>
                    <w:snapToGrid w:val="0"/>
                    <w:spacing w:line="240" w:lineRule="auto"/>
                    <w:jc w:val="center"/>
                    <w:textAlignment w:val="auto"/>
                    <w:rPr>
                      <w:color w:val="auto"/>
                      <w:sz w:val="21"/>
                      <w:szCs w:val="21"/>
                      <w:highlight w:val="none"/>
                    </w:rPr>
                  </w:pPr>
                  <w:r>
                    <w:rPr>
                      <w:color w:val="auto"/>
                      <w:sz w:val="21"/>
                      <w:szCs w:val="21"/>
                      <w:highlight w:val="none"/>
                    </w:rPr>
                    <w:t>满足空间布局约束、污染排放管控、环境风险防控、水资源量和强度要求和管控要求。</w:t>
                  </w:r>
                </w:p>
              </w:tc>
              <w:tc>
                <w:tcPr>
                  <w:tcW w:w="819" w:type="pct"/>
                  <w:noWrap w:val="0"/>
                  <w:vAlign w:val="center"/>
                </w:tcPr>
                <w:p>
                  <w:pPr>
                    <w:keepNext w:val="0"/>
                    <w:keepLines w:val="0"/>
                    <w:pageBreakBefore w:val="0"/>
                    <w:widowControl w:val="0"/>
                    <w:shd w:val="clear"/>
                    <w:kinsoku/>
                    <w:wordWrap/>
                    <w:overflowPunct/>
                    <w:topLinePunct w:val="0"/>
                    <w:autoSpaceDE/>
                    <w:autoSpaceDN/>
                    <w:bidi w:val="0"/>
                    <w:adjustRightInd w:val="0"/>
                    <w:snapToGrid w:val="0"/>
                    <w:spacing w:line="240" w:lineRule="auto"/>
                    <w:jc w:val="center"/>
                    <w:textAlignment w:val="auto"/>
                    <w:rPr>
                      <w:rFonts w:hint="default"/>
                      <w:color w:val="auto"/>
                      <w:sz w:val="21"/>
                      <w:szCs w:val="21"/>
                      <w:highlight w:val="none"/>
                      <w:lang w:val="en-US"/>
                    </w:rPr>
                  </w:pPr>
                  <w:r>
                    <w:rPr>
                      <w:rFonts w:hint="eastAsia"/>
                      <w:color w:val="auto"/>
                      <w:sz w:val="21"/>
                      <w:szCs w:val="21"/>
                      <w:highlight w:val="none"/>
                      <w:lang w:val="en-US" w:eastAsia="zh-CN"/>
                    </w:rPr>
                    <w:t>项目施工期及运营期不新增废污水外排，固体废物采取妥善处理，不会对土壤及地下水环境造成影响。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jc w:val="center"/>
              </w:trPr>
              <w:tc>
                <w:tcPr>
                  <w:tcW w:w="422" w:type="pct"/>
                  <w:noWrap w:val="0"/>
                  <w:vAlign w:val="center"/>
                </w:tcPr>
                <w:p>
                  <w:pPr>
                    <w:keepNext w:val="0"/>
                    <w:keepLines w:val="0"/>
                    <w:pageBreakBefore w:val="0"/>
                    <w:widowControl w:val="0"/>
                    <w:shd w:val="clear"/>
                    <w:kinsoku/>
                    <w:wordWrap/>
                    <w:overflowPunct/>
                    <w:topLinePunct w:val="0"/>
                    <w:autoSpaceDE/>
                    <w:autoSpaceDN/>
                    <w:bidi w:val="0"/>
                    <w:adjustRightInd w:val="0"/>
                    <w:snapToGrid w:val="0"/>
                    <w:spacing w:line="240" w:lineRule="auto"/>
                    <w:jc w:val="center"/>
                    <w:textAlignment w:val="auto"/>
                    <w:rPr>
                      <w:color w:val="auto"/>
                      <w:sz w:val="21"/>
                      <w:szCs w:val="21"/>
                      <w:highlight w:val="none"/>
                    </w:rPr>
                  </w:pPr>
                  <w:r>
                    <w:rPr>
                      <w:rFonts w:hint="eastAsia"/>
                      <w:color w:val="auto"/>
                      <w:sz w:val="21"/>
                      <w:szCs w:val="21"/>
                      <w:highlight w:val="none"/>
                    </w:rPr>
                    <w:t>7</w:t>
                  </w:r>
                </w:p>
              </w:tc>
              <w:tc>
                <w:tcPr>
                  <w:tcW w:w="558" w:type="pct"/>
                  <w:noWrap w:val="0"/>
                  <w:vAlign w:val="center"/>
                </w:tcPr>
                <w:p>
                  <w:pPr>
                    <w:keepNext w:val="0"/>
                    <w:keepLines w:val="0"/>
                    <w:pageBreakBefore w:val="0"/>
                    <w:widowControl w:val="0"/>
                    <w:shd w:val="clear"/>
                    <w:kinsoku/>
                    <w:wordWrap/>
                    <w:overflowPunct/>
                    <w:topLinePunct w:val="0"/>
                    <w:autoSpaceDE/>
                    <w:autoSpaceDN/>
                    <w:bidi w:val="0"/>
                    <w:adjustRightInd w:val="0"/>
                    <w:snapToGrid w:val="0"/>
                    <w:spacing w:line="240" w:lineRule="auto"/>
                    <w:jc w:val="center"/>
                    <w:textAlignment w:val="auto"/>
                    <w:rPr>
                      <w:color w:val="auto"/>
                      <w:sz w:val="21"/>
                      <w:szCs w:val="21"/>
                      <w:highlight w:val="none"/>
                    </w:rPr>
                  </w:pPr>
                  <w:r>
                    <w:rPr>
                      <w:color w:val="auto"/>
                      <w:sz w:val="21"/>
                      <w:szCs w:val="21"/>
                      <w:highlight w:val="none"/>
                    </w:rPr>
                    <w:t>资源利用总体管控要求</w:t>
                  </w:r>
                </w:p>
              </w:tc>
              <w:tc>
                <w:tcPr>
                  <w:tcW w:w="3200" w:type="pct"/>
                  <w:noWrap w:val="0"/>
                  <w:vAlign w:val="center"/>
                </w:tcPr>
                <w:p>
                  <w:pPr>
                    <w:keepNext w:val="0"/>
                    <w:keepLines w:val="0"/>
                    <w:pageBreakBefore w:val="0"/>
                    <w:widowControl w:val="0"/>
                    <w:shd w:val="clear"/>
                    <w:kinsoku/>
                    <w:wordWrap/>
                    <w:overflowPunct/>
                    <w:topLinePunct w:val="0"/>
                    <w:autoSpaceDE/>
                    <w:autoSpaceDN/>
                    <w:bidi w:val="0"/>
                    <w:adjustRightInd w:val="0"/>
                    <w:snapToGrid w:val="0"/>
                    <w:spacing w:line="240" w:lineRule="auto"/>
                    <w:jc w:val="center"/>
                    <w:textAlignment w:val="auto"/>
                    <w:rPr>
                      <w:color w:val="auto"/>
                      <w:sz w:val="21"/>
                      <w:szCs w:val="21"/>
                      <w:highlight w:val="none"/>
                    </w:rPr>
                  </w:pPr>
                  <w:r>
                    <w:rPr>
                      <w:color w:val="auto"/>
                      <w:sz w:val="21"/>
                      <w:szCs w:val="21"/>
                      <w:highlight w:val="none"/>
                    </w:rPr>
                    <w:t>满足水资源总量和强度要求和管控要求；能源总量和强度要求和管控要求；土地资源管控要求；岸线 资源利用上线和管控要求。</w:t>
                  </w:r>
                </w:p>
              </w:tc>
              <w:tc>
                <w:tcPr>
                  <w:tcW w:w="819" w:type="pct"/>
                  <w:noWrap w:val="0"/>
                  <w:vAlign w:val="center"/>
                </w:tcPr>
                <w:p>
                  <w:pPr>
                    <w:keepNext w:val="0"/>
                    <w:keepLines w:val="0"/>
                    <w:pageBreakBefore w:val="0"/>
                    <w:widowControl w:val="0"/>
                    <w:shd w:val="clear"/>
                    <w:kinsoku/>
                    <w:wordWrap/>
                    <w:overflowPunct/>
                    <w:topLinePunct w:val="0"/>
                    <w:autoSpaceDE/>
                    <w:autoSpaceDN/>
                    <w:bidi w:val="0"/>
                    <w:adjustRightInd w:val="0"/>
                    <w:snapToGrid w:val="0"/>
                    <w:spacing w:line="240" w:lineRule="auto"/>
                    <w:jc w:val="center"/>
                    <w:textAlignment w:val="auto"/>
                    <w:rPr>
                      <w:rFonts w:hint="default" w:eastAsia="宋体"/>
                      <w:color w:val="auto"/>
                      <w:sz w:val="21"/>
                      <w:szCs w:val="21"/>
                      <w:highlight w:val="none"/>
                      <w:lang w:val="en-US" w:eastAsia="zh-CN"/>
                    </w:rPr>
                  </w:pPr>
                  <w:r>
                    <w:rPr>
                      <w:rFonts w:hint="eastAsia"/>
                      <w:color w:val="auto"/>
                      <w:sz w:val="21"/>
                      <w:szCs w:val="21"/>
                      <w:highlight w:val="none"/>
                      <w:lang w:val="en-US" w:eastAsia="zh-CN"/>
                    </w:rPr>
                    <w:t>项目运营期无新增用水，主要为电能，消耗量较少，不会突破当地电力资源上限，本次建设位于现有车间内部，不新增占地。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22" w:type="pct"/>
                  <w:noWrap w:val="0"/>
                  <w:vAlign w:val="center"/>
                </w:tcPr>
                <w:p>
                  <w:pPr>
                    <w:keepNext w:val="0"/>
                    <w:keepLines w:val="0"/>
                    <w:pageBreakBefore w:val="0"/>
                    <w:widowControl w:val="0"/>
                    <w:shd w:val="clear"/>
                    <w:kinsoku/>
                    <w:wordWrap/>
                    <w:overflowPunct/>
                    <w:topLinePunct w:val="0"/>
                    <w:autoSpaceDE/>
                    <w:autoSpaceDN/>
                    <w:bidi w:val="0"/>
                    <w:adjustRightInd w:val="0"/>
                    <w:snapToGrid w:val="0"/>
                    <w:spacing w:line="240" w:lineRule="auto"/>
                    <w:jc w:val="center"/>
                    <w:textAlignment w:val="auto"/>
                    <w:rPr>
                      <w:color w:val="auto"/>
                      <w:sz w:val="21"/>
                      <w:szCs w:val="21"/>
                      <w:highlight w:val="none"/>
                    </w:rPr>
                  </w:pPr>
                  <w:r>
                    <w:rPr>
                      <w:rFonts w:hint="eastAsia"/>
                      <w:color w:val="auto"/>
                      <w:sz w:val="21"/>
                      <w:szCs w:val="21"/>
                      <w:highlight w:val="none"/>
                    </w:rPr>
                    <w:t>8</w:t>
                  </w:r>
                </w:p>
              </w:tc>
              <w:tc>
                <w:tcPr>
                  <w:tcW w:w="558" w:type="pct"/>
                  <w:noWrap w:val="0"/>
                  <w:vAlign w:val="center"/>
                </w:tcPr>
                <w:p>
                  <w:pPr>
                    <w:keepNext w:val="0"/>
                    <w:keepLines w:val="0"/>
                    <w:pageBreakBefore w:val="0"/>
                    <w:widowControl w:val="0"/>
                    <w:shd w:val="clear"/>
                    <w:kinsoku/>
                    <w:wordWrap/>
                    <w:overflowPunct/>
                    <w:topLinePunct w:val="0"/>
                    <w:autoSpaceDE/>
                    <w:autoSpaceDN/>
                    <w:bidi w:val="0"/>
                    <w:adjustRightInd w:val="0"/>
                    <w:snapToGrid w:val="0"/>
                    <w:spacing w:line="240" w:lineRule="auto"/>
                    <w:jc w:val="center"/>
                    <w:textAlignment w:val="auto"/>
                    <w:rPr>
                      <w:color w:val="auto"/>
                      <w:sz w:val="21"/>
                      <w:szCs w:val="21"/>
                      <w:highlight w:val="none"/>
                    </w:rPr>
                  </w:pPr>
                  <w:r>
                    <w:rPr>
                      <w:color w:val="auto"/>
                      <w:sz w:val="21"/>
                      <w:szCs w:val="21"/>
                      <w:highlight w:val="none"/>
                    </w:rPr>
                    <w:t>产业布局总体管控要求</w:t>
                  </w:r>
                </w:p>
              </w:tc>
              <w:tc>
                <w:tcPr>
                  <w:tcW w:w="3200" w:type="pct"/>
                  <w:noWrap w:val="0"/>
                  <w:vAlign w:val="center"/>
                </w:tcPr>
                <w:p>
                  <w:pPr>
                    <w:keepNext w:val="0"/>
                    <w:keepLines w:val="0"/>
                    <w:pageBreakBefore w:val="0"/>
                    <w:widowControl w:val="0"/>
                    <w:shd w:val="clear"/>
                    <w:kinsoku/>
                    <w:wordWrap/>
                    <w:overflowPunct/>
                    <w:topLinePunct w:val="0"/>
                    <w:autoSpaceDE/>
                    <w:autoSpaceDN/>
                    <w:bidi w:val="0"/>
                    <w:adjustRightInd w:val="0"/>
                    <w:snapToGrid w:val="0"/>
                    <w:spacing w:line="240" w:lineRule="auto"/>
                    <w:jc w:val="center"/>
                    <w:textAlignment w:val="auto"/>
                    <w:rPr>
                      <w:color w:val="auto"/>
                      <w:sz w:val="21"/>
                      <w:szCs w:val="21"/>
                      <w:highlight w:val="none"/>
                    </w:rPr>
                  </w:pPr>
                  <w:r>
                    <w:rPr>
                      <w:color w:val="auto"/>
                      <w:sz w:val="21"/>
                      <w:szCs w:val="21"/>
                      <w:highlight w:val="none"/>
                    </w:rPr>
                    <w:t>产业总体布局要求：1.禁止新建国家《产业结构调整指导目录》中限制类、淘汰类产业项目，《市场准入负面清单》中禁止准入类及《河北省禁止投资的产业目 录》、《河北省新增限制和淘汰类产业目录（2015年版）》、《秦皇岛市限制和禁止投资的产业目录》（2020年修订版）中的产业项目。 2.禁止建设《环境保护综合名录（2017年版）》中“高污染、高风险”产品加工项目。严格控制生态脆弱或环境敏感地区建设“两高”行业项目。 3.严禁钢铁、焦化、水泥、平板玻璃、电解铝、有色、电石、铁合金、陶瓷等新增产能项目建设，鼓励建设大型超临界和超临界机组，重点行业新（改、扩）建项目严格执行产能置换、煤炭、污染物倍量削减替代办法。 4.推动钢铁、石化、化工等传统高耗能行业转型升级，同时优先淘汰高碳落后产能，严格控制高碳高耗能行业新增产能，利用秦皇岛区位优势，积极发展战略性新兴产业，加快推动现代服务业、高新技术产业和先进制造业发展。5.上一年度环境空气质量年均浓度不达标、水环境质量未达到要求的区县，相关污染物应按照建设项目所需替代的主要污染物排放总量指标的2倍进行削减替代（燃煤发电机组大气污染物排放浓度基本达到燃气轮机组排放限值的除外）；PM</w:t>
                  </w:r>
                  <w:r>
                    <w:rPr>
                      <w:color w:val="auto"/>
                      <w:sz w:val="21"/>
                      <w:szCs w:val="21"/>
                      <w:highlight w:val="none"/>
                      <w:vertAlign w:val="subscript"/>
                    </w:rPr>
                    <w:t>2.5</w:t>
                  </w:r>
                  <w:r>
                    <w:rPr>
                      <w:color w:val="auto"/>
                      <w:sz w:val="21"/>
                      <w:szCs w:val="21"/>
                      <w:highlight w:val="none"/>
                    </w:rPr>
                    <w:t>年均浓度不达标的区县，二氧化硫、氮氧化物、烟粉尘、挥发性有机物四项污染物均需进行2倍削减替代（燃煤发电机组大气污染物排放浓度基本达到燃气轮机组排放限值的除外）。 6.以钢铁、水泥、平板玻璃、焦化、化工、制药等行业为重点，加快城市建成区重污染企业搬迁改造或关闭退出，具备条件的钢铁、水泥、平板玻璃、焦化、化工、制药、陶瓷、铸造等重污染企业退出城市建成区，县城和主要城镇建成区的重污染企业逐步实施退城搬迁。对不符合国家产业政策、不符合当地产业布局规划的分散燃煤（燃重油等）炉窑，鼓励搬迁入园并进行集中治理，推进治理装备升级改造，建设规模化和集约化工业企业。7.禁止在居民区、学校、医疗和养老机构等周边新建有色金属冶炼、焦化等行业企业。严格控制在优先保护类耕地集中区域新建有色金属冶炼、石油加工、化工、焦化、电镀、制革、制药、铅酸蓄电池行业企业。</w:t>
                  </w:r>
                </w:p>
                <w:p>
                  <w:pPr>
                    <w:keepNext w:val="0"/>
                    <w:keepLines w:val="0"/>
                    <w:pageBreakBefore w:val="0"/>
                    <w:widowControl w:val="0"/>
                    <w:shd w:val="clear"/>
                    <w:kinsoku/>
                    <w:wordWrap/>
                    <w:overflowPunct/>
                    <w:topLinePunct w:val="0"/>
                    <w:autoSpaceDE/>
                    <w:autoSpaceDN/>
                    <w:bidi w:val="0"/>
                    <w:adjustRightInd w:val="0"/>
                    <w:snapToGrid w:val="0"/>
                    <w:spacing w:line="240" w:lineRule="auto"/>
                    <w:jc w:val="center"/>
                    <w:textAlignment w:val="auto"/>
                    <w:rPr>
                      <w:color w:val="auto"/>
                      <w:sz w:val="21"/>
                      <w:szCs w:val="21"/>
                      <w:highlight w:val="none"/>
                    </w:rPr>
                  </w:pPr>
                  <w:r>
                    <w:rPr>
                      <w:color w:val="auto"/>
                      <w:sz w:val="21"/>
                      <w:szCs w:val="21"/>
                      <w:highlight w:val="none"/>
                    </w:rPr>
                    <w:t>项目入园准入要求：1.县级以下原则不再建设新的园区，造纸、焦化、氮肥、有色金属、印染、原料药制造、皮革、农药、电镀、钢铁、石灰、平板玻璃、石化、化工等高污染工业项目必须入园进区， 其他工业项目原则上也不在园区外布局。 2.加强园区规划及环评时效性。现有市县级工业区在遵从规划、规划环评及跟踪评价的要求前提下，严格遵循河北省、秦皇岛市对应环境管控单元生态环境准入要求。 3.对于以“园区”名义存在的工业大院或工业小区（无规划及环评）内的“散乱污”企业，严格整治标准，限期整治；对严重污染环境的企业，坚决依法依规处置到位。4.推进现有企业向依法合规设立、环保设施齐全、符合规划环评要求的工业集聚区集中，明确工业企业入园时间表；确因不具备入园条件需原地保留的工业企业，明确保留条件，其中直排环境企业排放废水应达到排入水体功能区标准。</w:t>
                  </w:r>
                </w:p>
              </w:tc>
              <w:tc>
                <w:tcPr>
                  <w:tcW w:w="819"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color w:val="auto"/>
                      <w:sz w:val="21"/>
                      <w:szCs w:val="21"/>
                      <w:highlight w:val="none"/>
                    </w:rPr>
                  </w:pPr>
                  <w:r>
                    <w:rPr>
                      <w:rFonts w:hint="eastAsia"/>
                      <w:color w:val="auto"/>
                      <w:sz w:val="21"/>
                      <w:szCs w:val="21"/>
                      <w:highlight w:val="none"/>
                    </w:rPr>
                    <w:t>项目</w:t>
                  </w:r>
                  <w:r>
                    <w:rPr>
                      <w:rFonts w:hint="eastAsia"/>
                      <w:color w:val="auto"/>
                      <w:sz w:val="21"/>
                      <w:szCs w:val="21"/>
                      <w:highlight w:val="none"/>
                      <w:lang w:val="en-US" w:eastAsia="zh-CN"/>
                    </w:rPr>
                    <w:t>不属于</w:t>
                  </w:r>
                  <w:r>
                    <w:rPr>
                      <w:color w:val="auto"/>
                      <w:sz w:val="21"/>
                      <w:szCs w:val="21"/>
                      <w:highlight w:val="none"/>
                    </w:rPr>
                    <w:t>《产业结构调整指导目录》中限制类、淘汰类产业项目</w:t>
                  </w:r>
                  <w:r>
                    <w:rPr>
                      <w:rFonts w:hint="eastAsia"/>
                      <w:color w:val="auto"/>
                      <w:sz w:val="21"/>
                      <w:szCs w:val="21"/>
                      <w:highlight w:val="none"/>
                      <w:lang w:eastAsia="zh-CN"/>
                    </w:rPr>
                    <w:t>；</w:t>
                  </w:r>
                  <w:r>
                    <w:rPr>
                      <w:rFonts w:hint="eastAsia"/>
                      <w:color w:val="auto"/>
                      <w:sz w:val="21"/>
                      <w:szCs w:val="21"/>
                      <w:highlight w:val="none"/>
                      <w:lang w:val="en-US" w:eastAsia="zh-CN"/>
                    </w:rPr>
                    <w:t>不属于</w:t>
                  </w:r>
                  <w:r>
                    <w:rPr>
                      <w:color w:val="auto"/>
                      <w:sz w:val="21"/>
                      <w:szCs w:val="21"/>
                      <w:highlight w:val="none"/>
                    </w:rPr>
                    <w:t>《市场准入负面清单》中禁止准入类及《河北省禁止投资的产业目录》、《河北省新增限制和淘汰类产业目录（2015年版）》、《秦皇岛市限制和禁止投资的产业目录》（2020年修订版）中的产业项目</w:t>
                  </w:r>
                  <w:r>
                    <w:rPr>
                      <w:rFonts w:hint="eastAsia"/>
                      <w:color w:val="auto"/>
                      <w:sz w:val="21"/>
                      <w:szCs w:val="21"/>
                      <w:highlight w:val="none"/>
                      <w:lang w:eastAsia="zh-CN"/>
                    </w:rPr>
                    <w:t>；</w:t>
                  </w:r>
                  <w:r>
                    <w:rPr>
                      <w:rFonts w:hint="eastAsia"/>
                      <w:color w:val="auto"/>
                      <w:sz w:val="21"/>
                      <w:szCs w:val="21"/>
                      <w:highlight w:val="none"/>
                      <w:lang w:val="en-US" w:eastAsia="zh-CN"/>
                    </w:rPr>
                    <w:t>不属于《</w:t>
                  </w:r>
                  <w:r>
                    <w:rPr>
                      <w:color w:val="auto"/>
                      <w:sz w:val="21"/>
                      <w:szCs w:val="21"/>
                      <w:highlight w:val="none"/>
                    </w:rPr>
                    <w:t>环境保护综合名录</w:t>
                  </w:r>
                  <w:r>
                    <w:rPr>
                      <w:rFonts w:hint="eastAsia"/>
                      <w:color w:val="auto"/>
                      <w:sz w:val="21"/>
                      <w:szCs w:val="21"/>
                      <w:highlight w:val="none"/>
                      <w:lang w:val="en-US" w:eastAsia="zh-CN"/>
                    </w:rPr>
                    <w:t>》（2022版）中“高污染、高风险”类项目。</w:t>
                  </w:r>
                </w:p>
                <w:p>
                  <w:pPr>
                    <w:keepNext w:val="0"/>
                    <w:keepLines w:val="0"/>
                    <w:pageBreakBefore w:val="0"/>
                    <w:widowControl w:val="0"/>
                    <w:shd w:val="clear"/>
                    <w:kinsoku/>
                    <w:wordWrap/>
                    <w:overflowPunct/>
                    <w:topLinePunct w:val="0"/>
                    <w:autoSpaceDE/>
                    <w:autoSpaceDN/>
                    <w:bidi w:val="0"/>
                    <w:adjustRightInd w:val="0"/>
                    <w:snapToGrid w:val="0"/>
                    <w:spacing w:line="240" w:lineRule="auto"/>
                    <w:jc w:val="center"/>
                    <w:textAlignment w:val="auto"/>
                    <w:rPr>
                      <w:rFonts w:hint="eastAsia"/>
                      <w:color w:val="auto"/>
                      <w:sz w:val="21"/>
                      <w:szCs w:val="21"/>
                      <w:highlight w:val="none"/>
                      <w:lang w:eastAsia="zh-CN"/>
                    </w:rPr>
                  </w:pPr>
                  <w:r>
                    <w:rPr>
                      <w:rFonts w:hint="eastAsia"/>
                      <w:color w:val="auto"/>
                      <w:sz w:val="21"/>
                      <w:szCs w:val="21"/>
                      <w:highlight w:val="none"/>
                    </w:rPr>
                    <w:t>满足产业布局总体管控要求</w:t>
                  </w:r>
                  <w:r>
                    <w:rPr>
                      <w:rFonts w:hint="eastAsia"/>
                      <w:color w:val="auto"/>
                      <w:sz w:val="21"/>
                      <w:szCs w:val="21"/>
                      <w:highlight w:val="none"/>
                      <w:lang w:eastAsia="zh-CN"/>
                    </w:rPr>
                    <w:t>；</w:t>
                  </w:r>
                </w:p>
                <w:p>
                  <w:pPr>
                    <w:keepNext w:val="0"/>
                    <w:keepLines w:val="0"/>
                    <w:pageBreakBefore w:val="0"/>
                    <w:widowControl w:val="0"/>
                    <w:shd w:val="clear"/>
                    <w:kinsoku/>
                    <w:wordWrap/>
                    <w:overflowPunct/>
                    <w:topLinePunct w:val="0"/>
                    <w:autoSpaceDE/>
                    <w:autoSpaceDN/>
                    <w:bidi w:val="0"/>
                    <w:adjustRightInd w:val="0"/>
                    <w:snapToGrid w:val="0"/>
                    <w:spacing w:line="240" w:lineRule="auto"/>
                    <w:jc w:val="center"/>
                    <w:textAlignment w:val="auto"/>
                    <w:rPr>
                      <w:rFonts w:hint="eastAsia" w:eastAsia="宋体"/>
                      <w:color w:val="auto"/>
                      <w:sz w:val="21"/>
                      <w:szCs w:val="21"/>
                      <w:highlight w:val="none"/>
                      <w:lang w:val="en-US" w:eastAsia="zh-CN"/>
                    </w:rPr>
                  </w:pPr>
                  <w:r>
                    <w:rPr>
                      <w:rFonts w:hint="eastAsia"/>
                      <w:color w:val="auto"/>
                      <w:sz w:val="21"/>
                      <w:szCs w:val="21"/>
                      <w:highlight w:val="none"/>
                      <w:lang w:val="en-US" w:eastAsia="zh-CN"/>
                    </w:rPr>
                    <w:t>本项目位于产业园区内，根据园区符合性分析章节可知，本项目满足园区准入要求，符合产业定位</w:t>
                  </w:r>
                  <w:r>
                    <w:rPr>
                      <w:rFonts w:hint="eastAsia"/>
                      <w:color w:val="auto"/>
                      <w:sz w:val="21"/>
                      <w:szCs w:val="21"/>
                      <w:highlight w:val="none"/>
                      <w:lang w:eastAsia="zh-CN"/>
                    </w:rPr>
                    <w:t>。</w:t>
                  </w:r>
                </w:p>
              </w:tc>
            </w:tr>
          </w:tbl>
          <w:p>
            <w:pPr>
              <w:rPr>
                <w:rFonts w:hint="default" w:ascii="Times New Roman" w:hAnsi="Times New Roman" w:eastAsia="宋体" w:cs="Times New Roman"/>
                <w:color w:val="auto"/>
                <w:sz w:val="21"/>
                <w:szCs w:val="16"/>
                <w:highlight w:val="none"/>
                <w:lang w:val="en-US" w:eastAsia="zh-CN"/>
              </w:rPr>
            </w:pPr>
          </w:p>
          <w:p>
            <w:pPr>
              <w:pStyle w:val="51"/>
              <w:rPr>
                <w:rFonts w:ascii="Times New Roman" w:hAnsi="Times New Roman"/>
                <w:color w:val="auto"/>
                <w:sz w:val="21"/>
                <w:szCs w:val="13"/>
                <w:highlight w:val="none"/>
              </w:rPr>
            </w:pPr>
            <w:r>
              <w:rPr>
                <w:rFonts w:ascii="Times New Roman" w:hAnsi="Times New Roman"/>
                <w:color w:val="auto"/>
                <w:sz w:val="21"/>
                <w:szCs w:val="13"/>
                <w:highlight w:val="none"/>
              </w:rPr>
              <w:t>表</w:t>
            </w:r>
            <w:r>
              <w:rPr>
                <w:rFonts w:hint="eastAsia" w:ascii="Times New Roman" w:hAnsi="Times New Roman"/>
                <w:color w:val="auto"/>
                <w:sz w:val="21"/>
                <w:szCs w:val="13"/>
                <w:highlight w:val="none"/>
              </w:rPr>
              <w:t>1-</w:t>
            </w:r>
            <w:r>
              <w:rPr>
                <w:rFonts w:hint="eastAsia"/>
                <w:color w:val="auto"/>
                <w:sz w:val="21"/>
                <w:szCs w:val="13"/>
                <w:highlight w:val="none"/>
                <w:lang w:val="en-US" w:eastAsia="zh-CN"/>
              </w:rPr>
              <w:t>4</w:t>
            </w:r>
            <w:r>
              <w:rPr>
                <w:rFonts w:ascii="Times New Roman" w:hAnsi="Times New Roman"/>
                <w:color w:val="auto"/>
                <w:sz w:val="21"/>
                <w:szCs w:val="13"/>
                <w:highlight w:val="none"/>
              </w:rPr>
              <w:t xml:space="preserve">  本项目与《实施意见》</w:t>
            </w:r>
            <w:r>
              <w:rPr>
                <w:rFonts w:hint="eastAsia" w:ascii="Times New Roman" w:hAnsi="Times New Roman"/>
                <w:color w:val="auto"/>
                <w:sz w:val="21"/>
                <w:szCs w:val="13"/>
                <w:highlight w:val="none"/>
              </w:rPr>
              <w:t>中重点管控单元</w:t>
            </w:r>
            <w:r>
              <w:rPr>
                <w:rFonts w:ascii="Times New Roman" w:hAnsi="Times New Roman"/>
                <w:color w:val="auto"/>
                <w:sz w:val="21"/>
                <w:szCs w:val="13"/>
                <w:highlight w:val="none"/>
              </w:rPr>
              <w:t>准入清单关系一览表</w:t>
            </w:r>
          </w:p>
          <w:tbl>
            <w:tblPr>
              <w:tblStyle w:val="32"/>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45"/>
              <w:gridCol w:w="872"/>
              <w:gridCol w:w="983"/>
              <w:gridCol w:w="2840"/>
              <w:gridCol w:w="21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713" w:type="pct"/>
                  <w:noWrap w:val="0"/>
                  <w:vAlign w:val="center"/>
                </w:tcPr>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color w:val="auto"/>
                      <w:sz w:val="21"/>
                      <w:szCs w:val="21"/>
                      <w:highlight w:val="none"/>
                    </w:rPr>
                  </w:pPr>
                  <w:r>
                    <w:rPr>
                      <w:rFonts w:hint="eastAsia"/>
                      <w:color w:val="auto"/>
                      <w:sz w:val="21"/>
                      <w:szCs w:val="21"/>
                      <w:highlight w:val="none"/>
                    </w:rPr>
                    <w:t>单元类别</w:t>
                  </w:r>
                </w:p>
              </w:tc>
              <w:tc>
                <w:tcPr>
                  <w:tcW w:w="543" w:type="pct"/>
                  <w:noWrap w:val="0"/>
                  <w:vAlign w:val="center"/>
                </w:tcPr>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color w:val="auto"/>
                      <w:sz w:val="21"/>
                      <w:szCs w:val="21"/>
                      <w:highlight w:val="none"/>
                    </w:rPr>
                  </w:pPr>
                  <w:r>
                    <w:rPr>
                      <w:rFonts w:hint="eastAsia"/>
                      <w:color w:val="auto"/>
                      <w:sz w:val="21"/>
                      <w:szCs w:val="21"/>
                      <w:highlight w:val="none"/>
                    </w:rPr>
                    <w:t>环境要素类别</w:t>
                  </w:r>
                </w:p>
              </w:tc>
              <w:tc>
                <w:tcPr>
                  <w:tcW w:w="612" w:type="pct"/>
                  <w:noWrap w:val="0"/>
                  <w:vAlign w:val="center"/>
                </w:tcPr>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color w:val="auto"/>
                      <w:sz w:val="21"/>
                      <w:szCs w:val="21"/>
                      <w:highlight w:val="none"/>
                    </w:rPr>
                  </w:pPr>
                  <w:r>
                    <w:rPr>
                      <w:rFonts w:hint="eastAsia"/>
                      <w:color w:val="auto"/>
                      <w:sz w:val="21"/>
                      <w:szCs w:val="21"/>
                      <w:highlight w:val="none"/>
                    </w:rPr>
                    <w:t>维度</w:t>
                  </w:r>
                </w:p>
              </w:tc>
              <w:tc>
                <w:tcPr>
                  <w:tcW w:w="1769" w:type="pct"/>
                  <w:noWrap w:val="0"/>
                  <w:vAlign w:val="center"/>
                </w:tcPr>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color w:val="auto"/>
                      <w:sz w:val="21"/>
                      <w:szCs w:val="21"/>
                      <w:highlight w:val="none"/>
                    </w:rPr>
                  </w:pPr>
                  <w:r>
                    <w:rPr>
                      <w:rFonts w:hint="eastAsia"/>
                      <w:color w:val="auto"/>
                      <w:sz w:val="21"/>
                      <w:szCs w:val="21"/>
                      <w:highlight w:val="none"/>
                    </w:rPr>
                    <w:t>准入要求</w:t>
                  </w:r>
                </w:p>
              </w:tc>
              <w:tc>
                <w:tcPr>
                  <w:tcW w:w="1362" w:type="pct"/>
                  <w:noWrap w:val="0"/>
                  <w:vAlign w:val="center"/>
                </w:tcPr>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color w:val="auto"/>
                      <w:sz w:val="21"/>
                      <w:szCs w:val="21"/>
                      <w:highlight w:val="none"/>
                    </w:rPr>
                  </w:pPr>
                  <w:r>
                    <w:rPr>
                      <w:rFonts w:hint="eastAsia"/>
                      <w:color w:val="auto"/>
                      <w:sz w:val="21"/>
                      <w:szCs w:val="21"/>
                      <w:highlight w:val="none"/>
                    </w:rPr>
                    <w:t>本项目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713" w:type="pct"/>
                  <w:vMerge w:val="restart"/>
                  <w:noWrap w:val="0"/>
                  <w:vAlign w:val="center"/>
                </w:tcPr>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color w:val="auto"/>
                      <w:sz w:val="21"/>
                      <w:szCs w:val="21"/>
                      <w:highlight w:val="none"/>
                      <w:lang w:val="en-US" w:eastAsia="zh-CN"/>
                    </w:rPr>
                  </w:pPr>
                </w:p>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color w:val="auto"/>
                      <w:sz w:val="21"/>
                      <w:szCs w:val="21"/>
                      <w:highlight w:val="none"/>
                      <w:lang w:val="en-US" w:eastAsia="zh-CN"/>
                    </w:rPr>
                  </w:pPr>
                </w:p>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color w:val="auto"/>
                      <w:sz w:val="21"/>
                      <w:szCs w:val="21"/>
                      <w:highlight w:val="none"/>
                      <w:lang w:val="en-US" w:eastAsia="zh-CN"/>
                    </w:rPr>
                  </w:pPr>
                </w:p>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color w:val="auto"/>
                      <w:sz w:val="21"/>
                      <w:szCs w:val="21"/>
                      <w:highlight w:val="none"/>
                      <w:lang w:val="en-US" w:eastAsia="zh-CN"/>
                    </w:rPr>
                  </w:pPr>
                </w:p>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color w:val="auto"/>
                      <w:sz w:val="21"/>
                      <w:szCs w:val="21"/>
                      <w:highlight w:val="none"/>
                      <w:lang w:val="en-US" w:eastAsia="zh-CN"/>
                    </w:rPr>
                  </w:pPr>
                </w:p>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color w:val="auto"/>
                      <w:sz w:val="21"/>
                      <w:szCs w:val="21"/>
                      <w:highlight w:val="none"/>
                      <w:lang w:val="en-US" w:eastAsia="zh-CN"/>
                    </w:rPr>
                  </w:pPr>
                </w:p>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color w:val="auto"/>
                      <w:sz w:val="21"/>
                      <w:szCs w:val="21"/>
                      <w:highlight w:val="none"/>
                      <w:lang w:val="en-US" w:eastAsia="zh-CN"/>
                    </w:rPr>
                  </w:pPr>
                </w:p>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color w:val="auto"/>
                      <w:sz w:val="21"/>
                      <w:szCs w:val="21"/>
                      <w:highlight w:val="none"/>
                      <w:lang w:val="en-US" w:eastAsia="zh-CN"/>
                    </w:rPr>
                  </w:pPr>
                </w:p>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color w:val="auto"/>
                      <w:sz w:val="21"/>
                      <w:szCs w:val="21"/>
                      <w:highlight w:val="none"/>
                      <w:lang w:val="en-US" w:eastAsia="zh-CN"/>
                    </w:rPr>
                  </w:pPr>
                </w:p>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color w:val="auto"/>
                      <w:sz w:val="21"/>
                      <w:szCs w:val="21"/>
                      <w:highlight w:val="none"/>
                      <w:lang w:val="en-US" w:eastAsia="zh-CN"/>
                    </w:rPr>
                  </w:pPr>
                </w:p>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color w:val="auto"/>
                      <w:sz w:val="21"/>
                      <w:szCs w:val="21"/>
                      <w:highlight w:val="none"/>
                      <w:lang w:val="en-US" w:eastAsia="zh-CN"/>
                    </w:rPr>
                  </w:pPr>
                </w:p>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color w:val="auto"/>
                      <w:sz w:val="21"/>
                      <w:szCs w:val="21"/>
                      <w:highlight w:val="none"/>
                      <w:lang w:val="en-US" w:eastAsia="zh-CN"/>
                    </w:rPr>
                  </w:pPr>
                </w:p>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color w:val="auto"/>
                      <w:sz w:val="21"/>
                      <w:szCs w:val="21"/>
                      <w:highlight w:val="none"/>
                      <w:lang w:val="en-US" w:eastAsia="zh-CN"/>
                    </w:rPr>
                  </w:pPr>
                </w:p>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color w:val="auto"/>
                      <w:sz w:val="21"/>
                      <w:szCs w:val="21"/>
                      <w:highlight w:val="none"/>
                      <w:lang w:val="en-US" w:eastAsia="zh-CN"/>
                    </w:rPr>
                  </w:pPr>
                </w:p>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color w:val="auto"/>
                      <w:sz w:val="21"/>
                      <w:szCs w:val="21"/>
                      <w:highlight w:val="none"/>
                      <w:lang w:val="en-US" w:eastAsia="zh-CN"/>
                    </w:rPr>
                  </w:pPr>
                </w:p>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color w:val="auto"/>
                      <w:sz w:val="21"/>
                      <w:szCs w:val="21"/>
                      <w:highlight w:val="none"/>
                      <w:lang w:val="en-US" w:eastAsia="zh-CN"/>
                    </w:rPr>
                  </w:pPr>
                </w:p>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color w:val="auto"/>
                      <w:sz w:val="21"/>
                      <w:szCs w:val="21"/>
                      <w:highlight w:val="none"/>
                      <w:lang w:val="en-US" w:eastAsia="zh-CN"/>
                    </w:rPr>
                  </w:pPr>
                </w:p>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color w:val="auto"/>
                      <w:sz w:val="21"/>
                      <w:szCs w:val="21"/>
                      <w:highlight w:val="none"/>
                      <w:lang w:val="en-US" w:eastAsia="zh-CN"/>
                    </w:rPr>
                  </w:pPr>
                </w:p>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color w:val="auto"/>
                      <w:sz w:val="21"/>
                      <w:szCs w:val="21"/>
                      <w:highlight w:val="none"/>
                      <w:lang w:val="en-US" w:eastAsia="zh-CN"/>
                    </w:rPr>
                  </w:pPr>
                </w:p>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color w:val="auto"/>
                      <w:sz w:val="21"/>
                      <w:szCs w:val="21"/>
                      <w:highlight w:val="none"/>
                      <w:lang w:val="en-US" w:eastAsia="zh-CN"/>
                    </w:rPr>
                  </w:pPr>
                </w:p>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color w:val="auto"/>
                      <w:sz w:val="21"/>
                      <w:szCs w:val="21"/>
                      <w:highlight w:val="none"/>
                      <w:lang w:val="en-US" w:eastAsia="zh-CN"/>
                    </w:rPr>
                  </w:pPr>
                </w:p>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color w:val="auto"/>
                      <w:sz w:val="21"/>
                      <w:szCs w:val="21"/>
                      <w:highlight w:val="none"/>
                      <w:lang w:val="en-US" w:eastAsia="zh-CN"/>
                    </w:rPr>
                  </w:pPr>
                </w:p>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color w:val="auto"/>
                      <w:sz w:val="21"/>
                      <w:szCs w:val="21"/>
                      <w:highlight w:val="none"/>
                      <w:lang w:val="en-US" w:eastAsia="zh-CN"/>
                    </w:rPr>
                  </w:pPr>
                </w:p>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color w:val="auto"/>
                      <w:sz w:val="21"/>
                      <w:szCs w:val="21"/>
                      <w:highlight w:val="none"/>
                      <w:lang w:val="en-US" w:eastAsia="zh-CN"/>
                    </w:rPr>
                  </w:pPr>
                </w:p>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color w:val="auto"/>
                      <w:sz w:val="21"/>
                      <w:szCs w:val="21"/>
                      <w:highlight w:val="none"/>
                      <w:lang w:val="en-US" w:eastAsia="zh-CN"/>
                    </w:rPr>
                  </w:pPr>
                </w:p>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color w:val="auto"/>
                      <w:sz w:val="21"/>
                      <w:szCs w:val="21"/>
                      <w:highlight w:val="none"/>
                      <w:lang w:val="en-US" w:eastAsia="zh-CN"/>
                    </w:rPr>
                  </w:pPr>
                </w:p>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eastAsia="宋体"/>
                      <w:color w:val="auto"/>
                      <w:sz w:val="21"/>
                      <w:szCs w:val="21"/>
                      <w:highlight w:val="none"/>
                      <w:lang w:val="en-US" w:eastAsia="zh-CN"/>
                    </w:rPr>
                  </w:pPr>
                  <w:r>
                    <w:rPr>
                      <w:rFonts w:hint="eastAsia"/>
                      <w:color w:val="auto"/>
                      <w:sz w:val="21"/>
                      <w:szCs w:val="21"/>
                      <w:highlight w:val="none"/>
                      <w:lang w:val="en-US" w:eastAsia="zh-CN"/>
                    </w:rPr>
                    <w:t>重点管控区  抚宁镇（ZH13030620058）</w:t>
                  </w:r>
                </w:p>
              </w:tc>
              <w:tc>
                <w:tcPr>
                  <w:tcW w:w="543" w:type="pct"/>
                  <w:vMerge w:val="restart"/>
                  <w:noWrap w:val="0"/>
                  <w:vAlign w:val="center"/>
                </w:tcPr>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color w:val="auto"/>
                      <w:sz w:val="21"/>
                      <w:szCs w:val="21"/>
                      <w:highlight w:val="none"/>
                      <w:lang w:val="en-US" w:eastAsia="zh-CN"/>
                    </w:rPr>
                  </w:pPr>
                </w:p>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color w:val="auto"/>
                      <w:sz w:val="21"/>
                      <w:szCs w:val="21"/>
                      <w:highlight w:val="none"/>
                      <w:lang w:val="en-US" w:eastAsia="zh-CN"/>
                    </w:rPr>
                  </w:pPr>
                </w:p>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color w:val="auto"/>
                      <w:sz w:val="21"/>
                      <w:szCs w:val="21"/>
                      <w:highlight w:val="none"/>
                      <w:lang w:val="en-US" w:eastAsia="zh-CN"/>
                    </w:rPr>
                  </w:pPr>
                </w:p>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color w:val="auto"/>
                      <w:sz w:val="21"/>
                      <w:szCs w:val="21"/>
                      <w:highlight w:val="none"/>
                      <w:lang w:val="en-US" w:eastAsia="zh-CN"/>
                    </w:rPr>
                  </w:pPr>
                </w:p>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color w:val="auto"/>
                      <w:sz w:val="21"/>
                      <w:szCs w:val="21"/>
                      <w:highlight w:val="none"/>
                      <w:lang w:val="en-US" w:eastAsia="zh-CN"/>
                    </w:rPr>
                  </w:pPr>
                </w:p>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color w:val="auto"/>
                      <w:sz w:val="21"/>
                      <w:szCs w:val="21"/>
                      <w:highlight w:val="none"/>
                      <w:lang w:val="en-US" w:eastAsia="zh-CN"/>
                    </w:rPr>
                  </w:pPr>
                </w:p>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color w:val="auto"/>
                      <w:sz w:val="21"/>
                      <w:szCs w:val="21"/>
                      <w:highlight w:val="none"/>
                      <w:lang w:val="en-US" w:eastAsia="zh-CN"/>
                    </w:rPr>
                  </w:pPr>
                </w:p>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color w:val="auto"/>
                      <w:sz w:val="21"/>
                      <w:szCs w:val="21"/>
                      <w:highlight w:val="none"/>
                      <w:lang w:val="en-US" w:eastAsia="zh-CN"/>
                    </w:rPr>
                  </w:pPr>
                </w:p>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color w:val="auto"/>
                      <w:sz w:val="21"/>
                      <w:szCs w:val="21"/>
                      <w:highlight w:val="none"/>
                      <w:lang w:val="en-US" w:eastAsia="zh-CN"/>
                    </w:rPr>
                  </w:pPr>
                </w:p>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color w:val="auto"/>
                      <w:sz w:val="21"/>
                      <w:szCs w:val="21"/>
                      <w:highlight w:val="none"/>
                      <w:lang w:val="en-US" w:eastAsia="zh-CN"/>
                    </w:rPr>
                  </w:pPr>
                </w:p>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color w:val="auto"/>
                      <w:sz w:val="21"/>
                      <w:szCs w:val="21"/>
                      <w:highlight w:val="none"/>
                      <w:lang w:val="en-US" w:eastAsia="zh-CN"/>
                    </w:rPr>
                  </w:pPr>
                </w:p>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color w:val="auto"/>
                      <w:sz w:val="21"/>
                      <w:szCs w:val="21"/>
                      <w:highlight w:val="none"/>
                      <w:lang w:val="en-US" w:eastAsia="zh-CN"/>
                    </w:rPr>
                  </w:pPr>
                </w:p>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color w:val="auto"/>
                      <w:sz w:val="21"/>
                      <w:szCs w:val="21"/>
                      <w:highlight w:val="none"/>
                      <w:lang w:val="en-US" w:eastAsia="zh-CN"/>
                    </w:rPr>
                  </w:pPr>
                </w:p>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color w:val="auto"/>
                      <w:sz w:val="21"/>
                      <w:szCs w:val="21"/>
                      <w:highlight w:val="none"/>
                      <w:lang w:val="en-US" w:eastAsia="zh-CN"/>
                    </w:rPr>
                  </w:pPr>
                </w:p>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color w:val="auto"/>
                      <w:sz w:val="21"/>
                      <w:szCs w:val="21"/>
                      <w:highlight w:val="none"/>
                      <w:lang w:val="en-US" w:eastAsia="zh-CN"/>
                    </w:rPr>
                  </w:pPr>
                </w:p>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color w:val="auto"/>
                      <w:sz w:val="21"/>
                      <w:szCs w:val="21"/>
                      <w:highlight w:val="none"/>
                      <w:lang w:val="en-US" w:eastAsia="zh-CN"/>
                    </w:rPr>
                  </w:pPr>
                </w:p>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color w:val="auto"/>
                      <w:sz w:val="21"/>
                      <w:szCs w:val="21"/>
                      <w:highlight w:val="none"/>
                      <w:lang w:val="en-US" w:eastAsia="zh-CN"/>
                    </w:rPr>
                  </w:pPr>
                </w:p>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color w:val="auto"/>
                      <w:sz w:val="21"/>
                      <w:szCs w:val="21"/>
                      <w:highlight w:val="none"/>
                      <w:lang w:val="en-US" w:eastAsia="zh-CN"/>
                    </w:rPr>
                  </w:pPr>
                </w:p>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color w:val="auto"/>
                      <w:sz w:val="21"/>
                      <w:szCs w:val="21"/>
                      <w:highlight w:val="none"/>
                      <w:lang w:val="en-US" w:eastAsia="zh-CN"/>
                    </w:rPr>
                  </w:pPr>
                </w:p>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color w:val="auto"/>
                      <w:sz w:val="21"/>
                      <w:szCs w:val="21"/>
                      <w:highlight w:val="none"/>
                      <w:lang w:val="en-US" w:eastAsia="zh-CN"/>
                    </w:rPr>
                  </w:pPr>
                </w:p>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color w:val="auto"/>
                      <w:sz w:val="21"/>
                      <w:szCs w:val="21"/>
                      <w:highlight w:val="none"/>
                      <w:lang w:val="en-US" w:eastAsia="zh-CN"/>
                    </w:rPr>
                  </w:pPr>
                </w:p>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color w:val="auto"/>
                      <w:sz w:val="21"/>
                      <w:szCs w:val="21"/>
                      <w:highlight w:val="none"/>
                      <w:lang w:val="en-US" w:eastAsia="zh-CN"/>
                    </w:rPr>
                  </w:pPr>
                </w:p>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eastAsia="宋体"/>
                      <w:color w:val="auto"/>
                      <w:sz w:val="21"/>
                      <w:szCs w:val="21"/>
                      <w:highlight w:val="none"/>
                      <w:lang w:val="en-US" w:eastAsia="zh-CN"/>
                    </w:rPr>
                  </w:pPr>
                  <w:r>
                    <w:rPr>
                      <w:rFonts w:hint="eastAsia"/>
                      <w:color w:val="auto"/>
                      <w:sz w:val="21"/>
                      <w:szCs w:val="21"/>
                      <w:highlight w:val="none"/>
                      <w:lang w:val="en-US" w:eastAsia="zh-CN"/>
                    </w:rPr>
                    <w:t>大气环境高排放重点管控区、水环境城镇生活重点管控区、抚宁经济开发区、地下水风险重点管控区</w:t>
                  </w:r>
                </w:p>
              </w:tc>
              <w:tc>
                <w:tcPr>
                  <w:tcW w:w="612" w:type="pct"/>
                  <w:noWrap w:val="0"/>
                  <w:vAlign w:val="center"/>
                </w:tcPr>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eastAsia="宋体"/>
                      <w:color w:val="auto"/>
                      <w:sz w:val="21"/>
                      <w:szCs w:val="21"/>
                      <w:highlight w:val="none"/>
                      <w:lang w:val="en-US" w:eastAsia="zh-CN"/>
                    </w:rPr>
                  </w:pPr>
                  <w:r>
                    <w:rPr>
                      <w:rFonts w:hint="eastAsia"/>
                      <w:color w:val="auto"/>
                      <w:sz w:val="21"/>
                      <w:szCs w:val="21"/>
                      <w:highlight w:val="none"/>
                      <w:lang w:val="en-US" w:eastAsia="zh-CN"/>
                    </w:rPr>
                    <w:t>空间布局约束</w:t>
                  </w:r>
                </w:p>
              </w:tc>
              <w:tc>
                <w:tcPr>
                  <w:tcW w:w="1769" w:type="pct"/>
                  <w:noWrap w:val="0"/>
                  <w:vAlign w:val="center"/>
                </w:tcPr>
                <w:p>
                  <w:pPr>
                    <w:pStyle w:val="61"/>
                    <w:keepNext w:val="0"/>
                    <w:keepLines w:val="0"/>
                    <w:pageBreakBefore w:val="0"/>
                    <w:widowControl w:val="0"/>
                    <w:kinsoku/>
                    <w:wordWrap/>
                    <w:overflowPunct/>
                    <w:topLinePunct w:val="0"/>
                    <w:autoSpaceDE/>
                    <w:autoSpaceDN/>
                    <w:bidi w:val="0"/>
                    <w:adjustRightInd w:val="0"/>
                    <w:snapToGrid w:val="0"/>
                    <w:spacing w:line="240" w:lineRule="auto"/>
                    <w:jc w:val="left"/>
                    <w:textAlignment w:val="auto"/>
                    <w:rPr>
                      <w:rFonts w:hint="default" w:eastAsia="宋体"/>
                      <w:color w:val="auto"/>
                      <w:sz w:val="21"/>
                      <w:szCs w:val="21"/>
                      <w:highlight w:val="none"/>
                      <w:lang w:val="en-US" w:eastAsia="zh-CN"/>
                    </w:rPr>
                  </w:pPr>
                  <w:r>
                    <w:rPr>
                      <w:rFonts w:hint="eastAsia"/>
                      <w:color w:val="auto"/>
                      <w:sz w:val="21"/>
                      <w:szCs w:val="21"/>
                      <w:highlight w:val="none"/>
                      <w:lang w:val="en-US" w:eastAsia="zh-CN"/>
                    </w:rPr>
                    <w:t>1、园区距离抚宁区城区较近，新建项目应在环评中论证对城区大气环境质量的影响。2、在卫生防护距离内不适宜新建居民区、医院科研、学校等环境敏感点。3、开发区接纳的退城进区的项目需符合开发区的产业定位和产业布局，清洁生产水平较搬迁前必须提高，应满足二级水平要求。4、高新技术产业片区和军民融合产业区多为一类工业用地，不得发展对环境影响较大的建设项目。5、禁止新建和技改金属表面处理及热加工处理项目及皮毛及皮革鞣制加工项目。</w:t>
                  </w:r>
                </w:p>
              </w:tc>
              <w:tc>
                <w:tcPr>
                  <w:tcW w:w="1362" w:type="pct"/>
                  <w:noWrap w:val="0"/>
                  <w:vAlign w:val="center"/>
                </w:tcPr>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eastAsia="宋体"/>
                      <w:color w:val="auto"/>
                      <w:sz w:val="21"/>
                      <w:szCs w:val="21"/>
                      <w:highlight w:val="none"/>
                      <w:lang w:val="en-US" w:eastAsia="zh-CN"/>
                    </w:rPr>
                  </w:pPr>
                  <w:r>
                    <w:rPr>
                      <w:rFonts w:hint="eastAsia"/>
                      <w:color w:val="auto"/>
                      <w:sz w:val="21"/>
                      <w:szCs w:val="21"/>
                      <w:highlight w:val="none"/>
                      <w:lang w:val="en-US" w:eastAsia="zh-CN"/>
                    </w:rPr>
                    <w:t>1、本项目为技改项目，废气经治理后达标排放，对城区影响较小；2、本项目新建非甲烷总烃排气筒500m范围内不涉及环境敏感点；3、不涉及；4、不涉及；5、本项目新建喷漆房主要为部分生产配件喷漆及产品补漆，油漆用量较少，项目建设后不会降低区域环境质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6" w:hRule="atLeast"/>
              </w:trPr>
              <w:tc>
                <w:tcPr>
                  <w:tcW w:w="713" w:type="pct"/>
                  <w:vMerge w:val="continue"/>
                  <w:noWrap w:val="0"/>
                  <w:vAlign w:val="center"/>
                </w:tcPr>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color w:val="auto"/>
                      <w:sz w:val="21"/>
                      <w:szCs w:val="21"/>
                      <w:highlight w:val="none"/>
                    </w:rPr>
                  </w:pPr>
                </w:p>
              </w:tc>
              <w:tc>
                <w:tcPr>
                  <w:tcW w:w="543" w:type="pct"/>
                  <w:vMerge w:val="continue"/>
                  <w:noWrap w:val="0"/>
                  <w:vAlign w:val="center"/>
                </w:tcPr>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color w:val="auto"/>
                      <w:sz w:val="21"/>
                      <w:szCs w:val="21"/>
                      <w:highlight w:val="none"/>
                    </w:rPr>
                  </w:pPr>
                </w:p>
              </w:tc>
              <w:tc>
                <w:tcPr>
                  <w:tcW w:w="612" w:type="pct"/>
                  <w:noWrap w:val="0"/>
                  <w:vAlign w:val="center"/>
                </w:tcPr>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eastAsia="宋体"/>
                      <w:color w:val="auto"/>
                      <w:sz w:val="21"/>
                      <w:szCs w:val="21"/>
                      <w:highlight w:val="none"/>
                      <w:lang w:val="en-US" w:eastAsia="zh-CN"/>
                    </w:rPr>
                  </w:pPr>
                  <w:r>
                    <w:rPr>
                      <w:rFonts w:hint="eastAsia"/>
                      <w:color w:val="auto"/>
                      <w:sz w:val="21"/>
                      <w:szCs w:val="21"/>
                      <w:highlight w:val="none"/>
                      <w:lang w:val="en-US" w:eastAsia="zh-CN"/>
                    </w:rPr>
                    <w:t>污染物排放管控</w:t>
                  </w:r>
                </w:p>
              </w:tc>
              <w:tc>
                <w:tcPr>
                  <w:tcW w:w="1769" w:type="pct"/>
                  <w:noWrap w:val="0"/>
                  <w:vAlign w:val="center"/>
                </w:tcPr>
                <w:p>
                  <w:pPr>
                    <w:pStyle w:val="6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default" w:eastAsia="宋体"/>
                      <w:color w:val="auto"/>
                      <w:sz w:val="21"/>
                      <w:szCs w:val="21"/>
                      <w:highlight w:val="none"/>
                      <w:lang w:val="en-US" w:eastAsia="zh-CN"/>
                    </w:rPr>
                  </w:pPr>
                  <w:r>
                    <w:rPr>
                      <w:rFonts w:hint="eastAsia"/>
                      <w:color w:val="auto"/>
                      <w:sz w:val="21"/>
                      <w:szCs w:val="21"/>
                      <w:highlight w:val="none"/>
                      <w:lang w:val="en-US" w:eastAsia="zh-CN"/>
                    </w:rPr>
                    <w:t>1、严格落实规划环评及其批复文件制定的环保措施。2、对VOCs排放集中的工业园区和产业聚集区，探索建立废气处理、排放监测、平台监控、运营维护一体的第三方治理模式。3、涉VOCs排放工业企业污染物排放应达到《工业企业挥发性有机物排放控制标准》（DB13/2322-2016）及《挥发性有机物无组织排放控制标准》（GB37822-2019）相关排放要求。4、开发区内锅炉污染物排放应达到《锅炉大气污染物排放标准》（DB13/5161-2020）要求。</w:t>
                  </w:r>
                </w:p>
              </w:tc>
              <w:tc>
                <w:tcPr>
                  <w:tcW w:w="1362" w:type="pct"/>
                  <w:noWrap w:val="0"/>
                  <w:vAlign w:val="center"/>
                </w:tcPr>
                <w:p>
                  <w:pPr>
                    <w:pStyle w:val="6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default" w:eastAsia="宋体"/>
                      <w:color w:val="auto"/>
                      <w:sz w:val="21"/>
                      <w:szCs w:val="21"/>
                      <w:highlight w:val="none"/>
                      <w:lang w:val="en-US" w:eastAsia="zh-CN"/>
                    </w:rPr>
                  </w:pPr>
                  <w:r>
                    <w:rPr>
                      <w:rFonts w:hint="eastAsia"/>
                      <w:color w:val="auto"/>
                      <w:sz w:val="21"/>
                      <w:szCs w:val="21"/>
                      <w:highlight w:val="none"/>
                      <w:lang w:val="en-US" w:eastAsia="zh-CN"/>
                    </w:rPr>
                    <w:t>1、本项目符合园区总体规划；2、本项目建设完成后安装有机废气在线加测设施及超标报警装置；3、本项目有机废气经治理后排放可满足《工业企业挥发性有机物排放控制标准》（DB13/2322-2016）及《挥发性有机物无组织排放控制标准》（GB37822-2019）相关排放要求；4、不涉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0" w:hRule="atLeast"/>
              </w:trPr>
              <w:tc>
                <w:tcPr>
                  <w:tcW w:w="713" w:type="pct"/>
                  <w:vMerge w:val="continue"/>
                  <w:noWrap w:val="0"/>
                  <w:vAlign w:val="center"/>
                </w:tcPr>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color w:val="auto"/>
                      <w:sz w:val="21"/>
                      <w:szCs w:val="21"/>
                      <w:highlight w:val="none"/>
                    </w:rPr>
                  </w:pPr>
                </w:p>
              </w:tc>
              <w:tc>
                <w:tcPr>
                  <w:tcW w:w="543" w:type="pct"/>
                  <w:vMerge w:val="continue"/>
                  <w:noWrap w:val="0"/>
                  <w:vAlign w:val="center"/>
                </w:tcPr>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color w:val="auto"/>
                      <w:sz w:val="21"/>
                      <w:szCs w:val="21"/>
                      <w:highlight w:val="none"/>
                    </w:rPr>
                  </w:pPr>
                </w:p>
              </w:tc>
              <w:tc>
                <w:tcPr>
                  <w:tcW w:w="612" w:type="pct"/>
                  <w:noWrap w:val="0"/>
                  <w:vAlign w:val="center"/>
                </w:tcPr>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eastAsia="宋体"/>
                      <w:color w:val="auto"/>
                      <w:sz w:val="21"/>
                      <w:szCs w:val="21"/>
                      <w:highlight w:val="none"/>
                      <w:lang w:val="en-US" w:eastAsia="zh-CN"/>
                    </w:rPr>
                  </w:pPr>
                  <w:r>
                    <w:rPr>
                      <w:rFonts w:hint="eastAsia"/>
                      <w:color w:val="auto"/>
                      <w:sz w:val="21"/>
                      <w:szCs w:val="21"/>
                      <w:highlight w:val="none"/>
                      <w:lang w:val="en-US" w:eastAsia="zh-CN"/>
                    </w:rPr>
                    <w:t>环境风险防控</w:t>
                  </w:r>
                </w:p>
              </w:tc>
              <w:tc>
                <w:tcPr>
                  <w:tcW w:w="1769" w:type="pct"/>
                  <w:noWrap w:val="0"/>
                  <w:vAlign w:val="center"/>
                </w:tcPr>
                <w:p>
                  <w:pPr>
                    <w:pStyle w:val="6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default" w:eastAsia="宋体"/>
                      <w:color w:val="auto"/>
                      <w:sz w:val="21"/>
                      <w:szCs w:val="21"/>
                      <w:highlight w:val="none"/>
                      <w:lang w:val="en-US" w:eastAsia="zh-CN"/>
                    </w:rPr>
                  </w:pPr>
                  <w:r>
                    <w:rPr>
                      <w:rFonts w:hint="eastAsia"/>
                      <w:color w:val="auto"/>
                      <w:sz w:val="21"/>
                      <w:szCs w:val="21"/>
                      <w:highlight w:val="none"/>
                      <w:lang w:val="en-US" w:eastAsia="zh-CN"/>
                    </w:rPr>
                    <w:t>1、严格落实规划环评及其批复文件制定的环境风险防范措施。2、开发区及入区企业需组织编制《环境风险应急预案》，成立应急组织机构、的定期开展应急演练，提高区域环境风险防能力。3、建立有效的事故风向防范体系，使开发区建设和环境保护协调发展。4、禁止建设存在重大环境安全隐患的工业项目。5、确定地下水污染来源和路径，进行污染风险评估。</w:t>
                  </w:r>
                </w:p>
              </w:tc>
              <w:tc>
                <w:tcPr>
                  <w:tcW w:w="1362" w:type="pct"/>
                  <w:noWrap w:val="0"/>
                  <w:vAlign w:val="center"/>
                </w:tcPr>
                <w:p>
                  <w:pPr>
                    <w:pStyle w:val="6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default" w:eastAsia="宋体"/>
                      <w:color w:val="auto"/>
                      <w:sz w:val="21"/>
                      <w:szCs w:val="21"/>
                      <w:highlight w:val="none"/>
                      <w:lang w:val="en-US" w:eastAsia="zh-CN"/>
                    </w:rPr>
                  </w:pPr>
                  <w:r>
                    <w:rPr>
                      <w:rFonts w:hint="eastAsia"/>
                      <w:color w:val="auto"/>
                      <w:sz w:val="21"/>
                      <w:szCs w:val="21"/>
                      <w:highlight w:val="none"/>
                      <w:lang w:val="en-US" w:eastAsia="zh-CN"/>
                    </w:rPr>
                    <w:t>1、本项目符合园区总体规划；2、企业已编制《突发风险应急预案》，本次技改完成后，对应急预案进行修订，并重新备案；3、已建立有效的事故风险防范体系；4、不属于；5、本项目依托现有危废间，现有危废间已通过环保验收，防腐防渗满足建设要求，不会对地下水造成影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2" w:hRule="atLeast"/>
              </w:trPr>
              <w:tc>
                <w:tcPr>
                  <w:tcW w:w="713" w:type="pct"/>
                  <w:vMerge w:val="continue"/>
                  <w:noWrap w:val="0"/>
                  <w:vAlign w:val="center"/>
                </w:tcPr>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color w:val="auto"/>
                      <w:sz w:val="21"/>
                      <w:szCs w:val="21"/>
                      <w:highlight w:val="none"/>
                    </w:rPr>
                  </w:pPr>
                </w:p>
              </w:tc>
              <w:tc>
                <w:tcPr>
                  <w:tcW w:w="543" w:type="pct"/>
                  <w:vMerge w:val="continue"/>
                  <w:noWrap w:val="0"/>
                  <w:vAlign w:val="center"/>
                </w:tcPr>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color w:val="auto"/>
                      <w:sz w:val="21"/>
                      <w:szCs w:val="21"/>
                      <w:highlight w:val="none"/>
                    </w:rPr>
                  </w:pPr>
                </w:p>
              </w:tc>
              <w:tc>
                <w:tcPr>
                  <w:tcW w:w="612" w:type="pct"/>
                  <w:noWrap w:val="0"/>
                  <w:vAlign w:val="center"/>
                </w:tcPr>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eastAsia="宋体"/>
                      <w:color w:val="auto"/>
                      <w:sz w:val="21"/>
                      <w:szCs w:val="21"/>
                      <w:highlight w:val="none"/>
                      <w:lang w:val="en-US" w:eastAsia="zh-CN"/>
                    </w:rPr>
                  </w:pPr>
                  <w:r>
                    <w:rPr>
                      <w:rFonts w:hint="eastAsia"/>
                      <w:color w:val="auto"/>
                      <w:sz w:val="21"/>
                      <w:szCs w:val="21"/>
                      <w:highlight w:val="none"/>
                      <w:lang w:val="en-US" w:eastAsia="zh-CN"/>
                    </w:rPr>
                    <w:t>资源利用效率</w:t>
                  </w:r>
                </w:p>
              </w:tc>
              <w:tc>
                <w:tcPr>
                  <w:tcW w:w="1769" w:type="pct"/>
                  <w:noWrap w:val="0"/>
                  <w:vAlign w:val="center"/>
                </w:tcPr>
                <w:p>
                  <w:pPr>
                    <w:pStyle w:val="6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default" w:eastAsia="宋体"/>
                      <w:color w:val="auto"/>
                      <w:sz w:val="21"/>
                      <w:szCs w:val="21"/>
                      <w:highlight w:val="none"/>
                      <w:lang w:val="en-US" w:eastAsia="zh-CN"/>
                    </w:rPr>
                  </w:pPr>
                  <w:r>
                    <w:rPr>
                      <w:rFonts w:hint="eastAsia"/>
                      <w:color w:val="auto"/>
                      <w:sz w:val="21"/>
                      <w:szCs w:val="21"/>
                      <w:highlight w:val="none"/>
                      <w:lang w:val="en-US" w:eastAsia="zh-CN"/>
                    </w:rPr>
                    <w:t>1、中水回用率≥30%。3、园区工业水重复利用率≥75%。</w:t>
                  </w:r>
                </w:p>
              </w:tc>
              <w:tc>
                <w:tcPr>
                  <w:tcW w:w="1362" w:type="pct"/>
                  <w:noWrap w:val="0"/>
                  <w:vAlign w:val="center"/>
                </w:tcPr>
                <w:p>
                  <w:pPr>
                    <w:pStyle w:val="6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default" w:eastAsia="宋体"/>
                      <w:color w:val="auto"/>
                      <w:sz w:val="21"/>
                      <w:szCs w:val="21"/>
                      <w:highlight w:val="none"/>
                      <w:lang w:val="en-US" w:eastAsia="zh-CN"/>
                    </w:rPr>
                  </w:pPr>
                  <w:r>
                    <w:rPr>
                      <w:rFonts w:hint="eastAsia"/>
                      <w:color w:val="auto"/>
                      <w:sz w:val="21"/>
                      <w:szCs w:val="21"/>
                      <w:highlight w:val="none"/>
                      <w:lang w:val="en-US" w:eastAsia="zh-CN"/>
                    </w:rPr>
                    <w:t>本项目不涉及生产用水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713" w:type="pct"/>
                  <w:vMerge w:val="restart"/>
                  <w:noWrap w:val="0"/>
                  <w:vAlign w:val="center"/>
                </w:tcPr>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color w:val="auto"/>
                      <w:sz w:val="21"/>
                      <w:szCs w:val="21"/>
                      <w:highlight w:val="none"/>
                    </w:rPr>
                  </w:pPr>
                  <w:r>
                    <w:rPr>
                      <w:rFonts w:hint="eastAsia"/>
                      <w:color w:val="auto"/>
                      <w:sz w:val="21"/>
                      <w:szCs w:val="21"/>
                      <w:highlight w:val="none"/>
                      <w:lang w:val="en-US" w:eastAsia="zh-CN"/>
                    </w:rPr>
                    <w:t>重点管控区  抚宁镇（ZH13030620060）</w:t>
                  </w:r>
                </w:p>
              </w:tc>
              <w:tc>
                <w:tcPr>
                  <w:tcW w:w="543" w:type="pct"/>
                  <w:vMerge w:val="restart"/>
                  <w:noWrap w:val="0"/>
                  <w:vAlign w:val="center"/>
                </w:tcPr>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eastAsia="宋体"/>
                      <w:color w:val="auto"/>
                      <w:sz w:val="21"/>
                      <w:szCs w:val="21"/>
                      <w:highlight w:val="none"/>
                      <w:lang w:val="en-US" w:eastAsia="zh-CN"/>
                    </w:rPr>
                  </w:pPr>
                  <w:r>
                    <w:rPr>
                      <w:rFonts w:hint="eastAsia"/>
                      <w:color w:val="auto"/>
                      <w:sz w:val="21"/>
                      <w:szCs w:val="21"/>
                      <w:highlight w:val="none"/>
                      <w:lang w:val="en-US" w:eastAsia="zh-CN"/>
                    </w:rPr>
                    <w:t>大气环境受体敏感重点管控区、地下水风险重点管控区</w:t>
                  </w:r>
                </w:p>
              </w:tc>
              <w:tc>
                <w:tcPr>
                  <w:tcW w:w="612" w:type="pct"/>
                  <w:noWrap w:val="0"/>
                  <w:vAlign w:val="center"/>
                </w:tcPr>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eastAsia="宋体"/>
                      <w:color w:val="auto"/>
                      <w:sz w:val="21"/>
                      <w:szCs w:val="21"/>
                      <w:highlight w:val="none"/>
                      <w:lang w:val="en-US" w:eastAsia="zh-CN"/>
                    </w:rPr>
                  </w:pPr>
                  <w:r>
                    <w:rPr>
                      <w:rFonts w:hint="eastAsia"/>
                      <w:color w:val="auto"/>
                      <w:sz w:val="21"/>
                      <w:szCs w:val="21"/>
                      <w:highlight w:val="none"/>
                      <w:lang w:val="en-US" w:eastAsia="zh-CN"/>
                    </w:rPr>
                    <w:t>空间布局约束</w:t>
                  </w:r>
                </w:p>
              </w:tc>
              <w:tc>
                <w:tcPr>
                  <w:tcW w:w="1769" w:type="pct"/>
                  <w:noWrap w:val="0"/>
                  <w:vAlign w:val="center"/>
                </w:tcPr>
                <w:p>
                  <w:pPr>
                    <w:pStyle w:val="6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default" w:eastAsia="宋体"/>
                      <w:color w:val="auto"/>
                      <w:sz w:val="21"/>
                      <w:szCs w:val="21"/>
                      <w:highlight w:val="none"/>
                      <w:lang w:val="en-US" w:eastAsia="zh-CN"/>
                    </w:rPr>
                  </w:pPr>
                  <w:r>
                    <w:rPr>
                      <w:rFonts w:hint="eastAsia"/>
                      <w:color w:val="auto"/>
                      <w:sz w:val="21"/>
                      <w:szCs w:val="21"/>
                      <w:highlight w:val="none"/>
                      <w:lang w:val="en-US" w:eastAsia="zh-CN"/>
                    </w:rPr>
                    <w:t>1、对违反资源环境法律法规、规划，污染环境、破坏生态、乱采滥挖的露天矿山，依法予以关闭。2、新建涉水工业项目须入园进区；全面摸底排查园区外涉水工业企业，确定入园时间表:确因不具备入园条件需原地保留涉水工业企业，须明确保留条件，实施尾水深度治理，排放废水主要污染物浓度必须达到受纳水体环境功能区标准，否则一律关停取缔。3、禁止建设生产和使用高 VOCS含量的溶剂型涂料、油墨、胶粘剂等项目。</w:t>
                  </w:r>
                </w:p>
              </w:tc>
              <w:tc>
                <w:tcPr>
                  <w:tcW w:w="1362" w:type="pct"/>
                  <w:noWrap w:val="0"/>
                  <w:vAlign w:val="center"/>
                </w:tcPr>
                <w:p>
                  <w:pPr>
                    <w:pStyle w:val="6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default" w:eastAsia="宋体"/>
                      <w:color w:val="auto"/>
                      <w:sz w:val="21"/>
                      <w:szCs w:val="21"/>
                      <w:highlight w:val="none"/>
                      <w:lang w:val="en-US" w:eastAsia="zh-CN"/>
                    </w:rPr>
                  </w:pPr>
                  <w:r>
                    <w:rPr>
                      <w:rFonts w:hint="eastAsia"/>
                      <w:color w:val="auto"/>
                      <w:sz w:val="21"/>
                      <w:szCs w:val="21"/>
                      <w:highlight w:val="none"/>
                      <w:lang w:val="en-US" w:eastAsia="zh-CN"/>
                    </w:rPr>
                    <w:t>1、不涉及；2、本项目为技改，无新增废水；3、.根据企业提供的油漆监测报告，并对比《低挥发性有机化合物含量涂料产品技术要求》（GB/T38597-2020）限值要求，本项目使用油漆为低VOCs油漆。。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trPr>
              <w:tc>
                <w:tcPr>
                  <w:tcW w:w="713" w:type="pct"/>
                  <w:vMerge w:val="continue"/>
                  <w:noWrap w:val="0"/>
                  <w:vAlign w:val="center"/>
                </w:tcPr>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color w:val="auto"/>
                      <w:sz w:val="21"/>
                      <w:szCs w:val="21"/>
                      <w:highlight w:val="none"/>
                      <w:lang w:val="en-US" w:eastAsia="zh-CN"/>
                    </w:rPr>
                  </w:pPr>
                </w:p>
              </w:tc>
              <w:tc>
                <w:tcPr>
                  <w:tcW w:w="543" w:type="pct"/>
                  <w:vMerge w:val="continue"/>
                  <w:noWrap w:val="0"/>
                  <w:vAlign w:val="center"/>
                </w:tcPr>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color w:val="auto"/>
                      <w:sz w:val="21"/>
                      <w:szCs w:val="21"/>
                      <w:highlight w:val="none"/>
                    </w:rPr>
                  </w:pPr>
                </w:p>
              </w:tc>
              <w:tc>
                <w:tcPr>
                  <w:tcW w:w="612" w:type="pct"/>
                  <w:noWrap w:val="0"/>
                  <w:vAlign w:val="center"/>
                </w:tcPr>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eastAsia="宋体"/>
                      <w:color w:val="auto"/>
                      <w:sz w:val="21"/>
                      <w:szCs w:val="21"/>
                      <w:highlight w:val="none"/>
                      <w:lang w:val="en-US" w:eastAsia="zh-CN"/>
                    </w:rPr>
                  </w:pPr>
                  <w:r>
                    <w:rPr>
                      <w:rFonts w:hint="eastAsia"/>
                      <w:color w:val="auto"/>
                      <w:sz w:val="21"/>
                      <w:szCs w:val="21"/>
                      <w:highlight w:val="none"/>
                      <w:lang w:val="en-US" w:eastAsia="zh-CN"/>
                    </w:rPr>
                    <w:t>污染物排放管控</w:t>
                  </w:r>
                </w:p>
              </w:tc>
              <w:tc>
                <w:tcPr>
                  <w:tcW w:w="1769" w:type="pct"/>
                  <w:noWrap w:val="0"/>
                  <w:vAlign w:val="center"/>
                </w:tcPr>
                <w:p>
                  <w:pPr>
                    <w:pStyle w:val="6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color w:val="auto"/>
                      <w:sz w:val="21"/>
                      <w:szCs w:val="21"/>
                      <w:highlight w:val="none"/>
                    </w:rPr>
                  </w:pPr>
                  <w:r>
                    <w:rPr>
                      <w:rFonts w:hint="eastAsia"/>
                      <w:color w:val="auto"/>
                      <w:sz w:val="21"/>
                      <w:szCs w:val="21"/>
                      <w:highlight w:val="none"/>
                    </w:rPr>
                    <w:t>1、城市和县城建成区禁止新建 35 蒸吨/小时及以下生物质锅炉，35 蒸吨/小时以上的生物质锅炉要达到超低排放标准。2、涉VOCS 企业全面完成整治任务，实现稳定达标排放。安装在线监测或超标报警装置。3、塑料行业执行《合成树脂工业污染物排放标准》(GB31572-2015、《企业发性有机物排放控制标准》(DB13/2322-2016)及</w:t>
                  </w:r>
                  <w:r>
                    <w:rPr>
                      <w:rFonts w:hint="eastAsia"/>
                      <w:color w:val="auto"/>
                      <w:sz w:val="21"/>
                      <w:szCs w:val="21"/>
                      <w:highlight w:val="none"/>
                      <w:lang w:val="en-US" w:eastAsia="zh-CN"/>
                    </w:rPr>
                    <w:t xml:space="preserve">    </w:t>
                  </w:r>
                  <w:r>
                    <w:rPr>
                      <w:rFonts w:hint="eastAsia"/>
                      <w:color w:val="auto"/>
                      <w:sz w:val="21"/>
                      <w:szCs w:val="21"/>
                      <w:highlight w:val="none"/>
                    </w:rPr>
                    <w:t>《挥发性有机物无组织排放控制标准》 (GB37822-2019)相关排放要求。4、铁矿采选执行《铁矿采选工业污染物排放标准》(GB28661-2012)。5、包装装潢及其他印刷执行《工业企业挥发性有机物排放控制标准》(DB13/2322-2016。6、涂料行业执行《涂料、油及胶粘剂工业大气污染物排放标准》(GB37824-2019)。</w:t>
                  </w:r>
                </w:p>
              </w:tc>
              <w:tc>
                <w:tcPr>
                  <w:tcW w:w="1362" w:type="pct"/>
                  <w:noWrap w:val="0"/>
                  <w:vAlign w:val="center"/>
                </w:tcPr>
                <w:p>
                  <w:pPr>
                    <w:pStyle w:val="6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default" w:eastAsia="宋体"/>
                      <w:color w:val="auto"/>
                      <w:sz w:val="21"/>
                      <w:szCs w:val="21"/>
                      <w:highlight w:val="none"/>
                      <w:lang w:val="en-US" w:eastAsia="zh-CN"/>
                    </w:rPr>
                  </w:pPr>
                  <w:r>
                    <w:rPr>
                      <w:rFonts w:hint="eastAsia"/>
                      <w:color w:val="auto"/>
                      <w:sz w:val="21"/>
                      <w:szCs w:val="21"/>
                      <w:highlight w:val="none"/>
                      <w:lang w:val="en-US" w:eastAsia="zh-CN"/>
                    </w:rPr>
                    <w:t>1、不涉及；2、本项目有机废气经治理后达标排放，新增</w:t>
                  </w:r>
                  <w:r>
                    <w:rPr>
                      <w:rFonts w:hint="eastAsia"/>
                      <w:color w:val="auto"/>
                      <w:sz w:val="21"/>
                      <w:szCs w:val="21"/>
                      <w:highlight w:val="none"/>
                    </w:rPr>
                    <w:t>安装在线监测或超标报警装置</w:t>
                  </w:r>
                  <w:r>
                    <w:rPr>
                      <w:rFonts w:hint="eastAsia"/>
                      <w:color w:val="auto"/>
                      <w:sz w:val="21"/>
                      <w:szCs w:val="21"/>
                      <w:highlight w:val="none"/>
                      <w:lang w:eastAsia="zh-CN"/>
                    </w:rPr>
                    <w:t>；</w:t>
                  </w:r>
                  <w:r>
                    <w:rPr>
                      <w:rFonts w:hint="eastAsia"/>
                      <w:color w:val="auto"/>
                      <w:sz w:val="21"/>
                      <w:szCs w:val="21"/>
                      <w:highlight w:val="none"/>
                      <w:lang w:val="en-US" w:eastAsia="zh-CN"/>
                    </w:rPr>
                    <w:t>3、不涉及；4、不涉及；5、本项目仅涉及涂料的使用，不涉及涂料的制造。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 w:hRule="atLeast"/>
              </w:trPr>
              <w:tc>
                <w:tcPr>
                  <w:tcW w:w="713" w:type="pct"/>
                  <w:vMerge w:val="continue"/>
                  <w:noWrap w:val="0"/>
                  <w:vAlign w:val="center"/>
                </w:tcPr>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color w:val="auto"/>
                      <w:sz w:val="21"/>
                      <w:szCs w:val="21"/>
                      <w:highlight w:val="none"/>
                      <w:lang w:val="en-US" w:eastAsia="zh-CN"/>
                    </w:rPr>
                  </w:pPr>
                </w:p>
              </w:tc>
              <w:tc>
                <w:tcPr>
                  <w:tcW w:w="543" w:type="pct"/>
                  <w:vMerge w:val="continue"/>
                  <w:noWrap w:val="0"/>
                  <w:vAlign w:val="center"/>
                </w:tcPr>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color w:val="auto"/>
                      <w:sz w:val="21"/>
                      <w:szCs w:val="21"/>
                      <w:highlight w:val="none"/>
                    </w:rPr>
                  </w:pPr>
                </w:p>
              </w:tc>
              <w:tc>
                <w:tcPr>
                  <w:tcW w:w="612" w:type="pct"/>
                  <w:noWrap w:val="0"/>
                  <w:vAlign w:val="center"/>
                </w:tcPr>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eastAsia="宋体"/>
                      <w:color w:val="auto"/>
                      <w:sz w:val="21"/>
                      <w:szCs w:val="21"/>
                      <w:highlight w:val="none"/>
                      <w:lang w:val="en-US" w:eastAsia="zh-CN"/>
                    </w:rPr>
                  </w:pPr>
                  <w:r>
                    <w:rPr>
                      <w:rFonts w:hint="eastAsia"/>
                      <w:color w:val="auto"/>
                      <w:sz w:val="21"/>
                      <w:szCs w:val="21"/>
                      <w:highlight w:val="none"/>
                      <w:lang w:val="en-US" w:eastAsia="zh-CN"/>
                    </w:rPr>
                    <w:t>环境风险防控</w:t>
                  </w:r>
                </w:p>
              </w:tc>
              <w:tc>
                <w:tcPr>
                  <w:tcW w:w="1769" w:type="pct"/>
                  <w:noWrap w:val="0"/>
                  <w:vAlign w:val="center"/>
                </w:tcPr>
                <w:p>
                  <w:pPr>
                    <w:pStyle w:val="6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color w:val="auto"/>
                      <w:sz w:val="21"/>
                      <w:szCs w:val="21"/>
                      <w:highlight w:val="none"/>
                    </w:rPr>
                  </w:pPr>
                  <w:r>
                    <w:rPr>
                      <w:rFonts w:hint="eastAsia"/>
                      <w:color w:val="auto"/>
                      <w:sz w:val="21"/>
                      <w:szCs w:val="21"/>
                      <w:highlight w:val="none"/>
                    </w:rPr>
                    <w:t>1、加大矿山地质环境保护与治理恢复力度，新建和生产矿山严格按照审批通过的开发利用方案和矿山地质环境治理恢复方案，边开采、边治理、边恢复，加快推进责任主体灭失矿山</w:t>
                  </w:r>
                  <w:r>
                    <w:rPr>
                      <w:rFonts w:hint="eastAsia"/>
                      <w:color w:val="auto"/>
                      <w:sz w:val="21"/>
                      <w:szCs w:val="21"/>
                      <w:highlight w:val="none"/>
                      <w:lang w:val="en-US" w:eastAsia="zh-CN"/>
                    </w:rPr>
                    <w:t xml:space="preserve"> </w:t>
                  </w:r>
                  <w:r>
                    <w:rPr>
                      <w:rFonts w:hint="eastAsia"/>
                      <w:color w:val="auto"/>
                      <w:sz w:val="21"/>
                      <w:szCs w:val="21"/>
                      <w:highlight w:val="none"/>
                    </w:rPr>
                    <w:t>迹地综合治理。加强尾矿库安全监管，有重点监管尾矿库的企业要开展环境风险评估，完善污染治理设施，储备应急装备、物资。2、确定地下水污染来源和路径，进行污染风险评估。</w:t>
                  </w:r>
                </w:p>
              </w:tc>
              <w:tc>
                <w:tcPr>
                  <w:tcW w:w="1362" w:type="pct"/>
                  <w:noWrap w:val="0"/>
                  <w:vAlign w:val="center"/>
                </w:tcPr>
                <w:p>
                  <w:pPr>
                    <w:pStyle w:val="6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default" w:eastAsia="宋体"/>
                      <w:color w:val="auto"/>
                      <w:sz w:val="21"/>
                      <w:szCs w:val="21"/>
                      <w:highlight w:val="none"/>
                      <w:lang w:val="en-US" w:eastAsia="zh-CN"/>
                    </w:rPr>
                  </w:pPr>
                  <w:r>
                    <w:rPr>
                      <w:rFonts w:hint="eastAsia"/>
                      <w:color w:val="auto"/>
                      <w:sz w:val="21"/>
                      <w:szCs w:val="21"/>
                      <w:highlight w:val="none"/>
                      <w:lang w:val="en-US" w:eastAsia="zh-CN"/>
                    </w:rPr>
                    <w:t>1、不涉及；2、本项目依托现有危废间，现有危废间已通过环保验收，防腐防渗满足建设要求，不会对地下水造成影响。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1" w:hRule="atLeast"/>
              </w:trPr>
              <w:tc>
                <w:tcPr>
                  <w:tcW w:w="713" w:type="pct"/>
                  <w:vMerge w:val="continue"/>
                  <w:noWrap w:val="0"/>
                  <w:vAlign w:val="center"/>
                </w:tcPr>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color w:val="auto"/>
                      <w:sz w:val="21"/>
                      <w:szCs w:val="21"/>
                      <w:highlight w:val="none"/>
                      <w:lang w:val="en-US" w:eastAsia="zh-CN"/>
                    </w:rPr>
                  </w:pPr>
                </w:p>
              </w:tc>
              <w:tc>
                <w:tcPr>
                  <w:tcW w:w="543" w:type="pct"/>
                  <w:vMerge w:val="continue"/>
                  <w:noWrap w:val="0"/>
                  <w:vAlign w:val="center"/>
                </w:tcPr>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color w:val="auto"/>
                      <w:sz w:val="21"/>
                      <w:szCs w:val="21"/>
                      <w:highlight w:val="none"/>
                    </w:rPr>
                  </w:pPr>
                </w:p>
              </w:tc>
              <w:tc>
                <w:tcPr>
                  <w:tcW w:w="612" w:type="pct"/>
                  <w:noWrap w:val="0"/>
                  <w:vAlign w:val="center"/>
                </w:tcPr>
                <w:p>
                  <w:pPr>
                    <w:pStyle w:val="61"/>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eastAsia="宋体"/>
                      <w:color w:val="auto"/>
                      <w:sz w:val="21"/>
                      <w:szCs w:val="21"/>
                      <w:highlight w:val="none"/>
                      <w:lang w:val="en-US" w:eastAsia="zh-CN"/>
                    </w:rPr>
                  </w:pPr>
                  <w:r>
                    <w:rPr>
                      <w:rFonts w:hint="eastAsia"/>
                      <w:color w:val="auto"/>
                      <w:sz w:val="21"/>
                      <w:szCs w:val="21"/>
                      <w:highlight w:val="none"/>
                      <w:lang w:val="en-US" w:eastAsia="zh-CN"/>
                    </w:rPr>
                    <w:t>资源利用效率</w:t>
                  </w:r>
                </w:p>
              </w:tc>
              <w:tc>
                <w:tcPr>
                  <w:tcW w:w="1769" w:type="pct"/>
                  <w:noWrap w:val="0"/>
                  <w:vAlign w:val="center"/>
                </w:tcPr>
                <w:p>
                  <w:pPr>
                    <w:pStyle w:val="61"/>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color w:val="auto"/>
                      <w:sz w:val="21"/>
                      <w:szCs w:val="21"/>
                      <w:highlight w:val="none"/>
                    </w:rPr>
                  </w:pPr>
                  <w:r>
                    <w:rPr>
                      <w:rFonts w:hint="eastAsia"/>
                      <w:color w:val="auto"/>
                      <w:sz w:val="21"/>
                      <w:szCs w:val="21"/>
                      <w:highlight w:val="none"/>
                    </w:rPr>
                    <w:t>1、淘汰集中供热管网覆盖范围内的散煤。2、推动实施尾矿提取有价组分和建筑原材料替代、粉煤灰高附加值利用、工业副产石膏高附加值利用等重点工程，逐步扩大利用规模。</w:t>
                  </w:r>
                </w:p>
              </w:tc>
              <w:tc>
                <w:tcPr>
                  <w:tcW w:w="1362" w:type="pct"/>
                  <w:noWrap w:val="0"/>
                  <w:vAlign w:val="center"/>
                </w:tcPr>
                <w:p>
                  <w:pPr>
                    <w:pStyle w:val="61"/>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eastAsia="宋体"/>
                      <w:color w:val="auto"/>
                      <w:sz w:val="21"/>
                      <w:szCs w:val="21"/>
                      <w:highlight w:val="none"/>
                      <w:lang w:val="en-US" w:eastAsia="zh-CN"/>
                    </w:rPr>
                  </w:pPr>
                  <w:r>
                    <w:rPr>
                      <w:rFonts w:hint="eastAsia"/>
                      <w:color w:val="auto"/>
                      <w:sz w:val="21"/>
                      <w:szCs w:val="21"/>
                      <w:highlight w:val="none"/>
                      <w:lang w:val="en-US" w:eastAsia="zh-CN"/>
                    </w:rPr>
                    <w:t>不涉及</w:t>
                  </w:r>
                </w:p>
              </w:tc>
            </w:tr>
          </w:tbl>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rFonts w:hint="default" w:eastAsia="宋体"/>
                <w:color w:val="auto"/>
                <w:highlight w:val="none"/>
                <w:lang w:val="en-US" w:eastAsia="zh-CN"/>
              </w:rPr>
            </w:pPr>
            <w:r>
              <w:rPr>
                <w:rFonts w:hint="eastAsia"/>
                <w:color w:val="auto"/>
                <w:highlight w:val="none"/>
                <w:lang w:val="en-US" w:eastAsia="zh-CN"/>
              </w:rPr>
              <w:t>根据上表分析，本项目符合《实施意见》中的相关要求。</w:t>
            </w:r>
          </w:p>
          <w:p>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Times New Roman" w:hAnsi="Times New Roman" w:eastAsia="宋体" w:cs="Times New Roman"/>
                <w:bCs/>
                <w:color w:val="auto"/>
                <w:sz w:val="24"/>
                <w:szCs w:val="24"/>
                <w:highlight w:val="none"/>
                <w:lang w:val="en-US" w:eastAsia="zh-CN"/>
              </w:rPr>
            </w:pPr>
            <w:r>
              <w:rPr>
                <w:color w:val="auto"/>
                <w:sz w:val="24"/>
                <w:highlight w:val="none"/>
              </w:rPr>
              <mc:AlternateContent>
                <mc:Choice Requires="wps">
                  <w:drawing>
                    <wp:anchor distT="0" distB="0" distL="114300" distR="114300" simplePos="0" relativeHeight="251663360" behindDoc="0" locked="0" layoutInCell="1" allowOverlap="1">
                      <wp:simplePos x="0" y="0"/>
                      <wp:positionH relativeFrom="column">
                        <wp:posOffset>2526665</wp:posOffset>
                      </wp:positionH>
                      <wp:positionV relativeFrom="paragraph">
                        <wp:posOffset>3128010</wp:posOffset>
                      </wp:positionV>
                      <wp:extent cx="878840" cy="285115"/>
                      <wp:effectExtent l="12700" t="12700" r="22860" b="140335"/>
                      <wp:wrapNone/>
                      <wp:docPr id="4" name="矩形标注 4"/>
                      <wp:cNvGraphicFramePr/>
                      <a:graphic xmlns:a="http://schemas.openxmlformats.org/drawingml/2006/main">
                        <a:graphicData uri="http://schemas.microsoft.com/office/word/2010/wordprocessingShape">
                          <wps:wsp>
                            <wps:cNvSpPr/>
                            <wps:spPr>
                              <a:xfrm>
                                <a:off x="4326255" y="5526405"/>
                                <a:ext cx="878840" cy="285115"/>
                              </a:xfrm>
                              <a:prstGeom prst="wedgeRectCallout">
                                <a:avLst>
                                  <a:gd name="adj1" fmla="val -32285"/>
                                  <a:gd name="adj2" fmla="val 94635"/>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pPr>
                                    <w:jc w:val="both"/>
                                    <w:rPr>
                                      <w:rFonts w:hint="default" w:eastAsia="宋体"/>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企业位置</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61" type="#_x0000_t61" style="position:absolute;left:0pt;margin-left:198.95pt;margin-top:246.3pt;height:22.45pt;width:69.2pt;z-index:251663360;v-text-anchor:middle;mso-width-relative:page;mso-height-relative:page;" filled="f" stroked="t" coordsize="21600,21600" o:gfxdata="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" adj="3826,31241">
                      <v:fill on="f" focussize="0,0"/>
                      <v:stroke weight="2pt" color="#000000 [3213]" joinstyle="round"/>
                      <v:imagedata o:title=""/>
                      <o:lock v:ext="edit" aspectratio="f"/>
                      <v:textbox>
                        <w:txbxContent>
                          <w:p>
                            <w:pPr>
                              <w:jc w:val="both"/>
                              <w:rPr>
                                <w:rFonts w:hint="default" w:eastAsia="宋体"/>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企业位置</w:t>
                            </w:r>
                          </w:p>
                        </w:txbxContent>
                      </v:textbox>
                    </v:shape>
                  </w:pict>
                </mc:Fallback>
              </mc:AlternateContent>
            </w:r>
            <w:r>
              <w:rPr>
                <w:color w:val="auto"/>
                <w:highlight w:val="none"/>
              </w:rPr>
              <w:drawing>
                <wp:inline distT="0" distB="0" distL="114300" distR="114300">
                  <wp:extent cx="4944110" cy="6598920"/>
                  <wp:effectExtent l="0" t="0" r="8890" b="11430"/>
                  <wp:docPr id="16" name="图片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72"/>
                          <pic:cNvPicPr>
                            <a:picLocks noChangeAspect="1"/>
                          </pic:cNvPicPr>
                        </pic:nvPicPr>
                        <pic:blipFill>
                          <a:blip r:embed="rId12"/>
                          <a:stretch>
                            <a:fillRect/>
                          </a:stretch>
                        </pic:blipFill>
                        <pic:spPr>
                          <a:xfrm>
                            <a:off x="0" y="0"/>
                            <a:ext cx="4944110" cy="6598920"/>
                          </a:xfrm>
                          <a:prstGeom prst="rect">
                            <a:avLst/>
                          </a:prstGeom>
                          <a:noFill/>
                          <a:ln>
                            <a:noFill/>
                          </a:ln>
                        </pic:spPr>
                      </pic:pic>
                    </a:graphicData>
                  </a:graphic>
                </wp:inline>
              </w:drawing>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rFonts w:hint="default" w:ascii="Times New Roman" w:hAnsi="Times New Roman" w:eastAsia="宋体" w:cs="Times New Roman"/>
                <w:bCs/>
                <w:color w:val="auto"/>
                <w:sz w:val="24"/>
                <w:szCs w:val="24"/>
                <w:highlight w:val="none"/>
                <w:lang w:val="en-US" w:eastAsia="zh-CN"/>
              </w:rPr>
            </w:pPr>
            <w:r>
              <w:rPr>
                <w:rFonts w:hint="eastAsia" w:ascii="Times New Roman" w:hAnsi="Times New Roman" w:eastAsia="宋体" w:cs="Times New Roman"/>
                <w:bCs/>
                <w:color w:val="auto"/>
                <w:sz w:val="24"/>
                <w:szCs w:val="24"/>
                <w:highlight w:val="none"/>
                <w:lang w:val="en-US" w:eastAsia="zh-CN"/>
              </w:rPr>
              <w:t>5、其他文件符合性</w:t>
            </w:r>
          </w:p>
          <w:p>
            <w:pPr>
              <w:pStyle w:val="51"/>
              <w:pageBreakBefore w:val="0"/>
              <w:widowControl w:val="0"/>
              <w:kinsoku/>
              <w:wordWrap/>
              <w:topLinePunct w:val="0"/>
              <w:bidi w:val="0"/>
              <w:spacing w:line="240" w:lineRule="auto"/>
              <w:textAlignment w:val="auto"/>
              <w:rPr>
                <w:rFonts w:hint="default" w:ascii="Times New Roman" w:hAnsi="Times New Roman" w:eastAsia="宋体" w:cs="Times New Roman"/>
                <w:color w:val="auto"/>
                <w:sz w:val="21"/>
                <w:szCs w:val="16"/>
                <w:highlight w:val="none"/>
                <w:lang w:val="en-US" w:eastAsia="zh-CN"/>
              </w:rPr>
            </w:pPr>
            <w:r>
              <w:rPr>
                <w:rFonts w:hint="eastAsia" w:ascii="Times New Roman" w:hAnsi="Times New Roman" w:eastAsia="宋体" w:cs="Times New Roman"/>
                <w:color w:val="auto"/>
                <w:sz w:val="21"/>
                <w:szCs w:val="16"/>
                <w:highlight w:val="none"/>
                <w:lang w:val="en-US" w:eastAsia="zh-CN"/>
              </w:rPr>
              <w:t>表1-</w:t>
            </w:r>
            <w:r>
              <w:rPr>
                <w:rFonts w:hint="eastAsia" w:cs="Times New Roman"/>
                <w:color w:val="auto"/>
                <w:sz w:val="21"/>
                <w:szCs w:val="16"/>
                <w:highlight w:val="none"/>
                <w:lang w:val="en-US" w:eastAsia="zh-CN"/>
              </w:rPr>
              <w:t>5</w:t>
            </w:r>
            <w:r>
              <w:rPr>
                <w:rFonts w:hint="eastAsia" w:ascii="Times New Roman" w:hAnsi="Times New Roman" w:eastAsia="宋体" w:cs="Times New Roman"/>
                <w:color w:val="auto"/>
                <w:sz w:val="21"/>
                <w:szCs w:val="16"/>
                <w:highlight w:val="none"/>
                <w:lang w:val="en-US" w:eastAsia="zh-CN"/>
              </w:rPr>
              <w:t xml:space="preserve">  项目与其他文件符合性分析</w:t>
            </w:r>
          </w:p>
          <w:tbl>
            <w:tblPr>
              <w:tblStyle w:val="33"/>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0"/>
              <w:gridCol w:w="3981"/>
              <w:gridCol w:w="1813"/>
              <w:gridCol w:w="9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2" w:type="pct"/>
                  <w:vAlign w:val="center"/>
                </w:tcPr>
                <w:p>
                  <w:pPr>
                    <w:pStyle w:val="81"/>
                    <w:jc w:val="center"/>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文件名称</w:t>
                  </w:r>
                </w:p>
              </w:tc>
              <w:tc>
                <w:tcPr>
                  <w:tcW w:w="2480" w:type="pct"/>
                  <w:vAlign w:val="center"/>
                </w:tcPr>
                <w:p>
                  <w:pPr>
                    <w:pStyle w:val="81"/>
                    <w:jc w:val="center"/>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文件内容</w:t>
                  </w:r>
                </w:p>
              </w:tc>
              <w:tc>
                <w:tcPr>
                  <w:tcW w:w="1129" w:type="pct"/>
                  <w:vAlign w:val="center"/>
                </w:tcPr>
                <w:p>
                  <w:pPr>
                    <w:pStyle w:val="81"/>
                    <w:jc w:val="center"/>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本项目</w:t>
                  </w:r>
                </w:p>
              </w:tc>
              <w:tc>
                <w:tcPr>
                  <w:tcW w:w="617" w:type="pct"/>
                  <w:vAlign w:val="center"/>
                </w:tcPr>
                <w:p>
                  <w:pPr>
                    <w:pStyle w:val="81"/>
                    <w:jc w:val="center"/>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符合性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2" w:type="pct"/>
                  <w:vAlign w:val="center"/>
                </w:tcPr>
                <w:p>
                  <w:pPr>
                    <w:pStyle w:val="81"/>
                    <w:jc w:val="center"/>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《挥发性有机物无组织排放控制标准》（GB37822-2019）</w:t>
                  </w:r>
                </w:p>
              </w:tc>
              <w:tc>
                <w:tcPr>
                  <w:tcW w:w="2480" w:type="pct"/>
                  <w:vAlign w:val="center"/>
                </w:tcPr>
                <w:p>
                  <w:pPr>
                    <w:pStyle w:val="81"/>
                    <w:jc w:val="both"/>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1.</w:t>
                  </w:r>
                  <w:r>
                    <w:rPr>
                      <w:rFonts w:hint="eastAsia" w:ascii="Times New Roman" w:hAnsi="Times New Roman" w:eastAsia="宋体" w:cs="Times New Roman"/>
                      <w:color w:val="auto"/>
                      <w:sz w:val="21"/>
                      <w:szCs w:val="21"/>
                      <w:highlight w:val="none"/>
                      <w:lang w:val="en-US" w:eastAsia="zh-CN"/>
                    </w:rPr>
                    <w:t>VOCs物料应储存于密闭容器、包装袋、储罐、储库、料仓中。</w:t>
                  </w:r>
                </w:p>
                <w:p>
                  <w:pPr>
                    <w:pStyle w:val="81"/>
                    <w:jc w:val="both"/>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2.</w:t>
                  </w:r>
                  <w:r>
                    <w:rPr>
                      <w:rFonts w:hint="eastAsia" w:ascii="Times New Roman" w:hAnsi="Times New Roman" w:eastAsia="宋体" w:cs="Times New Roman"/>
                      <w:color w:val="auto"/>
                      <w:sz w:val="21"/>
                      <w:szCs w:val="21"/>
                      <w:highlight w:val="none"/>
                      <w:lang w:val="en-US" w:eastAsia="zh-CN"/>
                    </w:rPr>
                    <w:t>盛装VOCs物料的容器或包装袋应存放于室内，或存放于设置有雨棚、遮阳和防渗设施的专用场地。盛装VOCs物料的容器或包装袋应在非使用状态时应加盖、封口，保持密闭。</w:t>
                  </w:r>
                </w:p>
                <w:p>
                  <w:pPr>
                    <w:pStyle w:val="81"/>
                    <w:jc w:val="both"/>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3.</w:t>
                  </w:r>
                  <w:r>
                    <w:rPr>
                      <w:rFonts w:hint="eastAsia" w:ascii="Times New Roman" w:hAnsi="Times New Roman" w:eastAsia="宋体" w:cs="Times New Roman"/>
                      <w:color w:val="auto"/>
                      <w:sz w:val="21"/>
                      <w:szCs w:val="21"/>
                      <w:highlight w:val="none"/>
                      <w:lang w:val="en-US" w:eastAsia="zh-CN"/>
                    </w:rPr>
                    <w:t>液态VOCs物料应采用密闭管道运输。采用非管道运输方式转移液态VOCs物料时，应采用密闭容器、罐车。</w:t>
                  </w:r>
                </w:p>
                <w:p>
                  <w:pPr>
                    <w:pStyle w:val="81"/>
                    <w:jc w:val="both"/>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4.</w:t>
                  </w:r>
                  <w:r>
                    <w:rPr>
                      <w:rFonts w:hint="eastAsia" w:ascii="Times New Roman" w:hAnsi="Times New Roman" w:eastAsia="宋体" w:cs="Times New Roman"/>
                      <w:color w:val="auto"/>
                      <w:sz w:val="21"/>
                      <w:szCs w:val="21"/>
                      <w:highlight w:val="none"/>
                      <w:lang w:val="en-US" w:eastAsia="zh-CN"/>
                    </w:rPr>
                    <w:t>液态VOCs物料应采用密闭管道输送方式或采用高位槽（罐）、桶泵等给料方式密闭投加。无法密闭投加的，应在密闭空间内操作，或进行局部气体收集，废气应排至VOCs废气收集处理系统。</w:t>
                  </w:r>
                </w:p>
                <w:p>
                  <w:pPr>
                    <w:pStyle w:val="81"/>
                    <w:jc w:val="both"/>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5.</w:t>
                  </w:r>
                  <w:r>
                    <w:rPr>
                      <w:rFonts w:hint="eastAsia" w:ascii="Times New Roman" w:hAnsi="Times New Roman" w:eastAsia="宋体" w:cs="Times New Roman"/>
                      <w:color w:val="auto"/>
                      <w:sz w:val="21"/>
                      <w:szCs w:val="21"/>
                      <w:highlight w:val="none"/>
                      <w:lang w:val="en-US" w:eastAsia="zh-CN"/>
                    </w:rPr>
                    <w:t>通风生产设备、操作工位、车间厂房等应在符合安全生产、职业卫生相关的前提下，根据行业作业规程与标准、工业建筑及洁净厂房通风设计规范等的要求，采用合理的通风量。</w:t>
                  </w:r>
                </w:p>
                <w:p>
                  <w:pPr>
                    <w:pStyle w:val="81"/>
                    <w:jc w:val="both"/>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6.企业应按照有关法律、《环境监测管理办法》和HJ819的规定，建立企业监测制度，制定监测方案，对污染物排放状况及周边环境质量的影响开展自行监测，保存原始检测记录，并公布检测结果。</w:t>
                  </w:r>
                </w:p>
              </w:tc>
              <w:tc>
                <w:tcPr>
                  <w:tcW w:w="1129" w:type="pct"/>
                  <w:vAlign w:val="center"/>
                </w:tcPr>
                <w:p>
                  <w:pPr>
                    <w:pStyle w:val="81"/>
                    <w:jc w:val="both"/>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1.所有原料未使用时均密封于桶内</w:t>
                  </w:r>
                  <w:r>
                    <w:rPr>
                      <w:rFonts w:hint="eastAsia" w:ascii="Times New Roman" w:hAnsi="Times New Roman" w:cs="Times New Roman"/>
                      <w:color w:val="auto"/>
                      <w:sz w:val="21"/>
                      <w:szCs w:val="21"/>
                      <w:highlight w:val="none"/>
                      <w:lang w:val="en-US" w:eastAsia="zh-CN"/>
                    </w:rPr>
                    <w:t>；</w:t>
                  </w:r>
                </w:p>
                <w:p>
                  <w:pPr>
                    <w:pStyle w:val="81"/>
                    <w:jc w:val="both"/>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2.包装桶存放于室内</w:t>
                  </w:r>
                  <w:r>
                    <w:rPr>
                      <w:rFonts w:hint="eastAsia" w:ascii="Times New Roman" w:hAnsi="Times New Roman" w:cs="Times New Roman"/>
                      <w:color w:val="auto"/>
                      <w:sz w:val="21"/>
                      <w:szCs w:val="21"/>
                      <w:highlight w:val="none"/>
                      <w:lang w:val="en-US" w:eastAsia="zh-CN"/>
                    </w:rPr>
                    <w:t>；</w:t>
                  </w:r>
                </w:p>
                <w:p>
                  <w:pPr>
                    <w:pStyle w:val="81"/>
                    <w:jc w:val="both"/>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3.</w:t>
                  </w:r>
                  <w:r>
                    <w:rPr>
                      <w:rFonts w:hint="eastAsia" w:ascii="Times New Roman" w:hAnsi="Times New Roman" w:cs="Times New Roman"/>
                      <w:color w:val="auto"/>
                      <w:sz w:val="21"/>
                      <w:szCs w:val="21"/>
                      <w:highlight w:val="none"/>
                      <w:lang w:val="en-US" w:eastAsia="zh-CN"/>
                    </w:rPr>
                    <w:t>本项目使用油漆量较少，且存放在车间内，使用时采用人工转运；</w:t>
                  </w:r>
                </w:p>
                <w:p>
                  <w:pPr>
                    <w:pStyle w:val="81"/>
                    <w:jc w:val="both"/>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w:t>
                  </w:r>
                  <w:r>
                    <w:rPr>
                      <w:rFonts w:hint="eastAsia" w:ascii="Times New Roman" w:hAnsi="Times New Roman" w:cs="Times New Roman"/>
                      <w:color w:val="auto"/>
                      <w:sz w:val="21"/>
                      <w:szCs w:val="21"/>
                      <w:highlight w:val="none"/>
                      <w:lang w:val="en-US" w:eastAsia="zh-CN"/>
                    </w:rPr>
                    <w:t>使用过程在密闭的喷漆放内进行，无组织废气通过管道输送至治理设施进行治理。</w:t>
                  </w:r>
                </w:p>
                <w:p>
                  <w:pPr>
                    <w:pStyle w:val="81"/>
                    <w:jc w:val="both"/>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5.</w:t>
                  </w:r>
                  <w:r>
                    <w:rPr>
                      <w:rFonts w:hint="eastAsia" w:ascii="Times New Roman" w:hAnsi="Times New Roman" w:eastAsia="宋体" w:cs="Times New Roman"/>
                      <w:color w:val="auto"/>
                      <w:sz w:val="21"/>
                      <w:szCs w:val="21"/>
                      <w:highlight w:val="none"/>
                      <w:lang w:val="en-US" w:eastAsia="zh-CN"/>
                    </w:rPr>
                    <w:t>企业的通风生产设备、操作工位、车间厂房等应符合安全生产、职业卫生相关规定，并根据行业作业规程与标准、工业建筑及洁净厂房通风设计规范等的要求，合理通风。</w:t>
                  </w:r>
                </w:p>
                <w:p>
                  <w:pPr>
                    <w:pStyle w:val="81"/>
                    <w:jc w:val="both"/>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6.企业按照监测计划进行监测。</w:t>
                  </w:r>
                </w:p>
              </w:tc>
              <w:tc>
                <w:tcPr>
                  <w:tcW w:w="617" w:type="pct"/>
                  <w:vAlign w:val="center"/>
                </w:tcPr>
                <w:p>
                  <w:pPr>
                    <w:pStyle w:val="81"/>
                    <w:jc w:val="center"/>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72" w:type="pct"/>
                  <w:vAlign w:val="center"/>
                </w:tcPr>
                <w:p>
                  <w:pPr>
                    <w:pStyle w:val="81"/>
                    <w:jc w:val="left"/>
                    <w:rPr>
                      <w:rFonts w:hint="eastAsia"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《"十</w:t>
                  </w:r>
                  <w:r>
                    <w:rPr>
                      <w:rFonts w:hint="eastAsia" w:ascii="Times New Roman" w:hAnsi="Times New Roman" w:eastAsia="宋体" w:cs="Times New Roman"/>
                      <w:color w:val="auto"/>
                      <w:sz w:val="21"/>
                      <w:szCs w:val="21"/>
                      <w:highlight w:val="none"/>
                      <w:lang w:val="en-US" w:eastAsia="zh-CN"/>
                    </w:rPr>
                    <w:t>四</w:t>
                  </w:r>
                  <w:r>
                    <w:rPr>
                      <w:rFonts w:hint="default" w:ascii="Times New Roman" w:hAnsi="Times New Roman" w:eastAsia="宋体" w:cs="Times New Roman"/>
                      <w:color w:val="auto"/>
                      <w:sz w:val="21"/>
                      <w:szCs w:val="21"/>
                      <w:highlight w:val="none"/>
                      <w:lang w:val="en-US" w:eastAsia="zh-CN"/>
                    </w:rPr>
                    <w:t>五"挥发性有机物</w:t>
                  </w:r>
                  <w:r>
                    <w:rPr>
                      <w:rFonts w:hint="eastAsia" w:ascii="Times New Roman" w:hAnsi="Times New Roman" w:eastAsia="宋体" w:cs="Times New Roman"/>
                      <w:color w:val="auto"/>
                      <w:sz w:val="21"/>
                      <w:szCs w:val="21"/>
                      <w:highlight w:val="none"/>
                      <w:lang w:val="en-US" w:eastAsia="zh-CN"/>
                    </w:rPr>
                    <w:t>综合治理</w:t>
                  </w:r>
                  <w:r>
                    <w:rPr>
                      <w:rFonts w:hint="default" w:ascii="Times New Roman" w:hAnsi="Times New Roman" w:eastAsia="宋体" w:cs="Times New Roman"/>
                      <w:color w:val="auto"/>
                      <w:sz w:val="21"/>
                      <w:szCs w:val="21"/>
                      <w:highlight w:val="none"/>
                      <w:lang w:val="en-US" w:eastAsia="zh-CN"/>
                    </w:rPr>
                    <w:t>方案》</w:t>
                  </w:r>
                </w:p>
              </w:tc>
              <w:tc>
                <w:tcPr>
                  <w:tcW w:w="2480" w:type="pct"/>
                  <w:vAlign w:val="center"/>
                </w:tcPr>
                <w:p>
                  <w:pPr>
                    <w:pStyle w:val="81"/>
                    <w:jc w:val="left"/>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坚持科学精准治污。紧盯VOCs治理重点领域和难点问题，按照"一地一策、一行一策、一园一策、一企一策"原则，科学施策、精准治理，做到问题精准、时间精准、区位精准、对象精准、措施精准，确保治理务实有效。</w:t>
                  </w:r>
                </w:p>
                <w:p>
                  <w:pPr>
                    <w:pStyle w:val="81"/>
                    <w:jc w:val="left"/>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2.坚持源头治理优先。树立绿色发展理念，强化源头治理，严格产业准入，大力推进生产和使用环节低VOCs含量原辅材料替代，切实从源头减少VOCs产生。</w:t>
                  </w:r>
                </w:p>
                <w:p>
                  <w:pPr>
                    <w:pStyle w:val="81"/>
                    <w:jc w:val="left"/>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3.坚持激励约束并举。建立健全低VOCs含量原辅材料源头替代的激励政策体系，推动行业绿色发展和企业转型升级；综合运用行政执法、排污许可等措施严格涉V0Cs行业环境监管。</w:t>
                  </w:r>
                </w:p>
                <w:p>
                  <w:pPr>
                    <w:pStyle w:val="81"/>
                    <w:jc w:val="left"/>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4.优化产业结构。引导石化、化工、工业涂装、包装印刷、合成革、化纤、纺织印染等重点行业合理布局，限制高VOCs排放化工类建设项目，禁止建设生产和使用VOCs含量限值不符合国家标准的涂料、油墨、胶粘剂、清洗剂等项目。贯彻落实《产业结构调整指导目录》《国家鼓励的有毒有害原料（产品）替代品目录》，依法依规淘汰涉VOCs排放工艺和装备，加大引导退出限制类工艺和装备力度，从源头减少涉VOCs污染物产生。</w:t>
                  </w:r>
                </w:p>
                <w:p>
                  <w:pPr>
                    <w:pStyle w:val="81"/>
                    <w:jc w:val="left"/>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5.上一年度环境空气质量达标的区域，对有化等行业的建设项目VOCs排放量实行等量削减；上一年度环境空气质量不达标的区域，对石化等行业的建设项目VOCs 排放量实行2倍量削减，直至达标后的下一年再修等量削减。</w:t>
                  </w:r>
                </w:p>
                <w:p>
                  <w:pPr>
                    <w:pStyle w:val="81"/>
                    <w:jc w:val="left"/>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6.大力推进低VOCs含量原辅材料的源头替代。</w:t>
                  </w:r>
                </w:p>
                <w:p>
                  <w:pPr>
                    <w:pStyle w:val="81"/>
                    <w:jc w:val="left"/>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7.在安全前提下，加强含VOCs物料全方位、全链条、全环节密闭管理，做好VOCs物料储存、转移和输送、设备与管线组件泄漏、敞开液面逸散以及工艺过程等无组织排放环节的管理。生产应优先采用密闭设备、在密闭空间中操作或采用全密闭集气罩收集方式，原则上应保持微负压状态，并根据相关规范合理设置通风量，采用局部集气的，距集气罩开口而最远处的VOCs无组织拌放位置控制风速应不低于0.3米/秒。对VOCs物料储罐和污水集输、储存、处理设施开展排查，督促企业按要求开展专项治理。</w:t>
                  </w:r>
                </w:p>
                <w:p>
                  <w:pPr>
                    <w:pStyle w:val="81"/>
                    <w:jc w:val="left"/>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8.升级改选治理设施，实施高效治理，建设适宜高效的治理设施，企业新建治理设施或对现有治理设施实施改造，应结合排放VOCs产生特征、生产工况等合理选择治理技术，对治理难度大、单一治理工艺难以稳定达标的，要采用多种技术的组合工艺。采用活性炭吸附技术的，吸附装置和活性炭应符合相关技术要求，并按要求足量添加、定期更换活性炭。组织开展使用光催化、光氧化、低温等离子、一次性活性炭或上述组合技术等VOCs治理设施排查，对达不到要求的，应当更换或升级改造，实现稳定达标排放。</w:t>
                  </w:r>
                </w:p>
                <w:p>
                  <w:pPr>
                    <w:pStyle w:val="81"/>
                    <w:jc w:val="left"/>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9.加强治理设施运行管理。</w:t>
                  </w:r>
                </w:p>
              </w:tc>
              <w:tc>
                <w:tcPr>
                  <w:tcW w:w="1129" w:type="pct"/>
                  <w:vAlign w:val="center"/>
                </w:tcPr>
                <w:p>
                  <w:pPr>
                    <w:pStyle w:val="81"/>
                    <w:jc w:val="left"/>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1.</w:t>
                  </w:r>
                  <w:r>
                    <w:rPr>
                      <w:rFonts w:hint="eastAsia" w:ascii="Times New Roman" w:hAnsi="Times New Roman" w:cs="Times New Roman"/>
                      <w:color w:val="auto"/>
                      <w:sz w:val="21"/>
                      <w:szCs w:val="21"/>
                      <w:highlight w:val="none"/>
                      <w:lang w:val="en-US" w:eastAsia="zh-CN"/>
                    </w:rPr>
                    <w:t>企业已编制“一厂一策”；</w:t>
                  </w:r>
                </w:p>
                <w:p>
                  <w:pPr>
                    <w:pStyle w:val="81"/>
                    <w:jc w:val="left"/>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2.本项目使用低VOCs原料；</w:t>
                  </w:r>
                </w:p>
                <w:p>
                  <w:pPr>
                    <w:pStyle w:val="81"/>
                    <w:jc w:val="left"/>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3.</w:t>
                  </w:r>
                  <w:r>
                    <w:rPr>
                      <w:rFonts w:hint="eastAsia" w:ascii="Times New Roman" w:hAnsi="Times New Roman" w:eastAsia="宋体" w:cs="Times New Roman"/>
                      <w:color w:val="auto"/>
                      <w:sz w:val="21"/>
                      <w:szCs w:val="21"/>
                      <w:highlight w:val="none"/>
                      <w:lang w:val="en-US" w:eastAsia="zh-CN"/>
                    </w:rPr>
                    <w:t>试运行和生产前按要求取得排污许可证。</w:t>
                  </w:r>
                </w:p>
                <w:p>
                  <w:pPr>
                    <w:pStyle w:val="81"/>
                    <w:jc w:val="left"/>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4..</w:t>
                  </w:r>
                  <w:r>
                    <w:rPr>
                      <w:rFonts w:hint="eastAsia" w:ascii="Times New Roman" w:hAnsi="Times New Roman" w:eastAsia="宋体" w:cs="Times New Roman"/>
                      <w:color w:val="auto"/>
                      <w:sz w:val="21"/>
                      <w:szCs w:val="21"/>
                      <w:highlight w:val="none"/>
                      <w:lang w:val="en-US" w:eastAsia="zh-CN"/>
                    </w:rPr>
                    <w:t>本项目不属于重点行业，未使用淘汰类工艺和装备。</w:t>
                  </w:r>
                </w:p>
                <w:p>
                  <w:pPr>
                    <w:pStyle w:val="81"/>
                    <w:jc w:val="left"/>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5</w:t>
                  </w:r>
                  <w:r>
                    <w:rPr>
                      <w:rFonts w:hint="eastAsia" w:ascii="Times New Roman" w:hAnsi="Times New Roman" w:eastAsia="宋体" w:cs="Times New Roman"/>
                      <w:color w:val="auto"/>
                      <w:sz w:val="21"/>
                      <w:szCs w:val="21"/>
                      <w:highlight w:val="none"/>
                      <w:lang w:val="en-US" w:eastAsia="zh-CN"/>
                    </w:rPr>
                    <w:t>.所在区域为</w:t>
                  </w:r>
                  <w:r>
                    <w:rPr>
                      <w:rFonts w:hint="eastAsia" w:ascii="Times New Roman" w:eastAsia="宋体" w:cs="Times New Roman"/>
                      <w:color w:val="auto"/>
                      <w:sz w:val="21"/>
                      <w:szCs w:val="21"/>
                      <w:highlight w:val="none"/>
                      <w:lang w:val="en-US" w:eastAsia="zh-CN"/>
                    </w:rPr>
                    <w:t>不</w:t>
                  </w:r>
                  <w:r>
                    <w:rPr>
                      <w:rFonts w:hint="eastAsia" w:ascii="Times New Roman" w:hAnsi="Times New Roman" w:eastAsia="宋体" w:cs="Times New Roman"/>
                      <w:color w:val="auto"/>
                      <w:sz w:val="21"/>
                      <w:szCs w:val="21"/>
                      <w:highlight w:val="none"/>
                      <w:lang w:val="en-US" w:eastAsia="zh-CN"/>
                    </w:rPr>
                    <w:t>达标区域</w:t>
                  </w:r>
                  <w:r>
                    <w:rPr>
                      <w:rFonts w:hint="eastAsia" w:ascii="Times New Roman" w:eastAsia="宋体" w:cs="Times New Roman"/>
                      <w:color w:val="auto"/>
                      <w:sz w:val="21"/>
                      <w:szCs w:val="21"/>
                      <w:highlight w:val="none"/>
                      <w:lang w:val="en-US" w:eastAsia="zh-CN"/>
                    </w:rPr>
                    <w:t>，项目所涉及的废气已进行倍量削减</w:t>
                  </w:r>
                  <w:r>
                    <w:rPr>
                      <w:rFonts w:hint="eastAsia" w:ascii="Times New Roman" w:hAnsi="Times New Roman" w:eastAsia="宋体" w:cs="Times New Roman"/>
                      <w:color w:val="auto"/>
                      <w:sz w:val="21"/>
                      <w:szCs w:val="21"/>
                      <w:highlight w:val="none"/>
                      <w:lang w:val="en-US" w:eastAsia="zh-CN"/>
                    </w:rPr>
                    <w:t>。</w:t>
                  </w:r>
                </w:p>
                <w:p>
                  <w:pPr>
                    <w:pStyle w:val="81"/>
                    <w:jc w:val="left"/>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6.</w:t>
                  </w:r>
                  <w:r>
                    <w:rPr>
                      <w:rFonts w:hint="eastAsia"/>
                      <w:color w:val="auto"/>
                      <w:sz w:val="21"/>
                      <w:szCs w:val="21"/>
                      <w:highlight w:val="none"/>
                      <w:lang w:val="en-US" w:eastAsia="zh-CN"/>
                    </w:rPr>
                    <w:t>.根据企业提供的油漆监测报告，并对比《低挥发性有机化合物含量涂料产品技术要求》（GB/T38597-2020）限值要求，本项目使用油漆为低VOCs油漆</w:t>
                  </w:r>
                  <w:r>
                    <w:rPr>
                      <w:rFonts w:hint="eastAsia" w:ascii="Times New Roman" w:hAnsi="Times New Roman" w:eastAsia="宋体" w:cs="Times New Roman"/>
                      <w:color w:val="auto"/>
                      <w:sz w:val="21"/>
                      <w:szCs w:val="21"/>
                      <w:highlight w:val="none"/>
                      <w:lang w:val="en-US" w:eastAsia="zh-CN"/>
                    </w:rPr>
                    <w:t>。</w:t>
                  </w:r>
                </w:p>
                <w:p>
                  <w:pPr>
                    <w:pStyle w:val="81"/>
                    <w:jc w:val="left"/>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7</w:t>
                  </w:r>
                  <w:r>
                    <w:rPr>
                      <w:rFonts w:hint="eastAsia" w:ascii="Times New Roman" w:hAnsi="Times New Roman" w:eastAsia="宋体" w:cs="Times New Roman"/>
                      <w:color w:val="auto"/>
                      <w:sz w:val="21"/>
                      <w:szCs w:val="21"/>
                      <w:highlight w:val="none"/>
                      <w:lang w:val="en-US" w:eastAsia="zh-CN"/>
                    </w:rPr>
                    <w:t>.企业治理设施采用</w:t>
                  </w:r>
                  <w:r>
                    <w:rPr>
                      <w:rFonts w:hint="eastAsia" w:ascii="Times New Roman" w:hAnsi="Times New Roman" w:cs="Times New Roman"/>
                      <w:color w:val="auto"/>
                      <w:sz w:val="21"/>
                      <w:szCs w:val="21"/>
                      <w:highlight w:val="none"/>
                      <w:lang w:val="en-US" w:eastAsia="zh-CN"/>
                    </w:rPr>
                    <w:t>干式过滤箱</w:t>
                  </w:r>
                  <w:r>
                    <w:rPr>
                      <w:rFonts w:hint="eastAsia" w:ascii="Times New Roman" w:hAnsi="Times New Roman" w:eastAsia="宋体" w:cs="Times New Roman"/>
                      <w:color w:val="auto"/>
                      <w:sz w:val="21"/>
                      <w:szCs w:val="21"/>
                      <w:highlight w:val="none"/>
                      <w:lang w:val="en-US" w:eastAsia="zh-CN"/>
                    </w:rPr>
                    <w:t>吸附</w:t>
                  </w:r>
                  <w:r>
                    <w:rPr>
                      <w:rFonts w:hint="eastAsia" w:ascii="Times New Roman" w:hAnsi="Times New Roman" w:cs="Times New Roman"/>
                      <w:color w:val="auto"/>
                      <w:sz w:val="21"/>
                      <w:szCs w:val="21"/>
                      <w:highlight w:val="none"/>
                      <w:lang w:val="en-US" w:eastAsia="zh-CN"/>
                    </w:rPr>
                    <w:t>+</w:t>
                  </w:r>
                  <w:r>
                    <w:rPr>
                      <w:rFonts w:hint="eastAsia" w:ascii="Times New Roman" w:hAnsi="Times New Roman" w:eastAsia="宋体" w:cs="Times New Roman"/>
                      <w:color w:val="auto"/>
                      <w:sz w:val="21"/>
                      <w:szCs w:val="21"/>
                      <w:highlight w:val="none"/>
                      <w:lang w:val="en-US" w:eastAsia="zh-CN"/>
                    </w:rPr>
                    <w:t>二级活性炭装置，</w:t>
                  </w:r>
                  <w:r>
                    <w:rPr>
                      <w:rFonts w:hint="eastAsia" w:ascii="Times New Roman" w:hAnsi="Times New Roman" w:cs="Times New Roman"/>
                      <w:color w:val="auto"/>
                      <w:sz w:val="21"/>
                      <w:szCs w:val="21"/>
                      <w:highlight w:val="none"/>
                      <w:lang w:val="en-US" w:eastAsia="zh-CN"/>
                    </w:rPr>
                    <w:t>治理效果较好，并定期对活性炭进行更换</w:t>
                  </w:r>
                  <w:r>
                    <w:rPr>
                      <w:rFonts w:hint="eastAsia" w:ascii="Times New Roman" w:hAnsi="Times New Roman" w:eastAsia="宋体" w:cs="Times New Roman"/>
                      <w:color w:val="auto"/>
                      <w:sz w:val="21"/>
                      <w:szCs w:val="21"/>
                      <w:highlight w:val="none"/>
                      <w:lang w:val="en-US" w:eastAsia="zh-CN"/>
                    </w:rPr>
                    <w:t>。</w:t>
                  </w:r>
                </w:p>
                <w:p>
                  <w:pPr>
                    <w:pStyle w:val="81"/>
                    <w:jc w:val="left"/>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9</w:t>
                  </w:r>
                  <w:r>
                    <w:rPr>
                      <w:rFonts w:hint="eastAsia" w:ascii="Times New Roman" w:hAnsi="Times New Roman" w:eastAsia="宋体" w:cs="Times New Roman"/>
                      <w:color w:val="auto"/>
                      <w:sz w:val="21"/>
                      <w:szCs w:val="21"/>
                      <w:highlight w:val="none"/>
                      <w:lang w:val="en-US" w:eastAsia="zh-CN"/>
                    </w:rPr>
                    <w:t>.在治理设施运行正常后开启生产设备；治理设施发生故障后立即停止相应生产。</w:t>
                  </w:r>
                </w:p>
              </w:tc>
              <w:tc>
                <w:tcPr>
                  <w:tcW w:w="617" w:type="pct"/>
                  <w:vAlign w:val="center"/>
                </w:tcPr>
                <w:p>
                  <w:pPr>
                    <w:pStyle w:val="81"/>
                    <w:jc w:val="center"/>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2" w:type="pct"/>
                  <w:vMerge w:val="restart"/>
                  <w:vAlign w:val="center"/>
                </w:tcPr>
                <w:p>
                  <w:pPr>
                    <w:pStyle w:val="81"/>
                    <w:jc w:val="center"/>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《河北省生态环境保护“十四五”规划》（冀政字〔2022〕2号）</w:t>
                  </w:r>
                </w:p>
              </w:tc>
              <w:tc>
                <w:tcPr>
                  <w:tcW w:w="2480" w:type="pct"/>
                  <w:vAlign w:val="center"/>
                </w:tcPr>
                <w:p>
                  <w:pPr>
                    <w:pStyle w:val="81"/>
                    <w:jc w:val="both"/>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挥发性有机物（VOCs）综合治理工程。实施含挥发性有机物（VOCs）产品源头替代工程，到2025年，溶剂型工业涂料、溶剂型油墨使用比例分别下降20%、10%，溶剂型胶粘剂使用量下降20%。推进重点行业综合治理工程，针对石油化工、化学原料及化学品制造行业装卸、污水和工艺过程等环节废气，工业涂装行业电泳、喷涂、干燥等环节废气，医药行业生产环节废气，包装印刷行业印刷烘干废气，建设适宜高效挥发性有机物（VOCs）治理设施。</w:t>
                  </w:r>
                </w:p>
              </w:tc>
              <w:tc>
                <w:tcPr>
                  <w:tcW w:w="1129" w:type="pct"/>
                  <w:vAlign w:val="center"/>
                </w:tcPr>
                <w:p>
                  <w:pPr>
                    <w:pStyle w:val="81"/>
                    <w:jc w:val="both"/>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项目使用本项目使用低VOCs原料，</w:t>
                  </w:r>
                  <w:r>
                    <w:rPr>
                      <w:rFonts w:hint="eastAsia" w:ascii="Times New Roman" w:hAnsi="Times New Roman" w:eastAsia="宋体" w:cs="Times New Roman"/>
                      <w:color w:val="auto"/>
                      <w:sz w:val="21"/>
                      <w:szCs w:val="21"/>
                      <w:highlight w:val="none"/>
                      <w:lang w:val="en-US" w:eastAsia="zh-CN"/>
                    </w:rPr>
                    <w:t>有机废气经1套</w:t>
                  </w:r>
                  <w:r>
                    <w:rPr>
                      <w:rFonts w:hint="eastAsia" w:ascii="Times New Roman" w:hAnsi="Times New Roman" w:cs="Times New Roman"/>
                      <w:color w:val="auto"/>
                      <w:sz w:val="21"/>
                      <w:szCs w:val="21"/>
                      <w:highlight w:val="none"/>
                      <w:lang w:val="en-US" w:eastAsia="zh-CN"/>
                    </w:rPr>
                    <w:t>干式过滤器</w:t>
                  </w:r>
                  <w:r>
                    <w:rPr>
                      <w:rFonts w:hint="eastAsia" w:ascii="Times New Roman" w:hAnsi="Times New Roman" w:eastAsia="宋体" w:cs="Times New Roman"/>
                      <w:color w:val="auto"/>
                      <w:sz w:val="21"/>
                      <w:szCs w:val="21"/>
                      <w:highlight w:val="none"/>
                      <w:lang w:val="en-US" w:eastAsia="zh-CN"/>
                    </w:rPr>
                    <w:t>吸附装置+二级活性炭</w:t>
                  </w:r>
                  <w:r>
                    <w:rPr>
                      <w:rFonts w:hint="eastAsia" w:ascii="Times New Roman" w:hAnsi="Times New Roman"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1根15m高排气筒处理</w:t>
                  </w:r>
                  <w:r>
                    <w:rPr>
                      <w:rFonts w:hint="eastAsia" w:ascii="Times New Roman" w:hAnsi="Times New Roman" w:eastAsia="宋体" w:cs="Times New Roman"/>
                      <w:color w:val="auto"/>
                      <w:sz w:val="21"/>
                      <w:szCs w:val="21"/>
                      <w:highlight w:val="none"/>
                      <w:lang w:val="en-US" w:eastAsia="zh-CN"/>
                    </w:rPr>
                    <w:t>后排放</w:t>
                  </w:r>
                </w:p>
              </w:tc>
              <w:tc>
                <w:tcPr>
                  <w:tcW w:w="617" w:type="pct"/>
                  <w:vAlign w:val="center"/>
                </w:tcPr>
                <w:p>
                  <w:pPr>
                    <w:pStyle w:val="81"/>
                    <w:jc w:val="center"/>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2" w:type="pct"/>
                  <w:vMerge w:val="continue"/>
                  <w:vAlign w:val="center"/>
                </w:tcPr>
                <w:p>
                  <w:pPr>
                    <w:pStyle w:val="81"/>
                    <w:jc w:val="center"/>
                    <w:rPr>
                      <w:rFonts w:hint="eastAsia" w:ascii="Times New Roman" w:hAnsi="Times New Roman" w:eastAsia="宋体" w:cs="Times New Roman"/>
                      <w:color w:val="auto"/>
                      <w:sz w:val="21"/>
                      <w:szCs w:val="21"/>
                      <w:highlight w:val="none"/>
                      <w:lang w:val="en-US" w:eastAsia="zh-CN"/>
                    </w:rPr>
                  </w:pPr>
                </w:p>
              </w:tc>
              <w:tc>
                <w:tcPr>
                  <w:tcW w:w="2480" w:type="pct"/>
                  <w:vAlign w:val="center"/>
                </w:tcPr>
                <w:p>
                  <w:pPr>
                    <w:pStyle w:val="81"/>
                    <w:jc w:val="both"/>
                    <w:rPr>
                      <w:rFonts w:hint="eastAsia"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深化重点行业挥发性有机物（VOCs）治理。以石化、化工、涂装、医药、包装印刷、油品储运销等行业领域为重点，安全高效推进挥发性有机物（VOCs）综合治理，实施原辅材料和产品源头替代、无组织排放和末端深度治理等提升改造工程。取消非必要的挥发性有机物（VOCs）废气排放系统旁路，必须保留的加强监管与治理。</w:t>
                  </w:r>
                </w:p>
              </w:tc>
              <w:tc>
                <w:tcPr>
                  <w:tcW w:w="1129" w:type="pct"/>
                  <w:vAlign w:val="center"/>
                </w:tcPr>
                <w:p>
                  <w:pPr>
                    <w:pStyle w:val="81"/>
                    <w:jc w:val="both"/>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本项目油漆包含水性漆及高固份油漆，根据企业提供的检测报告，本项目使用的为</w:t>
                  </w:r>
                  <w:r>
                    <w:rPr>
                      <w:rFonts w:hint="eastAsia"/>
                      <w:color w:val="auto"/>
                      <w:sz w:val="21"/>
                      <w:szCs w:val="21"/>
                      <w:highlight w:val="none"/>
                      <w:lang w:val="en-US" w:eastAsia="zh-CN"/>
                    </w:rPr>
                    <w:t>低VOCs油漆。</w:t>
                  </w:r>
                </w:p>
              </w:tc>
              <w:tc>
                <w:tcPr>
                  <w:tcW w:w="617" w:type="pct"/>
                  <w:vAlign w:val="center"/>
                </w:tcPr>
                <w:p>
                  <w:pPr>
                    <w:pStyle w:val="81"/>
                    <w:jc w:val="center"/>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2" w:type="pct"/>
                  <w:vMerge w:val="restart"/>
                  <w:vAlign w:val="center"/>
                </w:tcPr>
                <w:p>
                  <w:pPr>
                    <w:pStyle w:val="81"/>
                    <w:jc w:val="center"/>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《秦皇岛市十四五规划》</w:t>
                  </w:r>
                  <w:r>
                    <w:rPr>
                      <w:rFonts w:hint="eastAsia" w:ascii="Times New Roman" w:hAnsi="Times New Roman" w:cs="Times New Roman"/>
                      <w:color w:val="auto"/>
                      <w:sz w:val="21"/>
                      <w:szCs w:val="21"/>
                      <w:highlight w:val="none"/>
                      <w:lang w:val="en-US" w:eastAsia="zh-CN"/>
                    </w:rPr>
                    <w:t>秦政字〔2022〕10号</w:t>
                  </w:r>
                </w:p>
              </w:tc>
              <w:tc>
                <w:tcPr>
                  <w:tcW w:w="2480" w:type="pct"/>
                  <w:vAlign w:val="center"/>
                </w:tcPr>
                <w:p>
                  <w:pPr>
                    <w:pStyle w:val="81"/>
                    <w:jc w:val="both"/>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建立以“三线一单”为核心的全覆盖的生态环境分区管控体系。衔接国土空间规划分区和用途管制要求，将生态保护红线、环境质量底线、资源利用上线的硬约束落实到环境管控单元，建立差别化的生态环境准入清单。立足资源环境承载能力，优化重大基础设施、重大生产力和公共资源布局，充分发挥“三线一单”生态环境分区管控的刚性约束和政策引领作用，聚焦产业结构与能源结构调整，不断优化调整产业布局，强化“三线一单”生态环境分区管控成果在政策制定、环境准入、园区管理、执法监管等方面的应用；加强“三线一单”生态环境分区管控在生态环境源头预防制度体系中的基础性作用，加强对规划环评和项目环评的约束与指导。加快推动“三线一单”成果落地应用，实行“三线一单”动态评估和调整机制，形成健全的“三线一单”生态环境管控体系</w:t>
                  </w:r>
                </w:p>
              </w:tc>
              <w:tc>
                <w:tcPr>
                  <w:tcW w:w="1129" w:type="pct"/>
                  <w:vAlign w:val="center"/>
                </w:tcPr>
                <w:p>
                  <w:pPr>
                    <w:pStyle w:val="81"/>
                    <w:jc w:val="both"/>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本项目符合“三线一单”管控体系</w:t>
                  </w:r>
                </w:p>
              </w:tc>
              <w:tc>
                <w:tcPr>
                  <w:tcW w:w="617" w:type="pct"/>
                  <w:vAlign w:val="center"/>
                </w:tcPr>
                <w:p>
                  <w:pPr>
                    <w:pStyle w:val="81"/>
                    <w:jc w:val="center"/>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2" w:type="pct"/>
                  <w:vMerge w:val="continue"/>
                </w:tcPr>
                <w:p>
                  <w:pPr>
                    <w:pStyle w:val="81"/>
                    <w:jc w:val="center"/>
                    <w:rPr>
                      <w:rFonts w:hint="default" w:ascii="Times New Roman" w:hAnsi="Times New Roman" w:eastAsia="宋体" w:cs="Times New Roman"/>
                      <w:color w:val="auto"/>
                      <w:sz w:val="21"/>
                      <w:szCs w:val="21"/>
                      <w:highlight w:val="none"/>
                      <w:lang w:val="en-US" w:eastAsia="zh-CN"/>
                    </w:rPr>
                  </w:pPr>
                </w:p>
              </w:tc>
              <w:tc>
                <w:tcPr>
                  <w:tcW w:w="2480" w:type="pct"/>
                  <w:vAlign w:val="center"/>
                </w:tcPr>
                <w:p>
                  <w:pPr>
                    <w:pStyle w:val="81"/>
                    <w:jc w:val="both"/>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深化工业VOCs</w:t>
                  </w:r>
                  <w:r>
                    <w:rPr>
                      <w:rFonts w:hint="default" w:ascii="Times New Roman" w:hAnsi="Times New Roman" w:eastAsia="宋体" w:cs="Times New Roman"/>
                      <w:color w:val="auto"/>
                      <w:sz w:val="21"/>
                      <w:szCs w:val="21"/>
                      <w:highlight w:val="none"/>
                      <w:lang w:val="en-US" w:eastAsia="zh-CN"/>
                    </w:rPr>
                    <w:t>治理。聚焦夏秋季臭氧污染，大力推进</w:t>
                  </w:r>
                  <w:r>
                    <w:rPr>
                      <w:rFonts w:hint="eastAsia" w:ascii="Times New Roman" w:hAnsi="Times New Roman" w:eastAsia="宋体" w:cs="Times New Roman"/>
                      <w:color w:val="auto"/>
                      <w:sz w:val="21"/>
                      <w:szCs w:val="21"/>
                      <w:highlight w:val="none"/>
                      <w:lang w:val="en-US" w:eastAsia="zh-CN"/>
                    </w:rPr>
                    <w:t>VOCs</w:t>
                  </w:r>
                  <w:r>
                    <w:rPr>
                      <w:rFonts w:hint="default" w:ascii="Times New Roman" w:hAnsi="Times New Roman" w:eastAsia="宋体" w:cs="Times New Roman"/>
                      <w:color w:val="auto"/>
                      <w:sz w:val="21"/>
                      <w:szCs w:val="21"/>
                      <w:highlight w:val="none"/>
                      <w:lang w:val="en-US" w:eastAsia="zh-CN"/>
                    </w:rPr>
                    <w:t>和氮氧化物协同减排。以石化、涂料、纺织印染、橡胶、医药、油品储运销等行业领域为重点，安全高效推进</w:t>
                  </w:r>
                  <w:r>
                    <w:rPr>
                      <w:rFonts w:hint="eastAsia" w:ascii="Times New Roman" w:hAnsi="Times New Roman" w:eastAsia="宋体" w:cs="Times New Roman"/>
                      <w:color w:val="auto"/>
                      <w:sz w:val="21"/>
                      <w:szCs w:val="21"/>
                      <w:highlight w:val="none"/>
                      <w:lang w:val="en-US" w:eastAsia="zh-CN"/>
                    </w:rPr>
                    <w:t>VOCs</w:t>
                  </w:r>
                  <w:r>
                    <w:rPr>
                      <w:rFonts w:hint="default" w:ascii="Times New Roman" w:hAnsi="Times New Roman" w:eastAsia="宋体" w:cs="Times New Roman"/>
                      <w:color w:val="auto"/>
                      <w:sz w:val="21"/>
                      <w:szCs w:val="21"/>
                      <w:highlight w:val="none"/>
                      <w:lang w:val="en-US" w:eastAsia="zh-CN"/>
                    </w:rPr>
                    <w:t>综合治理，实施原辅材料和产品源头替代工程。推进钢铁、水泥、电力、供热和玻璃等行业企业超低排放改造，重点区域钢铁、燃煤机组、燃煤锅炉实现超低排放。开展涉气产业集群排查及分类治理，推进企业升级改造和区域环境综合整治。对全市所有</w:t>
                  </w:r>
                  <w:r>
                    <w:rPr>
                      <w:rFonts w:hint="eastAsia" w:ascii="Times New Roman" w:hAnsi="Times New Roman" w:eastAsia="宋体" w:cs="Times New Roman"/>
                      <w:color w:val="auto"/>
                      <w:sz w:val="21"/>
                      <w:szCs w:val="21"/>
                      <w:highlight w:val="none"/>
                      <w:lang w:val="en-US" w:eastAsia="zh-CN"/>
                    </w:rPr>
                    <w:t>VOCs</w:t>
                  </w:r>
                  <w:r>
                    <w:rPr>
                      <w:rFonts w:hint="default" w:ascii="Times New Roman" w:hAnsi="Times New Roman" w:eastAsia="宋体" w:cs="Times New Roman"/>
                      <w:color w:val="auto"/>
                      <w:sz w:val="21"/>
                      <w:szCs w:val="21"/>
                      <w:highlight w:val="none"/>
                      <w:lang w:val="en-US" w:eastAsia="zh-CN"/>
                    </w:rPr>
                    <w:t>排放的工业企业逐企建立清单台账，编制“一厂一策”方案，提升企业</w:t>
                  </w:r>
                  <w:r>
                    <w:rPr>
                      <w:rFonts w:hint="eastAsia" w:ascii="Times New Roman" w:hAnsi="Times New Roman" w:eastAsia="宋体" w:cs="Times New Roman"/>
                      <w:color w:val="auto"/>
                      <w:sz w:val="21"/>
                      <w:szCs w:val="21"/>
                      <w:highlight w:val="none"/>
                      <w:lang w:val="en-US" w:eastAsia="zh-CN"/>
                    </w:rPr>
                    <w:t>VOCs</w:t>
                  </w:r>
                  <w:r>
                    <w:rPr>
                      <w:rFonts w:hint="default" w:ascii="Times New Roman" w:hAnsi="Times New Roman" w:eastAsia="宋体" w:cs="Times New Roman"/>
                      <w:color w:val="auto"/>
                      <w:sz w:val="21"/>
                      <w:szCs w:val="21"/>
                      <w:highlight w:val="none"/>
                      <w:lang w:val="en-US" w:eastAsia="zh-CN"/>
                    </w:rPr>
                    <w:t>治理工艺水平，淘汰</w:t>
                  </w:r>
                  <w:r>
                    <w:rPr>
                      <w:rFonts w:hint="eastAsia" w:ascii="Times New Roman" w:hAnsi="Times New Roman" w:eastAsia="宋体" w:cs="Times New Roman"/>
                      <w:color w:val="auto"/>
                      <w:sz w:val="21"/>
                      <w:szCs w:val="21"/>
                      <w:highlight w:val="none"/>
                      <w:lang w:val="en-US" w:eastAsia="zh-CN"/>
                    </w:rPr>
                    <w:t>UV</w:t>
                  </w:r>
                  <w:r>
                    <w:rPr>
                      <w:rFonts w:hint="default" w:ascii="Times New Roman" w:hAnsi="Times New Roman" w:eastAsia="宋体" w:cs="Times New Roman"/>
                      <w:color w:val="auto"/>
                      <w:sz w:val="21"/>
                      <w:szCs w:val="21"/>
                      <w:highlight w:val="none"/>
                      <w:lang w:val="en-US" w:eastAsia="zh-CN"/>
                    </w:rPr>
                    <w:t>光氧等低效治理设施。开展源头替代、工艺过程、无组织管控、末端治理全流程治理评估，完善</w:t>
                  </w:r>
                  <w:r>
                    <w:rPr>
                      <w:rFonts w:hint="eastAsia" w:ascii="Times New Roman" w:hAnsi="Times New Roman" w:eastAsia="宋体" w:cs="Times New Roman"/>
                      <w:color w:val="auto"/>
                      <w:sz w:val="21"/>
                      <w:szCs w:val="21"/>
                      <w:highlight w:val="none"/>
                      <w:lang w:val="en-US" w:eastAsia="zh-CN"/>
                    </w:rPr>
                    <w:t>VOCs</w:t>
                  </w:r>
                  <w:r>
                    <w:rPr>
                      <w:rFonts w:hint="default" w:ascii="Times New Roman" w:hAnsi="Times New Roman" w:eastAsia="宋体" w:cs="Times New Roman"/>
                      <w:color w:val="auto"/>
                      <w:sz w:val="21"/>
                      <w:szCs w:val="21"/>
                      <w:highlight w:val="none"/>
                      <w:lang w:val="en-US" w:eastAsia="zh-CN"/>
                    </w:rPr>
                    <w:t>节能环保产业区项目处理工艺。实现工业涂装、包装印刷、家具制造、建筑装饰等行业原辅材料源头替代，推广低（无）</w:t>
                  </w:r>
                  <w:r>
                    <w:rPr>
                      <w:rFonts w:hint="eastAsia" w:ascii="Times New Roman" w:hAnsi="Times New Roman" w:eastAsia="宋体" w:cs="Times New Roman"/>
                      <w:color w:val="auto"/>
                      <w:sz w:val="21"/>
                      <w:szCs w:val="21"/>
                      <w:highlight w:val="none"/>
                      <w:lang w:val="en-US" w:eastAsia="zh-CN"/>
                    </w:rPr>
                    <w:t>VOCs</w:t>
                  </w:r>
                  <w:r>
                    <w:rPr>
                      <w:rFonts w:hint="default" w:ascii="Times New Roman" w:hAnsi="Times New Roman" w:eastAsia="宋体" w:cs="Times New Roman"/>
                      <w:color w:val="auto"/>
                      <w:sz w:val="21"/>
                      <w:szCs w:val="21"/>
                      <w:highlight w:val="none"/>
                      <w:lang w:val="en-US" w:eastAsia="zh-CN"/>
                    </w:rPr>
                    <w:t>含量原辅材料和产品，减少卤化、芳香性溶剂等高</w:t>
                  </w:r>
                  <w:r>
                    <w:rPr>
                      <w:rFonts w:hint="eastAsia" w:ascii="Times New Roman" w:hAnsi="Times New Roman" w:eastAsia="宋体" w:cs="Times New Roman"/>
                      <w:color w:val="auto"/>
                      <w:sz w:val="21"/>
                      <w:szCs w:val="21"/>
                      <w:highlight w:val="none"/>
                      <w:lang w:val="en-US" w:eastAsia="zh-CN"/>
                    </w:rPr>
                    <w:t>VOCs</w:t>
                  </w:r>
                  <w:r>
                    <w:rPr>
                      <w:rFonts w:hint="default" w:ascii="Times New Roman" w:hAnsi="Times New Roman" w:eastAsia="宋体" w:cs="Times New Roman"/>
                      <w:color w:val="auto"/>
                      <w:sz w:val="21"/>
                      <w:szCs w:val="21"/>
                      <w:highlight w:val="none"/>
                      <w:lang w:val="en-US" w:eastAsia="zh-CN"/>
                    </w:rPr>
                    <w:t>含量原辅材料使用</w:t>
                  </w:r>
                </w:p>
              </w:tc>
              <w:tc>
                <w:tcPr>
                  <w:tcW w:w="1129" w:type="pct"/>
                  <w:vAlign w:val="center"/>
                </w:tcPr>
                <w:p>
                  <w:pPr>
                    <w:pStyle w:val="81"/>
                    <w:jc w:val="both"/>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编制</w:t>
                  </w:r>
                  <w:r>
                    <w:rPr>
                      <w:rFonts w:hint="eastAsia" w:ascii="Times New Roman" w:hAnsi="Times New Roman" w:eastAsia="宋体" w:cs="Times New Roman"/>
                      <w:color w:val="auto"/>
                      <w:sz w:val="21"/>
                      <w:szCs w:val="21"/>
                      <w:highlight w:val="none"/>
                      <w:lang w:val="en-US" w:eastAsia="zh-CN"/>
                    </w:rPr>
                    <w:t>VOCs一厂一策方案，有机废气采用1套</w:t>
                  </w:r>
                  <w:r>
                    <w:rPr>
                      <w:rFonts w:hint="eastAsia" w:ascii="Times New Roman" w:hAnsi="Times New Roman" w:cs="Times New Roman"/>
                      <w:color w:val="auto"/>
                      <w:sz w:val="21"/>
                      <w:szCs w:val="21"/>
                      <w:highlight w:val="none"/>
                      <w:lang w:val="en-US" w:eastAsia="zh-CN"/>
                    </w:rPr>
                    <w:t>干式过滤器</w:t>
                  </w:r>
                  <w:r>
                    <w:rPr>
                      <w:rFonts w:hint="eastAsia" w:ascii="Times New Roman" w:hAnsi="Times New Roman" w:eastAsia="宋体" w:cs="Times New Roman"/>
                      <w:color w:val="auto"/>
                      <w:sz w:val="21"/>
                      <w:szCs w:val="21"/>
                      <w:highlight w:val="none"/>
                      <w:lang w:val="en-US" w:eastAsia="zh-CN"/>
                    </w:rPr>
                    <w:t>吸附装置+二级活性炭</w:t>
                  </w:r>
                  <w:r>
                    <w:rPr>
                      <w:rFonts w:hint="eastAsia" w:ascii="Times New Roman" w:hAnsi="Times New Roman"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1根15m高排气筒处理</w:t>
                  </w:r>
                  <w:r>
                    <w:rPr>
                      <w:rFonts w:hint="eastAsia" w:ascii="Times New Roman" w:hAnsi="Times New Roman" w:eastAsia="宋体" w:cs="Times New Roman"/>
                      <w:color w:val="auto"/>
                      <w:sz w:val="21"/>
                      <w:szCs w:val="21"/>
                      <w:highlight w:val="none"/>
                      <w:lang w:val="en-US" w:eastAsia="zh-CN"/>
                    </w:rPr>
                    <w:t>后排放；项目处于园区内，使用的VOCs原辅材料</w:t>
                  </w:r>
                  <w:r>
                    <w:rPr>
                      <w:rFonts w:hint="eastAsia" w:ascii="Times New Roman" w:hAnsi="Times New Roman" w:cs="Times New Roman"/>
                      <w:color w:val="auto"/>
                      <w:sz w:val="21"/>
                      <w:szCs w:val="21"/>
                      <w:highlight w:val="none"/>
                      <w:lang w:val="en-US" w:eastAsia="zh-CN"/>
                    </w:rPr>
                    <w:t>为低</w:t>
                  </w:r>
                  <w:r>
                    <w:rPr>
                      <w:rFonts w:hint="eastAsia" w:ascii="Times New Roman" w:hAnsi="Times New Roman" w:eastAsia="宋体" w:cs="Times New Roman"/>
                      <w:color w:val="auto"/>
                      <w:sz w:val="21"/>
                      <w:szCs w:val="21"/>
                      <w:highlight w:val="none"/>
                      <w:lang w:val="en-US" w:eastAsia="zh-CN"/>
                    </w:rPr>
                    <w:t>VOCs含量的原辅材料。</w:t>
                  </w:r>
                </w:p>
              </w:tc>
              <w:tc>
                <w:tcPr>
                  <w:tcW w:w="617" w:type="pct"/>
                  <w:vAlign w:val="center"/>
                </w:tcPr>
                <w:p>
                  <w:pPr>
                    <w:pStyle w:val="81"/>
                    <w:jc w:val="center"/>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符合</w:t>
                  </w:r>
                </w:p>
              </w:tc>
            </w:tr>
          </w:tbl>
          <w:p>
            <w:pPr>
              <w:pStyle w:val="50"/>
              <w:bidi w:val="0"/>
              <w:ind w:left="0" w:leftChars="0" w:firstLine="0" w:firstLineChars="0"/>
              <w:rPr>
                <w:rFonts w:hint="default" w:ascii="Times New Roman" w:hAnsi="Times New Roman" w:cs="Times New Roman"/>
                <w:color w:val="auto"/>
                <w:highlight w:val="none"/>
                <w:lang w:val="en-US" w:eastAsia="zh-CN"/>
              </w:rPr>
            </w:pPr>
          </w:p>
        </w:tc>
      </w:tr>
    </w:tbl>
    <w:p>
      <w:pPr>
        <w:spacing w:line="360" w:lineRule="auto"/>
        <w:outlineLvl w:val="0"/>
        <w:rPr>
          <w:rFonts w:hint="default" w:ascii="Times New Roman" w:hAnsi="Times New Roman" w:eastAsia="黑体" w:cs="Times New Roman"/>
          <w:color w:val="auto"/>
          <w:sz w:val="30"/>
          <w:highlight w:val="none"/>
        </w:rPr>
        <w:sectPr>
          <w:footerReference r:id="rId7" w:type="default"/>
          <w:pgSz w:w="11905" w:h="16838"/>
          <w:pgMar w:top="1440" w:right="1587" w:bottom="1440" w:left="1587" w:header="851" w:footer="850" w:gutter="0"/>
          <w:pgBorders>
            <w:top w:val="none" w:sz="0" w:space="0"/>
            <w:left w:val="none" w:sz="0" w:space="0"/>
            <w:bottom w:val="none" w:sz="0" w:space="0"/>
            <w:right w:val="none" w:sz="0" w:space="0"/>
          </w:pgBorders>
          <w:pgNumType w:fmt="decimal" w:start="1"/>
          <w:cols w:space="0" w:num="1"/>
          <w:rtlGutter w:val="0"/>
          <w:docGrid w:linePitch="312" w:charSpace="0"/>
        </w:sectPr>
      </w:pPr>
    </w:p>
    <w:p>
      <w:pPr>
        <w:pStyle w:val="10"/>
        <w:bidi w:val="0"/>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二、建设项目工程分析</w:t>
      </w:r>
    </w:p>
    <w:tbl>
      <w:tblPr>
        <w:tblStyle w:val="32"/>
        <w:tblW w:w="907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457"/>
        <w:gridCol w:w="9186"/>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192" w:hRule="atLeast"/>
          <w:jc w:val="center"/>
        </w:trPr>
        <w:tc>
          <w:tcPr>
            <w:tcW w:w="488" w:type="dxa"/>
            <w:noWrap w:val="0"/>
            <w:vAlign w:val="center"/>
          </w:tcPr>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r>
              <w:rPr>
                <w:rFonts w:hint="default" w:ascii="Times New Roman" w:hAnsi="Times New Roman" w:eastAsia="宋体" w:cs="Times New Roman"/>
                <w:b/>
                <w:bCs/>
                <w:color w:val="auto"/>
                <w:kern w:val="0"/>
                <w:sz w:val="24"/>
                <w:szCs w:val="24"/>
                <w:highlight w:val="none"/>
              </w:rPr>
              <w:t>建设内容</w:t>
            </w: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Style w:val="27"/>
              <w:rPr>
                <w:rFonts w:hint="default"/>
                <w:color w:val="auto"/>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r>
              <w:rPr>
                <w:rFonts w:hint="default" w:ascii="Times New Roman" w:hAnsi="Times New Roman" w:eastAsia="宋体" w:cs="Times New Roman"/>
                <w:b/>
                <w:bCs/>
                <w:color w:val="auto"/>
                <w:kern w:val="0"/>
                <w:sz w:val="24"/>
                <w:szCs w:val="24"/>
                <w:highlight w:val="none"/>
              </w:rPr>
              <w:t>建设内容</w:t>
            </w: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Style w:val="27"/>
              <w:rPr>
                <w:rFonts w:hint="default"/>
                <w:color w:val="auto"/>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r>
              <w:rPr>
                <w:rFonts w:hint="default" w:ascii="Times New Roman" w:hAnsi="Times New Roman" w:eastAsia="宋体" w:cs="Times New Roman"/>
                <w:b/>
                <w:bCs/>
                <w:color w:val="auto"/>
                <w:kern w:val="0"/>
                <w:sz w:val="24"/>
                <w:szCs w:val="24"/>
                <w:highlight w:val="none"/>
              </w:rPr>
              <w:t>建设内容</w:t>
            </w: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Style w:val="27"/>
              <w:rPr>
                <w:rFonts w:hint="default" w:ascii="Times New Roman" w:hAnsi="Times New Roman" w:eastAsia="宋体" w:cs="Times New Roman"/>
                <w:b/>
                <w:bCs/>
                <w:color w:val="auto"/>
                <w:kern w:val="0"/>
                <w:sz w:val="24"/>
                <w:szCs w:val="24"/>
                <w:highlight w:val="none"/>
              </w:rPr>
            </w:pPr>
          </w:p>
          <w:p>
            <w:pPr>
              <w:rPr>
                <w:rFonts w:hint="default" w:ascii="Times New Roman" w:hAnsi="Times New Roman" w:eastAsia="宋体" w:cs="Times New Roman"/>
                <w:b/>
                <w:bCs/>
                <w:color w:val="auto"/>
                <w:kern w:val="0"/>
                <w:sz w:val="24"/>
                <w:szCs w:val="24"/>
                <w:highlight w:val="none"/>
              </w:rPr>
            </w:pPr>
          </w:p>
          <w:p>
            <w:pPr>
              <w:pStyle w:val="27"/>
              <w:rPr>
                <w:rFonts w:hint="default" w:ascii="Times New Roman" w:hAnsi="Times New Roman" w:eastAsia="宋体" w:cs="Times New Roman"/>
                <w:b/>
                <w:bCs/>
                <w:color w:val="auto"/>
                <w:kern w:val="0"/>
                <w:sz w:val="24"/>
                <w:szCs w:val="24"/>
                <w:highlight w:val="none"/>
              </w:rPr>
            </w:pPr>
          </w:p>
          <w:p>
            <w:pPr>
              <w:rPr>
                <w:rFonts w:hint="default" w:ascii="Times New Roman" w:hAnsi="Times New Roman" w:eastAsia="宋体" w:cs="Times New Roman"/>
                <w:b/>
                <w:bCs/>
                <w:color w:val="auto"/>
                <w:kern w:val="0"/>
                <w:sz w:val="24"/>
                <w:szCs w:val="24"/>
                <w:highlight w:val="none"/>
              </w:rPr>
            </w:pPr>
          </w:p>
          <w:p>
            <w:pPr>
              <w:pStyle w:val="27"/>
              <w:rPr>
                <w:rFonts w:hint="default" w:ascii="Times New Roman" w:hAnsi="Times New Roman" w:eastAsia="宋体" w:cs="Times New Roman"/>
                <w:b/>
                <w:bCs/>
                <w:color w:val="auto"/>
                <w:kern w:val="0"/>
                <w:sz w:val="24"/>
                <w:szCs w:val="24"/>
                <w:highlight w:val="none"/>
              </w:rPr>
            </w:pPr>
          </w:p>
          <w:p>
            <w:pPr>
              <w:rPr>
                <w:rFonts w:hint="default" w:ascii="Times New Roman" w:hAnsi="Times New Roman" w:eastAsia="宋体" w:cs="Times New Roman"/>
                <w:b/>
                <w:bCs/>
                <w:color w:val="auto"/>
                <w:kern w:val="0"/>
                <w:sz w:val="24"/>
                <w:szCs w:val="24"/>
                <w:highlight w:val="none"/>
              </w:rPr>
            </w:pPr>
          </w:p>
          <w:p>
            <w:pPr>
              <w:pStyle w:val="27"/>
              <w:rPr>
                <w:rFonts w:hint="default" w:ascii="Times New Roman" w:hAnsi="Times New Roman" w:eastAsia="宋体" w:cs="Times New Roman"/>
                <w:b/>
                <w:bCs/>
                <w:color w:val="auto"/>
                <w:kern w:val="0"/>
                <w:sz w:val="24"/>
                <w:szCs w:val="24"/>
                <w:highlight w:val="none"/>
              </w:rPr>
            </w:pPr>
          </w:p>
          <w:p>
            <w:pPr>
              <w:rPr>
                <w:rFonts w:hint="default" w:ascii="Times New Roman" w:hAnsi="Times New Roman" w:eastAsia="宋体" w:cs="Times New Roman"/>
                <w:b/>
                <w:bCs/>
                <w:color w:val="auto"/>
                <w:kern w:val="0"/>
                <w:sz w:val="24"/>
                <w:szCs w:val="24"/>
                <w:highlight w:val="none"/>
              </w:rPr>
            </w:pPr>
          </w:p>
          <w:p>
            <w:pPr>
              <w:pStyle w:val="27"/>
              <w:rPr>
                <w:rFonts w:hint="default" w:ascii="Times New Roman" w:hAnsi="Times New Roman" w:eastAsia="宋体" w:cs="Times New Roman"/>
                <w:b/>
                <w:bCs/>
                <w:color w:val="auto"/>
                <w:kern w:val="0"/>
                <w:sz w:val="24"/>
                <w:szCs w:val="24"/>
                <w:highlight w:val="none"/>
              </w:rPr>
            </w:pPr>
          </w:p>
          <w:p>
            <w:pPr>
              <w:rPr>
                <w:rFonts w:hint="default" w:ascii="Times New Roman" w:hAnsi="Times New Roman" w:eastAsia="宋体" w:cs="Times New Roman"/>
                <w:b/>
                <w:bCs/>
                <w:color w:val="auto"/>
                <w:kern w:val="0"/>
                <w:sz w:val="24"/>
                <w:szCs w:val="24"/>
                <w:highlight w:val="none"/>
              </w:rPr>
            </w:pPr>
          </w:p>
          <w:p>
            <w:pPr>
              <w:pStyle w:val="27"/>
              <w:rPr>
                <w:rFonts w:hint="default" w:ascii="Times New Roman" w:hAnsi="Times New Roman" w:eastAsia="宋体" w:cs="Times New Roman"/>
                <w:b/>
                <w:bCs/>
                <w:color w:val="auto"/>
                <w:kern w:val="0"/>
                <w:sz w:val="24"/>
                <w:szCs w:val="24"/>
                <w:highlight w:val="none"/>
              </w:rPr>
            </w:pPr>
          </w:p>
          <w:p>
            <w:pPr>
              <w:rPr>
                <w:rFonts w:hint="default" w:ascii="Times New Roman" w:hAnsi="Times New Roman" w:eastAsia="宋体" w:cs="Times New Roman"/>
                <w:b/>
                <w:bCs/>
                <w:color w:val="auto"/>
                <w:kern w:val="0"/>
                <w:sz w:val="24"/>
                <w:szCs w:val="24"/>
                <w:highlight w:val="none"/>
              </w:rPr>
            </w:pPr>
          </w:p>
          <w:p>
            <w:pPr>
              <w:pStyle w:val="27"/>
              <w:rPr>
                <w:rFonts w:hint="default" w:ascii="Times New Roman" w:hAnsi="Times New Roman" w:eastAsia="宋体" w:cs="Times New Roman"/>
                <w:b/>
                <w:bCs/>
                <w:color w:val="auto"/>
                <w:kern w:val="0"/>
                <w:sz w:val="24"/>
                <w:szCs w:val="24"/>
                <w:highlight w:val="none"/>
              </w:rPr>
            </w:pPr>
          </w:p>
          <w:p>
            <w:pPr>
              <w:rPr>
                <w:rFonts w:hint="default" w:ascii="Times New Roman" w:hAnsi="Times New Roman" w:eastAsia="宋体" w:cs="Times New Roman"/>
                <w:b/>
                <w:bCs/>
                <w:color w:val="auto"/>
                <w:kern w:val="0"/>
                <w:sz w:val="24"/>
                <w:szCs w:val="24"/>
                <w:highlight w:val="none"/>
              </w:rPr>
            </w:pPr>
          </w:p>
          <w:p>
            <w:pPr>
              <w:pStyle w:val="27"/>
              <w:rPr>
                <w:rFonts w:hint="default" w:ascii="Times New Roman" w:hAnsi="Times New Roman" w:eastAsia="宋体" w:cs="Times New Roman"/>
                <w:b/>
                <w:bCs/>
                <w:color w:val="auto"/>
                <w:kern w:val="0"/>
                <w:sz w:val="24"/>
                <w:szCs w:val="24"/>
                <w:highlight w:val="none"/>
              </w:rPr>
            </w:pPr>
          </w:p>
          <w:p>
            <w:pPr>
              <w:rPr>
                <w:rFonts w:hint="default" w:ascii="Times New Roman" w:hAnsi="Times New Roman" w:eastAsia="宋体" w:cs="Times New Roman"/>
                <w:b/>
                <w:bCs/>
                <w:color w:val="auto"/>
                <w:kern w:val="0"/>
                <w:sz w:val="24"/>
                <w:szCs w:val="24"/>
                <w:highlight w:val="none"/>
              </w:rPr>
            </w:pPr>
          </w:p>
          <w:p>
            <w:pPr>
              <w:pStyle w:val="27"/>
              <w:rPr>
                <w:rFonts w:hint="default" w:ascii="Times New Roman" w:hAnsi="Times New Roman" w:eastAsia="宋体" w:cs="Times New Roman"/>
                <w:b/>
                <w:bCs/>
                <w:color w:val="auto"/>
                <w:kern w:val="0"/>
                <w:sz w:val="24"/>
                <w:szCs w:val="24"/>
                <w:highlight w:val="none"/>
              </w:rPr>
            </w:pPr>
          </w:p>
          <w:p>
            <w:pPr>
              <w:rPr>
                <w:rFonts w:hint="default" w:ascii="Times New Roman" w:hAnsi="Times New Roman" w:eastAsia="宋体" w:cs="Times New Roman"/>
                <w:b/>
                <w:bCs/>
                <w:color w:val="auto"/>
                <w:kern w:val="0"/>
                <w:sz w:val="24"/>
                <w:szCs w:val="24"/>
                <w:highlight w:val="none"/>
              </w:rPr>
            </w:pPr>
          </w:p>
          <w:p>
            <w:pPr>
              <w:pStyle w:val="27"/>
              <w:rPr>
                <w:rFonts w:hint="default" w:ascii="Times New Roman" w:hAnsi="Times New Roman" w:eastAsia="宋体" w:cs="Times New Roman"/>
                <w:b/>
                <w:bCs/>
                <w:color w:val="auto"/>
                <w:kern w:val="0"/>
                <w:sz w:val="24"/>
                <w:szCs w:val="24"/>
                <w:highlight w:val="none"/>
              </w:rPr>
            </w:pPr>
          </w:p>
          <w:p>
            <w:pPr>
              <w:rPr>
                <w:rFonts w:hint="default" w:ascii="Times New Roman" w:hAnsi="Times New Roman" w:eastAsia="宋体" w:cs="Times New Roman"/>
                <w:b/>
                <w:bCs/>
                <w:color w:val="auto"/>
                <w:kern w:val="0"/>
                <w:sz w:val="24"/>
                <w:szCs w:val="24"/>
                <w:highlight w:val="none"/>
              </w:rPr>
            </w:pPr>
          </w:p>
          <w:p>
            <w:pPr>
              <w:pStyle w:val="27"/>
              <w:rPr>
                <w:rFonts w:hint="default" w:ascii="Times New Roman" w:hAnsi="Times New Roman" w:eastAsia="宋体" w:cs="Times New Roman"/>
                <w:b/>
                <w:bCs/>
                <w:color w:val="auto"/>
                <w:kern w:val="0"/>
                <w:sz w:val="24"/>
                <w:szCs w:val="24"/>
                <w:highlight w:val="none"/>
              </w:rPr>
            </w:pPr>
          </w:p>
          <w:p>
            <w:pPr>
              <w:rPr>
                <w:rFonts w:hint="default" w:ascii="Times New Roman" w:hAnsi="Times New Roman" w:eastAsia="宋体" w:cs="Times New Roman"/>
                <w:b/>
                <w:bCs/>
                <w:color w:val="auto"/>
                <w:kern w:val="0"/>
                <w:sz w:val="24"/>
                <w:szCs w:val="24"/>
                <w:highlight w:val="none"/>
              </w:rPr>
            </w:pPr>
          </w:p>
          <w:p>
            <w:pPr>
              <w:pStyle w:val="27"/>
              <w:rPr>
                <w:rFonts w:hint="default" w:ascii="Times New Roman" w:hAnsi="Times New Roman" w:eastAsia="宋体" w:cs="Times New Roman"/>
                <w:b/>
                <w:bCs/>
                <w:color w:val="auto"/>
                <w:kern w:val="0"/>
                <w:sz w:val="24"/>
                <w:szCs w:val="24"/>
                <w:highlight w:val="none"/>
              </w:rPr>
            </w:pPr>
          </w:p>
          <w:p>
            <w:pPr>
              <w:rPr>
                <w:rFonts w:hint="default" w:ascii="Times New Roman" w:hAnsi="Times New Roman" w:eastAsia="宋体" w:cs="Times New Roman"/>
                <w:b/>
                <w:bCs/>
                <w:color w:val="auto"/>
                <w:kern w:val="0"/>
                <w:sz w:val="24"/>
                <w:szCs w:val="24"/>
                <w:highlight w:val="none"/>
              </w:rPr>
            </w:pPr>
          </w:p>
          <w:p>
            <w:pPr>
              <w:pStyle w:val="27"/>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r>
              <w:rPr>
                <w:rFonts w:hint="default" w:ascii="Times New Roman" w:hAnsi="Times New Roman" w:eastAsia="宋体" w:cs="Times New Roman"/>
                <w:b/>
                <w:bCs/>
                <w:color w:val="auto"/>
                <w:kern w:val="0"/>
                <w:sz w:val="24"/>
                <w:szCs w:val="24"/>
                <w:highlight w:val="none"/>
              </w:rPr>
              <w:t>建设内容</w:t>
            </w: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r>
              <w:rPr>
                <w:rFonts w:hint="default" w:ascii="Times New Roman" w:hAnsi="Times New Roman" w:eastAsia="宋体" w:cs="Times New Roman"/>
                <w:b/>
                <w:bCs/>
                <w:color w:val="auto"/>
                <w:kern w:val="0"/>
                <w:sz w:val="24"/>
                <w:szCs w:val="24"/>
                <w:highlight w:val="none"/>
              </w:rPr>
              <w:t>建设内容</w:t>
            </w: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r>
              <w:rPr>
                <w:rFonts w:hint="default" w:ascii="Times New Roman" w:hAnsi="Times New Roman" w:eastAsia="宋体" w:cs="Times New Roman"/>
                <w:b/>
                <w:bCs/>
                <w:color w:val="auto"/>
                <w:kern w:val="0"/>
                <w:sz w:val="24"/>
                <w:szCs w:val="24"/>
                <w:highlight w:val="none"/>
              </w:rPr>
              <w:t>建设内容</w:t>
            </w: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r>
              <w:rPr>
                <w:rFonts w:hint="default" w:ascii="Times New Roman" w:hAnsi="Times New Roman" w:eastAsia="宋体" w:cs="Times New Roman"/>
                <w:b/>
                <w:bCs/>
                <w:color w:val="auto"/>
                <w:kern w:val="0"/>
                <w:sz w:val="24"/>
                <w:szCs w:val="24"/>
                <w:highlight w:val="none"/>
              </w:rPr>
              <w:t>建设内容</w:t>
            </w: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auto"/>
                <w:kern w:val="0"/>
                <w:sz w:val="24"/>
                <w:szCs w:val="24"/>
                <w:highlight w:val="none"/>
              </w:rPr>
            </w:pPr>
            <w:r>
              <w:rPr>
                <w:rFonts w:hint="default" w:ascii="Times New Roman" w:hAnsi="Times New Roman" w:eastAsia="宋体" w:cs="Times New Roman"/>
                <w:b/>
                <w:bCs/>
                <w:color w:val="auto"/>
                <w:kern w:val="0"/>
                <w:sz w:val="24"/>
                <w:szCs w:val="24"/>
                <w:highlight w:val="none"/>
              </w:rPr>
              <w:t>建设内容</w:t>
            </w:r>
          </w:p>
        </w:tc>
        <w:tc>
          <w:tcPr>
            <w:tcW w:w="8583" w:type="dxa"/>
            <w:noWrap w:val="0"/>
            <w:vAlign w:val="top"/>
          </w:tcPr>
          <w:p>
            <w:pPr>
              <w:pStyle w:val="10"/>
              <w:bidi w:val="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1、项目简介</w:t>
            </w:r>
          </w:p>
          <w:p>
            <w:pPr>
              <w:pStyle w:val="50"/>
              <w:bidi w:val="0"/>
              <w:rPr>
                <w:rFonts w:hint="default" w:eastAsia="宋体"/>
                <w:color w:val="auto"/>
                <w:sz w:val="24"/>
                <w:highlight w:val="none"/>
                <w:lang w:val="en-US" w:eastAsia="zh-CN"/>
              </w:rPr>
            </w:pPr>
            <w:r>
              <w:rPr>
                <w:rFonts w:hint="eastAsia" w:ascii="Times New Roman" w:hAnsi="Times New Roman" w:cs="Times New Roman"/>
                <w:color w:val="auto"/>
                <w:highlight w:val="none"/>
                <w:lang w:val="en-US" w:eastAsia="zh-CN"/>
              </w:rPr>
              <w:t>秦皇岛联安机械科技有限公司位于秦皇岛市抚宁区北部工业区北规一街南创业路东，主要经营范围为：液压机械设备的技术开发、液压机械设备及元件的制造和销售、货物和技术进出口。</w:t>
            </w:r>
          </w:p>
          <w:p>
            <w:pPr>
              <w:pStyle w:val="16"/>
              <w:spacing w:line="360" w:lineRule="auto"/>
              <w:ind w:firstLine="480" w:firstLineChars="200"/>
              <w:jc w:val="both"/>
              <w:rPr>
                <w:rFonts w:hint="default" w:ascii="Times New Roman" w:hAnsi="Times New Roman" w:eastAsia="宋体" w:cs="Times New Roman"/>
                <w:color w:val="auto"/>
                <w:szCs w:val="21"/>
                <w:highlight w:val="none"/>
                <w:lang w:val="en-US" w:eastAsia="zh-CN"/>
              </w:rPr>
            </w:pPr>
            <w:r>
              <w:rPr>
                <w:rFonts w:hint="eastAsia"/>
                <w:color w:val="auto"/>
                <w:highlight w:val="none"/>
                <w:lang w:val="en-US" w:eastAsia="zh-CN"/>
              </w:rPr>
              <w:t>2</w:t>
            </w:r>
            <w:r>
              <w:rPr>
                <w:color w:val="auto"/>
                <w:highlight w:val="none"/>
                <w:lang w:val="en-US" w:eastAsia="zh-CN"/>
              </w:rPr>
              <w:t>0</w:t>
            </w:r>
            <w:r>
              <w:rPr>
                <w:rFonts w:hint="eastAsia"/>
                <w:color w:val="auto"/>
                <w:highlight w:val="none"/>
                <w:lang w:val="en-US" w:eastAsia="zh-CN"/>
              </w:rPr>
              <w:t>19年5月，</w:t>
            </w:r>
            <w:r>
              <w:rPr>
                <w:rFonts w:hint="eastAsia" w:ascii="Times New Roman" w:hAnsi="Times New Roman" w:cs="Times New Roman"/>
                <w:color w:val="auto"/>
                <w:highlight w:val="none"/>
                <w:lang w:val="en-US" w:eastAsia="zh-CN"/>
              </w:rPr>
              <w:t>秦皇岛联安机械科技有限公司委托河北润宏环保科技有限公司编制完成了《秦皇岛联安机械科技有限公司关于特种机械设备项目环境影响报告表》，并于2019年6月6日通过秦皇岛市生态环境局审批，审批文号为：抚环审表[2019]-6-3号；</w:t>
            </w:r>
            <w:r>
              <w:rPr>
                <w:rFonts w:hint="eastAsia"/>
                <w:color w:val="auto"/>
                <w:highlight w:val="none"/>
                <w:lang w:val="en-US" w:eastAsia="zh-CN"/>
              </w:rPr>
              <w:t>2021年4月23日该单位取得固定污染源排污登记回执，其证书编号为91130300666598838H001Y，有效期限至2</w:t>
            </w:r>
            <w:r>
              <w:rPr>
                <w:color w:val="auto"/>
                <w:highlight w:val="none"/>
                <w:lang w:val="en-US" w:eastAsia="zh-CN"/>
              </w:rPr>
              <w:t>02</w:t>
            </w:r>
            <w:r>
              <w:rPr>
                <w:rFonts w:hint="eastAsia"/>
                <w:color w:val="auto"/>
                <w:highlight w:val="none"/>
                <w:lang w:val="en-US" w:eastAsia="zh-CN"/>
              </w:rPr>
              <w:t>6年4月22日；2021年6月编制《</w:t>
            </w:r>
            <w:r>
              <w:rPr>
                <w:rFonts w:hint="eastAsia" w:ascii="Times New Roman" w:hAnsi="Times New Roman" w:cs="Times New Roman"/>
                <w:color w:val="auto"/>
                <w:highlight w:val="none"/>
                <w:lang w:val="en-US" w:eastAsia="zh-CN"/>
              </w:rPr>
              <w:t>秦皇岛联安机械科技有限公司</w:t>
            </w:r>
            <w:r>
              <w:rPr>
                <w:rFonts w:hint="eastAsia"/>
                <w:color w:val="auto"/>
                <w:highlight w:val="none"/>
                <w:lang w:val="en-US" w:eastAsia="zh-CN"/>
              </w:rPr>
              <w:t>环境突发事件应急预案》，并于2020年6月17日在秦皇岛市生态环境局抚宁区分局进行备案，备案编号：130323-2021-018-L。2021年6月21日，完成环保验收。</w:t>
            </w:r>
          </w:p>
          <w:p>
            <w:pPr>
              <w:pStyle w:val="50"/>
              <w:bidi w:val="0"/>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highlight w:val="none"/>
                <w:lang w:val="en-US" w:eastAsia="zh-CN"/>
              </w:rPr>
              <w:t>随着</w:t>
            </w:r>
            <w:r>
              <w:rPr>
                <w:rFonts w:hint="eastAsia" w:ascii="Times New Roman" w:hAnsi="Times New Roman" w:cs="Times New Roman"/>
                <w:color w:val="auto"/>
                <w:highlight w:val="none"/>
                <w:lang w:val="en-US" w:eastAsia="zh-CN"/>
              </w:rPr>
              <w:t>市场的需求增加，公司对现有生产线进行升级，新购置普通车床、数控加工中心、焊机等设备并增加喷漆工序。新建喷漆房1座，购置有机废气治理设施，不接受其他公司喷漆委托，主要为联安机械生产使用的部分配件进行喷漆并对产品进行补漆。项目建设完成后，原低压铸造机产能由20台/年增加到25台/年</w:t>
            </w:r>
            <w:r>
              <w:rPr>
                <w:rFonts w:hint="eastAsia" w:cs="Times New Roman"/>
                <w:color w:val="auto"/>
                <w:szCs w:val="21"/>
                <w:highlight w:val="none"/>
                <w:lang w:val="en-US" w:eastAsia="zh-CN"/>
              </w:rPr>
              <w:t>。</w:t>
            </w:r>
          </w:p>
          <w:p>
            <w:pPr>
              <w:keepNext w:val="0"/>
              <w:keepLines w:val="0"/>
              <w:pageBreakBefore w:val="0"/>
              <w:widowControl w:val="0"/>
              <w:kinsoku/>
              <w:wordWrap/>
              <w:overflowPunct/>
              <w:topLinePunct w:val="0"/>
              <w:autoSpaceDE/>
              <w:autoSpaceDN/>
              <w:bidi w:val="0"/>
              <w:adjustRightInd/>
              <w:snapToGrid/>
              <w:ind w:firstLine="480" w:firstLineChars="200"/>
              <w:jc w:val="both"/>
              <w:textAlignment w:val="auto"/>
              <w:rPr>
                <w:rFonts w:hint="eastAsia"/>
                <w:color w:val="auto"/>
                <w:highlight w:val="none"/>
                <w:lang w:val="en-US" w:eastAsia="zh-CN"/>
              </w:rPr>
            </w:pPr>
            <w:r>
              <w:rPr>
                <w:rFonts w:hint="default"/>
                <w:color w:val="auto"/>
                <w:highlight w:val="none"/>
                <w:lang w:val="en-US" w:eastAsia="zh-CN"/>
              </w:rPr>
              <w:t>根据《中华人民共和国环境影响评价法》、《建设项目环境保护管理条例》、《建设项目环境影响评价分类管理名录》（2021年版 生态环境部第16号令），</w:t>
            </w:r>
            <w:r>
              <w:rPr>
                <w:rFonts w:hint="eastAsia"/>
                <w:color w:val="auto"/>
                <w:highlight w:val="none"/>
                <w:lang w:val="en-US" w:eastAsia="zh-CN"/>
              </w:rPr>
              <w:t>“三十二、专业设备制造业35”中“70、环保、邮政、设备公共服务及其他专用设备359”中“其他（仅分割、焊接、组装的除外；年用非溶剂型低VOCs含量涂料10吨以下的除外）”， 属于</w:t>
            </w:r>
            <w:r>
              <w:rPr>
                <w:rFonts w:hint="default"/>
                <w:color w:val="auto"/>
                <w:highlight w:val="none"/>
                <w:lang w:val="en-US" w:eastAsia="zh-CN"/>
              </w:rPr>
              <w:t>报告表类项目，</w:t>
            </w:r>
            <w:r>
              <w:rPr>
                <w:rFonts w:hint="eastAsia"/>
                <w:color w:val="auto"/>
                <w:highlight w:val="none"/>
                <w:lang w:val="en-US" w:eastAsia="zh-CN"/>
              </w:rPr>
              <w:t>需编制报告表</w:t>
            </w:r>
            <w:r>
              <w:rPr>
                <w:rFonts w:hint="default"/>
                <w:color w:val="auto"/>
                <w:highlight w:val="none"/>
                <w:lang w:val="en-US" w:eastAsia="zh-CN"/>
              </w:rPr>
              <w:t>。为此，秦皇岛联安机械科技有限公司委托我公司开展该项目的环境影响评价工作，评价单位接受委托后，根据国家有关环境影响评价工作的技术要求，结合工程和</w:t>
            </w:r>
            <w:bookmarkStart w:id="2" w:name="_GoBack"/>
            <w:bookmarkEnd w:id="2"/>
            <w:r>
              <w:rPr>
                <w:rFonts w:hint="default"/>
                <w:color w:val="auto"/>
                <w:highlight w:val="none"/>
                <w:lang w:val="en-US" w:eastAsia="zh-CN"/>
              </w:rPr>
              <w:t xml:space="preserve">项目所在地的特点，在现场踏勘、收集资料、并依据有关资料和同类工程分析、类比的基础上，编制完成该项目环境影响报告表。 </w:t>
            </w:r>
          </w:p>
          <w:p>
            <w:pPr>
              <w:pStyle w:val="10"/>
              <w:bidi w:val="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2、</w:t>
            </w:r>
            <w:r>
              <w:rPr>
                <w:rFonts w:hint="eastAsia" w:cs="Times New Roman"/>
                <w:color w:val="auto"/>
                <w:highlight w:val="none"/>
                <w:lang w:val="en-US" w:eastAsia="zh-CN"/>
              </w:rPr>
              <w:t>现有</w:t>
            </w:r>
            <w:r>
              <w:rPr>
                <w:rFonts w:hint="default" w:ascii="Times New Roman" w:hAnsi="Times New Roman" w:cs="Times New Roman"/>
                <w:color w:val="auto"/>
                <w:highlight w:val="none"/>
                <w:lang w:val="en-US" w:eastAsia="zh-CN"/>
              </w:rPr>
              <w:t xml:space="preserve">工程 </w:t>
            </w:r>
          </w:p>
          <w:p>
            <w:pPr>
              <w:pStyle w:val="14"/>
              <w:bidi w:val="0"/>
              <w:rPr>
                <w:rFonts w:hint="default" w:ascii="Times New Roman" w:hAnsi="Times New Roman" w:eastAsia="宋体" w:cs="Times New Roman"/>
                <w:b/>
                <w:bCs/>
                <w:color w:val="auto"/>
                <w:kern w:val="2"/>
                <w:sz w:val="24"/>
                <w:szCs w:val="24"/>
                <w:highlight w:val="none"/>
                <w:lang w:val="en-US" w:eastAsia="zh-CN" w:bidi="ar-SA"/>
              </w:rPr>
            </w:pPr>
            <w:r>
              <w:rPr>
                <w:rFonts w:hint="eastAsia" w:cs="Times New Roman"/>
                <w:b/>
                <w:bCs/>
                <w:color w:val="auto"/>
                <w:kern w:val="2"/>
                <w:sz w:val="24"/>
                <w:szCs w:val="24"/>
                <w:highlight w:val="none"/>
                <w:lang w:val="en-US" w:eastAsia="zh-CN" w:bidi="ar-SA"/>
              </w:rPr>
              <w:t xml:space="preserve">2.1现有工程概况   </w:t>
            </w:r>
          </w:p>
          <w:p>
            <w:pPr>
              <w:pStyle w:val="14"/>
              <w:bidi w:val="0"/>
              <w:ind w:firstLine="480" w:firstLineChars="200"/>
              <w:rPr>
                <w:rFonts w:hint="default" w:ascii="Times New Roman" w:hAnsi="Times New Roman" w:eastAsia="宋体" w:cs="Times New Roman"/>
                <w:b w:val="0"/>
                <w:color w:val="auto"/>
                <w:kern w:val="2"/>
                <w:sz w:val="24"/>
                <w:szCs w:val="24"/>
                <w:highlight w:val="none"/>
                <w:lang w:val="en-US" w:eastAsia="zh-CN" w:bidi="ar-SA"/>
              </w:rPr>
            </w:pPr>
            <w:r>
              <w:rPr>
                <w:rFonts w:hint="default" w:ascii="Times New Roman" w:hAnsi="Times New Roman" w:eastAsia="宋体" w:cs="Times New Roman"/>
                <w:b w:val="0"/>
                <w:color w:val="auto"/>
                <w:kern w:val="2"/>
                <w:sz w:val="24"/>
                <w:szCs w:val="24"/>
                <w:highlight w:val="none"/>
                <w:lang w:val="en-US" w:eastAsia="zh-CN" w:bidi="ar-SA"/>
              </w:rPr>
              <w:t>（1）企业地理位置及周边关系</w:t>
            </w:r>
          </w:p>
          <w:p>
            <w:pPr>
              <w:bidi w:val="0"/>
              <w:ind w:firstLine="480" w:firstLineChars="200"/>
              <w:rPr>
                <w:rFonts w:hint="default" w:ascii="Times New Roman" w:hAnsi="Times New Roman" w:cs="Times New Roman"/>
                <w:b w:val="0"/>
                <w:color w:val="auto"/>
                <w:kern w:val="2"/>
                <w:sz w:val="24"/>
                <w:szCs w:val="24"/>
                <w:highlight w:val="none"/>
                <w:lang w:val="en-US" w:eastAsia="zh-CN" w:bidi="ar-SA"/>
              </w:rPr>
            </w:pPr>
            <w:r>
              <w:rPr>
                <w:rFonts w:hint="default" w:ascii="Times New Roman" w:hAnsi="Times New Roman" w:cs="Times New Roman"/>
                <w:b w:val="0"/>
                <w:color w:val="auto"/>
                <w:kern w:val="2"/>
                <w:sz w:val="24"/>
                <w:szCs w:val="24"/>
                <w:highlight w:val="none"/>
                <w:lang w:val="en-US" w:eastAsia="zh-CN" w:bidi="ar-SA"/>
              </w:rPr>
              <w:t>秦皇岛联安机械科技有限公司位于秦皇岛市抚宁区北规一街南创业路东，厂址地理位置中心坐标为北纬39°55′17.170″，东经119°13′53.830″。</w:t>
            </w:r>
            <w:r>
              <w:rPr>
                <w:rFonts w:hint="eastAsia" w:cs="Times New Roman"/>
                <w:b w:val="0"/>
                <w:color w:val="auto"/>
                <w:kern w:val="2"/>
                <w:sz w:val="24"/>
                <w:szCs w:val="24"/>
                <w:highlight w:val="none"/>
                <w:lang w:val="en-US" w:eastAsia="zh-CN" w:bidi="ar-SA"/>
              </w:rPr>
              <w:t>本公司占地已取得不动产权证，编号为：</w:t>
            </w:r>
            <w:r>
              <w:rPr>
                <w:rFonts w:hint="eastAsia" w:cs="Times New Roman"/>
                <w:b w:val="0"/>
                <w:color w:val="auto"/>
                <w:kern w:val="2"/>
                <w:sz w:val="24"/>
                <w:szCs w:val="24"/>
                <w:highlight w:val="none"/>
                <w:u w:val="single"/>
                <w:lang w:val="en-US" w:eastAsia="zh-CN" w:bidi="ar-SA"/>
              </w:rPr>
              <w:t>冀</w:t>
            </w:r>
            <w:r>
              <w:rPr>
                <w:rFonts w:hint="eastAsia" w:cs="Times New Roman"/>
                <w:b w:val="0"/>
                <w:color w:val="auto"/>
                <w:kern w:val="2"/>
                <w:sz w:val="24"/>
                <w:szCs w:val="24"/>
                <w:highlight w:val="none"/>
                <w:lang w:val="en-US" w:eastAsia="zh-CN" w:bidi="ar-SA"/>
              </w:rPr>
              <w:t>（2022）</w:t>
            </w:r>
            <w:r>
              <w:rPr>
                <w:rFonts w:hint="eastAsia" w:cs="Times New Roman"/>
                <w:b w:val="0"/>
                <w:color w:val="auto"/>
                <w:kern w:val="2"/>
                <w:sz w:val="24"/>
                <w:szCs w:val="24"/>
                <w:highlight w:val="none"/>
                <w:u w:val="single"/>
                <w:lang w:val="en-US" w:eastAsia="zh-CN" w:bidi="ar-SA"/>
              </w:rPr>
              <w:t>抚宁区</w:t>
            </w:r>
            <w:r>
              <w:rPr>
                <w:rFonts w:hint="eastAsia" w:cs="Times New Roman"/>
                <w:b w:val="0"/>
                <w:color w:val="auto"/>
                <w:kern w:val="2"/>
                <w:sz w:val="24"/>
                <w:szCs w:val="24"/>
                <w:highlight w:val="none"/>
                <w:lang w:val="en-US" w:eastAsia="zh-CN" w:bidi="ar-SA"/>
              </w:rPr>
              <w:t>不动产权第0002980号。</w:t>
            </w:r>
            <w:r>
              <w:rPr>
                <w:rFonts w:hint="default" w:ascii="Times New Roman" w:hAnsi="Times New Roman" w:cs="Times New Roman"/>
                <w:b w:val="0"/>
                <w:color w:val="auto"/>
                <w:kern w:val="2"/>
                <w:sz w:val="24"/>
                <w:szCs w:val="24"/>
                <w:highlight w:val="none"/>
                <w:lang w:val="en-US" w:eastAsia="zh-CN" w:bidi="ar-SA"/>
              </w:rPr>
              <w:t>厂区东</w:t>
            </w:r>
            <w:r>
              <w:rPr>
                <w:rFonts w:hint="eastAsia" w:ascii="Times New Roman" w:hAnsi="Times New Roman" w:cs="Times New Roman"/>
                <w:b w:val="0"/>
                <w:color w:val="auto"/>
                <w:kern w:val="2"/>
                <w:sz w:val="24"/>
                <w:szCs w:val="24"/>
                <w:highlight w:val="none"/>
                <w:lang w:val="en-US" w:eastAsia="zh-CN" w:bidi="ar-SA"/>
              </w:rPr>
              <w:t>侧为闲置空地、北侧隔道为空地、南侧为</w:t>
            </w:r>
            <w:r>
              <w:rPr>
                <w:rFonts w:hint="eastAsia" w:cs="Times New Roman"/>
                <w:b w:val="0"/>
                <w:color w:val="auto"/>
                <w:kern w:val="2"/>
                <w:sz w:val="24"/>
                <w:szCs w:val="24"/>
                <w:highlight w:val="none"/>
                <w:lang w:val="en-US" w:eastAsia="zh-CN" w:bidi="ar-SA"/>
              </w:rPr>
              <w:t>松浦工业炉有限公司</w:t>
            </w:r>
            <w:r>
              <w:rPr>
                <w:rFonts w:hint="eastAsia" w:ascii="Times New Roman" w:hAnsi="Times New Roman" w:cs="Times New Roman"/>
                <w:b w:val="0"/>
                <w:color w:val="auto"/>
                <w:kern w:val="2"/>
                <w:sz w:val="24"/>
                <w:szCs w:val="24"/>
                <w:highlight w:val="none"/>
                <w:lang w:val="en-US" w:eastAsia="zh-CN" w:bidi="ar-SA"/>
              </w:rPr>
              <w:t>、西侧为秦皇岛精工绿筑吉成科技有限公司。根据抚宁经济技术开发区总体规划图，本项目四周均为二类工业用地。</w:t>
            </w:r>
          </w:p>
          <w:p>
            <w:pPr>
              <w:numPr>
                <w:ilvl w:val="0"/>
                <w:numId w:val="0"/>
              </w:numPr>
              <w:bidi w:val="0"/>
              <w:ind w:firstLine="480" w:firstLineChars="200"/>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w:t>
            </w:r>
            <w:r>
              <w:rPr>
                <w:rFonts w:hint="default" w:ascii="Times New Roman" w:hAnsi="Times New Roman" w:cs="Times New Roman"/>
                <w:color w:val="auto"/>
                <w:highlight w:val="none"/>
                <w:lang w:val="en-US" w:eastAsia="zh-CN"/>
              </w:rPr>
              <w:t>2</w:t>
            </w:r>
            <w:r>
              <w:rPr>
                <w:rFonts w:hint="default" w:ascii="Times New Roman" w:hAnsi="Times New Roman" w:eastAsia="宋体" w:cs="Times New Roman"/>
                <w:color w:val="auto"/>
                <w:highlight w:val="none"/>
                <w:lang w:val="en-US" w:eastAsia="zh-CN"/>
              </w:rPr>
              <w:t>）</w:t>
            </w:r>
            <w:r>
              <w:rPr>
                <w:rFonts w:hint="default" w:ascii="Times New Roman" w:hAnsi="Times New Roman" w:cs="Times New Roman"/>
                <w:color w:val="auto"/>
                <w:highlight w:val="none"/>
                <w:lang w:val="en-US" w:eastAsia="zh-CN"/>
              </w:rPr>
              <w:t>建设规模</w:t>
            </w:r>
            <w:r>
              <w:rPr>
                <w:rFonts w:hint="default" w:ascii="Times New Roman" w:hAnsi="Times New Roman" w:eastAsia="宋体" w:cs="Times New Roman"/>
                <w:color w:val="auto"/>
                <w:highlight w:val="none"/>
                <w:lang w:val="en-US" w:eastAsia="zh-CN"/>
              </w:rPr>
              <w:t>：</w:t>
            </w:r>
            <w:r>
              <w:rPr>
                <w:rFonts w:hint="default" w:ascii="Times New Roman" w:hAnsi="Times New Roman" w:cs="Times New Roman"/>
                <w:color w:val="auto"/>
                <w:highlight w:val="none"/>
                <w:lang w:val="en-US" w:eastAsia="zh-CN"/>
              </w:rPr>
              <w:t>年生产弯管机100台、胶管扣压机50台、旋压扩口机30台、卡套预装机100台、窝缝机20台、低压铸造机20台，共计320</w:t>
            </w:r>
            <w:r>
              <w:rPr>
                <w:rFonts w:hint="eastAsia" w:cs="Times New Roman"/>
                <w:color w:val="auto"/>
                <w:highlight w:val="none"/>
                <w:lang w:val="en-US" w:eastAsia="zh-CN"/>
              </w:rPr>
              <w:t>台/年</w:t>
            </w:r>
            <w:r>
              <w:rPr>
                <w:rFonts w:hint="default" w:ascii="Times New Roman" w:hAnsi="Times New Roman" w:eastAsia="宋体" w:cs="Times New Roman"/>
                <w:color w:val="auto"/>
                <w:highlight w:val="none"/>
                <w:lang w:val="en-US" w:eastAsia="zh-CN"/>
              </w:rPr>
              <w:t>。</w:t>
            </w:r>
          </w:p>
          <w:p>
            <w:pPr>
              <w:pStyle w:val="50"/>
              <w:bidi w:val="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w:t>
            </w:r>
            <w:r>
              <w:rPr>
                <w:rFonts w:hint="eastAsia" w:ascii="Times New Roman" w:hAnsi="Times New Roman" w:cs="Times New Roman"/>
                <w:color w:val="auto"/>
                <w:highlight w:val="none"/>
                <w:lang w:val="en-US" w:eastAsia="zh-CN"/>
              </w:rPr>
              <w:t>3</w:t>
            </w:r>
            <w:r>
              <w:rPr>
                <w:rFonts w:hint="default" w:ascii="Times New Roman" w:hAnsi="Times New Roman" w:cs="Times New Roman"/>
                <w:color w:val="auto"/>
                <w:highlight w:val="none"/>
                <w:lang w:val="en-US" w:eastAsia="zh-CN"/>
              </w:rPr>
              <w:t>）劳动定员及工作制度：工程劳动定员</w:t>
            </w:r>
            <w:r>
              <w:rPr>
                <w:rFonts w:hint="eastAsia" w:ascii="Times New Roman" w:hAnsi="Times New Roman" w:cs="Times New Roman"/>
                <w:color w:val="auto"/>
                <w:highlight w:val="none"/>
                <w:lang w:val="en-US" w:eastAsia="zh-CN"/>
              </w:rPr>
              <w:t>38</w:t>
            </w:r>
            <w:r>
              <w:rPr>
                <w:rFonts w:hint="default" w:ascii="Times New Roman" w:hAnsi="Times New Roman" w:cs="Times New Roman"/>
                <w:color w:val="auto"/>
                <w:highlight w:val="none"/>
                <w:lang w:val="en-US" w:eastAsia="zh-CN"/>
              </w:rPr>
              <w:t>人，</w:t>
            </w:r>
            <w:r>
              <w:rPr>
                <w:rFonts w:hint="default" w:ascii="Times New Roman" w:hAnsi="Times New Roman" w:cs="Times New Roman"/>
                <w:color w:val="auto"/>
                <w:highlight w:val="none"/>
              </w:rPr>
              <w:t>年生产</w:t>
            </w:r>
            <w:r>
              <w:rPr>
                <w:rFonts w:hint="eastAsia" w:ascii="Times New Roman" w:hAnsi="Times New Roman" w:cs="Times New Roman"/>
                <w:color w:val="auto"/>
                <w:highlight w:val="none"/>
                <w:lang w:val="en-US" w:eastAsia="zh-CN"/>
              </w:rPr>
              <w:t>330</w:t>
            </w:r>
            <w:r>
              <w:rPr>
                <w:rFonts w:hint="default" w:ascii="Times New Roman" w:hAnsi="Times New Roman" w:cs="Times New Roman"/>
                <w:color w:val="auto"/>
                <w:highlight w:val="none"/>
              </w:rPr>
              <w:t>天</w:t>
            </w:r>
            <w:r>
              <w:rPr>
                <w:rFonts w:hint="default" w:ascii="Times New Roman" w:hAnsi="Times New Roman" w:cs="Times New Roman"/>
                <w:color w:val="auto"/>
                <w:highlight w:val="none"/>
                <w:lang w:eastAsia="zh-CN"/>
              </w:rPr>
              <w:t>，</w:t>
            </w:r>
            <w:r>
              <w:rPr>
                <w:rFonts w:hint="default" w:ascii="Times New Roman" w:hAnsi="Times New Roman" w:cs="Times New Roman"/>
                <w:color w:val="auto"/>
                <w:highlight w:val="none"/>
                <w:lang w:val="en-US" w:eastAsia="zh-CN"/>
              </w:rPr>
              <w:t>一班制，每班8小时。</w:t>
            </w:r>
          </w:p>
          <w:p>
            <w:pPr>
              <w:pStyle w:val="14"/>
              <w:bidi w:val="0"/>
              <w:rPr>
                <w:rFonts w:hint="default" w:cs="Times New Roman"/>
                <w:b/>
                <w:bCs/>
                <w:color w:val="auto"/>
                <w:kern w:val="2"/>
                <w:sz w:val="24"/>
                <w:szCs w:val="24"/>
                <w:highlight w:val="none"/>
                <w:lang w:val="en-US" w:eastAsia="zh-CN" w:bidi="ar-SA"/>
              </w:rPr>
            </w:pPr>
            <w:r>
              <w:rPr>
                <w:rFonts w:hint="eastAsia" w:cs="Times New Roman"/>
                <w:b/>
                <w:bCs/>
                <w:color w:val="auto"/>
                <w:kern w:val="2"/>
                <w:sz w:val="24"/>
                <w:szCs w:val="24"/>
                <w:highlight w:val="none"/>
                <w:lang w:val="en-US" w:eastAsia="zh-CN" w:bidi="ar-SA"/>
              </w:rPr>
              <w:t>2.2</w:t>
            </w:r>
            <w:r>
              <w:rPr>
                <w:rFonts w:hint="default" w:cs="Times New Roman"/>
                <w:b/>
                <w:bCs/>
                <w:color w:val="auto"/>
                <w:kern w:val="2"/>
                <w:sz w:val="24"/>
                <w:szCs w:val="24"/>
                <w:highlight w:val="none"/>
                <w:lang w:val="en-US" w:eastAsia="zh-CN" w:bidi="ar-SA"/>
              </w:rPr>
              <w:t>、</w:t>
            </w:r>
            <w:r>
              <w:rPr>
                <w:rFonts w:hint="eastAsia" w:cs="Times New Roman"/>
                <w:b/>
                <w:bCs/>
                <w:color w:val="auto"/>
                <w:kern w:val="2"/>
                <w:sz w:val="24"/>
                <w:szCs w:val="24"/>
                <w:highlight w:val="none"/>
                <w:lang w:val="en-US" w:eastAsia="zh-CN" w:bidi="ar-SA"/>
              </w:rPr>
              <w:t>现有</w:t>
            </w:r>
            <w:r>
              <w:rPr>
                <w:rFonts w:hint="default" w:cs="Times New Roman"/>
                <w:b/>
                <w:bCs/>
                <w:color w:val="auto"/>
                <w:kern w:val="2"/>
                <w:sz w:val="24"/>
                <w:szCs w:val="24"/>
                <w:highlight w:val="none"/>
                <w:lang w:val="en-US" w:eastAsia="zh-CN" w:bidi="ar-SA"/>
              </w:rPr>
              <w:t>工程规模及工程内容</w:t>
            </w:r>
          </w:p>
          <w:p>
            <w:pPr>
              <w:pStyle w:val="50"/>
              <w:bidi w:val="0"/>
              <w:rPr>
                <w:rFonts w:hint="default" w:ascii="Times New Roman" w:hAnsi="Times New Roman" w:cs="Times New Roman"/>
                <w:color w:val="auto"/>
                <w:highlight w:val="none"/>
                <w:lang w:val="en-US" w:eastAsia="zh-CN"/>
              </w:rPr>
            </w:pPr>
            <w:r>
              <w:rPr>
                <w:rFonts w:hint="default" w:ascii="Times New Roman" w:hAnsi="Times New Roman" w:cs="Times New Roman"/>
                <w:b w:val="0"/>
                <w:color w:val="auto"/>
                <w:kern w:val="2"/>
                <w:sz w:val="24"/>
                <w:szCs w:val="24"/>
                <w:highlight w:val="none"/>
                <w:lang w:val="en-US" w:eastAsia="zh-CN" w:bidi="ar-SA"/>
              </w:rPr>
              <w:t>秦皇岛联安机械科技有限公司</w:t>
            </w:r>
            <w:r>
              <w:rPr>
                <w:rFonts w:hint="eastAsia" w:ascii="Times New Roman" w:hAnsi="Times New Roman" w:cs="Times New Roman"/>
                <w:color w:val="auto"/>
                <w:highlight w:val="none"/>
                <w:lang w:val="en-US" w:eastAsia="zh-CN"/>
              </w:rPr>
              <w:t>现有工程</w:t>
            </w:r>
            <w:r>
              <w:rPr>
                <w:rFonts w:hint="default" w:ascii="Times New Roman" w:hAnsi="Times New Roman" w:cs="Times New Roman"/>
                <w:color w:val="auto"/>
                <w:highlight w:val="none"/>
                <w:lang w:val="en-US" w:eastAsia="zh-CN"/>
              </w:rPr>
              <w:t>情况如下：</w:t>
            </w:r>
          </w:p>
          <w:p>
            <w:pPr>
              <w:pStyle w:val="51"/>
              <w:pageBreakBefore w:val="0"/>
              <w:widowControl w:val="0"/>
              <w:kinsoku/>
              <w:wordWrap/>
              <w:topLinePunct w:val="0"/>
              <w:bidi w:val="0"/>
              <w:spacing w:line="240" w:lineRule="auto"/>
              <w:textAlignment w:val="auto"/>
              <w:rPr>
                <w:rFonts w:hint="default" w:ascii="Times New Roman" w:hAnsi="Times New Roman" w:eastAsia="宋体" w:cs="Times New Roman"/>
                <w:color w:val="auto"/>
                <w:sz w:val="21"/>
                <w:szCs w:val="16"/>
                <w:highlight w:val="none"/>
                <w:lang w:val="en-US" w:eastAsia="zh-CN"/>
              </w:rPr>
            </w:pPr>
            <w:r>
              <w:rPr>
                <w:rFonts w:hint="default" w:ascii="Times New Roman" w:hAnsi="Times New Roman" w:eastAsia="宋体" w:cs="Times New Roman"/>
                <w:color w:val="auto"/>
                <w:sz w:val="21"/>
                <w:szCs w:val="16"/>
                <w:highlight w:val="none"/>
                <w:lang w:val="en-US" w:eastAsia="zh-CN"/>
              </w:rPr>
              <w:t>表2</w:t>
            </w:r>
            <w:r>
              <w:rPr>
                <w:rFonts w:hint="eastAsia" w:ascii="Times New Roman" w:hAnsi="Times New Roman" w:eastAsia="宋体" w:cs="Times New Roman"/>
                <w:color w:val="auto"/>
                <w:sz w:val="21"/>
                <w:szCs w:val="16"/>
                <w:highlight w:val="none"/>
                <w:lang w:val="en-US" w:eastAsia="zh-CN"/>
              </w:rPr>
              <w:t>-</w:t>
            </w:r>
            <w:r>
              <w:rPr>
                <w:rFonts w:hint="eastAsia" w:cs="Times New Roman"/>
                <w:color w:val="auto"/>
                <w:sz w:val="21"/>
                <w:szCs w:val="16"/>
                <w:highlight w:val="none"/>
                <w:lang w:val="en-US" w:eastAsia="zh-CN"/>
              </w:rPr>
              <w:t>1</w:t>
            </w:r>
            <w:r>
              <w:rPr>
                <w:rFonts w:hint="default" w:ascii="Times New Roman" w:hAnsi="Times New Roman" w:eastAsia="宋体" w:cs="Times New Roman"/>
                <w:color w:val="auto"/>
                <w:sz w:val="21"/>
                <w:szCs w:val="16"/>
                <w:highlight w:val="none"/>
                <w:lang w:val="en-US" w:eastAsia="zh-CN"/>
              </w:rPr>
              <w:t xml:space="preserve">  </w:t>
            </w:r>
            <w:r>
              <w:rPr>
                <w:rFonts w:hint="eastAsia" w:cs="Times New Roman"/>
                <w:color w:val="auto"/>
                <w:sz w:val="21"/>
                <w:szCs w:val="16"/>
                <w:highlight w:val="none"/>
                <w:lang w:val="en-US" w:eastAsia="zh-CN"/>
              </w:rPr>
              <w:t>现有工程</w:t>
            </w:r>
            <w:r>
              <w:rPr>
                <w:rFonts w:hint="default" w:ascii="Times New Roman" w:hAnsi="Times New Roman" w:eastAsia="宋体" w:cs="Times New Roman"/>
                <w:color w:val="auto"/>
                <w:sz w:val="21"/>
                <w:szCs w:val="16"/>
                <w:highlight w:val="none"/>
                <w:lang w:val="en-US" w:eastAsia="zh-CN"/>
              </w:rPr>
              <w:t>项目组成一览表</w:t>
            </w:r>
          </w:p>
          <w:tbl>
            <w:tblPr>
              <w:tblStyle w:val="32"/>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95"/>
              <w:gridCol w:w="455"/>
              <w:gridCol w:w="1524"/>
              <w:gridCol w:w="5505"/>
              <w:gridCol w:w="7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88" w:type="pct"/>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工程分类</w:t>
                  </w:r>
                </w:p>
              </w:tc>
              <w:tc>
                <w:tcPr>
                  <w:tcW w:w="1104" w:type="pct"/>
                  <w:gridSpan w:val="2"/>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项目名称</w:t>
                  </w:r>
                </w:p>
              </w:tc>
              <w:tc>
                <w:tcPr>
                  <w:tcW w:w="3073" w:type="pct"/>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原有工程</w:t>
                  </w:r>
                </w:p>
              </w:tc>
              <w:tc>
                <w:tcPr>
                  <w:tcW w:w="433" w:type="pct"/>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2" w:hRule="atLeast"/>
                <w:jc w:val="center"/>
              </w:trPr>
              <w:tc>
                <w:tcPr>
                  <w:tcW w:w="388" w:type="pct"/>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主体工程</w:t>
                  </w:r>
                </w:p>
              </w:tc>
              <w:tc>
                <w:tcPr>
                  <w:tcW w:w="1104" w:type="pct"/>
                  <w:gridSpan w:val="2"/>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1#厂房</w:t>
                  </w:r>
                </w:p>
              </w:tc>
              <w:tc>
                <w:tcPr>
                  <w:tcW w:w="3073" w:type="pct"/>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vertAlign w:val="baseline"/>
                      <w:lang w:val="en-US" w:eastAsia="zh-CN"/>
                    </w:rPr>
                  </w:pPr>
                  <w:r>
                    <w:rPr>
                      <w:rFonts w:hint="eastAsia" w:ascii="Times New Roman" w:hAnsi="Times New Roman" w:cs="Times New Roman"/>
                      <w:color w:val="auto"/>
                      <w:highlight w:val="none"/>
                      <w:lang w:val="en-US" w:eastAsia="zh-CN"/>
                    </w:rPr>
                    <w:t>1层，占地面积3476m</w:t>
                  </w:r>
                  <w:r>
                    <w:rPr>
                      <w:rFonts w:hint="eastAsia" w:ascii="Times New Roman" w:hAnsi="Times New Roman" w:cs="Times New Roman"/>
                      <w:color w:val="auto"/>
                      <w:highlight w:val="none"/>
                      <w:vertAlign w:val="superscript"/>
                      <w:lang w:val="en-US" w:eastAsia="zh-CN"/>
                    </w:rPr>
                    <w:t>2</w:t>
                  </w:r>
                  <w:r>
                    <w:rPr>
                      <w:rFonts w:hint="eastAsia" w:ascii="Times New Roman" w:hAnsi="Times New Roman" w:cs="Times New Roman"/>
                      <w:color w:val="auto"/>
                      <w:highlight w:val="none"/>
                      <w:lang w:val="en-US" w:eastAsia="zh-CN"/>
                    </w:rPr>
                    <w:t>，建筑面积3476m</w:t>
                  </w:r>
                  <w:r>
                    <w:rPr>
                      <w:rFonts w:hint="eastAsia" w:ascii="Times New Roman" w:hAnsi="Times New Roman" w:cs="Times New Roman"/>
                      <w:color w:val="auto"/>
                      <w:highlight w:val="none"/>
                      <w:vertAlign w:val="superscript"/>
                      <w:lang w:val="en-US" w:eastAsia="zh-CN"/>
                    </w:rPr>
                    <w:t>2</w:t>
                  </w:r>
                </w:p>
              </w:tc>
              <w:tc>
                <w:tcPr>
                  <w:tcW w:w="433" w:type="pct"/>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已验收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3" w:hRule="atLeast"/>
                <w:jc w:val="center"/>
              </w:trPr>
              <w:tc>
                <w:tcPr>
                  <w:tcW w:w="388" w:type="pct"/>
                  <w:tcBorders>
                    <w:tl2br w:val="nil"/>
                    <w:tr2bl w:val="nil"/>
                  </w:tcBorders>
                  <w:noWrap w:val="0"/>
                  <w:vAlign w:val="center"/>
                </w:tcPr>
                <w:p>
                  <w:pPr>
                    <w:pStyle w:val="81"/>
                    <w:bidi w:val="0"/>
                    <w:spacing w:line="240" w:lineRule="auto"/>
                    <w:jc w:val="center"/>
                    <w:rPr>
                      <w:rFonts w:hint="default" w:ascii="Times New Roman" w:hAnsi="Times New Roman" w:eastAsia="宋体" w:cs="Times New Roman"/>
                      <w:color w:val="auto"/>
                      <w:highlight w:val="none"/>
                      <w:lang w:val="en-US" w:eastAsia="zh-CN"/>
                    </w:rPr>
                  </w:pPr>
                  <w:r>
                    <w:rPr>
                      <w:rFonts w:hint="eastAsia" w:ascii="Times New Roman" w:hAnsi="Times New Roman" w:cs="Times New Roman"/>
                      <w:color w:val="auto"/>
                      <w:highlight w:val="none"/>
                      <w:lang w:val="en-US" w:eastAsia="zh-CN"/>
                    </w:rPr>
                    <w:t>辅助工程</w:t>
                  </w:r>
                </w:p>
              </w:tc>
              <w:tc>
                <w:tcPr>
                  <w:tcW w:w="1104" w:type="pct"/>
                  <w:gridSpan w:val="2"/>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办公室</w:t>
                  </w:r>
                </w:p>
              </w:tc>
              <w:tc>
                <w:tcPr>
                  <w:tcW w:w="3073" w:type="pct"/>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建筑面积为50m</w:t>
                  </w:r>
                  <w:r>
                    <w:rPr>
                      <w:rFonts w:hint="eastAsia" w:ascii="Times New Roman" w:hAnsi="Times New Roman" w:cs="Times New Roman"/>
                      <w:color w:val="auto"/>
                      <w:highlight w:val="none"/>
                      <w:vertAlign w:val="superscript"/>
                      <w:lang w:val="en-US" w:eastAsia="zh-CN"/>
                    </w:rPr>
                    <w:t>2</w:t>
                  </w:r>
                  <w:r>
                    <w:rPr>
                      <w:rFonts w:hint="eastAsia" w:ascii="Times New Roman" w:hAnsi="Times New Roman" w:cs="Times New Roman"/>
                      <w:color w:val="auto"/>
                      <w:highlight w:val="none"/>
                      <w:lang w:val="en-US" w:eastAsia="zh-CN"/>
                    </w:rPr>
                    <w:t>，主要进行员工的办公，位于生产车间内</w:t>
                  </w:r>
                </w:p>
              </w:tc>
              <w:tc>
                <w:tcPr>
                  <w:tcW w:w="433" w:type="pct"/>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已验收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88" w:type="pct"/>
                  <w:vMerge w:val="restart"/>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公用工程</w:t>
                  </w:r>
                </w:p>
              </w:tc>
              <w:tc>
                <w:tcPr>
                  <w:tcW w:w="1104" w:type="pct"/>
                  <w:gridSpan w:val="2"/>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rPr>
                    <w:t>供水</w:t>
                  </w:r>
                </w:p>
              </w:tc>
              <w:tc>
                <w:tcPr>
                  <w:tcW w:w="3073" w:type="pct"/>
                  <w:tcBorders>
                    <w:tl2br w:val="nil"/>
                    <w:tr2bl w:val="nil"/>
                  </w:tcBorders>
                  <w:noWrap w:val="0"/>
                  <w:vAlign w:val="center"/>
                </w:tcPr>
                <w:p>
                  <w:pPr>
                    <w:pStyle w:val="81"/>
                    <w:bidi w:val="0"/>
                    <w:spacing w:line="240" w:lineRule="auto"/>
                    <w:jc w:val="center"/>
                    <w:rPr>
                      <w:rFonts w:hint="default" w:ascii="Times New Roman" w:hAnsi="Times New Roman" w:eastAsia="宋体" w:cs="Times New Roman"/>
                      <w:color w:val="auto"/>
                      <w:highlight w:val="none"/>
                      <w:lang w:val="en-US" w:eastAsia="zh-CN"/>
                    </w:rPr>
                  </w:pPr>
                  <w:r>
                    <w:rPr>
                      <w:rFonts w:hint="default" w:ascii="Times New Roman" w:hAnsi="Times New Roman" w:cs="Times New Roman"/>
                      <w:color w:val="auto"/>
                      <w:highlight w:val="none"/>
                      <w:lang w:val="en-US" w:eastAsia="zh-CN"/>
                    </w:rPr>
                    <w:t>项目用水由市政供水管网提供</w:t>
                  </w:r>
                </w:p>
              </w:tc>
              <w:tc>
                <w:tcPr>
                  <w:tcW w:w="433" w:type="pct"/>
                  <w:vMerge w:val="restart"/>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已验收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88" w:type="pct"/>
                  <w:vMerge w:val="continue"/>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rPr>
                  </w:pPr>
                </w:p>
              </w:tc>
              <w:tc>
                <w:tcPr>
                  <w:tcW w:w="1104" w:type="pct"/>
                  <w:gridSpan w:val="2"/>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rPr>
                    <w:t>供热</w:t>
                  </w:r>
                </w:p>
              </w:tc>
              <w:tc>
                <w:tcPr>
                  <w:tcW w:w="3073" w:type="pct"/>
                  <w:tcBorders>
                    <w:tl2br w:val="nil"/>
                    <w:tr2bl w:val="nil"/>
                  </w:tcBorders>
                  <w:noWrap w:val="0"/>
                  <w:vAlign w:val="center"/>
                </w:tcPr>
                <w:p>
                  <w:pPr>
                    <w:pStyle w:val="81"/>
                    <w:bidi w:val="0"/>
                    <w:spacing w:line="240" w:lineRule="auto"/>
                    <w:jc w:val="center"/>
                    <w:rPr>
                      <w:rFonts w:hint="default" w:ascii="Times New Roman" w:hAnsi="Times New Roman" w:eastAsia="宋体" w:cs="Times New Roman"/>
                      <w:color w:val="auto"/>
                      <w:highlight w:val="none"/>
                      <w:lang w:val="en-US" w:eastAsia="zh-CN"/>
                    </w:rPr>
                  </w:pPr>
                  <w:r>
                    <w:rPr>
                      <w:rFonts w:hint="eastAsia" w:ascii="Times New Roman" w:hAnsi="Times New Roman" w:cs="Times New Roman"/>
                      <w:color w:val="auto"/>
                      <w:highlight w:val="none"/>
                      <w:lang w:val="en-US" w:eastAsia="zh-CN"/>
                    </w:rPr>
                    <w:t>项目生产不设取暖，办公室供暖由单体空调</w:t>
                  </w:r>
                </w:p>
              </w:tc>
              <w:tc>
                <w:tcPr>
                  <w:tcW w:w="433" w:type="pct"/>
                  <w:vMerge w:val="continue"/>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88" w:type="pct"/>
                  <w:vMerge w:val="continue"/>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rPr>
                  </w:pPr>
                </w:p>
              </w:tc>
              <w:tc>
                <w:tcPr>
                  <w:tcW w:w="1104" w:type="pct"/>
                  <w:gridSpan w:val="2"/>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rPr>
                    <w:t>供电</w:t>
                  </w:r>
                </w:p>
              </w:tc>
              <w:tc>
                <w:tcPr>
                  <w:tcW w:w="3073" w:type="pct"/>
                  <w:tcBorders>
                    <w:tl2br w:val="nil"/>
                    <w:tr2bl w:val="nil"/>
                  </w:tcBorders>
                  <w:noWrap w:val="0"/>
                  <w:vAlign w:val="center"/>
                </w:tcPr>
                <w:p>
                  <w:pPr>
                    <w:pStyle w:val="81"/>
                    <w:bidi w:val="0"/>
                    <w:spacing w:line="240" w:lineRule="auto"/>
                    <w:jc w:val="center"/>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项目用电由秦皇岛市抚宁区电网提供</w:t>
                  </w:r>
                </w:p>
              </w:tc>
              <w:tc>
                <w:tcPr>
                  <w:tcW w:w="433" w:type="pct"/>
                  <w:vMerge w:val="continue"/>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9" w:hRule="atLeast"/>
                <w:jc w:val="center"/>
              </w:trPr>
              <w:tc>
                <w:tcPr>
                  <w:tcW w:w="388" w:type="pct"/>
                  <w:vMerge w:val="restart"/>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lang w:val="en-US" w:eastAsia="zh-CN"/>
                    </w:rPr>
                    <w:t>环保</w:t>
                  </w:r>
                  <w:r>
                    <w:rPr>
                      <w:rFonts w:hint="default" w:ascii="Times New Roman" w:hAnsi="Times New Roman" w:cs="Times New Roman"/>
                      <w:color w:val="auto"/>
                      <w:highlight w:val="none"/>
                    </w:rPr>
                    <w:t>工程</w:t>
                  </w:r>
                </w:p>
              </w:tc>
              <w:tc>
                <w:tcPr>
                  <w:tcW w:w="254" w:type="pct"/>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废气</w:t>
                  </w:r>
                </w:p>
              </w:tc>
              <w:tc>
                <w:tcPr>
                  <w:tcW w:w="850" w:type="pct"/>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焊接废气</w:t>
                  </w:r>
                </w:p>
              </w:tc>
              <w:tc>
                <w:tcPr>
                  <w:tcW w:w="3073" w:type="pct"/>
                  <w:tcBorders>
                    <w:tl2br w:val="nil"/>
                    <w:tr2bl w:val="nil"/>
                  </w:tcBorders>
                  <w:noWrap w:val="0"/>
                  <w:vAlign w:val="center"/>
                </w:tcPr>
                <w:p>
                  <w:pPr>
                    <w:pStyle w:val="81"/>
                    <w:bidi w:val="0"/>
                    <w:spacing w:line="240" w:lineRule="auto"/>
                    <w:jc w:val="center"/>
                    <w:rPr>
                      <w:rFonts w:hint="default" w:ascii="Times New Roman" w:hAnsi="Times New Roman" w:eastAsia="宋体" w:cs="Times New Roman"/>
                      <w:color w:val="auto"/>
                      <w:highlight w:val="none"/>
                      <w:lang w:val="en-US" w:eastAsia="zh-CN"/>
                    </w:rPr>
                  </w:pPr>
                  <w:r>
                    <w:rPr>
                      <w:rFonts w:hint="eastAsia"/>
                      <w:color w:val="auto"/>
                      <w:highlight w:val="none"/>
                    </w:rPr>
                    <w:t>本项目废气为焊接产生的焊烟，</w:t>
                  </w:r>
                  <w:r>
                    <w:rPr>
                      <w:rFonts w:hint="eastAsia"/>
                      <w:color w:val="auto"/>
                      <w:highlight w:val="none"/>
                      <w:lang w:val="en-US" w:eastAsia="zh-CN"/>
                    </w:rPr>
                    <w:t>2台</w:t>
                  </w:r>
                  <w:r>
                    <w:rPr>
                      <w:rFonts w:hint="eastAsia"/>
                      <w:color w:val="auto"/>
                      <w:highlight w:val="none"/>
                    </w:rPr>
                    <w:t>焊烟经过移动式焊烟净化器处理后无组织排放。</w:t>
                  </w:r>
                </w:p>
              </w:tc>
              <w:tc>
                <w:tcPr>
                  <w:tcW w:w="433" w:type="pct"/>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已验收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88" w:type="pct"/>
                  <w:vMerge w:val="continue"/>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rPr>
                  </w:pPr>
                </w:p>
              </w:tc>
              <w:tc>
                <w:tcPr>
                  <w:tcW w:w="254" w:type="pct"/>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rPr>
                    <w:t>废水</w:t>
                  </w:r>
                </w:p>
              </w:tc>
              <w:tc>
                <w:tcPr>
                  <w:tcW w:w="850" w:type="pct"/>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rPr>
                    <w:t>生活污水</w:t>
                  </w:r>
                </w:p>
              </w:tc>
              <w:tc>
                <w:tcPr>
                  <w:tcW w:w="3073" w:type="pct"/>
                  <w:tcBorders>
                    <w:tl2br w:val="nil"/>
                    <w:tr2bl w:val="nil"/>
                  </w:tcBorders>
                  <w:noWrap w:val="0"/>
                  <w:vAlign w:val="center"/>
                </w:tcPr>
                <w:p>
                  <w:pPr>
                    <w:pStyle w:val="81"/>
                    <w:bidi w:val="0"/>
                    <w:spacing w:line="240" w:lineRule="auto"/>
                    <w:jc w:val="center"/>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厂区设</w:t>
                  </w:r>
                  <w:r>
                    <w:rPr>
                      <w:rFonts w:hint="eastAsia" w:ascii="Times New Roman" w:hAnsi="Times New Roman" w:cs="Times New Roman"/>
                      <w:color w:val="auto"/>
                      <w:highlight w:val="none"/>
                      <w:lang w:val="en-US" w:eastAsia="zh-CN"/>
                    </w:rPr>
                    <w:t>化粪池</w:t>
                  </w:r>
                  <w:r>
                    <w:rPr>
                      <w:rFonts w:hint="default" w:ascii="Times New Roman" w:hAnsi="Times New Roman" w:eastAsia="宋体" w:cs="Times New Roman"/>
                      <w:color w:val="auto"/>
                      <w:highlight w:val="none"/>
                      <w:lang w:val="en-US" w:eastAsia="zh-CN"/>
                    </w:rPr>
                    <w:t>，定期清掏</w:t>
                  </w:r>
                </w:p>
              </w:tc>
              <w:tc>
                <w:tcPr>
                  <w:tcW w:w="433" w:type="pct"/>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已验收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88" w:type="pct"/>
                  <w:vMerge w:val="continue"/>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rPr>
                  </w:pPr>
                </w:p>
              </w:tc>
              <w:tc>
                <w:tcPr>
                  <w:tcW w:w="254" w:type="pct"/>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rPr>
                    <w:t>噪声</w:t>
                  </w:r>
                </w:p>
              </w:tc>
              <w:tc>
                <w:tcPr>
                  <w:tcW w:w="850" w:type="pct"/>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rPr>
                    <w:t>设备噪声</w:t>
                  </w:r>
                </w:p>
              </w:tc>
              <w:tc>
                <w:tcPr>
                  <w:tcW w:w="3073" w:type="pct"/>
                  <w:tcBorders>
                    <w:tl2br w:val="nil"/>
                    <w:tr2bl w:val="nil"/>
                  </w:tcBorders>
                  <w:noWrap w:val="0"/>
                  <w:vAlign w:val="center"/>
                </w:tcPr>
                <w:p>
                  <w:pPr>
                    <w:pStyle w:val="81"/>
                    <w:bidi w:val="0"/>
                    <w:spacing w:line="240" w:lineRule="auto"/>
                    <w:jc w:val="center"/>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选用低噪声设备，建筑隔声，距离衰减</w:t>
                  </w:r>
                </w:p>
              </w:tc>
              <w:tc>
                <w:tcPr>
                  <w:tcW w:w="433" w:type="pct"/>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已验收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88" w:type="pct"/>
                  <w:vMerge w:val="continue"/>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rPr>
                  </w:pPr>
                </w:p>
              </w:tc>
              <w:tc>
                <w:tcPr>
                  <w:tcW w:w="254" w:type="pct"/>
                  <w:vMerge w:val="restart"/>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rPr>
                    <w:t>固废</w:t>
                  </w:r>
                </w:p>
              </w:tc>
              <w:tc>
                <w:tcPr>
                  <w:tcW w:w="850" w:type="pct"/>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生活垃圾</w:t>
                  </w:r>
                </w:p>
              </w:tc>
              <w:tc>
                <w:tcPr>
                  <w:tcW w:w="3073" w:type="pct"/>
                  <w:tcBorders>
                    <w:tl2br w:val="nil"/>
                    <w:tr2bl w:val="nil"/>
                  </w:tcBorders>
                  <w:noWrap w:val="0"/>
                  <w:vAlign w:val="center"/>
                </w:tcPr>
                <w:p>
                  <w:pPr>
                    <w:pStyle w:val="81"/>
                    <w:bidi w:val="0"/>
                    <w:spacing w:line="240" w:lineRule="auto"/>
                    <w:jc w:val="center"/>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定点收集后委托</w:t>
                  </w:r>
                  <w:r>
                    <w:rPr>
                      <w:rFonts w:hint="default" w:ascii="Times New Roman" w:hAnsi="Times New Roman" w:eastAsia="宋体" w:cs="Times New Roman"/>
                      <w:b w:val="0"/>
                      <w:bCs w:val="0"/>
                      <w:color w:val="auto"/>
                      <w:highlight w:val="none"/>
                      <w:lang w:val="en-US" w:eastAsia="zh-CN"/>
                    </w:rPr>
                    <w:t>环卫</w:t>
                  </w:r>
                  <w:r>
                    <w:rPr>
                      <w:rFonts w:hint="default" w:ascii="Times New Roman" w:hAnsi="Times New Roman" w:eastAsia="宋体" w:cs="Times New Roman"/>
                      <w:color w:val="auto"/>
                      <w:highlight w:val="none"/>
                      <w:lang w:val="en-US" w:eastAsia="zh-CN"/>
                    </w:rPr>
                    <w:t>部门清运</w:t>
                  </w:r>
                </w:p>
              </w:tc>
              <w:tc>
                <w:tcPr>
                  <w:tcW w:w="433" w:type="pct"/>
                  <w:vMerge w:val="restart"/>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已验收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88" w:type="pct"/>
                  <w:vMerge w:val="continue"/>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rPr>
                  </w:pPr>
                </w:p>
              </w:tc>
              <w:tc>
                <w:tcPr>
                  <w:tcW w:w="254" w:type="pct"/>
                  <w:vMerge w:val="continue"/>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rPr>
                  </w:pPr>
                </w:p>
              </w:tc>
              <w:tc>
                <w:tcPr>
                  <w:tcW w:w="850" w:type="pct"/>
                  <w:tcBorders>
                    <w:tl2br w:val="nil"/>
                    <w:tr2bl w:val="nil"/>
                  </w:tcBorders>
                  <w:noWrap w:val="0"/>
                  <w:vAlign w:val="center"/>
                </w:tcPr>
                <w:p>
                  <w:pPr>
                    <w:pStyle w:val="58"/>
                    <w:bidi w:val="0"/>
                    <w:spacing w:line="240" w:lineRule="auto"/>
                    <w:jc w:val="center"/>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边角料</w:t>
                  </w:r>
                  <w:r>
                    <w:rPr>
                      <w:rFonts w:hint="eastAsia" w:ascii="Times New Roman" w:hAnsi="Times New Roman" w:cs="Times New Roman"/>
                      <w:color w:val="auto"/>
                      <w:highlight w:val="none"/>
                      <w:lang w:val="en-US" w:eastAsia="zh-CN"/>
                    </w:rPr>
                    <w:t>、金属屑、废焊头</w:t>
                  </w:r>
                </w:p>
              </w:tc>
              <w:tc>
                <w:tcPr>
                  <w:tcW w:w="3073" w:type="pct"/>
                  <w:tcBorders>
                    <w:tl2br w:val="nil"/>
                    <w:tr2bl w:val="nil"/>
                  </w:tcBorders>
                  <w:noWrap w:val="0"/>
                  <w:vAlign w:val="center"/>
                </w:tcPr>
                <w:p>
                  <w:pPr>
                    <w:pStyle w:val="81"/>
                    <w:bidi w:val="0"/>
                    <w:spacing w:line="240" w:lineRule="auto"/>
                    <w:jc w:val="center"/>
                    <w:rPr>
                      <w:rFonts w:hint="default" w:ascii="Times New Roman" w:hAnsi="Times New Roman" w:eastAsia="宋体" w:cs="Times New Roman"/>
                      <w:color w:val="auto"/>
                      <w:highlight w:val="none"/>
                      <w:lang w:val="en-US" w:eastAsia="zh-CN"/>
                    </w:rPr>
                  </w:pPr>
                  <w:r>
                    <w:rPr>
                      <w:rFonts w:hint="eastAsia" w:ascii="Times New Roman" w:hAnsi="Times New Roman" w:cs="Times New Roman"/>
                      <w:color w:val="auto"/>
                      <w:highlight w:val="none"/>
                      <w:lang w:val="en-US" w:eastAsia="zh-CN"/>
                    </w:rPr>
                    <w:t>除尘灰、</w:t>
                  </w:r>
                  <w:r>
                    <w:rPr>
                      <w:rFonts w:hint="default" w:ascii="Times New Roman" w:hAnsi="Times New Roman" w:eastAsia="宋体" w:cs="Times New Roman"/>
                      <w:color w:val="auto"/>
                      <w:highlight w:val="none"/>
                      <w:lang w:val="en-US" w:eastAsia="zh-CN"/>
                    </w:rPr>
                    <w:t>暂存固废暂存区，集中收集，统一外售</w:t>
                  </w:r>
                </w:p>
              </w:tc>
              <w:tc>
                <w:tcPr>
                  <w:tcW w:w="433" w:type="pct"/>
                  <w:vMerge w:val="continue"/>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jc w:val="center"/>
              </w:trPr>
              <w:tc>
                <w:tcPr>
                  <w:tcW w:w="388" w:type="pct"/>
                  <w:vMerge w:val="continue"/>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p>
              </w:tc>
              <w:tc>
                <w:tcPr>
                  <w:tcW w:w="254" w:type="pct"/>
                  <w:vMerge w:val="continue"/>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p>
              </w:tc>
              <w:tc>
                <w:tcPr>
                  <w:tcW w:w="850" w:type="pct"/>
                  <w:tcBorders>
                    <w:tl2br w:val="nil"/>
                    <w:tr2bl w:val="nil"/>
                  </w:tcBorders>
                  <w:noWrap w:val="0"/>
                  <w:vAlign w:val="center"/>
                </w:tcPr>
                <w:p>
                  <w:pPr>
                    <w:pStyle w:val="58"/>
                    <w:bidi w:val="0"/>
                    <w:spacing w:line="240" w:lineRule="auto"/>
                    <w:jc w:val="center"/>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废润滑油、废机油、废液压油及其包装物</w:t>
                  </w:r>
                </w:p>
              </w:tc>
              <w:tc>
                <w:tcPr>
                  <w:tcW w:w="3073" w:type="pct"/>
                  <w:tcBorders>
                    <w:tl2br w:val="nil"/>
                    <w:tr2bl w:val="nil"/>
                  </w:tcBorders>
                  <w:noWrap w:val="0"/>
                  <w:vAlign w:val="center"/>
                </w:tcPr>
                <w:p>
                  <w:pPr>
                    <w:pStyle w:val="81"/>
                    <w:bidi w:val="0"/>
                    <w:spacing w:line="240" w:lineRule="auto"/>
                    <w:jc w:val="center"/>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暂存于危废暂存间内，定期由有资质单位运输处理</w:t>
                  </w:r>
                </w:p>
              </w:tc>
              <w:tc>
                <w:tcPr>
                  <w:tcW w:w="433" w:type="pct"/>
                  <w:vMerge w:val="continue"/>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493" w:type="pct"/>
                  <w:gridSpan w:val="3"/>
                  <w:tcBorders>
                    <w:tl2br w:val="nil"/>
                    <w:tr2bl w:val="nil"/>
                  </w:tcBorders>
                  <w:noWrap w:val="0"/>
                  <w:vAlign w:val="center"/>
                </w:tcPr>
                <w:p>
                  <w:pPr>
                    <w:pStyle w:val="58"/>
                    <w:bidi w:val="0"/>
                    <w:spacing w:line="240" w:lineRule="auto"/>
                    <w:jc w:val="center"/>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危废间</w:t>
                  </w:r>
                </w:p>
              </w:tc>
              <w:tc>
                <w:tcPr>
                  <w:tcW w:w="3073" w:type="pct"/>
                  <w:tcBorders>
                    <w:tl2br w:val="nil"/>
                    <w:tr2bl w:val="nil"/>
                  </w:tcBorders>
                  <w:noWrap w:val="0"/>
                  <w:vAlign w:val="center"/>
                </w:tcPr>
                <w:p>
                  <w:pPr>
                    <w:pStyle w:val="81"/>
                    <w:bidi w:val="0"/>
                    <w:spacing w:line="240" w:lineRule="auto"/>
                    <w:jc w:val="both"/>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面积10m</w:t>
                  </w:r>
                  <w:r>
                    <w:rPr>
                      <w:rFonts w:hint="default" w:ascii="Times New Roman" w:hAnsi="Times New Roman" w:eastAsia="宋体" w:cs="Times New Roman"/>
                      <w:color w:val="auto"/>
                      <w:highlight w:val="none"/>
                      <w:vertAlign w:val="superscript"/>
                      <w:lang w:val="en-US" w:eastAsia="zh-CN"/>
                    </w:rPr>
                    <w:t>2</w:t>
                  </w:r>
                  <w:r>
                    <w:rPr>
                      <w:rFonts w:hint="default" w:ascii="Times New Roman" w:hAnsi="Times New Roman" w:eastAsia="宋体" w:cs="Times New Roman"/>
                      <w:color w:val="auto"/>
                      <w:highlight w:val="none"/>
                      <w:lang w:val="en-US" w:eastAsia="zh-CN"/>
                    </w:rPr>
                    <w:t>，</w:t>
                  </w:r>
                  <w:r>
                    <w:rPr>
                      <w:rFonts w:hint="eastAsia" w:ascii="Times New Roman" w:hAnsi="Times New Roman" w:cs="Times New Roman"/>
                      <w:color w:val="auto"/>
                      <w:highlight w:val="none"/>
                      <w:lang w:val="en-US" w:eastAsia="zh-CN"/>
                    </w:rPr>
                    <w:t>危险废物分类暂存，并配有防溢托盘，标识及管理制度张贴规范，已通过环保验收，满足相关防腐防渗要求。</w:t>
                  </w:r>
                </w:p>
              </w:tc>
              <w:tc>
                <w:tcPr>
                  <w:tcW w:w="433" w:type="pct"/>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已验收</w:t>
                  </w:r>
                </w:p>
              </w:tc>
            </w:tr>
          </w:tbl>
          <w:p>
            <w:pPr>
              <w:pStyle w:val="50"/>
              <w:numPr>
                <w:ilvl w:val="0"/>
                <w:numId w:val="0"/>
              </w:numPr>
              <w:bidi w:val="0"/>
              <w:ind w:leftChars="0"/>
              <w:rPr>
                <w:rFonts w:hint="eastAsia" w:ascii="Times New Roman" w:hAnsi="Times New Roman" w:eastAsia="宋体" w:cs="Times New Roman"/>
                <w:b/>
                <w:bCs/>
                <w:color w:val="auto"/>
                <w:kern w:val="2"/>
                <w:sz w:val="24"/>
                <w:szCs w:val="24"/>
                <w:highlight w:val="none"/>
                <w:lang w:val="en-US" w:eastAsia="zh-CN" w:bidi="ar-SA"/>
              </w:rPr>
            </w:pPr>
            <w:r>
              <w:rPr>
                <w:rFonts w:hint="eastAsia" w:ascii="Times New Roman" w:hAnsi="Times New Roman" w:cs="Times New Roman"/>
                <w:b/>
                <w:bCs/>
                <w:color w:val="auto"/>
                <w:kern w:val="2"/>
                <w:sz w:val="24"/>
                <w:szCs w:val="24"/>
                <w:highlight w:val="none"/>
                <w:lang w:val="en-US" w:eastAsia="zh-CN" w:bidi="ar-SA"/>
              </w:rPr>
              <w:t>2.3</w:t>
            </w:r>
            <w:r>
              <w:rPr>
                <w:rFonts w:hint="eastAsia" w:ascii="Times New Roman" w:hAnsi="Times New Roman" w:eastAsia="宋体" w:cs="Times New Roman"/>
                <w:b/>
                <w:bCs/>
                <w:color w:val="auto"/>
                <w:kern w:val="2"/>
                <w:sz w:val="24"/>
                <w:szCs w:val="24"/>
                <w:highlight w:val="none"/>
                <w:lang w:val="en-US" w:eastAsia="zh-CN" w:bidi="ar-SA"/>
              </w:rPr>
              <w:t>、现有工程主要生产设备</w:t>
            </w:r>
          </w:p>
          <w:p>
            <w:pPr>
              <w:pStyle w:val="50"/>
              <w:bidi w:val="0"/>
              <w:rPr>
                <w:rFonts w:hint="default" w:ascii="Times New Roman" w:hAnsi="Times New Roman" w:cs="Times New Roman"/>
                <w:color w:val="auto"/>
                <w:highlight w:val="none"/>
              </w:rPr>
            </w:pPr>
            <w:r>
              <w:rPr>
                <w:rFonts w:hint="eastAsia" w:ascii="Times New Roman" w:hAnsi="Times New Roman" w:cs="Times New Roman"/>
                <w:color w:val="auto"/>
                <w:highlight w:val="none"/>
                <w:lang w:val="en-US" w:eastAsia="zh-CN"/>
              </w:rPr>
              <w:t>现有项目不涉及落后、淘汰</w:t>
            </w:r>
            <w:r>
              <w:rPr>
                <w:rFonts w:hint="default" w:ascii="Times New Roman" w:hAnsi="Times New Roman" w:cs="Times New Roman"/>
                <w:color w:val="auto"/>
                <w:highlight w:val="none"/>
                <w:lang w:val="en-US" w:eastAsia="zh-CN"/>
              </w:rPr>
              <w:t>生产设备</w:t>
            </w:r>
            <w:r>
              <w:rPr>
                <w:rFonts w:hint="eastAsia" w:ascii="Times New Roman" w:hAnsi="Times New Roman" w:cs="Times New Roman"/>
                <w:color w:val="auto"/>
                <w:highlight w:val="none"/>
                <w:lang w:val="en-US" w:eastAsia="zh-CN"/>
              </w:rPr>
              <w:t>，具体详见</w:t>
            </w:r>
            <w:r>
              <w:rPr>
                <w:rFonts w:hint="default" w:ascii="Times New Roman" w:hAnsi="Times New Roman" w:cs="Times New Roman"/>
                <w:color w:val="auto"/>
                <w:highlight w:val="none"/>
                <w:lang w:val="en-US" w:eastAsia="zh-CN"/>
              </w:rPr>
              <w:t>下表：</w:t>
            </w:r>
          </w:p>
          <w:p>
            <w:pPr>
              <w:pStyle w:val="51"/>
              <w:pageBreakBefore w:val="0"/>
              <w:widowControl w:val="0"/>
              <w:kinsoku/>
              <w:wordWrap/>
              <w:topLinePunct w:val="0"/>
              <w:bidi w:val="0"/>
              <w:spacing w:line="240" w:lineRule="auto"/>
              <w:textAlignment w:val="auto"/>
              <w:rPr>
                <w:rFonts w:hint="default" w:ascii="Times New Roman" w:hAnsi="Times New Roman" w:eastAsia="宋体" w:cs="Times New Roman"/>
                <w:color w:val="auto"/>
                <w:sz w:val="21"/>
                <w:szCs w:val="16"/>
                <w:highlight w:val="none"/>
                <w:lang w:val="en-US" w:eastAsia="zh-CN"/>
              </w:rPr>
            </w:pPr>
          </w:p>
          <w:p>
            <w:pPr>
              <w:rPr>
                <w:rFonts w:hint="default"/>
                <w:color w:val="auto"/>
                <w:highlight w:val="none"/>
                <w:lang w:val="en-US" w:eastAsia="zh-CN"/>
              </w:rPr>
            </w:pPr>
          </w:p>
          <w:p>
            <w:pPr>
              <w:pStyle w:val="51"/>
              <w:pageBreakBefore w:val="0"/>
              <w:widowControl w:val="0"/>
              <w:kinsoku/>
              <w:wordWrap/>
              <w:topLinePunct w:val="0"/>
              <w:bidi w:val="0"/>
              <w:spacing w:line="240" w:lineRule="auto"/>
              <w:textAlignment w:val="auto"/>
              <w:rPr>
                <w:rFonts w:hint="default" w:ascii="Times New Roman" w:hAnsi="Times New Roman" w:eastAsia="宋体" w:cs="Times New Roman"/>
                <w:color w:val="auto"/>
                <w:sz w:val="21"/>
                <w:szCs w:val="16"/>
                <w:highlight w:val="none"/>
                <w:lang w:val="en-US" w:eastAsia="zh-CN"/>
              </w:rPr>
            </w:pPr>
            <w:r>
              <w:rPr>
                <w:rFonts w:hint="default" w:ascii="Times New Roman" w:hAnsi="Times New Roman" w:eastAsia="宋体" w:cs="Times New Roman"/>
                <w:color w:val="auto"/>
                <w:sz w:val="21"/>
                <w:szCs w:val="16"/>
                <w:highlight w:val="none"/>
                <w:lang w:val="en-US" w:eastAsia="zh-CN"/>
              </w:rPr>
              <w:t>表</w:t>
            </w:r>
            <w:r>
              <w:rPr>
                <w:rFonts w:hint="eastAsia" w:ascii="Times New Roman" w:hAnsi="Times New Roman" w:eastAsia="宋体" w:cs="Times New Roman"/>
                <w:color w:val="auto"/>
                <w:sz w:val="21"/>
                <w:szCs w:val="16"/>
                <w:highlight w:val="none"/>
                <w:lang w:val="en-US" w:eastAsia="zh-CN"/>
              </w:rPr>
              <w:t>2-</w:t>
            </w:r>
            <w:r>
              <w:rPr>
                <w:rFonts w:hint="eastAsia" w:cs="Times New Roman"/>
                <w:color w:val="auto"/>
                <w:sz w:val="21"/>
                <w:szCs w:val="16"/>
                <w:highlight w:val="none"/>
                <w:lang w:val="en-US" w:eastAsia="zh-CN"/>
              </w:rPr>
              <w:t>2</w:t>
            </w:r>
            <w:r>
              <w:rPr>
                <w:rFonts w:hint="eastAsia" w:ascii="Times New Roman" w:hAnsi="Times New Roman" w:eastAsia="宋体" w:cs="Times New Roman"/>
                <w:color w:val="auto"/>
                <w:sz w:val="21"/>
                <w:szCs w:val="16"/>
                <w:highlight w:val="none"/>
                <w:lang w:val="en-US" w:eastAsia="zh-CN"/>
              </w:rPr>
              <w:t xml:space="preserve"> </w:t>
            </w:r>
            <w:r>
              <w:rPr>
                <w:rFonts w:hint="default" w:ascii="Times New Roman" w:hAnsi="Times New Roman" w:eastAsia="宋体" w:cs="Times New Roman"/>
                <w:color w:val="auto"/>
                <w:sz w:val="21"/>
                <w:szCs w:val="16"/>
                <w:highlight w:val="none"/>
                <w:lang w:val="en-US" w:eastAsia="zh-CN"/>
              </w:rPr>
              <w:t xml:space="preserve"> </w:t>
            </w:r>
            <w:r>
              <w:rPr>
                <w:rFonts w:hint="eastAsia" w:cs="Times New Roman"/>
                <w:color w:val="auto"/>
                <w:sz w:val="21"/>
                <w:szCs w:val="16"/>
                <w:highlight w:val="none"/>
                <w:lang w:val="en-US" w:eastAsia="zh-CN"/>
              </w:rPr>
              <w:t>现有工程</w:t>
            </w:r>
            <w:r>
              <w:rPr>
                <w:rFonts w:hint="default" w:ascii="Times New Roman" w:hAnsi="Times New Roman" w:eastAsia="宋体" w:cs="Times New Roman"/>
                <w:color w:val="auto"/>
                <w:sz w:val="21"/>
                <w:szCs w:val="16"/>
                <w:highlight w:val="none"/>
                <w:lang w:val="en-US" w:eastAsia="zh-CN"/>
              </w:rPr>
              <w:t>生产设备一览表</w:t>
            </w:r>
          </w:p>
          <w:tbl>
            <w:tblPr>
              <w:tblStyle w:val="32"/>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86"/>
              <w:gridCol w:w="3953"/>
              <w:gridCol w:w="2659"/>
              <w:gridCol w:w="145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7" w:hRule="atLeast"/>
                <w:tblHeader/>
                <w:jc w:val="center"/>
              </w:trPr>
              <w:tc>
                <w:tcPr>
                  <w:tcW w:w="495" w:type="pct"/>
                  <w:tcBorders>
                    <w:tl2br w:val="nil"/>
                    <w:tr2bl w:val="nil"/>
                  </w:tcBorders>
                  <w:noWrap w:val="0"/>
                  <w:vAlign w:val="center"/>
                </w:tcPr>
                <w:p>
                  <w:pPr>
                    <w:pStyle w:val="58"/>
                    <w:bidi w:val="0"/>
                    <w:spacing w:line="240" w:lineRule="auto"/>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序号</w:t>
                  </w:r>
                </w:p>
              </w:tc>
              <w:tc>
                <w:tcPr>
                  <w:tcW w:w="2206" w:type="pct"/>
                  <w:tcBorders>
                    <w:tl2br w:val="nil"/>
                    <w:tr2bl w:val="nil"/>
                  </w:tcBorders>
                  <w:noWrap w:val="0"/>
                  <w:vAlign w:val="center"/>
                </w:tcPr>
                <w:p>
                  <w:pPr>
                    <w:pStyle w:val="58"/>
                    <w:bidi w:val="0"/>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设备名称</w:t>
                  </w:r>
                </w:p>
              </w:tc>
              <w:tc>
                <w:tcPr>
                  <w:tcW w:w="1484" w:type="pct"/>
                  <w:tcBorders>
                    <w:tl2br w:val="nil"/>
                    <w:tr2bl w:val="nil"/>
                  </w:tcBorders>
                  <w:noWrap w:val="0"/>
                  <w:vAlign w:val="center"/>
                </w:tcPr>
                <w:p>
                  <w:pPr>
                    <w:pStyle w:val="58"/>
                    <w:bidi w:val="0"/>
                    <w:spacing w:line="240" w:lineRule="auto"/>
                    <w:rPr>
                      <w:rFonts w:hint="default" w:ascii="Times New Roman" w:hAnsi="Times New Roman" w:cs="Times New Roman"/>
                      <w:color w:val="auto"/>
                      <w:highlight w:val="none"/>
                      <w:lang w:eastAsia="zh-CN"/>
                    </w:rPr>
                  </w:pPr>
                  <w:r>
                    <w:rPr>
                      <w:rFonts w:hint="default" w:ascii="Times New Roman" w:hAnsi="Times New Roman" w:cs="Times New Roman"/>
                      <w:color w:val="auto"/>
                      <w:highlight w:val="none"/>
                      <w:lang w:eastAsia="zh-CN"/>
                    </w:rPr>
                    <w:t>型号</w:t>
                  </w:r>
                </w:p>
              </w:tc>
              <w:tc>
                <w:tcPr>
                  <w:tcW w:w="813" w:type="pct"/>
                  <w:tcBorders>
                    <w:tl2br w:val="nil"/>
                    <w:tr2bl w:val="nil"/>
                  </w:tcBorders>
                  <w:noWrap w:val="0"/>
                  <w:vAlign w:val="center"/>
                </w:tcPr>
                <w:p>
                  <w:pPr>
                    <w:pStyle w:val="58"/>
                    <w:bidi w:val="0"/>
                    <w:spacing w:line="240" w:lineRule="auto"/>
                    <w:rPr>
                      <w:rFonts w:hint="default" w:ascii="Times New Roman" w:hAnsi="Times New Roman" w:eastAsia="宋体" w:cs="Times New Roman"/>
                      <w:color w:val="auto"/>
                      <w:highlight w:val="none"/>
                      <w:lang w:val="en-US" w:eastAsia="zh-CN"/>
                    </w:rPr>
                  </w:pPr>
                  <w:r>
                    <w:rPr>
                      <w:rFonts w:hint="default" w:ascii="Times New Roman" w:hAnsi="Times New Roman" w:cs="Times New Roman"/>
                      <w:color w:val="auto"/>
                      <w:highlight w:val="none"/>
                    </w:rPr>
                    <w:t>数量</w:t>
                  </w:r>
                  <w:r>
                    <w:rPr>
                      <w:rFonts w:hint="eastAsia" w:ascii="Times New Roman" w:hAnsi="Times New Roman" w:cs="Times New Roman"/>
                      <w:color w:val="auto"/>
                      <w:highlight w:val="none"/>
                      <w:lang w:eastAsia="zh-CN"/>
                    </w:rPr>
                    <w:t>（</w:t>
                  </w:r>
                  <w:r>
                    <w:rPr>
                      <w:rFonts w:hint="eastAsia" w:ascii="Times New Roman" w:hAnsi="Times New Roman" w:cs="Times New Roman"/>
                      <w:color w:val="auto"/>
                      <w:highlight w:val="none"/>
                      <w:lang w:val="en-US" w:eastAsia="zh-CN"/>
                    </w:rPr>
                    <w:t>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blHeader/>
                <w:jc w:val="center"/>
              </w:trPr>
              <w:tc>
                <w:tcPr>
                  <w:tcW w:w="495" w:type="pct"/>
                  <w:tcBorders>
                    <w:tl2br w:val="nil"/>
                    <w:tr2bl w:val="nil"/>
                  </w:tcBorders>
                  <w:noWrap w:val="0"/>
                  <w:vAlign w:val="center"/>
                </w:tcPr>
                <w:p>
                  <w:pPr>
                    <w:pStyle w:val="58"/>
                    <w:bidi w:val="0"/>
                    <w:spacing w:line="240" w:lineRule="auto"/>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1</w:t>
                  </w:r>
                </w:p>
              </w:tc>
              <w:tc>
                <w:tcPr>
                  <w:tcW w:w="2206" w:type="pct"/>
                  <w:tcBorders>
                    <w:tl2br w:val="nil"/>
                    <w:tr2bl w:val="nil"/>
                  </w:tcBorders>
                  <w:noWrap w:val="0"/>
                  <w:vAlign w:val="center"/>
                </w:tcPr>
                <w:p>
                  <w:pPr>
                    <w:pStyle w:val="58"/>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普通车床</w:t>
                  </w:r>
                </w:p>
              </w:tc>
              <w:tc>
                <w:tcPr>
                  <w:tcW w:w="1484" w:type="pct"/>
                  <w:tcBorders>
                    <w:tl2br w:val="nil"/>
                    <w:tr2bl w:val="nil"/>
                  </w:tcBorders>
                  <w:noWrap w:val="0"/>
                  <w:vAlign w:val="center"/>
                </w:tcPr>
                <w:p>
                  <w:pPr>
                    <w:pStyle w:val="58"/>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CDE6140A</w:t>
                  </w:r>
                </w:p>
              </w:tc>
              <w:tc>
                <w:tcPr>
                  <w:tcW w:w="813" w:type="pct"/>
                  <w:tcBorders>
                    <w:tl2br w:val="nil"/>
                    <w:tr2bl w:val="nil"/>
                  </w:tcBorders>
                  <w:noWrap w:val="0"/>
                  <w:vAlign w:val="center"/>
                </w:tcPr>
                <w:p>
                  <w:pPr>
                    <w:pStyle w:val="58"/>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blHeader/>
                <w:jc w:val="center"/>
              </w:trPr>
              <w:tc>
                <w:tcPr>
                  <w:tcW w:w="495" w:type="pct"/>
                  <w:tcBorders>
                    <w:tl2br w:val="nil"/>
                    <w:tr2bl w:val="nil"/>
                  </w:tcBorders>
                  <w:noWrap w:val="0"/>
                  <w:vAlign w:val="center"/>
                </w:tcPr>
                <w:p>
                  <w:pPr>
                    <w:pStyle w:val="58"/>
                    <w:bidi w:val="0"/>
                    <w:spacing w:line="240" w:lineRule="auto"/>
                    <w:rPr>
                      <w:rFonts w:hint="default" w:ascii="Times New Roman" w:hAnsi="Times New Roman" w:eastAsia="宋体" w:cs="Times New Roman"/>
                      <w:color w:val="auto"/>
                      <w:sz w:val="21"/>
                      <w:highlight w:val="none"/>
                      <w:lang w:val="en-US" w:eastAsia="zh-CN"/>
                    </w:rPr>
                  </w:pPr>
                  <w:r>
                    <w:rPr>
                      <w:rFonts w:hint="default" w:ascii="Times New Roman" w:hAnsi="Times New Roman" w:cs="Times New Roman"/>
                      <w:color w:val="auto"/>
                      <w:highlight w:val="none"/>
                      <w:lang w:val="en-US" w:eastAsia="zh-CN"/>
                    </w:rPr>
                    <w:t>2</w:t>
                  </w:r>
                </w:p>
              </w:tc>
              <w:tc>
                <w:tcPr>
                  <w:tcW w:w="2206" w:type="pct"/>
                  <w:tcBorders>
                    <w:tl2br w:val="nil"/>
                    <w:tr2bl w:val="nil"/>
                  </w:tcBorders>
                  <w:noWrap w:val="0"/>
                  <w:vAlign w:val="center"/>
                </w:tcPr>
                <w:p>
                  <w:pPr>
                    <w:pStyle w:val="58"/>
                    <w:bidi w:val="0"/>
                    <w:spacing w:line="240" w:lineRule="auto"/>
                    <w:rPr>
                      <w:rFonts w:hint="default" w:ascii="Times New Roman" w:hAnsi="Times New Roman" w:eastAsia="宋体"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普通车床</w:t>
                  </w:r>
                </w:p>
              </w:tc>
              <w:tc>
                <w:tcPr>
                  <w:tcW w:w="1484" w:type="pct"/>
                  <w:tcBorders>
                    <w:tl2br w:val="nil"/>
                    <w:tr2bl w:val="nil"/>
                  </w:tcBorders>
                  <w:noWrap w:val="0"/>
                  <w:vAlign w:val="center"/>
                </w:tcPr>
                <w:p>
                  <w:pPr>
                    <w:pStyle w:val="58"/>
                    <w:bidi w:val="0"/>
                    <w:spacing w:line="240" w:lineRule="auto"/>
                    <w:rPr>
                      <w:rFonts w:hint="default" w:ascii="Times New Roman" w:hAnsi="Times New Roman" w:eastAsia="宋体"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CY6250B1200</w:t>
                  </w:r>
                </w:p>
              </w:tc>
              <w:tc>
                <w:tcPr>
                  <w:tcW w:w="813" w:type="pct"/>
                  <w:tcBorders>
                    <w:tl2br w:val="nil"/>
                    <w:tr2bl w:val="nil"/>
                  </w:tcBorders>
                  <w:noWrap w:val="0"/>
                  <w:vAlign w:val="center"/>
                </w:tcPr>
                <w:p>
                  <w:pPr>
                    <w:pStyle w:val="58"/>
                    <w:bidi w:val="0"/>
                    <w:spacing w:line="240" w:lineRule="auto"/>
                    <w:rPr>
                      <w:rFonts w:hint="default" w:ascii="Times New Roman" w:hAnsi="Times New Roman" w:eastAsia="宋体"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7" w:hRule="atLeast"/>
                <w:tblHeader/>
                <w:jc w:val="center"/>
              </w:trPr>
              <w:tc>
                <w:tcPr>
                  <w:tcW w:w="495" w:type="pct"/>
                  <w:tcBorders>
                    <w:tl2br w:val="nil"/>
                    <w:tr2bl w:val="nil"/>
                  </w:tcBorders>
                  <w:noWrap w:val="0"/>
                  <w:vAlign w:val="center"/>
                </w:tcPr>
                <w:p>
                  <w:pPr>
                    <w:pStyle w:val="58"/>
                    <w:bidi w:val="0"/>
                    <w:spacing w:line="240" w:lineRule="auto"/>
                    <w:rPr>
                      <w:rFonts w:hint="default" w:ascii="Times New Roman" w:hAnsi="Times New Roman" w:eastAsia="宋体" w:cs="Times New Roman"/>
                      <w:color w:val="auto"/>
                      <w:sz w:val="21"/>
                      <w:highlight w:val="none"/>
                      <w:lang w:val="en-US" w:eastAsia="zh-CN"/>
                    </w:rPr>
                  </w:pPr>
                  <w:r>
                    <w:rPr>
                      <w:rFonts w:hint="default" w:ascii="Times New Roman" w:hAnsi="Times New Roman" w:cs="Times New Roman"/>
                      <w:color w:val="auto"/>
                      <w:highlight w:val="none"/>
                      <w:lang w:val="en-US" w:eastAsia="zh-CN"/>
                    </w:rPr>
                    <w:t>3</w:t>
                  </w:r>
                </w:p>
              </w:tc>
              <w:tc>
                <w:tcPr>
                  <w:tcW w:w="2206" w:type="pct"/>
                  <w:tcBorders>
                    <w:tl2br w:val="nil"/>
                    <w:tr2bl w:val="nil"/>
                  </w:tcBorders>
                  <w:noWrap w:val="0"/>
                  <w:vAlign w:val="center"/>
                </w:tcPr>
                <w:p>
                  <w:pPr>
                    <w:pStyle w:val="58"/>
                    <w:bidi w:val="0"/>
                    <w:spacing w:line="240" w:lineRule="auto"/>
                    <w:rPr>
                      <w:rFonts w:hint="default" w:ascii="Times New Roman" w:hAnsi="Times New Roman" w:eastAsia="宋体"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万能升降台铣床</w:t>
                  </w:r>
                </w:p>
              </w:tc>
              <w:tc>
                <w:tcPr>
                  <w:tcW w:w="1484" w:type="pct"/>
                  <w:tcBorders>
                    <w:tl2br w:val="nil"/>
                    <w:tr2bl w:val="nil"/>
                  </w:tcBorders>
                  <w:noWrap w:val="0"/>
                  <w:vAlign w:val="center"/>
                </w:tcPr>
                <w:p>
                  <w:pPr>
                    <w:pStyle w:val="58"/>
                    <w:bidi w:val="0"/>
                    <w:spacing w:line="240" w:lineRule="auto"/>
                    <w:rPr>
                      <w:rFonts w:hint="default" w:ascii="Times New Roman" w:hAnsi="Times New Roman" w:eastAsia="宋体"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XA6132</w:t>
                  </w:r>
                </w:p>
              </w:tc>
              <w:tc>
                <w:tcPr>
                  <w:tcW w:w="813" w:type="pct"/>
                  <w:tcBorders>
                    <w:tl2br w:val="nil"/>
                    <w:tr2bl w:val="nil"/>
                  </w:tcBorders>
                  <w:noWrap w:val="0"/>
                  <w:vAlign w:val="center"/>
                </w:tcPr>
                <w:p>
                  <w:pPr>
                    <w:pStyle w:val="58"/>
                    <w:bidi w:val="0"/>
                    <w:spacing w:line="240" w:lineRule="auto"/>
                    <w:rPr>
                      <w:rFonts w:hint="default" w:ascii="Times New Roman" w:hAnsi="Times New Roman" w:eastAsia="宋体"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blHeader/>
                <w:jc w:val="center"/>
              </w:trPr>
              <w:tc>
                <w:tcPr>
                  <w:tcW w:w="495" w:type="pct"/>
                  <w:tcBorders>
                    <w:tl2br w:val="nil"/>
                    <w:tr2bl w:val="nil"/>
                  </w:tcBorders>
                  <w:noWrap w:val="0"/>
                  <w:vAlign w:val="center"/>
                </w:tcPr>
                <w:p>
                  <w:pPr>
                    <w:pStyle w:val="58"/>
                    <w:bidi w:val="0"/>
                    <w:spacing w:line="240" w:lineRule="auto"/>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4</w:t>
                  </w:r>
                </w:p>
              </w:tc>
              <w:tc>
                <w:tcPr>
                  <w:tcW w:w="2206" w:type="pct"/>
                  <w:tcBorders>
                    <w:tl2br w:val="nil"/>
                    <w:tr2bl w:val="nil"/>
                  </w:tcBorders>
                  <w:noWrap w:val="0"/>
                  <w:vAlign w:val="center"/>
                </w:tcPr>
                <w:p>
                  <w:pPr>
                    <w:pStyle w:val="58"/>
                    <w:bidi w:val="0"/>
                    <w:spacing w:line="240" w:lineRule="auto"/>
                    <w:rPr>
                      <w:rFonts w:hint="default" w:ascii="Times New Roman" w:hAnsi="Times New Roman" w:eastAsia="宋体"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炮塔铣床</w:t>
                  </w:r>
                </w:p>
              </w:tc>
              <w:tc>
                <w:tcPr>
                  <w:tcW w:w="1484" w:type="pct"/>
                  <w:tcBorders>
                    <w:tl2br w:val="nil"/>
                    <w:tr2bl w:val="nil"/>
                  </w:tcBorders>
                  <w:noWrap w:val="0"/>
                  <w:vAlign w:val="center"/>
                </w:tcPr>
                <w:p>
                  <w:pPr>
                    <w:pStyle w:val="58"/>
                    <w:bidi w:val="0"/>
                    <w:spacing w:line="240" w:lineRule="auto"/>
                    <w:rPr>
                      <w:rFonts w:hint="default" w:ascii="Times New Roman" w:hAnsi="Times New Roman" w:eastAsia="宋体"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4M</w:t>
                  </w:r>
                </w:p>
              </w:tc>
              <w:tc>
                <w:tcPr>
                  <w:tcW w:w="813" w:type="pct"/>
                  <w:tcBorders>
                    <w:tl2br w:val="nil"/>
                    <w:tr2bl w:val="nil"/>
                  </w:tcBorders>
                  <w:noWrap w:val="0"/>
                  <w:vAlign w:val="center"/>
                </w:tcPr>
                <w:p>
                  <w:pPr>
                    <w:pStyle w:val="58"/>
                    <w:bidi w:val="0"/>
                    <w:spacing w:line="240" w:lineRule="auto"/>
                    <w:rPr>
                      <w:rFonts w:hint="default" w:ascii="Times New Roman" w:hAnsi="Times New Roman" w:eastAsia="宋体"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blHeader/>
                <w:jc w:val="center"/>
              </w:trPr>
              <w:tc>
                <w:tcPr>
                  <w:tcW w:w="495" w:type="pct"/>
                  <w:tcBorders>
                    <w:tl2br w:val="nil"/>
                    <w:tr2bl w:val="nil"/>
                  </w:tcBorders>
                  <w:noWrap w:val="0"/>
                  <w:vAlign w:val="center"/>
                </w:tcPr>
                <w:p>
                  <w:pPr>
                    <w:pStyle w:val="58"/>
                    <w:bidi w:val="0"/>
                    <w:spacing w:line="240" w:lineRule="auto"/>
                    <w:rPr>
                      <w:rFonts w:hint="default" w:ascii="Times New Roman" w:hAnsi="Times New Roman" w:eastAsia="宋体" w:cs="Times New Roman"/>
                      <w:color w:val="auto"/>
                      <w:sz w:val="21"/>
                      <w:highlight w:val="none"/>
                      <w:lang w:val="en-US" w:eastAsia="zh-CN"/>
                    </w:rPr>
                  </w:pPr>
                  <w:r>
                    <w:rPr>
                      <w:rFonts w:hint="default" w:ascii="Times New Roman" w:hAnsi="Times New Roman" w:cs="Times New Roman"/>
                      <w:color w:val="auto"/>
                      <w:highlight w:val="none"/>
                      <w:lang w:val="en-US" w:eastAsia="zh-CN"/>
                    </w:rPr>
                    <w:t>5</w:t>
                  </w:r>
                </w:p>
              </w:tc>
              <w:tc>
                <w:tcPr>
                  <w:tcW w:w="2206" w:type="pct"/>
                  <w:tcBorders>
                    <w:tl2br w:val="nil"/>
                    <w:tr2bl w:val="nil"/>
                  </w:tcBorders>
                  <w:noWrap w:val="0"/>
                  <w:vAlign w:val="center"/>
                </w:tcPr>
                <w:p>
                  <w:pPr>
                    <w:pStyle w:val="58"/>
                    <w:bidi w:val="0"/>
                    <w:spacing w:line="240" w:lineRule="auto"/>
                    <w:rPr>
                      <w:rFonts w:hint="default" w:ascii="Times New Roman" w:hAnsi="Times New Roman" w:eastAsia="宋体"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卧式车床</w:t>
                  </w:r>
                </w:p>
              </w:tc>
              <w:tc>
                <w:tcPr>
                  <w:tcW w:w="1484" w:type="pct"/>
                  <w:tcBorders>
                    <w:tl2br w:val="nil"/>
                    <w:tr2bl w:val="nil"/>
                  </w:tcBorders>
                  <w:noWrap w:val="0"/>
                  <w:vAlign w:val="center"/>
                </w:tcPr>
                <w:p>
                  <w:pPr>
                    <w:pStyle w:val="58"/>
                    <w:bidi w:val="0"/>
                    <w:spacing w:line="240" w:lineRule="auto"/>
                    <w:rPr>
                      <w:rFonts w:hint="default" w:ascii="Times New Roman" w:hAnsi="Times New Roman" w:eastAsia="宋体"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CY6250B</w:t>
                  </w:r>
                </w:p>
              </w:tc>
              <w:tc>
                <w:tcPr>
                  <w:tcW w:w="813" w:type="pct"/>
                  <w:tcBorders>
                    <w:tl2br w:val="nil"/>
                    <w:tr2bl w:val="nil"/>
                  </w:tcBorders>
                  <w:noWrap w:val="0"/>
                  <w:vAlign w:val="center"/>
                </w:tcPr>
                <w:p>
                  <w:pPr>
                    <w:pStyle w:val="58"/>
                    <w:bidi w:val="0"/>
                    <w:spacing w:line="240" w:lineRule="auto"/>
                    <w:rPr>
                      <w:rFonts w:hint="default" w:ascii="Times New Roman" w:hAnsi="Times New Roman" w:eastAsia="宋体"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tblHeader/>
                <w:jc w:val="center"/>
              </w:trPr>
              <w:tc>
                <w:tcPr>
                  <w:tcW w:w="495" w:type="pct"/>
                  <w:tcBorders>
                    <w:tl2br w:val="nil"/>
                    <w:tr2bl w:val="nil"/>
                  </w:tcBorders>
                  <w:noWrap w:val="0"/>
                  <w:vAlign w:val="center"/>
                </w:tcPr>
                <w:p>
                  <w:pPr>
                    <w:pStyle w:val="58"/>
                    <w:bidi w:val="0"/>
                    <w:spacing w:line="240" w:lineRule="auto"/>
                    <w:rPr>
                      <w:rFonts w:hint="default" w:ascii="Times New Roman" w:hAnsi="Times New Roman" w:eastAsia="宋体"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6</w:t>
                  </w:r>
                </w:p>
              </w:tc>
              <w:tc>
                <w:tcPr>
                  <w:tcW w:w="2206" w:type="pct"/>
                  <w:tcBorders>
                    <w:tl2br w:val="nil"/>
                    <w:tr2bl w:val="nil"/>
                  </w:tcBorders>
                  <w:noWrap w:val="0"/>
                  <w:vAlign w:val="center"/>
                </w:tcPr>
                <w:p>
                  <w:pPr>
                    <w:pStyle w:val="58"/>
                    <w:bidi w:val="0"/>
                    <w:spacing w:line="240" w:lineRule="auto"/>
                    <w:jc w:val="center"/>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带锯床</w:t>
                  </w:r>
                </w:p>
              </w:tc>
              <w:tc>
                <w:tcPr>
                  <w:tcW w:w="1484" w:type="pct"/>
                  <w:tcBorders>
                    <w:tl2br w:val="nil"/>
                    <w:tr2bl w:val="nil"/>
                  </w:tcBorders>
                  <w:noWrap w:val="0"/>
                  <w:vAlign w:val="center"/>
                </w:tcPr>
                <w:p>
                  <w:pPr>
                    <w:pStyle w:val="58"/>
                    <w:bidi w:val="0"/>
                    <w:spacing w:line="240" w:lineRule="auto"/>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FS4230</w:t>
                  </w:r>
                </w:p>
              </w:tc>
              <w:tc>
                <w:tcPr>
                  <w:tcW w:w="813" w:type="pct"/>
                  <w:tcBorders>
                    <w:tl2br w:val="nil"/>
                    <w:tr2bl w:val="nil"/>
                  </w:tcBorders>
                  <w:noWrap w:val="0"/>
                  <w:vAlign w:val="center"/>
                </w:tcPr>
                <w:p>
                  <w:pPr>
                    <w:pStyle w:val="58"/>
                    <w:bidi w:val="0"/>
                    <w:spacing w:line="240" w:lineRule="auto"/>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tblHeader/>
                <w:jc w:val="center"/>
              </w:trPr>
              <w:tc>
                <w:tcPr>
                  <w:tcW w:w="495" w:type="pct"/>
                  <w:tcBorders>
                    <w:tl2br w:val="nil"/>
                    <w:tr2bl w:val="nil"/>
                  </w:tcBorders>
                  <w:noWrap w:val="0"/>
                  <w:vAlign w:val="center"/>
                </w:tcPr>
                <w:p>
                  <w:pPr>
                    <w:pStyle w:val="58"/>
                    <w:bidi w:val="0"/>
                    <w:spacing w:line="240" w:lineRule="auto"/>
                    <w:rPr>
                      <w:rFonts w:hint="default" w:ascii="Times New Roman" w:hAnsi="Times New Roman" w:eastAsia="宋体"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7</w:t>
                  </w:r>
                </w:p>
              </w:tc>
              <w:tc>
                <w:tcPr>
                  <w:tcW w:w="2206" w:type="pct"/>
                  <w:tcBorders>
                    <w:tl2br w:val="nil"/>
                    <w:tr2bl w:val="nil"/>
                  </w:tcBorders>
                  <w:noWrap w:val="0"/>
                  <w:vAlign w:val="center"/>
                </w:tcPr>
                <w:p>
                  <w:pPr>
                    <w:pStyle w:val="58"/>
                    <w:bidi w:val="0"/>
                    <w:spacing w:line="240" w:lineRule="auto"/>
                    <w:jc w:val="center"/>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数控加工中心</w:t>
                  </w:r>
                </w:p>
              </w:tc>
              <w:tc>
                <w:tcPr>
                  <w:tcW w:w="1484" w:type="pct"/>
                  <w:tcBorders>
                    <w:tl2br w:val="nil"/>
                    <w:tr2bl w:val="nil"/>
                  </w:tcBorders>
                  <w:noWrap w:val="0"/>
                  <w:vAlign w:val="center"/>
                </w:tcPr>
                <w:p>
                  <w:pPr>
                    <w:pStyle w:val="58"/>
                    <w:bidi w:val="0"/>
                    <w:spacing w:line="240" w:lineRule="auto"/>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XK715D/11</w:t>
                  </w:r>
                </w:p>
              </w:tc>
              <w:tc>
                <w:tcPr>
                  <w:tcW w:w="813" w:type="pct"/>
                  <w:tcBorders>
                    <w:tl2br w:val="nil"/>
                    <w:tr2bl w:val="nil"/>
                  </w:tcBorders>
                  <w:noWrap w:val="0"/>
                  <w:vAlign w:val="center"/>
                </w:tcPr>
                <w:p>
                  <w:pPr>
                    <w:pStyle w:val="58"/>
                    <w:bidi w:val="0"/>
                    <w:spacing w:line="240" w:lineRule="auto"/>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tblHeader/>
                <w:jc w:val="center"/>
              </w:trPr>
              <w:tc>
                <w:tcPr>
                  <w:tcW w:w="495" w:type="pct"/>
                  <w:tcBorders>
                    <w:tl2br w:val="nil"/>
                    <w:tr2bl w:val="nil"/>
                  </w:tcBorders>
                  <w:noWrap w:val="0"/>
                  <w:vAlign w:val="center"/>
                </w:tcPr>
                <w:p>
                  <w:pPr>
                    <w:pStyle w:val="58"/>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8</w:t>
                  </w:r>
                </w:p>
              </w:tc>
              <w:tc>
                <w:tcPr>
                  <w:tcW w:w="2206" w:type="pct"/>
                  <w:tcBorders>
                    <w:tl2br w:val="nil"/>
                    <w:tr2bl w:val="nil"/>
                  </w:tcBorders>
                  <w:noWrap w:val="0"/>
                  <w:vAlign w:val="center"/>
                </w:tcPr>
                <w:p>
                  <w:pPr>
                    <w:pStyle w:val="58"/>
                    <w:bidi w:val="0"/>
                    <w:spacing w:line="240" w:lineRule="auto"/>
                    <w:jc w:val="center"/>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数控车床</w:t>
                  </w:r>
                </w:p>
              </w:tc>
              <w:tc>
                <w:tcPr>
                  <w:tcW w:w="1484" w:type="pct"/>
                  <w:tcBorders>
                    <w:tl2br w:val="nil"/>
                    <w:tr2bl w:val="nil"/>
                  </w:tcBorders>
                  <w:noWrap w:val="0"/>
                  <w:vAlign w:val="center"/>
                </w:tcPr>
                <w:p>
                  <w:pPr>
                    <w:pStyle w:val="58"/>
                    <w:bidi w:val="0"/>
                    <w:spacing w:line="240" w:lineRule="auto"/>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 xml:space="preserve">CAK5085ns   </w:t>
                  </w:r>
                </w:p>
              </w:tc>
              <w:tc>
                <w:tcPr>
                  <w:tcW w:w="813" w:type="pct"/>
                  <w:tcBorders>
                    <w:tl2br w:val="nil"/>
                    <w:tr2bl w:val="nil"/>
                  </w:tcBorders>
                  <w:noWrap w:val="0"/>
                  <w:vAlign w:val="center"/>
                </w:tcPr>
                <w:p>
                  <w:pPr>
                    <w:pStyle w:val="58"/>
                    <w:bidi w:val="0"/>
                    <w:spacing w:line="240" w:lineRule="auto"/>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tblHeader/>
                <w:jc w:val="center"/>
              </w:trPr>
              <w:tc>
                <w:tcPr>
                  <w:tcW w:w="495" w:type="pct"/>
                  <w:tcBorders>
                    <w:tl2br w:val="nil"/>
                    <w:tr2bl w:val="nil"/>
                  </w:tcBorders>
                  <w:noWrap w:val="0"/>
                  <w:vAlign w:val="center"/>
                </w:tcPr>
                <w:p>
                  <w:pPr>
                    <w:pStyle w:val="58"/>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9</w:t>
                  </w:r>
                </w:p>
              </w:tc>
              <w:tc>
                <w:tcPr>
                  <w:tcW w:w="2206" w:type="pct"/>
                  <w:tcBorders>
                    <w:tl2br w:val="nil"/>
                    <w:tr2bl w:val="nil"/>
                  </w:tcBorders>
                  <w:noWrap w:val="0"/>
                  <w:vAlign w:val="center"/>
                </w:tcPr>
                <w:p>
                  <w:pPr>
                    <w:pStyle w:val="58"/>
                    <w:bidi w:val="0"/>
                    <w:spacing w:line="240" w:lineRule="auto"/>
                    <w:jc w:val="center"/>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摇臂钻床</w:t>
                  </w:r>
                </w:p>
              </w:tc>
              <w:tc>
                <w:tcPr>
                  <w:tcW w:w="1484" w:type="pct"/>
                  <w:tcBorders>
                    <w:tl2br w:val="nil"/>
                    <w:tr2bl w:val="nil"/>
                  </w:tcBorders>
                  <w:noWrap w:val="0"/>
                  <w:vAlign w:val="center"/>
                </w:tcPr>
                <w:p>
                  <w:pPr>
                    <w:pStyle w:val="58"/>
                    <w:bidi w:val="0"/>
                    <w:spacing w:line="240" w:lineRule="auto"/>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Z3050X16/1</w:t>
                  </w:r>
                </w:p>
              </w:tc>
              <w:tc>
                <w:tcPr>
                  <w:tcW w:w="813" w:type="pct"/>
                  <w:tcBorders>
                    <w:tl2br w:val="nil"/>
                    <w:tr2bl w:val="nil"/>
                  </w:tcBorders>
                  <w:noWrap w:val="0"/>
                  <w:vAlign w:val="center"/>
                </w:tcPr>
                <w:p>
                  <w:pPr>
                    <w:pStyle w:val="58"/>
                    <w:bidi w:val="0"/>
                    <w:spacing w:line="240" w:lineRule="auto"/>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tblHeader/>
                <w:jc w:val="center"/>
              </w:trPr>
              <w:tc>
                <w:tcPr>
                  <w:tcW w:w="495" w:type="pct"/>
                  <w:tcBorders>
                    <w:tl2br w:val="nil"/>
                    <w:tr2bl w:val="nil"/>
                  </w:tcBorders>
                  <w:noWrap w:val="0"/>
                  <w:vAlign w:val="center"/>
                </w:tcPr>
                <w:p>
                  <w:pPr>
                    <w:pStyle w:val="58"/>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10</w:t>
                  </w:r>
                </w:p>
              </w:tc>
              <w:tc>
                <w:tcPr>
                  <w:tcW w:w="2206" w:type="pct"/>
                  <w:tcBorders>
                    <w:tl2br w:val="nil"/>
                    <w:tr2bl w:val="nil"/>
                  </w:tcBorders>
                  <w:noWrap w:val="0"/>
                  <w:vAlign w:val="center"/>
                </w:tcPr>
                <w:p>
                  <w:pPr>
                    <w:pStyle w:val="58"/>
                    <w:bidi w:val="0"/>
                    <w:spacing w:line="240" w:lineRule="auto"/>
                    <w:jc w:val="center"/>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卧轴距台平面磨床</w:t>
                  </w:r>
                </w:p>
              </w:tc>
              <w:tc>
                <w:tcPr>
                  <w:tcW w:w="1484" w:type="pct"/>
                  <w:tcBorders>
                    <w:tl2br w:val="nil"/>
                    <w:tr2bl w:val="nil"/>
                  </w:tcBorders>
                  <w:noWrap w:val="0"/>
                  <w:vAlign w:val="center"/>
                </w:tcPr>
                <w:p>
                  <w:pPr>
                    <w:pStyle w:val="58"/>
                    <w:bidi w:val="0"/>
                    <w:spacing w:line="240" w:lineRule="auto"/>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M7130G</w:t>
                  </w:r>
                </w:p>
              </w:tc>
              <w:tc>
                <w:tcPr>
                  <w:tcW w:w="813" w:type="pct"/>
                  <w:tcBorders>
                    <w:tl2br w:val="nil"/>
                    <w:tr2bl w:val="nil"/>
                  </w:tcBorders>
                  <w:noWrap w:val="0"/>
                  <w:vAlign w:val="center"/>
                </w:tcPr>
                <w:p>
                  <w:pPr>
                    <w:pStyle w:val="58"/>
                    <w:bidi w:val="0"/>
                    <w:spacing w:line="240" w:lineRule="auto"/>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tblHeader/>
                <w:jc w:val="center"/>
              </w:trPr>
              <w:tc>
                <w:tcPr>
                  <w:tcW w:w="495" w:type="pct"/>
                  <w:tcBorders>
                    <w:tl2br w:val="nil"/>
                    <w:tr2bl w:val="nil"/>
                  </w:tcBorders>
                  <w:noWrap w:val="0"/>
                  <w:vAlign w:val="center"/>
                </w:tcPr>
                <w:p>
                  <w:pPr>
                    <w:pStyle w:val="58"/>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11</w:t>
                  </w:r>
                </w:p>
              </w:tc>
              <w:tc>
                <w:tcPr>
                  <w:tcW w:w="2206" w:type="pct"/>
                  <w:tcBorders>
                    <w:tl2br w:val="nil"/>
                    <w:tr2bl w:val="nil"/>
                  </w:tcBorders>
                  <w:noWrap w:val="0"/>
                  <w:vAlign w:val="center"/>
                </w:tcPr>
                <w:p>
                  <w:pPr>
                    <w:pStyle w:val="58"/>
                    <w:bidi w:val="0"/>
                    <w:spacing w:line="240" w:lineRule="auto"/>
                    <w:jc w:val="center"/>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线切割机</w:t>
                  </w:r>
                </w:p>
              </w:tc>
              <w:tc>
                <w:tcPr>
                  <w:tcW w:w="1484" w:type="pct"/>
                  <w:tcBorders>
                    <w:tl2br w:val="nil"/>
                    <w:tr2bl w:val="nil"/>
                  </w:tcBorders>
                  <w:noWrap w:val="0"/>
                  <w:vAlign w:val="center"/>
                </w:tcPr>
                <w:p>
                  <w:pPr>
                    <w:pStyle w:val="58"/>
                    <w:bidi w:val="0"/>
                    <w:spacing w:line="240" w:lineRule="auto"/>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w:t>
                  </w:r>
                </w:p>
              </w:tc>
              <w:tc>
                <w:tcPr>
                  <w:tcW w:w="813" w:type="pct"/>
                  <w:tcBorders>
                    <w:tl2br w:val="nil"/>
                    <w:tr2bl w:val="nil"/>
                  </w:tcBorders>
                  <w:noWrap w:val="0"/>
                  <w:vAlign w:val="center"/>
                </w:tcPr>
                <w:p>
                  <w:pPr>
                    <w:pStyle w:val="58"/>
                    <w:bidi w:val="0"/>
                    <w:spacing w:line="240" w:lineRule="auto"/>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tblHeader/>
                <w:jc w:val="center"/>
              </w:trPr>
              <w:tc>
                <w:tcPr>
                  <w:tcW w:w="495" w:type="pct"/>
                  <w:tcBorders>
                    <w:tl2br w:val="nil"/>
                    <w:tr2bl w:val="nil"/>
                  </w:tcBorders>
                  <w:noWrap w:val="0"/>
                  <w:vAlign w:val="center"/>
                </w:tcPr>
                <w:p>
                  <w:pPr>
                    <w:pStyle w:val="58"/>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12</w:t>
                  </w:r>
                </w:p>
              </w:tc>
              <w:tc>
                <w:tcPr>
                  <w:tcW w:w="2206" w:type="pct"/>
                  <w:tcBorders>
                    <w:tl2br w:val="nil"/>
                    <w:tr2bl w:val="nil"/>
                  </w:tcBorders>
                  <w:noWrap w:val="0"/>
                  <w:vAlign w:val="center"/>
                </w:tcPr>
                <w:p>
                  <w:pPr>
                    <w:pStyle w:val="58"/>
                    <w:bidi w:val="0"/>
                    <w:spacing w:line="240" w:lineRule="auto"/>
                    <w:jc w:val="center"/>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氩弧焊</w:t>
                  </w:r>
                </w:p>
              </w:tc>
              <w:tc>
                <w:tcPr>
                  <w:tcW w:w="1484" w:type="pct"/>
                  <w:tcBorders>
                    <w:tl2br w:val="nil"/>
                    <w:tr2bl w:val="nil"/>
                  </w:tcBorders>
                  <w:noWrap w:val="0"/>
                  <w:vAlign w:val="center"/>
                </w:tcPr>
                <w:p>
                  <w:pPr>
                    <w:pStyle w:val="58"/>
                    <w:bidi w:val="0"/>
                    <w:spacing w:line="240" w:lineRule="auto"/>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WS-400</w:t>
                  </w:r>
                </w:p>
              </w:tc>
              <w:tc>
                <w:tcPr>
                  <w:tcW w:w="813" w:type="pct"/>
                  <w:tcBorders>
                    <w:tl2br w:val="nil"/>
                    <w:tr2bl w:val="nil"/>
                  </w:tcBorders>
                  <w:noWrap w:val="0"/>
                  <w:vAlign w:val="center"/>
                </w:tcPr>
                <w:p>
                  <w:pPr>
                    <w:pStyle w:val="58"/>
                    <w:bidi w:val="0"/>
                    <w:spacing w:line="240" w:lineRule="auto"/>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tblHeader/>
                <w:jc w:val="center"/>
              </w:trPr>
              <w:tc>
                <w:tcPr>
                  <w:tcW w:w="495" w:type="pct"/>
                  <w:tcBorders>
                    <w:tl2br w:val="nil"/>
                    <w:tr2bl w:val="nil"/>
                  </w:tcBorders>
                  <w:noWrap w:val="0"/>
                  <w:vAlign w:val="center"/>
                </w:tcPr>
                <w:p>
                  <w:pPr>
                    <w:pStyle w:val="58"/>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13</w:t>
                  </w:r>
                </w:p>
              </w:tc>
              <w:tc>
                <w:tcPr>
                  <w:tcW w:w="2206" w:type="pct"/>
                  <w:tcBorders>
                    <w:tl2br w:val="nil"/>
                    <w:tr2bl w:val="nil"/>
                  </w:tcBorders>
                  <w:noWrap w:val="0"/>
                  <w:vAlign w:val="center"/>
                </w:tcPr>
                <w:p>
                  <w:pPr>
                    <w:pStyle w:val="58"/>
                    <w:bidi w:val="0"/>
                    <w:spacing w:line="240" w:lineRule="auto"/>
                    <w:jc w:val="center"/>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CO</w:t>
                  </w:r>
                  <w:r>
                    <w:rPr>
                      <w:rFonts w:hint="eastAsia" w:ascii="Times New Roman" w:hAnsi="Times New Roman" w:cs="Times New Roman"/>
                      <w:color w:val="auto"/>
                      <w:sz w:val="21"/>
                      <w:highlight w:val="none"/>
                      <w:vertAlign w:val="subscript"/>
                      <w:lang w:val="en-US" w:eastAsia="zh-CN"/>
                    </w:rPr>
                    <w:t>2</w:t>
                  </w:r>
                  <w:r>
                    <w:rPr>
                      <w:rFonts w:hint="eastAsia" w:ascii="Times New Roman" w:hAnsi="Times New Roman" w:cs="Times New Roman"/>
                      <w:color w:val="auto"/>
                      <w:sz w:val="21"/>
                      <w:highlight w:val="none"/>
                      <w:lang w:val="en-US" w:eastAsia="zh-CN"/>
                    </w:rPr>
                    <w:t>保护焊机</w:t>
                  </w:r>
                </w:p>
              </w:tc>
              <w:tc>
                <w:tcPr>
                  <w:tcW w:w="1484" w:type="pct"/>
                  <w:tcBorders>
                    <w:tl2br w:val="nil"/>
                    <w:tr2bl w:val="nil"/>
                  </w:tcBorders>
                  <w:noWrap w:val="0"/>
                  <w:vAlign w:val="center"/>
                </w:tcPr>
                <w:p>
                  <w:pPr>
                    <w:pStyle w:val="58"/>
                    <w:bidi w:val="0"/>
                    <w:spacing w:line="240" w:lineRule="auto"/>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NBC350</w:t>
                  </w:r>
                </w:p>
              </w:tc>
              <w:tc>
                <w:tcPr>
                  <w:tcW w:w="813" w:type="pct"/>
                  <w:tcBorders>
                    <w:tl2br w:val="nil"/>
                    <w:tr2bl w:val="nil"/>
                  </w:tcBorders>
                  <w:noWrap w:val="0"/>
                  <w:vAlign w:val="center"/>
                </w:tcPr>
                <w:p>
                  <w:pPr>
                    <w:pStyle w:val="58"/>
                    <w:bidi w:val="0"/>
                    <w:spacing w:line="240" w:lineRule="auto"/>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tblHeader/>
                <w:jc w:val="center"/>
              </w:trPr>
              <w:tc>
                <w:tcPr>
                  <w:tcW w:w="495" w:type="pct"/>
                  <w:tcBorders>
                    <w:tl2br w:val="nil"/>
                    <w:tr2bl w:val="nil"/>
                  </w:tcBorders>
                  <w:noWrap w:val="0"/>
                  <w:vAlign w:val="center"/>
                </w:tcPr>
                <w:p>
                  <w:pPr>
                    <w:pStyle w:val="58"/>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14</w:t>
                  </w:r>
                </w:p>
              </w:tc>
              <w:tc>
                <w:tcPr>
                  <w:tcW w:w="2206" w:type="pct"/>
                  <w:tcBorders>
                    <w:tl2br w:val="nil"/>
                    <w:tr2bl w:val="nil"/>
                  </w:tcBorders>
                  <w:noWrap w:val="0"/>
                  <w:vAlign w:val="center"/>
                </w:tcPr>
                <w:p>
                  <w:pPr>
                    <w:bidi w:val="0"/>
                    <w:spacing w:line="240" w:lineRule="auto"/>
                    <w:jc w:val="center"/>
                    <w:rPr>
                      <w:rFonts w:hint="eastAsia"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CO</w:t>
                  </w:r>
                  <w:r>
                    <w:rPr>
                      <w:rFonts w:hint="eastAsia" w:ascii="Times New Roman" w:hAnsi="Times New Roman" w:cs="Times New Roman"/>
                      <w:color w:val="auto"/>
                      <w:sz w:val="21"/>
                      <w:highlight w:val="none"/>
                      <w:vertAlign w:val="subscript"/>
                      <w:lang w:val="en-US" w:eastAsia="zh-CN"/>
                    </w:rPr>
                    <w:t>2</w:t>
                  </w:r>
                  <w:r>
                    <w:rPr>
                      <w:rFonts w:hint="eastAsia" w:ascii="Times New Roman" w:hAnsi="Times New Roman" w:cs="Times New Roman"/>
                      <w:color w:val="auto"/>
                      <w:sz w:val="21"/>
                      <w:highlight w:val="none"/>
                      <w:lang w:val="en-US" w:eastAsia="zh-CN"/>
                    </w:rPr>
                    <w:t>保护焊机</w:t>
                  </w:r>
                </w:p>
              </w:tc>
              <w:tc>
                <w:tcPr>
                  <w:tcW w:w="1484" w:type="pct"/>
                  <w:tcBorders>
                    <w:tl2br w:val="nil"/>
                    <w:tr2bl w:val="nil"/>
                  </w:tcBorders>
                  <w:noWrap w:val="0"/>
                  <w:vAlign w:val="center"/>
                </w:tcPr>
                <w:p>
                  <w:pPr>
                    <w:pStyle w:val="58"/>
                    <w:bidi w:val="0"/>
                    <w:spacing w:line="240" w:lineRule="auto"/>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KRII350</w:t>
                  </w:r>
                </w:p>
              </w:tc>
              <w:tc>
                <w:tcPr>
                  <w:tcW w:w="813" w:type="pct"/>
                  <w:tcBorders>
                    <w:tl2br w:val="nil"/>
                    <w:tr2bl w:val="nil"/>
                  </w:tcBorders>
                  <w:noWrap w:val="0"/>
                  <w:vAlign w:val="center"/>
                </w:tcPr>
                <w:p>
                  <w:pPr>
                    <w:pStyle w:val="58"/>
                    <w:bidi w:val="0"/>
                    <w:spacing w:line="240" w:lineRule="auto"/>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tblHeader/>
                <w:jc w:val="center"/>
              </w:trPr>
              <w:tc>
                <w:tcPr>
                  <w:tcW w:w="495" w:type="pct"/>
                  <w:tcBorders>
                    <w:tl2br w:val="nil"/>
                    <w:tr2bl w:val="nil"/>
                  </w:tcBorders>
                  <w:noWrap w:val="0"/>
                  <w:vAlign w:val="center"/>
                </w:tcPr>
                <w:p>
                  <w:pPr>
                    <w:pStyle w:val="58"/>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15</w:t>
                  </w:r>
                </w:p>
              </w:tc>
              <w:tc>
                <w:tcPr>
                  <w:tcW w:w="2206" w:type="pct"/>
                  <w:tcBorders>
                    <w:tl2br w:val="nil"/>
                    <w:tr2bl w:val="nil"/>
                  </w:tcBorders>
                  <w:noWrap w:val="0"/>
                  <w:vAlign w:val="center"/>
                </w:tcPr>
                <w:p>
                  <w:pPr>
                    <w:bidi w:val="0"/>
                    <w:spacing w:line="240" w:lineRule="auto"/>
                    <w:jc w:val="center"/>
                    <w:rPr>
                      <w:rFonts w:hint="eastAsia"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CO</w:t>
                  </w:r>
                  <w:r>
                    <w:rPr>
                      <w:rFonts w:hint="eastAsia" w:ascii="Times New Roman" w:hAnsi="Times New Roman" w:cs="Times New Roman"/>
                      <w:color w:val="auto"/>
                      <w:sz w:val="21"/>
                      <w:highlight w:val="none"/>
                      <w:vertAlign w:val="subscript"/>
                      <w:lang w:val="en-US" w:eastAsia="zh-CN"/>
                    </w:rPr>
                    <w:t>2</w:t>
                  </w:r>
                  <w:r>
                    <w:rPr>
                      <w:rFonts w:hint="eastAsia" w:ascii="Times New Roman" w:hAnsi="Times New Roman" w:cs="Times New Roman"/>
                      <w:color w:val="auto"/>
                      <w:sz w:val="21"/>
                      <w:highlight w:val="none"/>
                      <w:lang w:val="en-US" w:eastAsia="zh-CN"/>
                    </w:rPr>
                    <w:t>保护焊机</w:t>
                  </w:r>
                </w:p>
              </w:tc>
              <w:tc>
                <w:tcPr>
                  <w:tcW w:w="1484" w:type="pct"/>
                  <w:tcBorders>
                    <w:tl2br w:val="nil"/>
                    <w:tr2bl w:val="nil"/>
                  </w:tcBorders>
                  <w:noWrap w:val="0"/>
                  <w:vAlign w:val="center"/>
                </w:tcPr>
                <w:p>
                  <w:pPr>
                    <w:pStyle w:val="58"/>
                    <w:bidi w:val="0"/>
                    <w:spacing w:line="240" w:lineRule="auto"/>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NBC500</w:t>
                  </w:r>
                </w:p>
              </w:tc>
              <w:tc>
                <w:tcPr>
                  <w:tcW w:w="813" w:type="pct"/>
                  <w:tcBorders>
                    <w:tl2br w:val="nil"/>
                    <w:tr2bl w:val="nil"/>
                  </w:tcBorders>
                  <w:noWrap w:val="0"/>
                  <w:vAlign w:val="center"/>
                </w:tcPr>
                <w:p>
                  <w:pPr>
                    <w:pStyle w:val="58"/>
                    <w:bidi w:val="0"/>
                    <w:spacing w:line="240" w:lineRule="auto"/>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tblHeader/>
                <w:jc w:val="center"/>
              </w:trPr>
              <w:tc>
                <w:tcPr>
                  <w:tcW w:w="495" w:type="pct"/>
                  <w:tcBorders>
                    <w:tl2br w:val="nil"/>
                    <w:tr2bl w:val="nil"/>
                  </w:tcBorders>
                  <w:noWrap w:val="0"/>
                  <w:vAlign w:val="center"/>
                </w:tcPr>
                <w:p>
                  <w:pPr>
                    <w:pStyle w:val="58"/>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16</w:t>
                  </w:r>
                </w:p>
              </w:tc>
              <w:tc>
                <w:tcPr>
                  <w:tcW w:w="2206" w:type="pct"/>
                  <w:tcBorders>
                    <w:tl2br w:val="nil"/>
                    <w:tr2bl w:val="nil"/>
                  </w:tcBorders>
                  <w:noWrap w:val="0"/>
                  <w:vAlign w:val="center"/>
                </w:tcPr>
                <w:p>
                  <w:pPr>
                    <w:pStyle w:val="58"/>
                    <w:bidi w:val="0"/>
                    <w:spacing w:line="240" w:lineRule="auto"/>
                    <w:jc w:val="center"/>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移动式焊烟净化器</w:t>
                  </w:r>
                </w:p>
              </w:tc>
              <w:tc>
                <w:tcPr>
                  <w:tcW w:w="1484" w:type="pct"/>
                  <w:tcBorders>
                    <w:tl2br w:val="nil"/>
                    <w:tr2bl w:val="nil"/>
                  </w:tcBorders>
                  <w:noWrap w:val="0"/>
                  <w:vAlign w:val="center"/>
                </w:tcPr>
                <w:p>
                  <w:pPr>
                    <w:pStyle w:val="58"/>
                    <w:bidi w:val="0"/>
                    <w:spacing w:line="240" w:lineRule="auto"/>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移动式</w:t>
                  </w:r>
                </w:p>
              </w:tc>
              <w:tc>
                <w:tcPr>
                  <w:tcW w:w="813" w:type="pct"/>
                  <w:tcBorders>
                    <w:tl2br w:val="nil"/>
                    <w:tr2bl w:val="nil"/>
                  </w:tcBorders>
                  <w:noWrap w:val="0"/>
                  <w:vAlign w:val="center"/>
                </w:tcPr>
                <w:p>
                  <w:pPr>
                    <w:pStyle w:val="58"/>
                    <w:bidi w:val="0"/>
                    <w:spacing w:line="240" w:lineRule="auto"/>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2</w:t>
                  </w:r>
                </w:p>
              </w:tc>
            </w:tr>
          </w:tbl>
          <w:p>
            <w:pPr>
              <w:pStyle w:val="50"/>
              <w:numPr>
                <w:ilvl w:val="0"/>
                <w:numId w:val="0"/>
              </w:numPr>
              <w:bidi w:val="0"/>
              <w:ind w:leftChars="0"/>
              <w:rPr>
                <w:rFonts w:hint="default" w:ascii="Times New Roman" w:hAnsi="Times New Roman" w:cs="Times New Roman"/>
                <w:b/>
                <w:bCs/>
                <w:color w:val="auto"/>
                <w:kern w:val="2"/>
                <w:sz w:val="24"/>
                <w:szCs w:val="24"/>
                <w:highlight w:val="none"/>
                <w:lang w:val="en-US" w:eastAsia="zh-CN" w:bidi="ar-SA"/>
              </w:rPr>
            </w:pPr>
            <w:r>
              <w:rPr>
                <w:rFonts w:hint="eastAsia" w:ascii="Times New Roman" w:hAnsi="Times New Roman" w:cs="Times New Roman"/>
                <w:b/>
                <w:bCs/>
                <w:color w:val="auto"/>
                <w:kern w:val="2"/>
                <w:sz w:val="24"/>
                <w:szCs w:val="24"/>
                <w:highlight w:val="none"/>
                <w:lang w:val="en-US" w:eastAsia="zh-CN" w:bidi="ar-SA"/>
              </w:rPr>
              <w:t>2.4现有工程原辅材料</w:t>
            </w:r>
          </w:p>
          <w:p>
            <w:pPr>
              <w:pStyle w:val="51"/>
              <w:pageBreakBefore w:val="0"/>
              <w:widowControl w:val="0"/>
              <w:kinsoku/>
              <w:wordWrap/>
              <w:topLinePunct w:val="0"/>
              <w:bidi w:val="0"/>
              <w:spacing w:line="240" w:lineRule="auto"/>
              <w:textAlignment w:val="auto"/>
              <w:rPr>
                <w:rFonts w:hint="default" w:ascii="Times New Roman" w:hAnsi="Times New Roman" w:eastAsia="宋体" w:cs="Times New Roman"/>
                <w:color w:val="auto"/>
                <w:sz w:val="21"/>
                <w:szCs w:val="16"/>
                <w:highlight w:val="none"/>
                <w:lang w:val="en-US" w:eastAsia="zh-CN"/>
              </w:rPr>
            </w:pPr>
            <w:r>
              <w:rPr>
                <w:rFonts w:hint="eastAsia" w:ascii="Times New Roman" w:hAnsi="Times New Roman" w:eastAsia="宋体" w:cs="Times New Roman"/>
                <w:color w:val="auto"/>
                <w:sz w:val="21"/>
                <w:szCs w:val="16"/>
                <w:highlight w:val="none"/>
                <w:lang w:val="en-US" w:eastAsia="zh-CN"/>
              </w:rPr>
              <w:t>表2-</w:t>
            </w:r>
            <w:r>
              <w:rPr>
                <w:rFonts w:hint="eastAsia" w:cs="Times New Roman"/>
                <w:color w:val="auto"/>
                <w:sz w:val="21"/>
                <w:szCs w:val="16"/>
                <w:highlight w:val="none"/>
                <w:lang w:val="en-US" w:eastAsia="zh-CN"/>
              </w:rPr>
              <w:t>3</w:t>
            </w:r>
            <w:r>
              <w:rPr>
                <w:rFonts w:hint="default" w:ascii="Times New Roman" w:hAnsi="Times New Roman" w:eastAsia="宋体" w:cs="Times New Roman"/>
                <w:color w:val="auto"/>
                <w:sz w:val="21"/>
                <w:szCs w:val="16"/>
                <w:highlight w:val="none"/>
                <w:lang w:val="en-US" w:eastAsia="zh-CN"/>
              </w:rPr>
              <w:t xml:space="preserve">  </w:t>
            </w:r>
            <w:r>
              <w:rPr>
                <w:rFonts w:hint="eastAsia" w:cs="Times New Roman"/>
                <w:color w:val="auto"/>
                <w:sz w:val="21"/>
                <w:szCs w:val="16"/>
                <w:highlight w:val="none"/>
                <w:lang w:val="en-US" w:eastAsia="zh-CN"/>
              </w:rPr>
              <w:t>现有工程</w:t>
            </w:r>
            <w:r>
              <w:rPr>
                <w:rFonts w:hint="default" w:ascii="Times New Roman" w:hAnsi="Times New Roman" w:eastAsia="宋体" w:cs="Times New Roman"/>
                <w:color w:val="auto"/>
                <w:sz w:val="21"/>
                <w:szCs w:val="16"/>
                <w:highlight w:val="none"/>
                <w:lang w:val="en-US" w:eastAsia="zh-CN"/>
              </w:rPr>
              <w:t>主要原辅材料消耗一览表</w:t>
            </w:r>
          </w:p>
          <w:tbl>
            <w:tblPr>
              <w:tblStyle w:val="32"/>
              <w:tblW w:w="4992"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835"/>
              <w:gridCol w:w="1897"/>
              <w:gridCol w:w="1145"/>
              <w:gridCol w:w="1265"/>
              <w:gridCol w:w="2301"/>
              <w:gridCol w:w="149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2" w:hRule="atLeast"/>
                <w:jc w:val="center"/>
              </w:trPr>
              <w:tc>
                <w:tcPr>
                  <w:tcW w:w="467" w:type="pct"/>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sz w:val="21"/>
                      <w:szCs w:val="21"/>
                      <w:highlight w:val="none"/>
                      <w:lang w:eastAsia="zh-CN"/>
                    </w:rPr>
                  </w:pPr>
                  <w:r>
                    <w:rPr>
                      <w:rFonts w:hint="default" w:ascii="Times New Roman" w:hAnsi="Times New Roman" w:cs="Times New Roman" w:eastAsiaTheme="minorEastAsia"/>
                      <w:color w:val="auto"/>
                      <w:sz w:val="21"/>
                      <w:szCs w:val="21"/>
                      <w:highlight w:val="none"/>
                      <w:lang w:eastAsia="zh-CN"/>
                    </w:rPr>
                    <w:t>序号</w:t>
                  </w:r>
                </w:p>
              </w:tc>
              <w:tc>
                <w:tcPr>
                  <w:tcW w:w="1060" w:type="pct"/>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sz w:val="21"/>
                      <w:szCs w:val="21"/>
                      <w:highlight w:val="none"/>
                    </w:rPr>
                    <w:t>名称</w:t>
                  </w:r>
                </w:p>
              </w:tc>
              <w:tc>
                <w:tcPr>
                  <w:tcW w:w="640" w:type="pct"/>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sz w:val="21"/>
                      <w:szCs w:val="21"/>
                      <w:highlight w:val="none"/>
                    </w:rPr>
                    <w:t>单位</w:t>
                  </w:r>
                </w:p>
              </w:tc>
              <w:tc>
                <w:tcPr>
                  <w:tcW w:w="707" w:type="pct"/>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用量</w:t>
                  </w:r>
                </w:p>
              </w:tc>
              <w:tc>
                <w:tcPr>
                  <w:tcW w:w="1286" w:type="pct"/>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规格</w:t>
                  </w:r>
                </w:p>
              </w:tc>
              <w:tc>
                <w:tcPr>
                  <w:tcW w:w="837" w:type="pct"/>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贮存位置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467" w:type="pct"/>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color w:val="auto"/>
                      <w:sz w:val="21"/>
                      <w:szCs w:val="21"/>
                      <w:highlight w:val="none"/>
                      <w:lang w:val="en-US" w:eastAsia="zh-CN"/>
                    </w:rPr>
                    <w:t>1</w:t>
                  </w:r>
                </w:p>
              </w:tc>
              <w:tc>
                <w:tcPr>
                  <w:tcW w:w="1060"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钢板</w:t>
                  </w:r>
                </w:p>
              </w:tc>
              <w:tc>
                <w:tcPr>
                  <w:tcW w:w="640"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吨/年</w:t>
                  </w:r>
                </w:p>
              </w:tc>
              <w:tc>
                <w:tcPr>
                  <w:tcW w:w="707"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165</w:t>
                  </w:r>
                </w:p>
              </w:tc>
              <w:tc>
                <w:tcPr>
                  <w:tcW w:w="1286" w:type="pct"/>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厚度4.5-60mm</w:t>
                  </w:r>
                </w:p>
              </w:tc>
              <w:tc>
                <w:tcPr>
                  <w:tcW w:w="837" w:type="pct"/>
                  <w:vMerge w:val="restart"/>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1号车间、库房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5" w:hRule="atLeast"/>
                <w:jc w:val="center"/>
              </w:trPr>
              <w:tc>
                <w:tcPr>
                  <w:tcW w:w="467" w:type="pct"/>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kern w:val="0"/>
                      <w:sz w:val="21"/>
                      <w:szCs w:val="21"/>
                      <w:highlight w:val="none"/>
                      <w:lang w:val="en-US" w:eastAsia="zh-CN" w:bidi="ar-SA"/>
                    </w:rPr>
                  </w:pPr>
                  <w:r>
                    <w:rPr>
                      <w:rFonts w:hint="eastAsia" w:ascii="Times New Roman" w:hAnsi="Times New Roman" w:cs="Times New Roman" w:eastAsiaTheme="minorEastAsia"/>
                      <w:color w:val="auto"/>
                      <w:kern w:val="0"/>
                      <w:sz w:val="21"/>
                      <w:szCs w:val="21"/>
                      <w:highlight w:val="none"/>
                      <w:lang w:val="en-US" w:eastAsia="zh-CN" w:bidi="ar-SA"/>
                    </w:rPr>
                    <w:t>2</w:t>
                  </w:r>
                </w:p>
              </w:tc>
              <w:tc>
                <w:tcPr>
                  <w:tcW w:w="1060"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圆钢</w:t>
                  </w:r>
                </w:p>
              </w:tc>
              <w:tc>
                <w:tcPr>
                  <w:tcW w:w="640"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吨/年</w:t>
                  </w:r>
                </w:p>
              </w:tc>
              <w:tc>
                <w:tcPr>
                  <w:tcW w:w="707"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30</w:t>
                  </w:r>
                </w:p>
              </w:tc>
              <w:tc>
                <w:tcPr>
                  <w:tcW w:w="1286" w:type="pct"/>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Φ8-300</w:t>
                  </w:r>
                </w:p>
              </w:tc>
              <w:tc>
                <w:tcPr>
                  <w:tcW w:w="837" w:type="pct"/>
                  <w:vMerge w:val="continue"/>
                  <w:tcBorders>
                    <w:tl2br w:val="nil"/>
                    <w:tr2bl w:val="nil"/>
                  </w:tcBorders>
                  <w:noWrap w:val="0"/>
                  <w:vAlign w:val="center"/>
                </w:tcPr>
                <w:p>
                  <w:pPr>
                    <w:pStyle w:val="81"/>
                    <w:bidi w:val="0"/>
                    <w:spacing w:line="240" w:lineRule="auto"/>
                    <w:rPr>
                      <w:rFonts w:hint="eastAsia" w:ascii="Times New Roman" w:hAnsi="Times New Roman" w:cs="Times New Roman" w:eastAsiaTheme="minorEastAsia"/>
                      <w:color w:val="auto"/>
                      <w:sz w:val="21"/>
                      <w:szCs w:val="21"/>
                      <w:highlight w:val="none"/>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467" w:type="pct"/>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kern w:val="0"/>
                      <w:sz w:val="21"/>
                      <w:szCs w:val="21"/>
                      <w:highlight w:val="none"/>
                      <w:lang w:val="en-US" w:eastAsia="zh-CN" w:bidi="ar-SA"/>
                    </w:rPr>
                  </w:pPr>
                  <w:r>
                    <w:rPr>
                      <w:rFonts w:hint="default" w:ascii="Times New Roman" w:hAnsi="Times New Roman" w:cs="Times New Roman" w:eastAsiaTheme="minorEastAsia"/>
                      <w:color w:val="auto"/>
                      <w:sz w:val="21"/>
                      <w:szCs w:val="21"/>
                      <w:highlight w:val="none"/>
                      <w:lang w:val="en-US" w:eastAsia="zh-CN"/>
                    </w:rPr>
                    <w:t>3</w:t>
                  </w:r>
                </w:p>
              </w:tc>
              <w:tc>
                <w:tcPr>
                  <w:tcW w:w="1060"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焊管</w:t>
                  </w:r>
                </w:p>
              </w:tc>
              <w:tc>
                <w:tcPr>
                  <w:tcW w:w="640"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吨/年</w:t>
                  </w:r>
                </w:p>
              </w:tc>
              <w:tc>
                <w:tcPr>
                  <w:tcW w:w="707"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60</w:t>
                  </w:r>
                </w:p>
              </w:tc>
              <w:tc>
                <w:tcPr>
                  <w:tcW w:w="1286" w:type="pct"/>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Φ25、40、89</w:t>
                  </w:r>
                </w:p>
              </w:tc>
              <w:tc>
                <w:tcPr>
                  <w:tcW w:w="837" w:type="pct"/>
                  <w:vMerge w:val="continue"/>
                  <w:tcBorders>
                    <w:tl2br w:val="nil"/>
                    <w:tr2bl w:val="nil"/>
                  </w:tcBorders>
                  <w:noWrap w:val="0"/>
                  <w:vAlign w:val="center"/>
                </w:tcPr>
                <w:p>
                  <w:pPr>
                    <w:pStyle w:val="81"/>
                    <w:bidi w:val="0"/>
                    <w:spacing w:line="240" w:lineRule="auto"/>
                    <w:rPr>
                      <w:rFonts w:hint="eastAsia" w:ascii="Times New Roman" w:hAnsi="Times New Roman" w:cs="Times New Roman" w:eastAsiaTheme="minorEastAsia"/>
                      <w:color w:val="auto"/>
                      <w:sz w:val="21"/>
                      <w:szCs w:val="21"/>
                      <w:highlight w:val="none"/>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08" w:hRule="atLeast"/>
                <w:jc w:val="center"/>
              </w:trPr>
              <w:tc>
                <w:tcPr>
                  <w:tcW w:w="467" w:type="pct"/>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kern w:val="0"/>
                      <w:sz w:val="21"/>
                      <w:szCs w:val="21"/>
                      <w:highlight w:val="none"/>
                      <w:lang w:val="en-US" w:eastAsia="zh-CN" w:bidi="ar-SA"/>
                    </w:rPr>
                  </w:pPr>
                  <w:r>
                    <w:rPr>
                      <w:rFonts w:hint="default" w:ascii="Times New Roman" w:hAnsi="Times New Roman" w:cs="Times New Roman" w:eastAsiaTheme="minorEastAsia"/>
                      <w:color w:val="auto"/>
                      <w:sz w:val="21"/>
                      <w:szCs w:val="21"/>
                      <w:highlight w:val="none"/>
                      <w:lang w:val="en-US" w:eastAsia="zh-CN"/>
                    </w:rPr>
                    <w:t>4</w:t>
                  </w:r>
                </w:p>
              </w:tc>
              <w:tc>
                <w:tcPr>
                  <w:tcW w:w="1060"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kern w:val="2"/>
                      <w:sz w:val="21"/>
                      <w:szCs w:val="21"/>
                      <w:highlight w:val="none"/>
                      <w:lang w:val="en-US" w:eastAsia="zh-CN" w:bidi="ar-SA"/>
                    </w:rPr>
                  </w:pPr>
                  <w:r>
                    <w:rPr>
                      <w:rFonts w:hint="eastAsia" w:cs="Times New Roman" w:eastAsiaTheme="minorEastAsia"/>
                      <w:color w:val="auto"/>
                      <w:kern w:val="2"/>
                      <w:sz w:val="21"/>
                      <w:szCs w:val="21"/>
                      <w:highlight w:val="none"/>
                      <w:lang w:val="en-US" w:eastAsia="zh-CN" w:bidi="ar-SA"/>
                    </w:rPr>
                    <w:t>方管</w:t>
                  </w:r>
                </w:p>
              </w:tc>
              <w:tc>
                <w:tcPr>
                  <w:tcW w:w="640"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kern w:val="2"/>
                      <w:sz w:val="21"/>
                      <w:szCs w:val="21"/>
                      <w:highlight w:val="none"/>
                      <w:lang w:val="en-US" w:eastAsia="zh-CN" w:bidi="ar-SA"/>
                    </w:rPr>
                  </w:pPr>
                  <w:r>
                    <w:rPr>
                      <w:rFonts w:hint="eastAsia" w:cs="Times New Roman" w:eastAsiaTheme="minorEastAsia"/>
                      <w:color w:val="auto"/>
                      <w:sz w:val="21"/>
                      <w:szCs w:val="21"/>
                      <w:highlight w:val="none"/>
                      <w:lang w:val="en-US" w:eastAsia="zh-CN"/>
                    </w:rPr>
                    <w:t>吨/年</w:t>
                  </w:r>
                </w:p>
              </w:tc>
              <w:tc>
                <w:tcPr>
                  <w:tcW w:w="707"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kern w:val="2"/>
                      <w:sz w:val="21"/>
                      <w:szCs w:val="21"/>
                      <w:highlight w:val="none"/>
                      <w:lang w:val="en-US" w:eastAsia="zh-CN" w:bidi="ar-SA"/>
                    </w:rPr>
                  </w:pPr>
                  <w:r>
                    <w:rPr>
                      <w:rFonts w:hint="eastAsia" w:cs="Times New Roman" w:eastAsiaTheme="minorEastAsia"/>
                      <w:color w:val="auto"/>
                      <w:kern w:val="2"/>
                      <w:sz w:val="21"/>
                      <w:szCs w:val="21"/>
                      <w:highlight w:val="none"/>
                      <w:lang w:val="en-US" w:eastAsia="zh-CN" w:bidi="ar-SA"/>
                    </w:rPr>
                    <w:t>95</w:t>
                  </w:r>
                </w:p>
              </w:tc>
              <w:tc>
                <w:tcPr>
                  <w:tcW w:w="1286" w:type="pct"/>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40*40-200*200</w:t>
                  </w:r>
                </w:p>
              </w:tc>
              <w:tc>
                <w:tcPr>
                  <w:tcW w:w="837" w:type="pct"/>
                  <w:vMerge w:val="continue"/>
                  <w:tcBorders>
                    <w:tl2br w:val="nil"/>
                    <w:tr2bl w:val="nil"/>
                  </w:tcBorders>
                  <w:noWrap w:val="0"/>
                  <w:vAlign w:val="center"/>
                </w:tcPr>
                <w:p>
                  <w:pPr>
                    <w:pStyle w:val="81"/>
                    <w:bidi w:val="0"/>
                    <w:spacing w:line="240" w:lineRule="auto"/>
                    <w:rPr>
                      <w:rFonts w:hint="eastAsia" w:ascii="Times New Roman" w:hAnsi="Times New Roman" w:cs="Times New Roman" w:eastAsiaTheme="minorEastAsia"/>
                      <w:color w:val="auto"/>
                      <w:sz w:val="21"/>
                      <w:szCs w:val="21"/>
                      <w:highlight w:val="none"/>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5" w:hRule="atLeast"/>
                <w:jc w:val="center"/>
              </w:trPr>
              <w:tc>
                <w:tcPr>
                  <w:tcW w:w="467" w:type="pct"/>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kern w:val="0"/>
                      <w:sz w:val="21"/>
                      <w:szCs w:val="21"/>
                      <w:highlight w:val="none"/>
                      <w:lang w:val="en-US" w:eastAsia="zh-CN" w:bidi="ar-SA"/>
                    </w:rPr>
                  </w:pPr>
                  <w:r>
                    <w:rPr>
                      <w:rFonts w:hint="default" w:ascii="Times New Roman" w:hAnsi="Times New Roman" w:cs="Times New Roman" w:eastAsiaTheme="minorEastAsia"/>
                      <w:color w:val="auto"/>
                      <w:sz w:val="21"/>
                      <w:szCs w:val="21"/>
                      <w:highlight w:val="none"/>
                      <w:lang w:val="en-US" w:eastAsia="zh-CN"/>
                    </w:rPr>
                    <w:t>5</w:t>
                  </w:r>
                </w:p>
              </w:tc>
              <w:tc>
                <w:tcPr>
                  <w:tcW w:w="1060"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kern w:val="2"/>
                      <w:sz w:val="21"/>
                      <w:szCs w:val="21"/>
                      <w:highlight w:val="none"/>
                      <w:lang w:val="en-US" w:eastAsia="zh-CN" w:bidi="ar-SA"/>
                    </w:rPr>
                  </w:pPr>
                  <w:r>
                    <w:rPr>
                      <w:rFonts w:hint="eastAsia" w:cs="Times New Roman" w:eastAsiaTheme="minorEastAsia"/>
                      <w:color w:val="auto"/>
                      <w:kern w:val="2"/>
                      <w:sz w:val="21"/>
                      <w:szCs w:val="21"/>
                      <w:highlight w:val="none"/>
                      <w:lang w:val="en-US" w:eastAsia="zh-CN" w:bidi="ar-SA"/>
                    </w:rPr>
                    <w:t>槽钢</w:t>
                  </w:r>
                </w:p>
              </w:tc>
              <w:tc>
                <w:tcPr>
                  <w:tcW w:w="640"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kern w:val="2"/>
                      <w:sz w:val="21"/>
                      <w:szCs w:val="21"/>
                      <w:highlight w:val="none"/>
                      <w:lang w:val="en-US" w:eastAsia="zh-CN" w:bidi="ar-SA"/>
                    </w:rPr>
                  </w:pPr>
                  <w:r>
                    <w:rPr>
                      <w:rFonts w:hint="eastAsia" w:cs="Times New Roman" w:eastAsiaTheme="minorEastAsia"/>
                      <w:color w:val="auto"/>
                      <w:sz w:val="21"/>
                      <w:szCs w:val="21"/>
                      <w:highlight w:val="none"/>
                      <w:lang w:val="en-US" w:eastAsia="zh-CN"/>
                    </w:rPr>
                    <w:t>吨/年</w:t>
                  </w:r>
                </w:p>
              </w:tc>
              <w:tc>
                <w:tcPr>
                  <w:tcW w:w="707"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kern w:val="2"/>
                      <w:sz w:val="21"/>
                      <w:szCs w:val="21"/>
                      <w:highlight w:val="none"/>
                      <w:lang w:val="en-US" w:eastAsia="zh-CN" w:bidi="ar-SA"/>
                    </w:rPr>
                  </w:pPr>
                  <w:r>
                    <w:rPr>
                      <w:rFonts w:hint="eastAsia" w:cs="Times New Roman" w:eastAsiaTheme="minorEastAsia"/>
                      <w:color w:val="auto"/>
                      <w:kern w:val="2"/>
                      <w:sz w:val="21"/>
                      <w:szCs w:val="21"/>
                      <w:highlight w:val="none"/>
                      <w:lang w:val="en-US" w:eastAsia="zh-CN" w:bidi="ar-SA"/>
                    </w:rPr>
                    <w:t>2</w:t>
                  </w:r>
                </w:p>
              </w:tc>
              <w:tc>
                <w:tcPr>
                  <w:tcW w:w="1286" w:type="pct"/>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5#-16#</w:t>
                  </w:r>
                </w:p>
              </w:tc>
              <w:tc>
                <w:tcPr>
                  <w:tcW w:w="837" w:type="pct"/>
                  <w:vMerge w:val="continue"/>
                  <w:tcBorders>
                    <w:tl2br w:val="nil"/>
                    <w:tr2bl w:val="nil"/>
                  </w:tcBorders>
                  <w:noWrap w:val="0"/>
                  <w:vAlign w:val="center"/>
                </w:tcPr>
                <w:p>
                  <w:pPr>
                    <w:pStyle w:val="81"/>
                    <w:bidi w:val="0"/>
                    <w:spacing w:line="240" w:lineRule="auto"/>
                    <w:rPr>
                      <w:rFonts w:hint="eastAsia" w:ascii="Times New Roman" w:hAnsi="Times New Roman" w:cs="Times New Roman" w:eastAsiaTheme="minorEastAsia"/>
                      <w:color w:val="auto"/>
                      <w:sz w:val="21"/>
                      <w:szCs w:val="21"/>
                      <w:highlight w:val="none"/>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0" w:hRule="atLeast"/>
                <w:jc w:val="center"/>
              </w:trPr>
              <w:tc>
                <w:tcPr>
                  <w:tcW w:w="467" w:type="pct"/>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kern w:val="0"/>
                      <w:sz w:val="21"/>
                      <w:szCs w:val="21"/>
                      <w:highlight w:val="none"/>
                      <w:lang w:val="en-US" w:eastAsia="zh-CN" w:bidi="ar-SA"/>
                    </w:rPr>
                  </w:pPr>
                  <w:r>
                    <w:rPr>
                      <w:rFonts w:hint="default" w:ascii="Times New Roman" w:hAnsi="Times New Roman" w:cs="Times New Roman" w:eastAsiaTheme="minorEastAsia"/>
                      <w:color w:val="auto"/>
                      <w:sz w:val="21"/>
                      <w:szCs w:val="21"/>
                      <w:highlight w:val="none"/>
                      <w:lang w:val="en-US" w:eastAsia="zh-CN"/>
                    </w:rPr>
                    <w:t>6</w:t>
                  </w:r>
                </w:p>
              </w:tc>
              <w:tc>
                <w:tcPr>
                  <w:tcW w:w="1060"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kern w:val="2"/>
                      <w:sz w:val="21"/>
                      <w:szCs w:val="21"/>
                      <w:highlight w:val="none"/>
                      <w:lang w:val="en-US" w:eastAsia="zh-CN" w:bidi="ar-SA"/>
                    </w:rPr>
                  </w:pPr>
                  <w:r>
                    <w:rPr>
                      <w:rFonts w:hint="eastAsia" w:cs="Times New Roman" w:eastAsiaTheme="minorEastAsia"/>
                      <w:color w:val="auto"/>
                      <w:kern w:val="2"/>
                      <w:sz w:val="21"/>
                      <w:szCs w:val="21"/>
                      <w:highlight w:val="none"/>
                      <w:lang w:val="en-US" w:eastAsia="zh-CN" w:bidi="ar-SA"/>
                    </w:rPr>
                    <w:t>角钢</w:t>
                  </w:r>
                </w:p>
              </w:tc>
              <w:tc>
                <w:tcPr>
                  <w:tcW w:w="640"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kern w:val="2"/>
                      <w:sz w:val="21"/>
                      <w:szCs w:val="21"/>
                      <w:highlight w:val="none"/>
                      <w:lang w:val="en-US" w:eastAsia="zh-CN" w:bidi="ar-SA"/>
                    </w:rPr>
                  </w:pPr>
                  <w:r>
                    <w:rPr>
                      <w:rFonts w:hint="eastAsia" w:cs="Times New Roman" w:eastAsiaTheme="minorEastAsia"/>
                      <w:color w:val="auto"/>
                      <w:sz w:val="21"/>
                      <w:szCs w:val="21"/>
                      <w:highlight w:val="none"/>
                      <w:lang w:val="en-US" w:eastAsia="zh-CN"/>
                    </w:rPr>
                    <w:t>吨/年</w:t>
                  </w:r>
                </w:p>
              </w:tc>
              <w:tc>
                <w:tcPr>
                  <w:tcW w:w="707"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kern w:val="2"/>
                      <w:sz w:val="21"/>
                      <w:szCs w:val="21"/>
                      <w:highlight w:val="none"/>
                      <w:lang w:val="en-US" w:eastAsia="zh-CN" w:bidi="ar-SA"/>
                    </w:rPr>
                  </w:pPr>
                  <w:r>
                    <w:rPr>
                      <w:rFonts w:hint="eastAsia" w:cs="Times New Roman" w:eastAsiaTheme="minorEastAsia"/>
                      <w:color w:val="auto"/>
                      <w:kern w:val="2"/>
                      <w:sz w:val="21"/>
                      <w:szCs w:val="21"/>
                      <w:highlight w:val="none"/>
                      <w:lang w:val="en-US" w:eastAsia="zh-CN" w:bidi="ar-SA"/>
                    </w:rPr>
                    <w:t>7</w:t>
                  </w:r>
                </w:p>
              </w:tc>
              <w:tc>
                <w:tcPr>
                  <w:tcW w:w="1286" w:type="pct"/>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2.5#-6.3#</w:t>
                  </w:r>
                </w:p>
              </w:tc>
              <w:tc>
                <w:tcPr>
                  <w:tcW w:w="837" w:type="pct"/>
                  <w:vMerge w:val="continue"/>
                  <w:tcBorders>
                    <w:tl2br w:val="nil"/>
                    <w:tr2bl w:val="nil"/>
                  </w:tcBorders>
                  <w:noWrap w:val="0"/>
                  <w:vAlign w:val="center"/>
                </w:tcPr>
                <w:p>
                  <w:pPr>
                    <w:pStyle w:val="81"/>
                    <w:bidi w:val="0"/>
                    <w:spacing w:line="240" w:lineRule="auto"/>
                    <w:rPr>
                      <w:rFonts w:hint="eastAsia" w:ascii="Times New Roman" w:hAnsi="Times New Roman" w:cs="Times New Roman" w:eastAsiaTheme="minorEastAsia"/>
                      <w:color w:val="auto"/>
                      <w:sz w:val="21"/>
                      <w:szCs w:val="21"/>
                      <w:highlight w:val="none"/>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0" w:hRule="atLeast"/>
                <w:jc w:val="center"/>
              </w:trPr>
              <w:tc>
                <w:tcPr>
                  <w:tcW w:w="467" w:type="pct"/>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kern w:val="0"/>
                      <w:sz w:val="21"/>
                      <w:szCs w:val="21"/>
                      <w:highlight w:val="none"/>
                      <w:lang w:val="en-US" w:eastAsia="zh-CN" w:bidi="ar-SA"/>
                    </w:rPr>
                  </w:pPr>
                  <w:r>
                    <w:rPr>
                      <w:rFonts w:hint="default" w:ascii="Times New Roman" w:hAnsi="Times New Roman" w:cs="Times New Roman" w:eastAsiaTheme="minorEastAsia"/>
                      <w:color w:val="auto"/>
                      <w:sz w:val="21"/>
                      <w:szCs w:val="21"/>
                      <w:highlight w:val="none"/>
                      <w:lang w:val="en-US" w:eastAsia="zh-CN"/>
                    </w:rPr>
                    <w:t>7</w:t>
                  </w:r>
                </w:p>
              </w:tc>
              <w:tc>
                <w:tcPr>
                  <w:tcW w:w="1060"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H型钢</w:t>
                  </w:r>
                </w:p>
              </w:tc>
              <w:tc>
                <w:tcPr>
                  <w:tcW w:w="640" w:type="pct"/>
                  <w:tcBorders>
                    <w:tl2br w:val="nil"/>
                    <w:tr2bl w:val="nil"/>
                  </w:tcBorders>
                  <w:noWrap w:val="0"/>
                  <w:vAlign w:val="center"/>
                </w:tcPr>
                <w:p>
                  <w:pPr>
                    <w:spacing w:line="240" w:lineRule="auto"/>
                    <w:jc w:val="center"/>
                    <w:rPr>
                      <w:rFonts w:hint="eastAsia"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吨/年</w:t>
                  </w:r>
                </w:p>
              </w:tc>
              <w:tc>
                <w:tcPr>
                  <w:tcW w:w="707"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3.2</w:t>
                  </w:r>
                </w:p>
              </w:tc>
              <w:tc>
                <w:tcPr>
                  <w:tcW w:w="1286" w:type="pct"/>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1#-6#</w:t>
                  </w:r>
                </w:p>
              </w:tc>
              <w:tc>
                <w:tcPr>
                  <w:tcW w:w="837" w:type="pct"/>
                  <w:vMerge w:val="continue"/>
                  <w:tcBorders>
                    <w:tl2br w:val="nil"/>
                    <w:tr2bl w:val="nil"/>
                  </w:tcBorders>
                  <w:noWrap w:val="0"/>
                  <w:vAlign w:val="center"/>
                </w:tcPr>
                <w:p>
                  <w:pPr>
                    <w:pStyle w:val="81"/>
                    <w:bidi w:val="0"/>
                    <w:spacing w:line="240" w:lineRule="auto"/>
                    <w:rPr>
                      <w:rFonts w:hint="eastAsia" w:ascii="Times New Roman" w:hAnsi="Times New Roman" w:cs="Times New Roman" w:eastAsiaTheme="minorEastAsia"/>
                      <w:color w:val="auto"/>
                      <w:sz w:val="21"/>
                      <w:szCs w:val="21"/>
                      <w:highlight w:val="none"/>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467" w:type="pct"/>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kern w:val="0"/>
                      <w:sz w:val="21"/>
                      <w:szCs w:val="21"/>
                      <w:highlight w:val="none"/>
                      <w:lang w:val="en-US" w:eastAsia="zh-CN" w:bidi="ar-SA"/>
                    </w:rPr>
                  </w:pPr>
                  <w:r>
                    <w:rPr>
                      <w:rFonts w:hint="default" w:ascii="Times New Roman" w:hAnsi="Times New Roman" w:cs="Times New Roman" w:eastAsiaTheme="minorEastAsia"/>
                      <w:color w:val="auto"/>
                      <w:sz w:val="21"/>
                      <w:szCs w:val="21"/>
                      <w:highlight w:val="none"/>
                      <w:lang w:val="en-US" w:eastAsia="zh-CN"/>
                    </w:rPr>
                    <w:t>8</w:t>
                  </w:r>
                </w:p>
              </w:tc>
              <w:tc>
                <w:tcPr>
                  <w:tcW w:w="1060"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kern w:val="2"/>
                      <w:sz w:val="21"/>
                      <w:szCs w:val="21"/>
                      <w:highlight w:val="none"/>
                      <w:lang w:val="en-US" w:eastAsia="zh-CN" w:bidi="ar-SA"/>
                    </w:rPr>
                  </w:pPr>
                  <w:r>
                    <w:rPr>
                      <w:rFonts w:hint="eastAsia" w:cs="Times New Roman" w:eastAsiaTheme="minorEastAsia"/>
                      <w:color w:val="auto"/>
                      <w:kern w:val="2"/>
                      <w:sz w:val="21"/>
                      <w:szCs w:val="21"/>
                      <w:highlight w:val="none"/>
                      <w:lang w:val="en-US" w:eastAsia="zh-CN" w:bidi="ar-SA"/>
                    </w:rPr>
                    <w:t>热镀管</w:t>
                  </w:r>
                </w:p>
              </w:tc>
              <w:tc>
                <w:tcPr>
                  <w:tcW w:w="640"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kern w:val="2"/>
                      <w:sz w:val="21"/>
                      <w:szCs w:val="21"/>
                      <w:highlight w:val="none"/>
                      <w:lang w:val="en-US" w:eastAsia="zh-CN" w:bidi="ar-SA"/>
                    </w:rPr>
                  </w:pPr>
                  <w:r>
                    <w:rPr>
                      <w:rFonts w:hint="eastAsia" w:cs="Times New Roman" w:eastAsiaTheme="minorEastAsia"/>
                      <w:color w:val="auto"/>
                      <w:sz w:val="21"/>
                      <w:szCs w:val="21"/>
                      <w:highlight w:val="none"/>
                      <w:lang w:val="en-US" w:eastAsia="zh-CN"/>
                    </w:rPr>
                    <w:t>吨/年</w:t>
                  </w:r>
                </w:p>
              </w:tc>
              <w:tc>
                <w:tcPr>
                  <w:tcW w:w="707"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kern w:val="2"/>
                      <w:sz w:val="21"/>
                      <w:szCs w:val="21"/>
                      <w:highlight w:val="none"/>
                      <w:lang w:val="en-US" w:eastAsia="zh-CN" w:bidi="ar-SA"/>
                    </w:rPr>
                  </w:pPr>
                  <w:r>
                    <w:rPr>
                      <w:rFonts w:hint="eastAsia" w:cs="Times New Roman" w:eastAsiaTheme="minorEastAsia"/>
                      <w:color w:val="auto"/>
                      <w:kern w:val="2"/>
                      <w:sz w:val="21"/>
                      <w:szCs w:val="21"/>
                      <w:highlight w:val="none"/>
                      <w:lang w:val="en-US" w:eastAsia="zh-CN" w:bidi="ar-SA"/>
                    </w:rPr>
                    <w:t>2</w:t>
                  </w:r>
                </w:p>
              </w:tc>
              <w:tc>
                <w:tcPr>
                  <w:tcW w:w="1286" w:type="pct"/>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1.5*2.5-42-2.5</w:t>
                  </w:r>
                </w:p>
              </w:tc>
              <w:tc>
                <w:tcPr>
                  <w:tcW w:w="837" w:type="pct"/>
                  <w:vMerge w:val="continue"/>
                  <w:tcBorders>
                    <w:tl2br w:val="nil"/>
                    <w:tr2bl w:val="nil"/>
                  </w:tcBorders>
                  <w:noWrap w:val="0"/>
                  <w:vAlign w:val="center"/>
                </w:tcPr>
                <w:p>
                  <w:pPr>
                    <w:pStyle w:val="81"/>
                    <w:bidi w:val="0"/>
                    <w:spacing w:line="240" w:lineRule="auto"/>
                    <w:rPr>
                      <w:rFonts w:hint="eastAsia" w:ascii="Times New Roman" w:hAnsi="Times New Roman" w:cs="Times New Roman" w:eastAsiaTheme="minorEastAsia"/>
                      <w:color w:val="auto"/>
                      <w:sz w:val="21"/>
                      <w:szCs w:val="21"/>
                      <w:highlight w:val="none"/>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5" w:hRule="atLeast"/>
                <w:jc w:val="center"/>
              </w:trPr>
              <w:tc>
                <w:tcPr>
                  <w:tcW w:w="467" w:type="pct"/>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kern w:val="0"/>
                      <w:sz w:val="21"/>
                      <w:szCs w:val="21"/>
                      <w:highlight w:val="none"/>
                      <w:lang w:val="en-US" w:eastAsia="zh-CN" w:bidi="ar-SA"/>
                    </w:rPr>
                  </w:pPr>
                  <w:r>
                    <w:rPr>
                      <w:rFonts w:hint="default" w:ascii="Times New Roman" w:hAnsi="Times New Roman" w:cs="Times New Roman" w:eastAsiaTheme="minorEastAsia"/>
                      <w:color w:val="auto"/>
                      <w:sz w:val="21"/>
                      <w:szCs w:val="21"/>
                      <w:highlight w:val="none"/>
                      <w:lang w:val="en-US" w:eastAsia="zh-CN"/>
                    </w:rPr>
                    <w:t>9</w:t>
                  </w:r>
                </w:p>
              </w:tc>
              <w:tc>
                <w:tcPr>
                  <w:tcW w:w="1060"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kern w:val="2"/>
                      <w:sz w:val="21"/>
                      <w:szCs w:val="21"/>
                      <w:highlight w:val="none"/>
                      <w:lang w:val="en-US" w:eastAsia="zh-CN" w:bidi="ar-SA"/>
                    </w:rPr>
                  </w:pPr>
                  <w:r>
                    <w:rPr>
                      <w:rFonts w:hint="eastAsia" w:cs="Times New Roman" w:eastAsiaTheme="minorEastAsia"/>
                      <w:color w:val="auto"/>
                      <w:kern w:val="2"/>
                      <w:sz w:val="21"/>
                      <w:szCs w:val="21"/>
                      <w:highlight w:val="none"/>
                      <w:lang w:val="en-US" w:eastAsia="zh-CN" w:bidi="ar-SA"/>
                    </w:rPr>
                    <w:t>无铅焊条</w:t>
                  </w:r>
                </w:p>
              </w:tc>
              <w:tc>
                <w:tcPr>
                  <w:tcW w:w="640"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kern w:val="2"/>
                      <w:sz w:val="21"/>
                      <w:szCs w:val="21"/>
                      <w:highlight w:val="none"/>
                      <w:lang w:val="en-US" w:eastAsia="zh-CN" w:bidi="ar-SA"/>
                    </w:rPr>
                  </w:pPr>
                  <w:r>
                    <w:rPr>
                      <w:rFonts w:hint="eastAsia" w:cs="Times New Roman" w:eastAsiaTheme="minorEastAsia"/>
                      <w:color w:val="auto"/>
                      <w:sz w:val="21"/>
                      <w:szCs w:val="21"/>
                      <w:highlight w:val="none"/>
                      <w:lang w:val="en-US" w:eastAsia="zh-CN"/>
                    </w:rPr>
                    <w:t>吨/年</w:t>
                  </w:r>
                </w:p>
              </w:tc>
              <w:tc>
                <w:tcPr>
                  <w:tcW w:w="707"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kern w:val="2"/>
                      <w:sz w:val="21"/>
                      <w:szCs w:val="21"/>
                      <w:highlight w:val="none"/>
                      <w:lang w:val="en-US" w:eastAsia="zh-CN" w:bidi="ar-SA"/>
                    </w:rPr>
                  </w:pPr>
                  <w:r>
                    <w:rPr>
                      <w:rFonts w:hint="eastAsia" w:cs="Times New Roman" w:eastAsiaTheme="minorEastAsia"/>
                      <w:color w:val="auto"/>
                      <w:kern w:val="2"/>
                      <w:sz w:val="21"/>
                      <w:szCs w:val="21"/>
                      <w:highlight w:val="none"/>
                      <w:lang w:val="en-US" w:eastAsia="zh-CN" w:bidi="ar-SA"/>
                    </w:rPr>
                    <w:t>200</w:t>
                  </w:r>
                </w:p>
              </w:tc>
              <w:tc>
                <w:tcPr>
                  <w:tcW w:w="1286" w:type="pct"/>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2.0、2.5、3.2</w:t>
                  </w:r>
                </w:p>
              </w:tc>
              <w:tc>
                <w:tcPr>
                  <w:tcW w:w="837" w:type="pct"/>
                  <w:vMerge w:val="continue"/>
                  <w:tcBorders>
                    <w:tl2br w:val="nil"/>
                    <w:tr2bl w:val="nil"/>
                  </w:tcBorders>
                  <w:noWrap w:val="0"/>
                  <w:vAlign w:val="center"/>
                </w:tcPr>
                <w:p>
                  <w:pPr>
                    <w:pStyle w:val="81"/>
                    <w:bidi w:val="0"/>
                    <w:spacing w:line="240" w:lineRule="auto"/>
                    <w:rPr>
                      <w:rFonts w:hint="eastAsia" w:ascii="Times New Roman" w:hAnsi="Times New Roman" w:cs="Times New Roman" w:eastAsiaTheme="minorEastAsia"/>
                      <w:color w:val="auto"/>
                      <w:sz w:val="21"/>
                      <w:szCs w:val="21"/>
                      <w:highlight w:val="none"/>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0" w:hRule="atLeast"/>
                <w:jc w:val="center"/>
              </w:trPr>
              <w:tc>
                <w:tcPr>
                  <w:tcW w:w="467" w:type="pct"/>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kern w:val="0"/>
                      <w:sz w:val="21"/>
                      <w:szCs w:val="21"/>
                      <w:highlight w:val="none"/>
                      <w:lang w:val="en-US" w:eastAsia="zh-CN" w:bidi="ar-SA"/>
                    </w:rPr>
                  </w:pPr>
                  <w:r>
                    <w:rPr>
                      <w:rFonts w:hint="eastAsia" w:ascii="Times New Roman" w:hAnsi="Times New Roman" w:cs="Times New Roman" w:eastAsiaTheme="minorEastAsia"/>
                      <w:color w:val="auto"/>
                      <w:kern w:val="0"/>
                      <w:sz w:val="21"/>
                      <w:szCs w:val="21"/>
                      <w:highlight w:val="none"/>
                      <w:lang w:val="en-US" w:eastAsia="zh-CN" w:bidi="ar-SA"/>
                    </w:rPr>
                    <w:t>10</w:t>
                  </w:r>
                </w:p>
              </w:tc>
              <w:tc>
                <w:tcPr>
                  <w:tcW w:w="1060"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kern w:val="2"/>
                      <w:sz w:val="21"/>
                      <w:szCs w:val="21"/>
                      <w:highlight w:val="none"/>
                      <w:lang w:val="en-US" w:eastAsia="zh-CN" w:bidi="ar-SA"/>
                    </w:rPr>
                  </w:pPr>
                  <w:r>
                    <w:rPr>
                      <w:rFonts w:hint="eastAsia" w:cs="Times New Roman" w:eastAsiaTheme="minorEastAsia"/>
                      <w:color w:val="auto"/>
                      <w:kern w:val="2"/>
                      <w:sz w:val="21"/>
                      <w:szCs w:val="21"/>
                      <w:highlight w:val="none"/>
                      <w:lang w:val="en-US" w:eastAsia="zh-CN" w:bidi="ar-SA"/>
                    </w:rPr>
                    <w:t>润滑油</w:t>
                  </w:r>
                </w:p>
              </w:tc>
              <w:tc>
                <w:tcPr>
                  <w:tcW w:w="640"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Kg/年</w:t>
                  </w:r>
                </w:p>
              </w:tc>
              <w:tc>
                <w:tcPr>
                  <w:tcW w:w="707"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150</w:t>
                  </w:r>
                </w:p>
              </w:tc>
              <w:tc>
                <w:tcPr>
                  <w:tcW w:w="1286" w:type="pct"/>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220kg/桶</w:t>
                  </w:r>
                </w:p>
              </w:tc>
              <w:tc>
                <w:tcPr>
                  <w:tcW w:w="837" w:type="pct"/>
                  <w:vMerge w:val="restart"/>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1号生产车间、库房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0" w:hRule="atLeast"/>
                <w:jc w:val="center"/>
              </w:trPr>
              <w:tc>
                <w:tcPr>
                  <w:tcW w:w="467" w:type="pct"/>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kern w:val="0"/>
                      <w:sz w:val="21"/>
                      <w:szCs w:val="21"/>
                      <w:highlight w:val="none"/>
                      <w:lang w:val="en-US" w:eastAsia="zh-CN" w:bidi="ar-SA"/>
                    </w:rPr>
                  </w:pPr>
                  <w:r>
                    <w:rPr>
                      <w:rFonts w:hint="eastAsia" w:ascii="Times New Roman" w:hAnsi="Times New Roman" w:cs="Times New Roman" w:eastAsiaTheme="minorEastAsia"/>
                      <w:color w:val="auto"/>
                      <w:kern w:val="0"/>
                      <w:sz w:val="21"/>
                      <w:szCs w:val="21"/>
                      <w:highlight w:val="none"/>
                      <w:lang w:val="en-US" w:eastAsia="zh-CN" w:bidi="ar-SA"/>
                    </w:rPr>
                    <w:t>11</w:t>
                  </w:r>
                </w:p>
              </w:tc>
              <w:tc>
                <w:tcPr>
                  <w:tcW w:w="1060"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kern w:val="2"/>
                      <w:sz w:val="21"/>
                      <w:szCs w:val="21"/>
                      <w:highlight w:val="none"/>
                      <w:lang w:val="en-US" w:eastAsia="zh-CN" w:bidi="ar-SA"/>
                    </w:rPr>
                  </w:pPr>
                  <w:r>
                    <w:rPr>
                      <w:rFonts w:hint="eastAsia" w:cs="Times New Roman" w:eastAsiaTheme="minorEastAsia"/>
                      <w:color w:val="auto"/>
                      <w:kern w:val="2"/>
                      <w:sz w:val="21"/>
                      <w:szCs w:val="21"/>
                      <w:highlight w:val="none"/>
                      <w:lang w:val="en-US" w:eastAsia="zh-CN" w:bidi="ar-SA"/>
                    </w:rPr>
                    <w:t>机油</w:t>
                  </w:r>
                </w:p>
              </w:tc>
              <w:tc>
                <w:tcPr>
                  <w:tcW w:w="640"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Kg/年</w:t>
                  </w:r>
                </w:p>
              </w:tc>
              <w:tc>
                <w:tcPr>
                  <w:tcW w:w="707"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35</w:t>
                  </w:r>
                </w:p>
              </w:tc>
              <w:tc>
                <w:tcPr>
                  <w:tcW w:w="1286" w:type="pct"/>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25kg/桶</w:t>
                  </w:r>
                </w:p>
              </w:tc>
              <w:tc>
                <w:tcPr>
                  <w:tcW w:w="837" w:type="pct"/>
                  <w:vMerge w:val="continue"/>
                  <w:tcBorders>
                    <w:tl2br w:val="nil"/>
                    <w:tr2bl w:val="nil"/>
                  </w:tcBorders>
                  <w:noWrap w:val="0"/>
                  <w:vAlign w:val="center"/>
                </w:tcPr>
                <w:p>
                  <w:pPr>
                    <w:pStyle w:val="81"/>
                    <w:bidi w:val="0"/>
                    <w:spacing w:line="240" w:lineRule="auto"/>
                    <w:rPr>
                      <w:rFonts w:hint="eastAsia" w:ascii="Times New Roman" w:hAnsi="Times New Roman" w:cs="Times New Roman" w:eastAsiaTheme="minorEastAsia"/>
                      <w:color w:val="auto"/>
                      <w:sz w:val="21"/>
                      <w:szCs w:val="21"/>
                      <w:highlight w:val="none"/>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467" w:type="pct"/>
                  <w:tcBorders>
                    <w:tl2br w:val="nil"/>
                    <w:tr2bl w:val="nil"/>
                  </w:tcBorders>
                  <w:noWrap w:val="0"/>
                  <w:vAlign w:val="center"/>
                </w:tcPr>
                <w:p>
                  <w:pPr>
                    <w:pStyle w:val="81"/>
                    <w:bidi w:val="0"/>
                    <w:spacing w:line="240" w:lineRule="auto"/>
                    <w:rPr>
                      <w:rFonts w:hint="eastAsia" w:ascii="Times New Roman" w:hAnsi="Times New Roman" w:cs="Times New Roman" w:eastAsiaTheme="minorEastAsia"/>
                      <w:color w:val="auto"/>
                      <w:kern w:val="0"/>
                      <w:sz w:val="21"/>
                      <w:szCs w:val="21"/>
                      <w:highlight w:val="none"/>
                      <w:lang w:val="en-US" w:eastAsia="zh-CN" w:bidi="ar-SA"/>
                    </w:rPr>
                  </w:pPr>
                  <w:r>
                    <w:rPr>
                      <w:rFonts w:hint="eastAsia" w:ascii="Times New Roman" w:hAnsi="Times New Roman" w:cs="Times New Roman" w:eastAsiaTheme="minorEastAsia"/>
                      <w:color w:val="auto"/>
                      <w:kern w:val="0"/>
                      <w:sz w:val="21"/>
                      <w:szCs w:val="21"/>
                      <w:highlight w:val="none"/>
                      <w:lang w:val="en-US" w:eastAsia="zh-CN" w:bidi="ar-SA"/>
                    </w:rPr>
                    <w:t>12</w:t>
                  </w:r>
                </w:p>
              </w:tc>
              <w:tc>
                <w:tcPr>
                  <w:tcW w:w="1060" w:type="pct"/>
                  <w:tcBorders>
                    <w:tl2br w:val="nil"/>
                    <w:tr2bl w:val="nil"/>
                  </w:tcBorders>
                  <w:noWrap w:val="0"/>
                  <w:vAlign w:val="center"/>
                </w:tcPr>
                <w:p>
                  <w:pPr>
                    <w:spacing w:line="240" w:lineRule="auto"/>
                    <w:jc w:val="center"/>
                    <w:rPr>
                      <w:rFonts w:hint="default" w:cs="Times New Roman" w:eastAsiaTheme="minorEastAsia"/>
                      <w:color w:val="auto"/>
                      <w:kern w:val="2"/>
                      <w:sz w:val="21"/>
                      <w:szCs w:val="21"/>
                      <w:highlight w:val="none"/>
                      <w:lang w:val="en-US" w:eastAsia="zh-CN" w:bidi="ar-SA"/>
                    </w:rPr>
                  </w:pPr>
                  <w:r>
                    <w:rPr>
                      <w:rFonts w:hint="eastAsia" w:cs="Times New Roman" w:eastAsiaTheme="minorEastAsia"/>
                      <w:color w:val="auto"/>
                      <w:kern w:val="2"/>
                      <w:sz w:val="21"/>
                      <w:szCs w:val="21"/>
                      <w:highlight w:val="none"/>
                      <w:lang w:val="en-US" w:eastAsia="zh-CN" w:bidi="ar-SA"/>
                    </w:rPr>
                    <w:t>液压油</w:t>
                  </w:r>
                </w:p>
              </w:tc>
              <w:tc>
                <w:tcPr>
                  <w:tcW w:w="640"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Kg/年</w:t>
                  </w:r>
                </w:p>
              </w:tc>
              <w:tc>
                <w:tcPr>
                  <w:tcW w:w="707"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300</w:t>
                  </w:r>
                </w:p>
              </w:tc>
              <w:tc>
                <w:tcPr>
                  <w:tcW w:w="1286" w:type="pct"/>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220kg/桶</w:t>
                  </w:r>
                </w:p>
              </w:tc>
              <w:tc>
                <w:tcPr>
                  <w:tcW w:w="837" w:type="pct"/>
                  <w:vMerge w:val="continue"/>
                  <w:tcBorders>
                    <w:tl2br w:val="nil"/>
                    <w:tr2bl w:val="nil"/>
                  </w:tcBorders>
                  <w:noWrap w:val="0"/>
                  <w:vAlign w:val="center"/>
                </w:tcPr>
                <w:p>
                  <w:pPr>
                    <w:pStyle w:val="81"/>
                    <w:bidi w:val="0"/>
                    <w:spacing w:line="240" w:lineRule="auto"/>
                    <w:rPr>
                      <w:rFonts w:hint="eastAsia" w:ascii="Times New Roman" w:hAnsi="Times New Roman" w:cs="Times New Roman" w:eastAsiaTheme="minorEastAsia"/>
                      <w:color w:val="auto"/>
                      <w:sz w:val="21"/>
                      <w:szCs w:val="21"/>
                      <w:highlight w:val="none"/>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467" w:type="pct"/>
                  <w:tcBorders>
                    <w:tl2br w:val="nil"/>
                    <w:tr2bl w:val="nil"/>
                  </w:tcBorders>
                  <w:noWrap w:val="0"/>
                  <w:vAlign w:val="center"/>
                </w:tcPr>
                <w:p>
                  <w:pPr>
                    <w:pStyle w:val="81"/>
                    <w:bidi w:val="0"/>
                    <w:spacing w:line="240" w:lineRule="auto"/>
                    <w:rPr>
                      <w:rFonts w:hint="eastAsia" w:ascii="Times New Roman" w:hAnsi="Times New Roman" w:cs="Times New Roman" w:eastAsiaTheme="minorEastAsia"/>
                      <w:color w:val="auto"/>
                      <w:kern w:val="0"/>
                      <w:sz w:val="21"/>
                      <w:szCs w:val="21"/>
                      <w:highlight w:val="none"/>
                      <w:lang w:val="en-US" w:eastAsia="zh-CN" w:bidi="ar-SA"/>
                    </w:rPr>
                  </w:pPr>
                  <w:r>
                    <w:rPr>
                      <w:rFonts w:hint="eastAsia" w:ascii="Times New Roman" w:hAnsi="Times New Roman" w:cs="Times New Roman" w:eastAsiaTheme="minorEastAsia"/>
                      <w:color w:val="auto"/>
                      <w:kern w:val="0"/>
                      <w:sz w:val="21"/>
                      <w:szCs w:val="21"/>
                      <w:highlight w:val="none"/>
                      <w:lang w:val="en-US" w:eastAsia="zh-CN" w:bidi="ar-SA"/>
                    </w:rPr>
                    <w:t>13</w:t>
                  </w:r>
                </w:p>
              </w:tc>
              <w:tc>
                <w:tcPr>
                  <w:tcW w:w="1060" w:type="pct"/>
                  <w:tcBorders>
                    <w:tl2br w:val="nil"/>
                    <w:tr2bl w:val="nil"/>
                  </w:tcBorders>
                  <w:noWrap w:val="0"/>
                  <w:vAlign w:val="center"/>
                </w:tcPr>
                <w:p>
                  <w:pPr>
                    <w:spacing w:line="240" w:lineRule="auto"/>
                    <w:jc w:val="center"/>
                    <w:rPr>
                      <w:rFonts w:hint="default" w:cs="Times New Roman" w:eastAsiaTheme="minorEastAsia"/>
                      <w:color w:val="auto"/>
                      <w:kern w:val="2"/>
                      <w:sz w:val="21"/>
                      <w:szCs w:val="21"/>
                      <w:highlight w:val="none"/>
                      <w:lang w:val="en-US" w:eastAsia="zh-CN" w:bidi="ar-SA"/>
                    </w:rPr>
                  </w:pPr>
                  <w:r>
                    <w:rPr>
                      <w:rFonts w:hint="eastAsia" w:cs="Times New Roman" w:eastAsiaTheme="minorEastAsia"/>
                      <w:color w:val="auto"/>
                      <w:kern w:val="2"/>
                      <w:sz w:val="21"/>
                      <w:szCs w:val="21"/>
                      <w:highlight w:val="none"/>
                      <w:lang w:val="en-US" w:eastAsia="zh-CN" w:bidi="ar-SA"/>
                    </w:rPr>
                    <w:t>乳化液</w:t>
                  </w:r>
                </w:p>
              </w:tc>
              <w:tc>
                <w:tcPr>
                  <w:tcW w:w="640" w:type="pct"/>
                  <w:tcBorders>
                    <w:tl2br w:val="nil"/>
                    <w:tr2bl w:val="nil"/>
                  </w:tcBorders>
                  <w:noWrap w:val="0"/>
                  <w:vAlign w:val="center"/>
                </w:tcPr>
                <w:p>
                  <w:pPr>
                    <w:spacing w:line="240" w:lineRule="auto"/>
                    <w:jc w:val="center"/>
                    <w:rPr>
                      <w:rFonts w:hint="eastAsia"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Kg/年</w:t>
                  </w:r>
                </w:p>
              </w:tc>
              <w:tc>
                <w:tcPr>
                  <w:tcW w:w="707"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75</w:t>
                  </w:r>
                </w:p>
              </w:tc>
              <w:tc>
                <w:tcPr>
                  <w:tcW w:w="1286" w:type="pct"/>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15kg/桶</w:t>
                  </w:r>
                </w:p>
              </w:tc>
              <w:tc>
                <w:tcPr>
                  <w:tcW w:w="837" w:type="pct"/>
                  <w:vMerge w:val="continue"/>
                  <w:tcBorders>
                    <w:tl2br w:val="nil"/>
                    <w:tr2bl w:val="nil"/>
                  </w:tcBorders>
                  <w:noWrap w:val="0"/>
                  <w:vAlign w:val="center"/>
                </w:tcPr>
                <w:p>
                  <w:pPr>
                    <w:pStyle w:val="81"/>
                    <w:bidi w:val="0"/>
                    <w:spacing w:line="240" w:lineRule="auto"/>
                    <w:rPr>
                      <w:rFonts w:hint="eastAsia" w:ascii="Times New Roman" w:hAnsi="Times New Roman" w:cs="Times New Roman" w:eastAsiaTheme="minorEastAsia"/>
                      <w:color w:val="auto"/>
                      <w:sz w:val="21"/>
                      <w:szCs w:val="21"/>
                      <w:highlight w:val="none"/>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467" w:type="pct"/>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kern w:val="0"/>
                      <w:sz w:val="21"/>
                      <w:szCs w:val="21"/>
                      <w:highlight w:val="none"/>
                      <w:lang w:val="en-US" w:eastAsia="zh-CN" w:bidi="ar-SA"/>
                    </w:rPr>
                  </w:pPr>
                  <w:r>
                    <w:rPr>
                      <w:rFonts w:hint="eastAsia" w:ascii="Times New Roman" w:hAnsi="Times New Roman" w:cs="Times New Roman" w:eastAsiaTheme="minorEastAsia"/>
                      <w:color w:val="auto"/>
                      <w:kern w:val="0"/>
                      <w:sz w:val="21"/>
                      <w:szCs w:val="21"/>
                      <w:highlight w:val="none"/>
                      <w:lang w:val="en-US" w:eastAsia="zh-CN" w:bidi="ar-SA"/>
                    </w:rPr>
                    <w:t>14</w:t>
                  </w:r>
                </w:p>
              </w:tc>
              <w:tc>
                <w:tcPr>
                  <w:tcW w:w="1060" w:type="pct"/>
                  <w:tcBorders>
                    <w:tl2br w:val="nil"/>
                    <w:tr2bl w:val="nil"/>
                  </w:tcBorders>
                  <w:noWrap w:val="0"/>
                  <w:vAlign w:val="center"/>
                </w:tcPr>
                <w:p>
                  <w:pPr>
                    <w:spacing w:line="240" w:lineRule="auto"/>
                    <w:jc w:val="center"/>
                    <w:rPr>
                      <w:rFonts w:hint="eastAsia" w:cs="Times New Roman" w:eastAsiaTheme="minorEastAsia"/>
                      <w:color w:val="auto"/>
                      <w:kern w:val="2"/>
                      <w:sz w:val="21"/>
                      <w:szCs w:val="21"/>
                      <w:highlight w:val="none"/>
                      <w:lang w:val="en-US" w:eastAsia="zh-CN" w:bidi="ar-SA"/>
                    </w:rPr>
                  </w:pPr>
                  <w:r>
                    <w:rPr>
                      <w:rFonts w:hint="eastAsia" w:cs="Times New Roman" w:eastAsiaTheme="minorEastAsia"/>
                      <w:color w:val="auto"/>
                      <w:kern w:val="2"/>
                      <w:sz w:val="21"/>
                      <w:szCs w:val="21"/>
                      <w:highlight w:val="none"/>
                      <w:lang w:val="en-US" w:eastAsia="zh-CN" w:bidi="ar-SA"/>
                    </w:rPr>
                    <w:t>混合气</w:t>
                  </w:r>
                </w:p>
              </w:tc>
              <w:tc>
                <w:tcPr>
                  <w:tcW w:w="640" w:type="pct"/>
                  <w:tcBorders>
                    <w:tl2br w:val="nil"/>
                    <w:tr2bl w:val="nil"/>
                  </w:tcBorders>
                  <w:noWrap w:val="0"/>
                  <w:vAlign w:val="center"/>
                </w:tcPr>
                <w:p>
                  <w:pPr>
                    <w:spacing w:line="240" w:lineRule="auto"/>
                    <w:jc w:val="center"/>
                    <w:rPr>
                      <w:rFonts w:hint="eastAsia"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瓶/年</w:t>
                  </w:r>
                </w:p>
              </w:tc>
              <w:tc>
                <w:tcPr>
                  <w:tcW w:w="707" w:type="pct"/>
                  <w:tcBorders>
                    <w:tl2br w:val="nil"/>
                    <w:tr2bl w:val="nil"/>
                  </w:tcBorders>
                  <w:noWrap w:val="0"/>
                  <w:vAlign w:val="center"/>
                </w:tcPr>
                <w:p>
                  <w:pPr>
                    <w:spacing w:line="240" w:lineRule="auto"/>
                    <w:jc w:val="center"/>
                    <w:rPr>
                      <w:rFonts w:hint="eastAsia"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360</w:t>
                  </w:r>
                </w:p>
              </w:tc>
              <w:tc>
                <w:tcPr>
                  <w:tcW w:w="1286" w:type="pct"/>
                  <w:tcBorders>
                    <w:tl2br w:val="nil"/>
                    <w:tr2bl w:val="nil"/>
                  </w:tcBorders>
                  <w:noWrap w:val="0"/>
                  <w:vAlign w:val="center"/>
                </w:tcPr>
                <w:p>
                  <w:pPr>
                    <w:pStyle w:val="81"/>
                    <w:bidi w:val="0"/>
                    <w:spacing w:line="240" w:lineRule="auto"/>
                    <w:rPr>
                      <w:rFonts w:hint="eastAsia"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CO</w:t>
                  </w:r>
                  <w:r>
                    <w:rPr>
                      <w:rFonts w:hint="eastAsia" w:ascii="Times New Roman" w:hAnsi="Times New Roman" w:cs="Times New Roman" w:eastAsiaTheme="minorEastAsia"/>
                      <w:color w:val="auto"/>
                      <w:sz w:val="21"/>
                      <w:szCs w:val="21"/>
                      <w:highlight w:val="none"/>
                      <w:vertAlign w:val="subscript"/>
                      <w:lang w:val="en-US" w:eastAsia="zh-CN"/>
                    </w:rPr>
                    <w:t>2</w:t>
                  </w:r>
                  <w:r>
                    <w:rPr>
                      <w:rFonts w:hint="eastAsia" w:ascii="Times New Roman" w:hAnsi="Times New Roman" w:cs="Times New Roman" w:eastAsiaTheme="minorEastAsia"/>
                      <w:color w:val="auto"/>
                      <w:sz w:val="21"/>
                      <w:szCs w:val="21"/>
                      <w:highlight w:val="none"/>
                      <w:lang w:val="en-US" w:eastAsia="zh-CN"/>
                    </w:rPr>
                    <w:t>和氩气混合气</w:t>
                  </w:r>
                </w:p>
              </w:tc>
              <w:tc>
                <w:tcPr>
                  <w:tcW w:w="837" w:type="pct"/>
                  <w:vMerge w:val="restart"/>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1号、生产车间、库房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467" w:type="pct"/>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kern w:val="0"/>
                      <w:sz w:val="21"/>
                      <w:szCs w:val="21"/>
                      <w:highlight w:val="none"/>
                      <w:lang w:val="en-US" w:eastAsia="zh-CN" w:bidi="ar-SA"/>
                    </w:rPr>
                  </w:pPr>
                  <w:r>
                    <w:rPr>
                      <w:rFonts w:hint="eastAsia" w:ascii="Times New Roman" w:hAnsi="Times New Roman" w:cs="Times New Roman" w:eastAsiaTheme="minorEastAsia"/>
                      <w:color w:val="auto"/>
                      <w:kern w:val="0"/>
                      <w:sz w:val="21"/>
                      <w:szCs w:val="21"/>
                      <w:highlight w:val="none"/>
                      <w:lang w:val="en-US" w:eastAsia="zh-CN" w:bidi="ar-SA"/>
                    </w:rPr>
                    <w:t>15</w:t>
                  </w:r>
                </w:p>
              </w:tc>
              <w:tc>
                <w:tcPr>
                  <w:tcW w:w="1060" w:type="pct"/>
                  <w:tcBorders>
                    <w:tl2br w:val="nil"/>
                    <w:tr2bl w:val="nil"/>
                  </w:tcBorders>
                  <w:noWrap w:val="0"/>
                  <w:vAlign w:val="center"/>
                </w:tcPr>
                <w:p>
                  <w:pPr>
                    <w:spacing w:line="240" w:lineRule="auto"/>
                    <w:jc w:val="center"/>
                    <w:rPr>
                      <w:rFonts w:hint="eastAsia" w:cs="Times New Roman" w:eastAsiaTheme="minorEastAsia"/>
                      <w:color w:val="auto"/>
                      <w:kern w:val="2"/>
                      <w:sz w:val="21"/>
                      <w:szCs w:val="21"/>
                      <w:highlight w:val="none"/>
                      <w:lang w:val="en-US" w:eastAsia="zh-CN" w:bidi="ar-SA"/>
                    </w:rPr>
                  </w:pPr>
                  <w:r>
                    <w:rPr>
                      <w:rFonts w:hint="eastAsia" w:cs="Times New Roman" w:eastAsiaTheme="minorEastAsia"/>
                      <w:color w:val="auto"/>
                      <w:kern w:val="2"/>
                      <w:sz w:val="21"/>
                      <w:szCs w:val="21"/>
                      <w:highlight w:val="none"/>
                      <w:lang w:val="en-US" w:eastAsia="zh-CN" w:bidi="ar-SA"/>
                    </w:rPr>
                    <w:t>氧气</w:t>
                  </w:r>
                </w:p>
              </w:tc>
              <w:tc>
                <w:tcPr>
                  <w:tcW w:w="640" w:type="pct"/>
                  <w:tcBorders>
                    <w:tl2br w:val="nil"/>
                    <w:tr2bl w:val="nil"/>
                  </w:tcBorders>
                  <w:noWrap w:val="0"/>
                  <w:vAlign w:val="center"/>
                </w:tcPr>
                <w:p>
                  <w:pPr>
                    <w:spacing w:line="240" w:lineRule="auto"/>
                    <w:jc w:val="center"/>
                    <w:rPr>
                      <w:rFonts w:hint="eastAsia"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瓶/年</w:t>
                  </w:r>
                </w:p>
              </w:tc>
              <w:tc>
                <w:tcPr>
                  <w:tcW w:w="707" w:type="pct"/>
                  <w:tcBorders>
                    <w:tl2br w:val="nil"/>
                    <w:tr2bl w:val="nil"/>
                  </w:tcBorders>
                  <w:noWrap w:val="0"/>
                  <w:vAlign w:val="center"/>
                </w:tcPr>
                <w:p>
                  <w:pPr>
                    <w:spacing w:line="240" w:lineRule="auto"/>
                    <w:jc w:val="center"/>
                    <w:rPr>
                      <w:rFonts w:hint="eastAsia"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180</w:t>
                  </w:r>
                </w:p>
              </w:tc>
              <w:tc>
                <w:tcPr>
                  <w:tcW w:w="1286" w:type="pct"/>
                  <w:tcBorders>
                    <w:tl2br w:val="nil"/>
                    <w:tr2bl w:val="nil"/>
                  </w:tcBorders>
                  <w:noWrap w:val="0"/>
                  <w:vAlign w:val="center"/>
                </w:tcPr>
                <w:p>
                  <w:pPr>
                    <w:bidi w:val="0"/>
                    <w:spacing w:line="240" w:lineRule="auto"/>
                    <w:jc w:val="center"/>
                    <w:rPr>
                      <w:rFonts w:hint="eastAsia"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10Mp/瓶</w:t>
                  </w:r>
                </w:p>
              </w:tc>
              <w:tc>
                <w:tcPr>
                  <w:tcW w:w="837" w:type="pct"/>
                  <w:vMerge w:val="continue"/>
                  <w:tcBorders>
                    <w:tl2br w:val="nil"/>
                    <w:tr2bl w:val="nil"/>
                  </w:tcBorders>
                  <w:noWrap w:val="0"/>
                  <w:vAlign w:val="center"/>
                </w:tcPr>
                <w:p>
                  <w:pPr>
                    <w:bidi w:val="0"/>
                    <w:spacing w:line="240" w:lineRule="auto"/>
                    <w:jc w:val="center"/>
                    <w:rPr>
                      <w:rFonts w:hint="eastAsia" w:ascii="Times New Roman" w:hAnsi="Times New Roman" w:cs="Times New Roman" w:eastAsiaTheme="minorEastAsia"/>
                      <w:color w:val="auto"/>
                      <w:sz w:val="21"/>
                      <w:szCs w:val="21"/>
                      <w:highlight w:val="none"/>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467" w:type="pct"/>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kern w:val="0"/>
                      <w:sz w:val="21"/>
                      <w:szCs w:val="21"/>
                      <w:highlight w:val="none"/>
                      <w:lang w:val="en-US" w:eastAsia="zh-CN" w:bidi="ar-SA"/>
                    </w:rPr>
                  </w:pPr>
                  <w:r>
                    <w:rPr>
                      <w:rFonts w:hint="eastAsia" w:ascii="Times New Roman" w:hAnsi="Times New Roman" w:cs="Times New Roman" w:eastAsiaTheme="minorEastAsia"/>
                      <w:color w:val="auto"/>
                      <w:kern w:val="0"/>
                      <w:sz w:val="21"/>
                      <w:szCs w:val="21"/>
                      <w:highlight w:val="none"/>
                      <w:lang w:val="en-US" w:eastAsia="zh-CN" w:bidi="ar-SA"/>
                    </w:rPr>
                    <w:t>16</w:t>
                  </w:r>
                </w:p>
              </w:tc>
              <w:tc>
                <w:tcPr>
                  <w:tcW w:w="1060" w:type="pct"/>
                  <w:tcBorders>
                    <w:tl2br w:val="nil"/>
                    <w:tr2bl w:val="nil"/>
                  </w:tcBorders>
                  <w:noWrap w:val="0"/>
                  <w:vAlign w:val="center"/>
                </w:tcPr>
                <w:p>
                  <w:pPr>
                    <w:spacing w:line="240" w:lineRule="auto"/>
                    <w:jc w:val="center"/>
                    <w:rPr>
                      <w:rFonts w:hint="eastAsia" w:cs="Times New Roman" w:eastAsiaTheme="minorEastAsia"/>
                      <w:color w:val="auto"/>
                      <w:kern w:val="2"/>
                      <w:sz w:val="21"/>
                      <w:szCs w:val="21"/>
                      <w:highlight w:val="none"/>
                      <w:lang w:val="en-US" w:eastAsia="zh-CN" w:bidi="ar-SA"/>
                    </w:rPr>
                  </w:pPr>
                  <w:r>
                    <w:rPr>
                      <w:rFonts w:hint="eastAsia" w:cs="Times New Roman" w:eastAsiaTheme="minorEastAsia"/>
                      <w:color w:val="auto"/>
                      <w:kern w:val="2"/>
                      <w:sz w:val="21"/>
                      <w:szCs w:val="21"/>
                      <w:highlight w:val="none"/>
                      <w:lang w:val="en-US" w:eastAsia="zh-CN" w:bidi="ar-SA"/>
                    </w:rPr>
                    <w:t>氩气</w:t>
                  </w:r>
                </w:p>
              </w:tc>
              <w:tc>
                <w:tcPr>
                  <w:tcW w:w="640" w:type="pct"/>
                  <w:tcBorders>
                    <w:tl2br w:val="nil"/>
                    <w:tr2bl w:val="nil"/>
                  </w:tcBorders>
                  <w:noWrap w:val="0"/>
                  <w:vAlign w:val="center"/>
                </w:tcPr>
                <w:p>
                  <w:pPr>
                    <w:spacing w:line="240" w:lineRule="auto"/>
                    <w:jc w:val="center"/>
                    <w:rPr>
                      <w:rFonts w:hint="eastAsia"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瓶/年</w:t>
                  </w:r>
                </w:p>
              </w:tc>
              <w:tc>
                <w:tcPr>
                  <w:tcW w:w="707" w:type="pct"/>
                  <w:tcBorders>
                    <w:tl2br w:val="nil"/>
                    <w:tr2bl w:val="nil"/>
                  </w:tcBorders>
                  <w:noWrap w:val="0"/>
                  <w:vAlign w:val="center"/>
                </w:tcPr>
                <w:p>
                  <w:pPr>
                    <w:spacing w:line="240" w:lineRule="auto"/>
                    <w:jc w:val="center"/>
                    <w:rPr>
                      <w:rFonts w:hint="eastAsia"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12</w:t>
                  </w:r>
                </w:p>
              </w:tc>
              <w:tc>
                <w:tcPr>
                  <w:tcW w:w="1286" w:type="pct"/>
                  <w:tcBorders>
                    <w:tl2br w:val="nil"/>
                    <w:tr2bl w:val="nil"/>
                  </w:tcBorders>
                  <w:noWrap w:val="0"/>
                  <w:vAlign w:val="center"/>
                </w:tcPr>
                <w:p>
                  <w:pPr>
                    <w:bidi w:val="0"/>
                    <w:spacing w:line="240" w:lineRule="auto"/>
                    <w:jc w:val="center"/>
                    <w:rPr>
                      <w:rFonts w:hint="eastAsia"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10Mp/瓶</w:t>
                  </w:r>
                </w:p>
              </w:tc>
              <w:tc>
                <w:tcPr>
                  <w:tcW w:w="837" w:type="pct"/>
                  <w:vMerge w:val="continue"/>
                  <w:tcBorders>
                    <w:tl2br w:val="nil"/>
                    <w:tr2bl w:val="nil"/>
                  </w:tcBorders>
                  <w:noWrap w:val="0"/>
                  <w:vAlign w:val="center"/>
                </w:tcPr>
                <w:p>
                  <w:pPr>
                    <w:bidi w:val="0"/>
                    <w:spacing w:line="240" w:lineRule="auto"/>
                    <w:jc w:val="center"/>
                    <w:rPr>
                      <w:rFonts w:hint="eastAsia" w:ascii="Times New Roman" w:hAnsi="Times New Roman" w:cs="Times New Roman" w:eastAsiaTheme="minorEastAsia"/>
                      <w:color w:val="auto"/>
                      <w:sz w:val="21"/>
                      <w:szCs w:val="21"/>
                      <w:highlight w:val="none"/>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467" w:type="pct"/>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kern w:val="0"/>
                      <w:sz w:val="21"/>
                      <w:szCs w:val="21"/>
                      <w:highlight w:val="none"/>
                      <w:lang w:val="en-US" w:eastAsia="zh-CN" w:bidi="ar-SA"/>
                    </w:rPr>
                  </w:pPr>
                  <w:r>
                    <w:rPr>
                      <w:rFonts w:hint="eastAsia" w:ascii="Times New Roman" w:hAnsi="Times New Roman" w:cs="Times New Roman" w:eastAsiaTheme="minorEastAsia"/>
                      <w:color w:val="auto"/>
                      <w:kern w:val="0"/>
                      <w:sz w:val="21"/>
                      <w:szCs w:val="21"/>
                      <w:highlight w:val="none"/>
                      <w:lang w:val="en-US" w:eastAsia="zh-CN" w:bidi="ar-SA"/>
                    </w:rPr>
                    <w:t>17</w:t>
                  </w:r>
                </w:p>
              </w:tc>
              <w:tc>
                <w:tcPr>
                  <w:tcW w:w="1060" w:type="pct"/>
                  <w:tcBorders>
                    <w:tl2br w:val="nil"/>
                    <w:tr2bl w:val="nil"/>
                  </w:tcBorders>
                  <w:noWrap w:val="0"/>
                  <w:vAlign w:val="center"/>
                </w:tcPr>
                <w:p>
                  <w:pPr>
                    <w:spacing w:line="240" w:lineRule="auto"/>
                    <w:jc w:val="center"/>
                    <w:rPr>
                      <w:rFonts w:hint="eastAsia" w:cs="Times New Roman" w:eastAsiaTheme="minorEastAsia"/>
                      <w:color w:val="auto"/>
                      <w:kern w:val="2"/>
                      <w:sz w:val="21"/>
                      <w:szCs w:val="21"/>
                      <w:highlight w:val="none"/>
                      <w:lang w:val="en-US" w:eastAsia="zh-CN" w:bidi="ar-SA"/>
                    </w:rPr>
                  </w:pPr>
                  <w:r>
                    <w:rPr>
                      <w:rFonts w:hint="eastAsia" w:cs="Times New Roman" w:eastAsiaTheme="minorEastAsia"/>
                      <w:color w:val="auto"/>
                      <w:kern w:val="2"/>
                      <w:sz w:val="21"/>
                      <w:szCs w:val="21"/>
                      <w:highlight w:val="none"/>
                      <w:lang w:val="en-US" w:eastAsia="zh-CN" w:bidi="ar-SA"/>
                    </w:rPr>
                    <w:t>丙烷</w:t>
                  </w:r>
                </w:p>
              </w:tc>
              <w:tc>
                <w:tcPr>
                  <w:tcW w:w="640" w:type="pct"/>
                  <w:tcBorders>
                    <w:tl2br w:val="nil"/>
                    <w:tr2bl w:val="nil"/>
                  </w:tcBorders>
                  <w:noWrap w:val="0"/>
                  <w:vAlign w:val="center"/>
                </w:tcPr>
                <w:p>
                  <w:pPr>
                    <w:spacing w:line="240" w:lineRule="auto"/>
                    <w:jc w:val="center"/>
                    <w:rPr>
                      <w:rFonts w:hint="eastAsia"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瓶/年</w:t>
                  </w:r>
                </w:p>
              </w:tc>
              <w:tc>
                <w:tcPr>
                  <w:tcW w:w="707" w:type="pct"/>
                  <w:tcBorders>
                    <w:tl2br w:val="nil"/>
                    <w:tr2bl w:val="nil"/>
                  </w:tcBorders>
                  <w:noWrap w:val="0"/>
                  <w:vAlign w:val="center"/>
                </w:tcPr>
                <w:p>
                  <w:pPr>
                    <w:spacing w:line="240" w:lineRule="auto"/>
                    <w:jc w:val="center"/>
                    <w:rPr>
                      <w:rFonts w:hint="eastAsia"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6</w:t>
                  </w:r>
                </w:p>
              </w:tc>
              <w:tc>
                <w:tcPr>
                  <w:tcW w:w="1286" w:type="pct"/>
                  <w:tcBorders>
                    <w:tl2br w:val="nil"/>
                    <w:tr2bl w:val="nil"/>
                  </w:tcBorders>
                  <w:noWrap w:val="0"/>
                  <w:vAlign w:val="center"/>
                </w:tcPr>
                <w:p>
                  <w:pPr>
                    <w:bidi w:val="0"/>
                    <w:spacing w:line="240" w:lineRule="auto"/>
                    <w:jc w:val="center"/>
                    <w:rPr>
                      <w:rFonts w:hint="eastAsia"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20kg</w:t>
                  </w:r>
                  <w:r>
                    <w:rPr>
                      <w:rFonts w:hint="eastAsia" w:ascii="Times New Roman" w:hAnsi="Times New Roman" w:cs="Times New Roman" w:eastAsiaTheme="minorEastAsia"/>
                      <w:color w:val="auto"/>
                      <w:sz w:val="21"/>
                      <w:szCs w:val="21"/>
                      <w:highlight w:val="none"/>
                      <w:lang w:val="en-US" w:eastAsia="zh-CN"/>
                    </w:rPr>
                    <w:t>/瓶</w:t>
                  </w:r>
                </w:p>
              </w:tc>
              <w:tc>
                <w:tcPr>
                  <w:tcW w:w="837" w:type="pct"/>
                  <w:vMerge w:val="continue"/>
                  <w:tcBorders>
                    <w:tl2br w:val="nil"/>
                    <w:tr2bl w:val="nil"/>
                  </w:tcBorders>
                  <w:noWrap w:val="0"/>
                  <w:vAlign w:val="center"/>
                </w:tcPr>
                <w:p>
                  <w:pPr>
                    <w:bidi w:val="0"/>
                    <w:spacing w:line="240" w:lineRule="auto"/>
                    <w:jc w:val="center"/>
                    <w:rPr>
                      <w:rFonts w:hint="eastAsia" w:cs="Times New Roman" w:eastAsiaTheme="minorEastAsia"/>
                      <w:color w:val="auto"/>
                      <w:sz w:val="21"/>
                      <w:szCs w:val="21"/>
                      <w:highlight w:val="none"/>
                      <w:lang w:val="en-US" w:eastAsia="zh-CN"/>
                    </w:rPr>
                  </w:pPr>
                </w:p>
              </w:tc>
            </w:tr>
          </w:tbl>
          <w:p>
            <w:pPr>
              <w:pStyle w:val="50"/>
              <w:numPr>
                <w:ilvl w:val="0"/>
                <w:numId w:val="0"/>
              </w:numPr>
              <w:bidi w:val="0"/>
              <w:ind w:leftChars="0"/>
              <w:rPr>
                <w:rFonts w:hint="default" w:ascii="Times New Roman" w:hAnsi="Times New Roman" w:cs="Times New Roman"/>
                <w:b/>
                <w:bCs/>
                <w:color w:val="auto"/>
                <w:kern w:val="2"/>
                <w:sz w:val="24"/>
                <w:szCs w:val="24"/>
                <w:highlight w:val="none"/>
                <w:lang w:val="en-US" w:eastAsia="zh-CN" w:bidi="ar-SA"/>
              </w:rPr>
            </w:pPr>
            <w:r>
              <w:rPr>
                <w:rFonts w:hint="eastAsia" w:ascii="Times New Roman" w:hAnsi="Times New Roman" w:cs="Times New Roman"/>
                <w:b/>
                <w:bCs/>
                <w:color w:val="auto"/>
                <w:kern w:val="2"/>
                <w:sz w:val="24"/>
                <w:szCs w:val="24"/>
                <w:highlight w:val="none"/>
                <w:lang w:val="en-US" w:eastAsia="zh-CN" w:bidi="ar-SA"/>
              </w:rPr>
              <w:t>2.5、</w:t>
            </w:r>
            <w:r>
              <w:rPr>
                <w:rFonts w:hint="default" w:ascii="Times New Roman" w:hAnsi="Times New Roman" w:cs="Times New Roman"/>
                <w:b/>
                <w:bCs/>
                <w:color w:val="auto"/>
                <w:kern w:val="2"/>
                <w:sz w:val="24"/>
                <w:szCs w:val="24"/>
                <w:highlight w:val="none"/>
                <w:lang w:val="en-US" w:eastAsia="zh-CN" w:bidi="ar-SA"/>
              </w:rPr>
              <w:t>产品规模</w:t>
            </w:r>
          </w:p>
          <w:p>
            <w:pPr>
              <w:pStyle w:val="51"/>
              <w:pageBreakBefore w:val="0"/>
              <w:widowControl w:val="0"/>
              <w:kinsoku/>
              <w:wordWrap/>
              <w:topLinePunct w:val="0"/>
              <w:bidi w:val="0"/>
              <w:spacing w:line="240" w:lineRule="auto"/>
              <w:textAlignment w:val="auto"/>
              <w:rPr>
                <w:rFonts w:hint="eastAsia" w:ascii="Times New Roman" w:hAnsi="Times New Roman" w:eastAsia="宋体" w:cs="Times New Roman"/>
                <w:color w:val="auto"/>
                <w:sz w:val="21"/>
                <w:szCs w:val="16"/>
                <w:highlight w:val="none"/>
                <w:lang w:val="en-US" w:eastAsia="zh-CN"/>
              </w:rPr>
            </w:pPr>
          </w:p>
          <w:p>
            <w:pPr>
              <w:pStyle w:val="51"/>
              <w:pageBreakBefore w:val="0"/>
              <w:widowControl w:val="0"/>
              <w:kinsoku/>
              <w:wordWrap/>
              <w:topLinePunct w:val="0"/>
              <w:bidi w:val="0"/>
              <w:spacing w:line="240" w:lineRule="auto"/>
              <w:textAlignment w:val="auto"/>
              <w:rPr>
                <w:rFonts w:hint="eastAsia" w:ascii="Times New Roman" w:hAnsi="Times New Roman" w:eastAsia="宋体" w:cs="Times New Roman"/>
                <w:color w:val="auto"/>
                <w:sz w:val="21"/>
                <w:szCs w:val="16"/>
                <w:highlight w:val="none"/>
                <w:lang w:val="en-US" w:eastAsia="zh-CN"/>
              </w:rPr>
            </w:pPr>
          </w:p>
          <w:p>
            <w:pPr>
              <w:pStyle w:val="51"/>
              <w:pageBreakBefore w:val="0"/>
              <w:widowControl w:val="0"/>
              <w:kinsoku/>
              <w:wordWrap/>
              <w:topLinePunct w:val="0"/>
              <w:bidi w:val="0"/>
              <w:spacing w:line="240" w:lineRule="auto"/>
              <w:textAlignment w:val="auto"/>
              <w:rPr>
                <w:rFonts w:hint="eastAsia" w:ascii="Times New Roman" w:hAnsi="Times New Roman" w:eastAsia="宋体" w:cs="Times New Roman"/>
                <w:color w:val="auto"/>
                <w:sz w:val="21"/>
                <w:szCs w:val="16"/>
                <w:highlight w:val="none"/>
                <w:lang w:val="en-US" w:eastAsia="zh-CN"/>
              </w:rPr>
            </w:pPr>
          </w:p>
          <w:p>
            <w:pPr>
              <w:pStyle w:val="51"/>
              <w:pageBreakBefore w:val="0"/>
              <w:widowControl w:val="0"/>
              <w:kinsoku/>
              <w:wordWrap/>
              <w:topLinePunct w:val="0"/>
              <w:bidi w:val="0"/>
              <w:spacing w:line="240" w:lineRule="auto"/>
              <w:textAlignment w:val="auto"/>
              <w:rPr>
                <w:rFonts w:hint="default" w:ascii="Times New Roman" w:hAnsi="Times New Roman" w:eastAsia="宋体" w:cs="Times New Roman"/>
                <w:color w:val="auto"/>
                <w:sz w:val="21"/>
                <w:szCs w:val="16"/>
                <w:highlight w:val="none"/>
                <w:lang w:val="en-US" w:eastAsia="zh-CN"/>
              </w:rPr>
            </w:pPr>
            <w:r>
              <w:rPr>
                <w:rFonts w:hint="eastAsia" w:ascii="Times New Roman" w:hAnsi="Times New Roman" w:eastAsia="宋体" w:cs="Times New Roman"/>
                <w:color w:val="auto"/>
                <w:sz w:val="21"/>
                <w:szCs w:val="16"/>
                <w:highlight w:val="none"/>
                <w:lang w:val="en-US" w:eastAsia="zh-CN"/>
              </w:rPr>
              <w:t>表2-</w:t>
            </w:r>
            <w:r>
              <w:rPr>
                <w:rFonts w:hint="eastAsia" w:cs="Times New Roman"/>
                <w:color w:val="auto"/>
                <w:sz w:val="21"/>
                <w:szCs w:val="16"/>
                <w:highlight w:val="none"/>
                <w:lang w:val="en-US" w:eastAsia="zh-CN"/>
              </w:rPr>
              <w:t>4</w:t>
            </w:r>
            <w:r>
              <w:rPr>
                <w:rFonts w:hint="eastAsia" w:ascii="Times New Roman" w:hAnsi="Times New Roman" w:eastAsia="宋体" w:cs="Times New Roman"/>
                <w:color w:val="auto"/>
                <w:sz w:val="21"/>
                <w:szCs w:val="16"/>
                <w:highlight w:val="none"/>
                <w:lang w:val="en-US" w:eastAsia="zh-CN"/>
              </w:rPr>
              <w:t xml:space="preserve">  </w:t>
            </w:r>
            <w:r>
              <w:rPr>
                <w:rFonts w:hint="eastAsia" w:cs="Times New Roman"/>
                <w:color w:val="auto"/>
                <w:sz w:val="21"/>
                <w:szCs w:val="16"/>
                <w:highlight w:val="none"/>
                <w:lang w:val="en-US" w:eastAsia="zh-CN"/>
              </w:rPr>
              <w:t>现有工程</w:t>
            </w:r>
            <w:r>
              <w:rPr>
                <w:rFonts w:hint="eastAsia" w:ascii="Times New Roman" w:hAnsi="Times New Roman" w:eastAsia="宋体" w:cs="Times New Roman"/>
                <w:color w:val="auto"/>
                <w:sz w:val="21"/>
                <w:szCs w:val="16"/>
                <w:highlight w:val="none"/>
                <w:lang w:val="en-US" w:eastAsia="zh-CN"/>
              </w:rPr>
              <w:t>产品规模一览表</w:t>
            </w:r>
          </w:p>
          <w:tbl>
            <w:tblPr>
              <w:tblStyle w:val="33"/>
              <w:tblW w:w="499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455"/>
              <w:gridCol w:w="2750"/>
              <w:gridCol w:w="27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929" w:type="pct"/>
                </w:tcPr>
                <w:p>
                  <w:pPr>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产品名称</w:t>
                  </w:r>
                </w:p>
              </w:tc>
              <w:tc>
                <w:tcPr>
                  <w:tcW w:w="1535" w:type="pct"/>
                </w:tcPr>
                <w:p>
                  <w:pPr>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单位</w:t>
                  </w:r>
                </w:p>
              </w:tc>
              <w:tc>
                <w:tcPr>
                  <w:tcW w:w="1535" w:type="pct"/>
                </w:tcPr>
                <w:p>
                  <w:pPr>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年产量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29" w:type="pct"/>
                </w:tcPr>
                <w:p>
                  <w:pPr>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弯管机</w:t>
                  </w:r>
                </w:p>
              </w:tc>
              <w:tc>
                <w:tcPr>
                  <w:tcW w:w="1535" w:type="pct"/>
                </w:tcPr>
                <w:p>
                  <w:pPr>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台</w:t>
                  </w:r>
                </w:p>
              </w:tc>
              <w:tc>
                <w:tcPr>
                  <w:tcW w:w="1535" w:type="pct"/>
                </w:tcPr>
                <w:p>
                  <w:pPr>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29" w:type="pct"/>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胶管扣压机</w:t>
                  </w:r>
                </w:p>
              </w:tc>
              <w:tc>
                <w:tcPr>
                  <w:tcW w:w="1535" w:type="pct"/>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台</w:t>
                  </w:r>
                </w:p>
              </w:tc>
              <w:tc>
                <w:tcPr>
                  <w:tcW w:w="1535" w:type="pct"/>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29" w:type="pct"/>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旋压扩口机</w:t>
                  </w:r>
                </w:p>
              </w:tc>
              <w:tc>
                <w:tcPr>
                  <w:tcW w:w="1535" w:type="pct"/>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台</w:t>
                  </w:r>
                </w:p>
              </w:tc>
              <w:tc>
                <w:tcPr>
                  <w:tcW w:w="1535" w:type="pct"/>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29" w:type="pct"/>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卡套预装机</w:t>
                  </w:r>
                </w:p>
              </w:tc>
              <w:tc>
                <w:tcPr>
                  <w:tcW w:w="1535" w:type="pct"/>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台</w:t>
                  </w:r>
                </w:p>
              </w:tc>
              <w:tc>
                <w:tcPr>
                  <w:tcW w:w="1535" w:type="pct"/>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29" w:type="pct"/>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窝缝机</w:t>
                  </w:r>
                </w:p>
              </w:tc>
              <w:tc>
                <w:tcPr>
                  <w:tcW w:w="1535" w:type="pct"/>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台</w:t>
                  </w:r>
                </w:p>
              </w:tc>
              <w:tc>
                <w:tcPr>
                  <w:tcW w:w="1535" w:type="pct"/>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29" w:type="pct"/>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低压铸造机</w:t>
                  </w:r>
                </w:p>
              </w:tc>
              <w:tc>
                <w:tcPr>
                  <w:tcW w:w="1535" w:type="pct"/>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台</w:t>
                  </w:r>
                </w:p>
              </w:tc>
              <w:tc>
                <w:tcPr>
                  <w:tcW w:w="1535" w:type="pct"/>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464" w:type="pct"/>
                  <w:gridSpan w:val="2"/>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合计</w:t>
                  </w:r>
                </w:p>
              </w:tc>
              <w:tc>
                <w:tcPr>
                  <w:tcW w:w="1535" w:type="pct"/>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320</w:t>
                  </w:r>
                </w:p>
              </w:tc>
            </w:tr>
          </w:tbl>
          <w:p>
            <w:pPr>
              <w:pStyle w:val="50"/>
              <w:numPr>
                <w:ilvl w:val="0"/>
                <w:numId w:val="0"/>
              </w:numPr>
              <w:bidi w:val="0"/>
              <w:ind w:leftChars="0"/>
              <w:rPr>
                <w:rFonts w:hint="default" w:ascii="Times New Roman" w:hAnsi="Times New Roman" w:cs="Times New Roman"/>
                <w:b/>
                <w:bCs/>
                <w:color w:val="auto"/>
                <w:kern w:val="2"/>
                <w:sz w:val="24"/>
                <w:szCs w:val="24"/>
                <w:highlight w:val="none"/>
                <w:lang w:val="en-US" w:eastAsia="zh-CN" w:bidi="ar-SA"/>
              </w:rPr>
            </w:pPr>
            <w:r>
              <w:rPr>
                <w:rFonts w:hint="eastAsia" w:ascii="Times New Roman" w:hAnsi="Times New Roman" w:cs="Times New Roman"/>
                <w:b/>
                <w:bCs/>
                <w:color w:val="auto"/>
                <w:kern w:val="2"/>
                <w:sz w:val="24"/>
                <w:szCs w:val="24"/>
                <w:highlight w:val="none"/>
                <w:lang w:val="en-US" w:eastAsia="zh-CN" w:bidi="ar-SA"/>
              </w:rPr>
              <w:t>2.6</w:t>
            </w:r>
            <w:r>
              <w:rPr>
                <w:rFonts w:hint="default" w:ascii="Times New Roman" w:hAnsi="Times New Roman" w:cs="Times New Roman"/>
                <w:b/>
                <w:bCs/>
                <w:color w:val="auto"/>
                <w:kern w:val="2"/>
                <w:sz w:val="24"/>
                <w:szCs w:val="24"/>
                <w:highlight w:val="none"/>
                <w:lang w:val="en-US" w:eastAsia="zh-CN" w:bidi="ar-SA"/>
              </w:rPr>
              <w:t>水资源及能源消耗情况</w:t>
            </w:r>
          </w:p>
          <w:p>
            <w:pPr>
              <w:pStyle w:val="50"/>
              <w:bidi w:val="0"/>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2.6.1给排水</w:t>
            </w:r>
          </w:p>
          <w:p>
            <w:pPr>
              <w:pStyle w:val="50"/>
              <w:bidi w:val="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生活用水：生活用水量为</w:t>
            </w:r>
            <w:r>
              <w:rPr>
                <w:rFonts w:hint="eastAsia" w:ascii="Times New Roman" w:hAnsi="Times New Roman" w:cs="Times New Roman"/>
                <w:color w:val="auto"/>
                <w:highlight w:val="none"/>
                <w:lang w:val="en-US" w:eastAsia="zh-CN"/>
              </w:rPr>
              <w:t>1.52m³/d（501.6</w:t>
            </w:r>
            <w:r>
              <w:rPr>
                <w:rFonts w:hint="default" w:ascii="Times New Roman" w:hAnsi="Times New Roman" w:cs="Times New Roman"/>
                <w:color w:val="auto"/>
                <w:highlight w:val="none"/>
                <w:lang w:val="en-US" w:eastAsia="zh-CN"/>
              </w:rPr>
              <w:t>m³/a</w:t>
            </w:r>
            <w:r>
              <w:rPr>
                <w:rFonts w:hint="eastAsia" w:ascii="Times New Roman" w:hAnsi="Times New Roman" w:cs="Times New Roman"/>
                <w:color w:val="auto"/>
                <w:highlight w:val="none"/>
                <w:lang w:val="en-US" w:eastAsia="zh-CN"/>
              </w:rPr>
              <w:t>）</w:t>
            </w:r>
            <w:r>
              <w:rPr>
                <w:rFonts w:hint="default" w:ascii="Times New Roman" w:hAnsi="Times New Roman" w:cs="Times New Roman"/>
                <w:color w:val="auto"/>
                <w:highlight w:val="none"/>
                <w:lang w:val="en-US" w:eastAsia="zh-CN"/>
              </w:rPr>
              <w:t>，生活污水产生量为</w:t>
            </w:r>
            <w:r>
              <w:rPr>
                <w:rFonts w:hint="eastAsia" w:ascii="Times New Roman" w:hAnsi="Times New Roman" w:cs="Times New Roman"/>
                <w:color w:val="auto"/>
                <w:highlight w:val="none"/>
                <w:lang w:val="en-US" w:eastAsia="zh-CN"/>
              </w:rPr>
              <w:t>1.216m³/d（401.3</w:t>
            </w:r>
            <w:r>
              <w:rPr>
                <w:rFonts w:hint="default" w:ascii="Times New Roman" w:hAnsi="Times New Roman" w:cs="Times New Roman"/>
                <w:color w:val="auto"/>
                <w:highlight w:val="none"/>
                <w:lang w:val="en-US" w:eastAsia="zh-CN"/>
              </w:rPr>
              <w:t>m³/a</w:t>
            </w:r>
            <w:r>
              <w:rPr>
                <w:rFonts w:hint="eastAsia" w:ascii="Times New Roman" w:hAnsi="Times New Roman" w:cs="Times New Roman"/>
                <w:color w:val="auto"/>
                <w:highlight w:val="none"/>
                <w:lang w:val="en-US" w:eastAsia="zh-CN"/>
              </w:rPr>
              <w:t>）</w:t>
            </w:r>
            <w:r>
              <w:rPr>
                <w:rFonts w:hint="default" w:ascii="Times New Roman" w:hAnsi="Times New Roman" w:cs="Times New Roman"/>
                <w:color w:val="auto"/>
                <w:highlight w:val="none"/>
                <w:lang w:val="en-US" w:eastAsia="zh-CN"/>
              </w:rPr>
              <w:t>，厂区内设置</w:t>
            </w:r>
            <w:r>
              <w:rPr>
                <w:rFonts w:hint="eastAsia" w:ascii="Times New Roman" w:hAnsi="Times New Roman" w:cs="Times New Roman"/>
                <w:color w:val="auto"/>
                <w:highlight w:val="none"/>
                <w:lang w:val="en-US" w:eastAsia="zh-CN"/>
              </w:rPr>
              <w:t>化粪池</w:t>
            </w:r>
            <w:r>
              <w:rPr>
                <w:rFonts w:hint="default" w:ascii="Times New Roman" w:hAnsi="Times New Roman" w:cs="Times New Roman"/>
                <w:color w:val="auto"/>
                <w:highlight w:val="none"/>
                <w:lang w:val="en-US" w:eastAsia="zh-CN"/>
              </w:rPr>
              <w:t>，定期清掏，盥洗废水厂区泼洒抑尘</w:t>
            </w:r>
            <w:r>
              <w:rPr>
                <w:rFonts w:hint="eastAsia" w:ascii="Times New Roman" w:hAnsi="Times New Roman" w:cs="Times New Roman"/>
                <w:color w:val="auto"/>
                <w:highlight w:val="none"/>
                <w:lang w:val="en-US" w:eastAsia="zh-CN"/>
              </w:rPr>
              <w:t>。乳化液年使用量为75kg，乳化液与水的配比为1:10，故用水量为0.0023m</w:t>
            </w:r>
            <w:r>
              <w:rPr>
                <w:rFonts w:hint="eastAsia" w:ascii="Times New Roman" w:hAnsi="Times New Roman" w:cs="Times New Roman"/>
                <w:color w:val="auto"/>
                <w:highlight w:val="none"/>
                <w:vertAlign w:val="superscript"/>
                <w:lang w:val="en-US" w:eastAsia="zh-CN"/>
              </w:rPr>
              <w:t>3</w:t>
            </w:r>
            <w:r>
              <w:rPr>
                <w:rFonts w:hint="eastAsia" w:ascii="Times New Roman" w:hAnsi="Times New Roman" w:cs="Times New Roman"/>
                <w:color w:val="auto"/>
                <w:highlight w:val="none"/>
                <w:lang w:val="en-US" w:eastAsia="zh-CN"/>
              </w:rPr>
              <w:t>/d（0.75m</w:t>
            </w:r>
            <w:r>
              <w:rPr>
                <w:rFonts w:hint="eastAsia" w:ascii="Times New Roman" w:hAnsi="Times New Roman" w:cs="Times New Roman"/>
                <w:color w:val="auto"/>
                <w:highlight w:val="none"/>
                <w:vertAlign w:val="superscript"/>
                <w:lang w:val="en-US" w:eastAsia="zh-CN"/>
              </w:rPr>
              <w:t>3</w:t>
            </w:r>
            <w:r>
              <w:rPr>
                <w:rFonts w:hint="eastAsia" w:ascii="Times New Roman" w:hAnsi="Times New Roman" w:cs="Times New Roman"/>
                <w:color w:val="auto"/>
                <w:highlight w:val="none"/>
                <w:lang w:val="en-US" w:eastAsia="zh-CN"/>
              </w:rPr>
              <w:t>/a），全部消耗，不外排。</w:t>
            </w:r>
          </w:p>
          <w:p>
            <w:pPr>
              <w:pStyle w:val="50"/>
              <w:bidi w:val="0"/>
              <w:ind w:left="0" w:leftChars="0" w:firstLine="0" w:firstLineChars="0"/>
              <w:jc w:val="center"/>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drawing>
                <wp:inline distT="0" distB="0" distL="114300" distR="114300">
                  <wp:extent cx="4359275" cy="2170430"/>
                  <wp:effectExtent l="0" t="0" r="3175" b="1270"/>
                  <wp:docPr id="2" name="图片 2" descr="未命名文件(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未命名文件(26)"/>
                          <pic:cNvPicPr>
                            <a:picLocks noChangeAspect="1"/>
                          </pic:cNvPicPr>
                        </pic:nvPicPr>
                        <pic:blipFill>
                          <a:blip r:embed="rId13"/>
                          <a:stretch>
                            <a:fillRect/>
                          </a:stretch>
                        </pic:blipFill>
                        <pic:spPr>
                          <a:xfrm>
                            <a:off x="0" y="0"/>
                            <a:ext cx="4359275" cy="2170430"/>
                          </a:xfrm>
                          <a:prstGeom prst="rect">
                            <a:avLst/>
                          </a:prstGeom>
                        </pic:spPr>
                      </pic:pic>
                    </a:graphicData>
                  </a:graphic>
                </wp:inline>
              </w:drawing>
            </w:r>
          </w:p>
          <w:p>
            <w:pPr>
              <w:pStyle w:val="51"/>
              <w:bidi w:val="0"/>
              <w:rPr>
                <w:rFonts w:hint="default" w:ascii="Times New Roman" w:hAnsi="Times New Roman" w:eastAsia="宋体" w:cs="Times New Roman"/>
                <w:b/>
                <w:color w:val="auto"/>
                <w:kern w:val="21"/>
                <w:sz w:val="21"/>
                <w:szCs w:val="16"/>
                <w:highlight w:val="none"/>
                <w:lang w:val="en-US" w:eastAsia="zh-CN" w:bidi="ar-SA"/>
              </w:rPr>
            </w:pPr>
            <w:r>
              <w:rPr>
                <w:rFonts w:hint="eastAsia" w:ascii="Times New Roman" w:hAnsi="Times New Roman" w:eastAsia="宋体" w:cs="Times New Roman"/>
                <w:b/>
                <w:color w:val="auto"/>
                <w:kern w:val="21"/>
                <w:sz w:val="21"/>
                <w:szCs w:val="16"/>
                <w:highlight w:val="none"/>
                <w:lang w:val="en-US" w:eastAsia="zh-CN" w:bidi="ar-SA"/>
              </w:rPr>
              <w:t>图2-1  现有工程水平衡图  单位：m³/d</w:t>
            </w:r>
          </w:p>
          <w:p>
            <w:pPr>
              <w:pStyle w:val="50"/>
              <w:bidi w:val="0"/>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2.6.2</w:t>
            </w:r>
            <w:r>
              <w:rPr>
                <w:rFonts w:hint="default" w:ascii="Times New Roman" w:hAnsi="Times New Roman" w:cs="Times New Roman"/>
                <w:color w:val="auto"/>
                <w:highlight w:val="none"/>
                <w:lang w:val="en-US" w:eastAsia="zh-CN"/>
              </w:rPr>
              <w:t>供电</w:t>
            </w:r>
          </w:p>
          <w:p>
            <w:pPr>
              <w:pStyle w:val="50"/>
              <w:bidi w:val="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本项目用电</w:t>
            </w:r>
            <w:r>
              <w:rPr>
                <w:rFonts w:hint="eastAsia" w:ascii="Times New Roman" w:hAnsi="Times New Roman" w:cs="Times New Roman"/>
                <w:color w:val="auto"/>
                <w:highlight w:val="none"/>
                <w:lang w:val="en-US" w:eastAsia="zh-CN"/>
              </w:rPr>
              <w:t>10000kWh/a，由市政供电。</w:t>
            </w:r>
          </w:p>
          <w:p>
            <w:pPr>
              <w:pStyle w:val="50"/>
              <w:bidi w:val="0"/>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2.6.3供</w:t>
            </w:r>
            <w:r>
              <w:rPr>
                <w:rFonts w:hint="default" w:ascii="Times New Roman" w:hAnsi="Times New Roman" w:cs="Times New Roman"/>
                <w:color w:val="auto"/>
                <w:highlight w:val="none"/>
                <w:lang w:val="en-US" w:eastAsia="zh-CN"/>
              </w:rPr>
              <w:t>热</w:t>
            </w:r>
          </w:p>
          <w:p>
            <w:pPr>
              <w:pStyle w:val="50"/>
              <w:bidi w:val="0"/>
              <w:rPr>
                <w:rFonts w:hint="eastAsia"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冬季办公室用空调供热，生产车间不用热</w:t>
            </w:r>
            <w:r>
              <w:rPr>
                <w:rFonts w:hint="eastAsia" w:ascii="Times New Roman" w:hAnsi="Times New Roman" w:cs="Times New Roman"/>
                <w:color w:val="auto"/>
                <w:highlight w:val="none"/>
                <w:lang w:val="en-US" w:eastAsia="zh-CN"/>
              </w:rPr>
              <w:t>。</w:t>
            </w:r>
          </w:p>
          <w:p>
            <w:pPr>
              <w:pStyle w:val="50"/>
              <w:numPr>
                <w:ilvl w:val="0"/>
                <w:numId w:val="0"/>
              </w:numPr>
              <w:bidi w:val="0"/>
              <w:ind w:leftChars="0"/>
              <w:rPr>
                <w:rFonts w:hint="eastAsia" w:ascii="Times New Roman" w:hAnsi="Times New Roman" w:cs="Times New Roman"/>
                <w:b/>
                <w:bCs/>
                <w:color w:val="auto"/>
                <w:kern w:val="2"/>
                <w:sz w:val="24"/>
                <w:szCs w:val="24"/>
                <w:highlight w:val="none"/>
                <w:lang w:val="en-US" w:eastAsia="zh-CN" w:bidi="ar-SA"/>
              </w:rPr>
            </w:pPr>
            <w:r>
              <w:rPr>
                <w:rFonts w:hint="eastAsia" w:ascii="Times New Roman" w:hAnsi="Times New Roman" w:cs="Times New Roman"/>
                <w:b/>
                <w:bCs/>
                <w:color w:val="auto"/>
                <w:kern w:val="2"/>
                <w:sz w:val="24"/>
                <w:szCs w:val="24"/>
                <w:highlight w:val="none"/>
                <w:lang w:val="en-US" w:eastAsia="zh-CN" w:bidi="ar-SA"/>
              </w:rPr>
              <w:t>2.7现有工程工艺流程</w:t>
            </w:r>
          </w:p>
          <w:p>
            <w:pPr>
              <w:pStyle w:val="50"/>
              <w:bidi w:val="0"/>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1、切割（外协）</w:t>
            </w:r>
          </w:p>
          <w:p>
            <w:pPr>
              <w:pStyle w:val="50"/>
              <w:bidi w:val="0"/>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项目购入原料后，首先进行切割，把原料按照要求的规格进行切割，由于场地限值，切割工艺由邻长秦皇岛优益重工科技有限公司代做。</w:t>
            </w:r>
          </w:p>
          <w:p>
            <w:pPr>
              <w:pStyle w:val="50"/>
              <w:bidi w:val="0"/>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2、钻孔</w:t>
            </w:r>
          </w:p>
          <w:p>
            <w:pPr>
              <w:pStyle w:val="50"/>
              <w:bidi w:val="0"/>
              <w:rPr>
                <w:rFonts w:hint="default" w:ascii="Times New Roman" w:hAnsi="Times New Roman" w:eastAsia="宋体" w:cs="Times New Roman"/>
                <w:color w:val="auto"/>
                <w:highlight w:val="none"/>
                <w:lang w:val="en-US" w:eastAsia="zh-CN"/>
              </w:rPr>
            </w:pPr>
            <w:r>
              <w:rPr>
                <w:rFonts w:hint="default" w:ascii="Times New Roman" w:hAnsi="Times New Roman" w:cs="Times New Roman"/>
                <w:color w:val="auto"/>
                <w:highlight w:val="none"/>
                <w:lang w:val="en-US" w:eastAsia="zh-CN"/>
              </w:rPr>
              <w:t>将切割好的原材料按照规格的要求进行打孔</w:t>
            </w:r>
            <w:r>
              <w:rPr>
                <w:rFonts w:hint="eastAsia" w:ascii="Times New Roman" w:hAnsi="Times New Roman" w:cs="Times New Roman"/>
                <w:color w:val="auto"/>
                <w:highlight w:val="none"/>
                <w:lang w:val="en-US" w:eastAsia="zh-CN"/>
              </w:rPr>
              <w:t>，打孔过程中乳化液、润滑油会飞溅到原材料上，使用抹布进行擦拭</w:t>
            </w:r>
            <w:r>
              <w:rPr>
                <w:rFonts w:hint="default" w:ascii="Times New Roman" w:hAnsi="Times New Roman" w:cs="Times New Roman"/>
                <w:color w:val="auto"/>
                <w:highlight w:val="none"/>
                <w:lang w:val="en-US" w:eastAsia="zh-CN"/>
              </w:rPr>
              <w:t>。</w:t>
            </w:r>
            <w:r>
              <w:rPr>
                <w:rFonts w:hint="eastAsia" w:ascii="Times New Roman" w:hAnsi="Times New Roman" w:cs="Times New Roman"/>
                <w:color w:val="auto"/>
                <w:highlight w:val="none"/>
                <w:lang w:val="en-US" w:eastAsia="zh-CN"/>
              </w:rPr>
              <w:t>本项目钻孔过程中金属屑可能沾染乳化液，本项目设置过滤系统，将含乳化液的金属屑收集后放到过滤系统中，乳化液由下方收集口进入回收桶中循环使用，金属屑外售。</w:t>
            </w:r>
          </w:p>
          <w:p>
            <w:pPr>
              <w:pStyle w:val="50"/>
              <w:numPr>
                <w:ilvl w:val="0"/>
                <w:numId w:val="1"/>
              </w:numPr>
              <w:bidi w:val="0"/>
              <w:rPr>
                <w:rFonts w:hint="eastAsia"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焊接</w:t>
            </w:r>
          </w:p>
          <w:p>
            <w:pPr>
              <w:pStyle w:val="50"/>
              <w:numPr>
                <w:ilvl w:val="0"/>
                <w:numId w:val="0"/>
              </w:numPr>
              <w:bidi w:val="0"/>
              <w:ind w:leftChars="200"/>
              <w:rPr>
                <w:rFonts w:hint="eastAsia"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将钻孔完成后的元件按照规格要求进行焊接，形成产品的基本框架。</w:t>
            </w:r>
          </w:p>
          <w:p>
            <w:pPr>
              <w:pStyle w:val="50"/>
              <w:numPr>
                <w:ilvl w:val="0"/>
                <w:numId w:val="1"/>
              </w:numPr>
              <w:bidi w:val="0"/>
              <w:ind w:left="0" w:leftChars="0" w:firstLine="480" w:firstLineChars="200"/>
              <w:rPr>
                <w:rFonts w:hint="eastAsia"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组装</w:t>
            </w:r>
          </w:p>
          <w:p>
            <w:pPr>
              <w:pStyle w:val="50"/>
              <w:numPr>
                <w:ilvl w:val="0"/>
                <w:numId w:val="0"/>
              </w:numPr>
              <w:bidi w:val="0"/>
              <w:ind w:leftChars="200"/>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将焊接成型的基本框架和直接外后的标准件和电器件进行组装后，即为成品。</w:t>
            </w:r>
          </w:p>
          <w:p>
            <w:pPr>
              <w:pStyle w:val="50"/>
              <w:numPr>
                <w:ilvl w:val="0"/>
                <w:numId w:val="0"/>
              </w:numPr>
              <w:bidi w:val="0"/>
              <w:ind w:leftChars="0"/>
              <w:rPr>
                <w:rFonts w:hint="eastAsia" w:ascii="Times New Roman" w:hAnsi="Times New Roman" w:cs="Times New Roman"/>
                <w:b/>
                <w:bCs/>
                <w:color w:val="auto"/>
                <w:kern w:val="2"/>
                <w:sz w:val="24"/>
                <w:szCs w:val="24"/>
                <w:highlight w:val="none"/>
                <w:lang w:val="en-US" w:eastAsia="zh-CN" w:bidi="ar-SA"/>
              </w:rPr>
            </w:pPr>
            <w:r>
              <w:rPr>
                <w:rFonts w:hint="eastAsia" w:ascii="Times New Roman" w:hAnsi="Times New Roman" w:cs="Times New Roman"/>
                <w:b/>
                <w:bCs/>
                <w:color w:val="auto"/>
                <w:kern w:val="2"/>
                <w:sz w:val="24"/>
                <w:szCs w:val="24"/>
                <w:highlight w:val="none"/>
                <w:lang w:val="en-US" w:eastAsia="zh-CN" w:bidi="ar-SA"/>
              </w:rPr>
              <w:drawing>
                <wp:inline distT="0" distB="0" distL="114300" distR="114300">
                  <wp:extent cx="5688965" cy="2703195"/>
                  <wp:effectExtent l="0" t="0" r="6985" b="1905"/>
                  <wp:docPr id="3" name="图片 3" descr="16699639778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1669963977883"/>
                          <pic:cNvPicPr>
                            <a:picLocks noChangeAspect="1"/>
                          </pic:cNvPicPr>
                        </pic:nvPicPr>
                        <pic:blipFill>
                          <a:blip r:embed="rId14"/>
                          <a:stretch>
                            <a:fillRect/>
                          </a:stretch>
                        </pic:blipFill>
                        <pic:spPr>
                          <a:xfrm>
                            <a:off x="0" y="0"/>
                            <a:ext cx="5688965" cy="2703195"/>
                          </a:xfrm>
                          <a:prstGeom prst="rect">
                            <a:avLst/>
                          </a:prstGeom>
                        </pic:spPr>
                      </pic:pic>
                    </a:graphicData>
                  </a:graphic>
                </wp:inline>
              </w:drawing>
            </w:r>
          </w:p>
          <w:p>
            <w:pPr>
              <w:pStyle w:val="50"/>
              <w:bidi w:val="0"/>
              <w:spacing w:line="240" w:lineRule="auto"/>
              <w:ind w:left="0" w:leftChars="0" w:firstLine="0" w:firstLineChars="0"/>
              <w:jc w:val="center"/>
              <w:rPr>
                <w:rFonts w:hint="eastAsia" w:ascii="Times New Roman" w:hAnsi="Times New Roman" w:eastAsia="宋体" w:cs="Times New Roman"/>
                <w:b/>
                <w:color w:val="auto"/>
                <w:kern w:val="21"/>
                <w:sz w:val="21"/>
                <w:szCs w:val="16"/>
                <w:highlight w:val="none"/>
                <w:lang w:val="en-US" w:eastAsia="zh-CN" w:bidi="ar-SA"/>
              </w:rPr>
            </w:pPr>
            <w:r>
              <w:rPr>
                <w:rFonts w:hint="eastAsia" w:ascii="Times New Roman" w:hAnsi="Times New Roman" w:eastAsia="宋体" w:cs="Times New Roman"/>
                <w:b/>
                <w:color w:val="auto"/>
                <w:kern w:val="21"/>
                <w:sz w:val="21"/>
                <w:szCs w:val="16"/>
                <w:highlight w:val="none"/>
                <w:lang w:val="en-US" w:eastAsia="zh-CN" w:bidi="ar-SA"/>
              </w:rPr>
              <w:t>图2-2  现有工艺流程及产排污节点图</w:t>
            </w:r>
          </w:p>
          <w:p>
            <w:pPr>
              <w:pStyle w:val="50"/>
              <w:numPr>
                <w:ilvl w:val="0"/>
                <w:numId w:val="0"/>
              </w:numPr>
              <w:bidi w:val="0"/>
              <w:ind w:leftChars="0"/>
              <w:rPr>
                <w:rFonts w:hint="eastAsia" w:ascii="Times New Roman" w:hAnsi="Times New Roman" w:cs="Times New Roman"/>
                <w:b/>
                <w:bCs/>
                <w:color w:val="auto"/>
                <w:kern w:val="2"/>
                <w:sz w:val="24"/>
                <w:szCs w:val="24"/>
                <w:highlight w:val="none"/>
                <w:lang w:val="en-US" w:eastAsia="zh-CN" w:bidi="ar-SA"/>
              </w:rPr>
            </w:pPr>
            <w:r>
              <w:rPr>
                <w:rFonts w:hint="eastAsia" w:ascii="Times New Roman" w:hAnsi="Times New Roman" w:cs="Times New Roman"/>
                <w:b/>
                <w:bCs/>
                <w:color w:val="auto"/>
                <w:kern w:val="2"/>
                <w:sz w:val="24"/>
                <w:szCs w:val="24"/>
                <w:highlight w:val="none"/>
                <w:lang w:val="en-US" w:eastAsia="zh-CN" w:bidi="ar-SA"/>
              </w:rPr>
              <w:t>3、技改工程</w:t>
            </w:r>
          </w:p>
          <w:p>
            <w:pPr>
              <w:pStyle w:val="50"/>
              <w:numPr>
                <w:ilvl w:val="0"/>
                <w:numId w:val="0"/>
              </w:numPr>
              <w:bidi w:val="0"/>
              <w:ind w:leftChars="0"/>
              <w:rPr>
                <w:rFonts w:hint="eastAsia" w:ascii="Times New Roman" w:hAnsi="Times New Roman" w:cs="Times New Roman"/>
                <w:b/>
                <w:bCs/>
                <w:color w:val="auto"/>
                <w:kern w:val="2"/>
                <w:sz w:val="24"/>
                <w:szCs w:val="24"/>
                <w:highlight w:val="none"/>
                <w:lang w:val="en-US" w:eastAsia="zh-CN" w:bidi="ar-SA"/>
              </w:rPr>
            </w:pPr>
            <w:r>
              <w:rPr>
                <w:rFonts w:hint="eastAsia" w:ascii="Times New Roman" w:hAnsi="Times New Roman" w:cs="Times New Roman"/>
                <w:b/>
                <w:bCs/>
                <w:color w:val="auto"/>
                <w:kern w:val="2"/>
                <w:sz w:val="24"/>
                <w:szCs w:val="24"/>
                <w:highlight w:val="none"/>
                <w:lang w:val="en-US" w:eastAsia="zh-CN" w:bidi="ar-SA"/>
              </w:rPr>
              <w:t>3.1技改工程概况</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cs="Times New Roman"/>
                <w:b w:val="0"/>
                <w:color w:val="auto"/>
                <w:kern w:val="2"/>
                <w:sz w:val="24"/>
                <w:szCs w:val="24"/>
                <w:highlight w:val="none"/>
                <w:lang w:val="en-US" w:eastAsia="zh-CN" w:bidi="ar-SA"/>
              </w:rPr>
            </w:pPr>
            <w:r>
              <w:rPr>
                <w:rFonts w:hint="eastAsia" w:cs="Times New Roman"/>
                <w:b w:val="0"/>
                <w:color w:val="auto"/>
                <w:kern w:val="2"/>
                <w:sz w:val="24"/>
                <w:szCs w:val="24"/>
                <w:highlight w:val="none"/>
                <w:lang w:val="en-US" w:eastAsia="zh-CN" w:bidi="ar-SA"/>
              </w:rPr>
              <w:t>（1）项目名称：特种机械设备生产线技改项目</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cs="Times New Roman"/>
                <w:b w:val="0"/>
                <w:color w:val="auto"/>
                <w:kern w:val="2"/>
                <w:sz w:val="24"/>
                <w:szCs w:val="24"/>
                <w:highlight w:val="none"/>
                <w:lang w:val="en-US" w:eastAsia="zh-CN" w:bidi="ar-SA"/>
              </w:rPr>
            </w:pPr>
            <w:r>
              <w:rPr>
                <w:rFonts w:hint="eastAsia" w:cs="Times New Roman"/>
                <w:b w:val="0"/>
                <w:color w:val="auto"/>
                <w:kern w:val="2"/>
                <w:sz w:val="24"/>
                <w:szCs w:val="24"/>
                <w:highlight w:val="none"/>
                <w:lang w:val="en-US" w:eastAsia="zh-CN" w:bidi="ar-SA"/>
              </w:rPr>
              <w:t>（2）建设单位：秦皇岛联安机械科技有限公司</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cs="Times New Roman"/>
                <w:b w:val="0"/>
                <w:color w:val="auto"/>
                <w:kern w:val="2"/>
                <w:sz w:val="24"/>
                <w:szCs w:val="24"/>
                <w:highlight w:val="none"/>
                <w:lang w:val="en-US" w:eastAsia="zh-CN" w:bidi="ar-SA"/>
              </w:rPr>
            </w:pPr>
            <w:r>
              <w:rPr>
                <w:rFonts w:hint="eastAsia" w:cs="Times New Roman"/>
                <w:b w:val="0"/>
                <w:color w:val="auto"/>
                <w:kern w:val="2"/>
                <w:sz w:val="24"/>
                <w:szCs w:val="24"/>
                <w:highlight w:val="none"/>
                <w:lang w:val="en-US" w:eastAsia="zh-CN" w:bidi="ar-SA"/>
              </w:rPr>
              <w:t>（3）建设性质：技改</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cs="Times New Roman"/>
                <w:b w:val="0"/>
                <w:color w:val="auto"/>
                <w:kern w:val="2"/>
                <w:sz w:val="24"/>
                <w:szCs w:val="24"/>
                <w:highlight w:val="none"/>
                <w:lang w:val="en-US" w:eastAsia="zh-CN" w:bidi="ar-SA"/>
              </w:rPr>
            </w:pPr>
            <w:r>
              <w:rPr>
                <w:rFonts w:hint="eastAsia" w:cs="Times New Roman"/>
                <w:b w:val="0"/>
                <w:color w:val="auto"/>
                <w:kern w:val="2"/>
                <w:sz w:val="24"/>
                <w:szCs w:val="24"/>
                <w:highlight w:val="none"/>
                <w:lang w:val="en-US" w:eastAsia="zh-CN" w:bidi="ar-SA"/>
              </w:rPr>
              <w:t>（4）建设地点：本项目位</w:t>
            </w:r>
            <w:r>
              <w:rPr>
                <w:rFonts w:hint="default" w:ascii="Times New Roman" w:hAnsi="Times New Roman" w:cs="Times New Roman"/>
                <w:b w:val="0"/>
                <w:color w:val="auto"/>
                <w:kern w:val="2"/>
                <w:sz w:val="24"/>
                <w:szCs w:val="24"/>
                <w:highlight w:val="none"/>
                <w:lang w:val="en-US" w:eastAsia="zh-CN" w:bidi="ar-SA"/>
              </w:rPr>
              <w:t>于河北省秦皇岛市抚宁经济开发区北规一街南创业路东秦皇岛联安机械科技有限公司</w:t>
            </w:r>
            <w:r>
              <w:rPr>
                <w:rFonts w:hint="eastAsia" w:cs="Times New Roman"/>
                <w:b w:val="0"/>
                <w:color w:val="auto"/>
                <w:kern w:val="2"/>
                <w:sz w:val="24"/>
                <w:szCs w:val="24"/>
                <w:highlight w:val="none"/>
                <w:lang w:val="en-US" w:eastAsia="zh-CN" w:bidi="ar-SA"/>
              </w:rPr>
              <w:t>现有车间内</w:t>
            </w:r>
            <w:r>
              <w:rPr>
                <w:rFonts w:hint="default" w:ascii="Times New Roman" w:hAnsi="Times New Roman" w:cs="Times New Roman"/>
                <w:b w:val="0"/>
                <w:color w:val="auto"/>
                <w:kern w:val="2"/>
                <w:sz w:val="24"/>
                <w:szCs w:val="24"/>
                <w:highlight w:val="none"/>
                <w:lang w:val="en-US" w:eastAsia="zh-CN" w:bidi="ar-SA"/>
              </w:rPr>
              <w:t>，项目不新增用地，中心位置坐标为：北纬39°55′17.170″，东经119°13′53.830″</w:t>
            </w:r>
            <w:r>
              <w:rPr>
                <w:rFonts w:hint="eastAsia" w:cs="Times New Roman"/>
                <w:b w:val="0"/>
                <w:color w:val="auto"/>
                <w:kern w:val="2"/>
                <w:sz w:val="24"/>
                <w:szCs w:val="24"/>
                <w:highlight w:val="none"/>
                <w:lang w:val="en-US" w:eastAsia="zh-CN" w:bidi="ar-SA"/>
              </w:rPr>
              <w:t>。</w:t>
            </w:r>
            <w:r>
              <w:rPr>
                <w:rFonts w:hint="default" w:ascii="Times New Roman" w:hAnsi="Times New Roman" w:cs="Times New Roman"/>
                <w:b w:val="0"/>
                <w:color w:val="auto"/>
                <w:kern w:val="2"/>
                <w:sz w:val="24"/>
                <w:szCs w:val="24"/>
                <w:highlight w:val="none"/>
                <w:lang w:val="en-US" w:eastAsia="zh-CN" w:bidi="ar-SA"/>
              </w:rPr>
              <w:t>厂区东</w:t>
            </w:r>
            <w:r>
              <w:rPr>
                <w:rFonts w:hint="eastAsia" w:ascii="Times New Roman" w:hAnsi="Times New Roman" w:cs="Times New Roman"/>
                <w:b w:val="0"/>
                <w:color w:val="auto"/>
                <w:kern w:val="2"/>
                <w:sz w:val="24"/>
                <w:szCs w:val="24"/>
                <w:highlight w:val="none"/>
                <w:lang w:val="en-US" w:eastAsia="zh-CN" w:bidi="ar-SA"/>
              </w:rPr>
              <w:t>侧为闲置空地、北侧隔道为空地、南侧为</w:t>
            </w:r>
            <w:r>
              <w:rPr>
                <w:rFonts w:hint="eastAsia" w:cs="Times New Roman"/>
                <w:b w:val="0"/>
                <w:color w:val="auto"/>
                <w:kern w:val="2"/>
                <w:sz w:val="24"/>
                <w:szCs w:val="24"/>
                <w:highlight w:val="none"/>
                <w:lang w:val="en-US" w:eastAsia="zh-CN" w:bidi="ar-SA"/>
              </w:rPr>
              <w:t>松浦工业炉有限公司</w:t>
            </w:r>
            <w:r>
              <w:rPr>
                <w:rFonts w:hint="eastAsia" w:ascii="Times New Roman" w:hAnsi="Times New Roman" w:cs="Times New Roman"/>
                <w:b w:val="0"/>
                <w:color w:val="auto"/>
                <w:kern w:val="2"/>
                <w:sz w:val="24"/>
                <w:szCs w:val="24"/>
                <w:highlight w:val="none"/>
                <w:lang w:val="en-US" w:eastAsia="zh-CN" w:bidi="ar-SA"/>
              </w:rPr>
              <w:t>、西侧为秦皇岛精工绿筑吉成科技有限公司。</w:t>
            </w:r>
            <w:r>
              <w:rPr>
                <w:rFonts w:hint="eastAsia" w:cs="Times New Roman"/>
                <w:b w:val="0"/>
                <w:color w:val="auto"/>
                <w:kern w:val="2"/>
                <w:sz w:val="24"/>
                <w:szCs w:val="24"/>
                <w:highlight w:val="none"/>
                <w:lang w:val="en-US" w:eastAsia="zh-CN" w:bidi="ar-SA"/>
              </w:rPr>
              <w:t>本次新增喷漆房位于1号车间内，项目所在厂址周边关系示意图见附图2所示。</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cs="Times New Roman"/>
                <w:b w:val="0"/>
                <w:color w:val="auto"/>
                <w:kern w:val="2"/>
                <w:sz w:val="24"/>
                <w:szCs w:val="24"/>
                <w:highlight w:val="none"/>
                <w:lang w:val="en-US" w:eastAsia="zh-CN" w:bidi="ar-SA"/>
              </w:rPr>
            </w:pPr>
            <w:r>
              <w:rPr>
                <w:rFonts w:hint="eastAsia" w:cs="Times New Roman"/>
                <w:b w:val="0"/>
                <w:color w:val="auto"/>
                <w:kern w:val="2"/>
                <w:sz w:val="24"/>
                <w:szCs w:val="24"/>
                <w:highlight w:val="none"/>
                <w:lang w:val="en-US" w:eastAsia="zh-CN" w:bidi="ar-SA"/>
              </w:rPr>
              <w:t>（5）建设内容：因生产需要对特种机械设备生产线进行技术改造，需要增加喷漆工序，工艺流程更改为：原料-外协切割-钻孔-焊接-喷漆-组装-成品，新建一座喷漆房，建筑面积29.316平方米 ,总排气量 15120立方米/小时。增加普通车床1台（CFW61100Q）、数控加工中心1台 （Vturn-22w）、数控车床2台（CAK6150D、CFK6163B）、摇臂钻床1台（Z3032K）、CO</w:t>
            </w:r>
            <w:r>
              <w:rPr>
                <w:rFonts w:hint="eastAsia" w:cs="Times New Roman"/>
                <w:b w:val="0"/>
                <w:color w:val="auto"/>
                <w:kern w:val="2"/>
                <w:sz w:val="24"/>
                <w:szCs w:val="24"/>
                <w:highlight w:val="none"/>
                <w:vertAlign w:val="subscript"/>
                <w:lang w:val="en-US" w:eastAsia="zh-CN" w:bidi="ar-SA"/>
              </w:rPr>
              <w:t>2</w:t>
            </w:r>
            <w:r>
              <w:rPr>
                <w:rFonts w:hint="eastAsia" w:cs="Times New Roman"/>
                <w:b w:val="0"/>
                <w:color w:val="auto"/>
                <w:kern w:val="2"/>
                <w:sz w:val="24"/>
                <w:szCs w:val="24"/>
                <w:highlight w:val="none"/>
                <w:lang w:val="en-US" w:eastAsia="zh-CN" w:bidi="ar-SA"/>
              </w:rPr>
              <w:t>保护焊机2台（KRII500）、电火花1台（EDM450）、卷圆机1台。项目建成后原低压铸造机产能由20台/年增加到25台/年，其他产品产能不变。</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cs="Times New Roman"/>
                <w:b w:val="0"/>
                <w:color w:val="auto"/>
                <w:kern w:val="2"/>
                <w:sz w:val="24"/>
                <w:szCs w:val="24"/>
                <w:highlight w:val="none"/>
                <w:lang w:val="en-US" w:eastAsia="zh-CN" w:bidi="ar-SA"/>
              </w:rPr>
            </w:pPr>
            <w:r>
              <w:rPr>
                <w:rFonts w:hint="eastAsia" w:cs="Times New Roman"/>
                <w:b w:val="0"/>
                <w:color w:val="auto"/>
                <w:kern w:val="2"/>
                <w:sz w:val="24"/>
                <w:szCs w:val="24"/>
                <w:highlight w:val="none"/>
                <w:lang w:val="en-US" w:eastAsia="zh-CN" w:bidi="ar-SA"/>
              </w:rPr>
              <w:t>（6）工程投资：本项目总投资75万元，其中环保投资7万元，占总投资的0.93%。</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cs="Times New Roman"/>
                <w:b w:val="0"/>
                <w:color w:val="auto"/>
                <w:kern w:val="2"/>
                <w:sz w:val="24"/>
                <w:szCs w:val="24"/>
                <w:highlight w:val="none"/>
                <w:lang w:val="en-US" w:eastAsia="zh-CN" w:bidi="ar-SA"/>
              </w:rPr>
            </w:pPr>
            <w:r>
              <w:rPr>
                <w:rFonts w:hint="eastAsia" w:cs="Times New Roman"/>
                <w:b w:val="0"/>
                <w:color w:val="auto"/>
                <w:kern w:val="2"/>
                <w:sz w:val="24"/>
                <w:szCs w:val="24"/>
                <w:highlight w:val="none"/>
                <w:lang w:val="en-US" w:eastAsia="zh-CN" w:bidi="ar-SA"/>
              </w:rPr>
              <w:t>（7）劳动定员及工作制度：本次技改项目不新增劳动定员，从现有员工中抽调，年工作天数为330天，每天1班制，工作8小时。</w:t>
            </w:r>
          </w:p>
          <w:p>
            <w:pPr>
              <w:pStyle w:val="50"/>
              <w:numPr>
                <w:ilvl w:val="0"/>
                <w:numId w:val="0"/>
              </w:numPr>
              <w:bidi w:val="0"/>
              <w:ind w:leftChars="0"/>
              <w:rPr>
                <w:rFonts w:hint="eastAsia" w:ascii="Times New Roman" w:hAnsi="Times New Roman" w:cs="Times New Roman"/>
                <w:b/>
                <w:bCs/>
                <w:color w:val="auto"/>
                <w:kern w:val="2"/>
                <w:sz w:val="24"/>
                <w:szCs w:val="24"/>
                <w:highlight w:val="none"/>
                <w:lang w:val="en-US" w:eastAsia="zh-CN" w:bidi="ar-SA"/>
              </w:rPr>
            </w:pPr>
            <w:r>
              <w:rPr>
                <w:rFonts w:hint="eastAsia" w:ascii="Times New Roman" w:hAnsi="Times New Roman" w:cs="Times New Roman"/>
                <w:b/>
                <w:bCs/>
                <w:color w:val="auto"/>
                <w:kern w:val="2"/>
                <w:sz w:val="24"/>
                <w:szCs w:val="24"/>
                <w:highlight w:val="none"/>
                <w:lang w:val="en-US" w:eastAsia="zh-CN" w:bidi="ar-SA"/>
              </w:rPr>
              <w:t>3.2工程规模及项目组成</w:t>
            </w:r>
          </w:p>
          <w:p>
            <w:pPr>
              <w:bidi w:val="0"/>
              <w:ind w:firstLine="480" w:firstLineChars="200"/>
              <w:rPr>
                <w:rFonts w:hint="default" w:ascii="Times New Roman" w:hAnsi="Times New Roman" w:eastAsia="宋体" w:cs="Times New Roman"/>
                <w:color w:val="auto"/>
                <w:highlight w:val="none"/>
                <w:lang w:val="en-US" w:eastAsia="zh-CN"/>
              </w:rPr>
            </w:pPr>
            <w:r>
              <w:rPr>
                <w:rFonts w:hint="eastAsia" w:cs="Times New Roman"/>
                <w:color w:val="auto"/>
                <w:highlight w:val="none"/>
                <w:lang w:val="en-US" w:eastAsia="zh-CN"/>
              </w:rPr>
              <w:t>本次技改项目项目组成详见下表。</w:t>
            </w:r>
          </w:p>
          <w:p>
            <w:pPr>
              <w:pStyle w:val="51"/>
              <w:bidi w:val="0"/>
              <w:rPr>
                <w:rFonts w:hint="default" w:ascii="Times New Roman" w:hAnsi="Times New Roman" w:eastAsia="宋体" w:cs="Times New Roman"/>
                <w:b/>
                <w:color w:val="auto"/>
                <w:kern w:val="21"/>
                <w:sz w:val="21"/>
                <w:szCs w:val="16"/>
                <w:highlight w:val="none"/>
                <w:lang w:val="en-US" w:eastAsia="zh-CN" w:bidi="ar-SA"/>
              </w:rPr>
            </w:pPr>
            <w:r>
              <w:rPr>
                <w:rFonts w:hint="default" w:ascii="Times New Roman" w:hAnsi="Times New Roman" w:eastAsia="宋体" w:cs="Times New Roman"/>
                <w:b/>
                <w:color w:val="auto"/>
                <w:kern w:val="21"/>
                <w:sz w:val="21"/>
                <w:szCs w:val="16"/>
                <w:highlight w:val="none"/>
                <w:lang w:val="en-US" w:eastAsia="zh-CN" w:bidi="ar-SA"/>
              </w:rPr>
              <w:t>表2</w:t>
            </w:r>
            <w:r>
              <w:rPr>
                <w:rFonts w:hint="eastAsia" w:ascii="Times New Roman" w:hAnsi="Times New Roman" w:eastAsia="宋体" w:cs="Times New Roman"/>
                <w:b/>
                <w:color w:val="auto"/>
                <w:kern w:val="21"/>
                <w:sz w:val="21"/>
                <w:szCs w:val="16"/>
                <w:highlight w:val="none"/>
                <w:lang w:val="en-US" w:eastAsia="zh-CN" w:bidi="ar-SA"/>
              </w:rPr>
              <w:t>-</w:t>
            </w:r>
            <w:r>
              <w:rPr>
                <w:rFonts w:hint="eastAsia" w:cs="Times New Roman"/>
                <w:b/>
                <w:color w:val="auto"/>
                <w:kern w:val="21"/>
                <w:sz w:val="21"/>
                <w:szCs w:val="16"/>
                <w:highlight w:val="none"/>
                <w:lang w:val="en-US" w:eastAsia="zh-CN" w:bidi="ar-SA"/>
              </w:rPr>
              <w:t>5</w:t>
            </w:r>
            <w:r>
              <w:rPr>
                <w:rFonts w:hint="default" w:ascii="Times New Roman" w:hAnsi="Times New Roman" w:eastAsia="宋体" w:cs="Times New Roman"/>
                <w:b/>
                <w:color w:val="auto"/>
                <w:kern w:val="21"/>
                <w:sz w:val="21"/>
                <w:szCs w:val="16"/>
                <w:highlight w:val="none"/>
                <w:lang w:val="en-US" w:eastAsia="zh-CN" w:bidi="ar-SA"/>
              </w:rPr>
              <w:t xml:space="preserve">  项目组成一览表</w:t>
            </w:r>
          </w:p>
          <w:tbl>
            <w:tblPr>
              <w:tblStyle w:val="32"/>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85"/>
              <w:gridCol w:w="661"/>
              <w:gridCol w:w="1913"/>
              <w:gridCol w:w="3726"/>
              <w:gridCol w:w="17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94" w:type="pct"/>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工程分类</w:t>
                  </w:r>
                </w:p>
              </w:tc>
              <w:tc>
                <w:tcPr>
                  <w:tcW w:w="1437" w:type="pct"/>
                  <w:gridSpan w:val="2"/>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项目名称</w:t>
                  </w:r>
                </w:p>
              </w:tc>
              <w:tc>
                <w:tcPr>
                  <w:tcW w:w="2080" w:type="pct"/>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工程</w:t>
                  </w:r>
                  <w:r>
                    <w:rPr>
                      <w:rFonts w:hint="eastAsia" w:ascii="Times New Roman" w:hAnsi="Times New Roman" w:cs="Times New Roman"/>
                      <w:color w:val="auto"/>
                      <w:highlight w:val="none"/>
                      <w:lang w:val="en-US" w:eastAsia="zh-CN"/>
                    </w:rPr>
                    <w:t>情况</w:t>
                  </w:r>
                </w:p>
              </w:tc>
              <w:tc>
                <w:tcPr>
                  <w:tcW w:w="988" w:type="pct"/>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jc w:val="center"/>
              </w:trPr>
              <w:tc>
                <w:tcPr>
                  <w:tcW w:w="494" w:type="pct"/>
                  <w:vMerge w:val="restart"/>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主体工程</w:t>
                  </w:r>
                </w:p>
              </w:tc>
              <w:tc>
                <w:tcPr>
                  <w:tcW w:w="1437" w:type="pct"/>
                  <w:gridSpan w:val="2"/>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生产车间1</w:t>
                  </w:r>
                </w:p>
              </w:tc>
              <w:tc>
                <w:tcPr>
                  <w:tcW w:w="2080" w:type="pct"/>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1层，占地面积为3476m</w:t>
                  </w:r>
                  <w:r>
                    <w:rPr>
                      <w:rFonts w:hint="eastAsia" w:ascii="Times New Roman" w:hAnsi="Times New Roman" w:cs="Times New Roman"/>
                      <w:color w:val="auto"/>
                      <w:highlight w:val="none"/>
                      <w:vertAlign w:val="superscript"/>
                      <w:lang w:val="en-US" w:eastAsia="zh-CN"/>
                    </w:rPr>
                    <w:t>2</w:t>
                  </w:r>
                  <w:r>
                    <w:rPr>
                      <w:rFonts w:hint="eastAsia" w:ascii="Times New Roman" w:hAnsi="Times New Roman" w:cs="Times New Roman"/>
                      <w:color w:val="auto"/>
                      <w:highlight w:val="none"/>
                      <w:lang w:val="en-US" w:eastAsia="zh-CN"/>
                    </w:rPr>
                    <w:t>，新增数控加工中心、数控车床等生产设备，本次新建的喷漆房位于此生产车间内</w:t>
                  </w:r>
                </w:p>
              </w:tc>
              <w:tc>
                <w:tcPr>
                  <w:tcW w:w="988" w:type="pct"/>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新增部分生产设备并新建喷漆房1座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494" w:type="pct"/>
                  <w:vMerge w:val="continue"/>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rPr>
                  </w:pPr>
                </w:p>
              </w:tc>
              <w:tc>
                <w:tcPr>
                  <w:tcW w:w="1437" w:type="pct"/>
                  <w:gridSpan w:val="2"/>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喷漆房</w:t>
                  </w:r>
                </w:p>
              </w:tc>
              <w:tc>
                <w:tcPr>
                  <w:tcW w:w="2080" w:type="pct"/>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建筑面积29.316m</w:t>
                  </w:r>
                  <w:r>
                    <w:rPr>
                      <w:rFonts w:hint="eastAsia" w:ascii="Times New Roman" w:hAnsi="Times New Roman" w:cs="Times New Roman"/>
                      <w:color w:val="auto"/>
                      <w:highlight w:val="none"/>
                      <w:vertAlign w:val="superscript"/>
                      <w:lang w:val="en-US" w:eastAsia="zh-CN"/>
                    </w:rPr>
                    <w:t>2</w:t>
                  </w:r>
                  <w:r>
                    <w:rPr>
                      <w:rFonts w:hint="eastAsia" w:ascii="Times New Roman" w:hAnsi="Times New Roman" w:cs="Times New Roman"/>
                      <w:color w:val="auto"/>
                      <w:highlight w:val="none"/>
                      <w:lang w:val="en-US" w:eastAsia="zh-CN"/>
                    </w:rPr>
                    <w:t>，为密闭喷漆房，微负压，顶部设进风口，下部为出风口，风机风量为15120m</w:t>
                  </w:r>
                  <w:r>
                    <w:rPr>
                      <w:rFonts w:hint="eastAsia" w:ascii="Times New Roman" w:hAnsi="Times New Roman" w:cs="Times New Roman"/>
                      <w:color w:val="auto"/>
                      <w:highlight w:val="none"/>
                      <w:vertAlign w:val="superscript"/>
                      <w:lang w:val="en-US" w:eastAsia="zh-CN"/>
                    </w:rPr>
                    <w:t>3</w:t>
                  </w:r>
                  <w:r>
                    <w:rPr>
                      <w:rFonts w:hint="eastAsia" w:ascii="Times New Roman" w:hAnsi="Times New Roman" w:cs="Times New Roman"/>
                      <w:color w:val="auto"/>
                      <w:highlight w:val="none"/>
                      <w:lang w:val="en-US" w:eastAsia="zh-CN"/>
                    </w:rPr>
                    <w:t>/h，出风口废气经收集后进去新增有机废气治理设施内进行处理后经1根15m高排气筒排放（DA001）</w:t>
                  </w:r>
                </w:p>
              </w:tc>
              <w:tc>
                <w:tcPr>
                  <w:tcW w:w="988" w:type="pct"/>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在现有1号车间内建设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94" w:type="pct"/>
                  <w:vMerge w:val="restart"/>
                  <w:tcBorders>
                    <w:tl2br w:val="nil"/>
                    <w:tr2bl w:val="nil"/>
                  </w:tcBorders>
                  <w:noWrap w:val="0"/>
                  <w:vAlign w:val="center"/>
                </w:tcPr>
                <w:p>
                  <w:pPr>
                    <w:pStyle w:val="81"/>
                    <w:bidi w:val="0"/>
                    <w:spacing w:line="240" w:lineRule="auto"/>
                    <w:jc w:val="center"/>
                    <w:rPr>
                      <w:rFonts w:hint="default" w:ascii="Times New Roman" w:hAnsi="Times New Roman" w:eastAsia="宋体" w:cs="Times New Roman"/>
                      <w:color w:val="auto"/>
                      <w:highlight w:val="none"/>
                      <w:lang w:val="en-US" w:eastAsia="zh-CN"/>
                    </w:rPr>
                  </w:pPr>
                  <w:r>
                    <w:rPr>
                      <w:rFonts w:hint="eastAsia" w:ascii="Times New Roman" w:hAnsi="Times New Roman" w:cs="Times New Roman"/>
                      <w:color w:val="auto"/>
                      <w:highlight w:val="none"/>
                      <w:lang w:val="en-US" w:eastAsia="zh-CN"/>
                    </w:rPr>
                    <w:t>辅助工程</w:t>
                  </w:r>
                </w:p>
              </w:tc>
              <w:tc>
                <w:tcPr>
                  <w:tcW w:w="1437" w:type="pct"/>
                  <w:gridSpan w:val="2"/>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库房</w:t>
                  </w:r>
                </w:p>
              </w:tc>
              <w:tc>
                <w:tcPr>
                  <w:tcW w:w="2080" w:type="pct"/>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主要存放原辅材料，本次技改原辅材料增加量较少，库房可满足使用</w:t>
                  </w:r>
                </w:p>
              </w:tc>
              <w:tc>
                <w:tcPr>
                  <w:tcW w:w="988" w:type="pct"/>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利旧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 w:hRule="atLeast"/>
                <w:jc w:val="center"/>
              </w:trPr>
              <w:tc>
                <w:tcPr>
                  <w:tcW w:w="494" w:type="pct"/>
                  <w:vMerge w:val="continue"/>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rPr>
                  </w:pPr>
                </w:p>
              </w:tc>
              <w:tc>
                <w:tcPr>
                  <w:tcW w:w="1437" w:type="pct"/>
                  <w:gridSpan w:val="2"/>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办公室</w:t>
                  </w:r>
                </w:p>
              </w:tc>
              <w:tc>
                <w:tcPr>
                  <w:tcW w:w="2080" w:type="pct"/>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员工的办公及休息</w:t>
                  </w:r>
                </w:p>
              </w:tc>
              <w:tc>
                <w:tcPr>
                  <w:tcW w:w="988" w:type="pct"/>
                  <w:vMerge w:val="restart"/>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利旧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94" w:type="pct"/>
                  <w:vMerge w:val="continue"/>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rPr>
                  </w:pPr>
                </w:p>
              </w:tc>
              <w:tc>
                <w:tcPr>
                  <w:tcW w:w="1437" w:type="pct"/>
                  <w:gridSpan w:val="2"/>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危废暂存间</w:t>
                  </w:r>
                </w:p>
              </w:tc>
              <w:tc>
                <w:tcPr>
                  <w:tcW w:w="2080" w:type="pct"/>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依托，主要用于危险废物暂存</w:t>
                  </w:r>
                </w:p>
              </w:tc>
              <w:tc>
                <w:tcPr>
                  <w:tcW w:w="988" w:type="pct"/>
                  <w:vMerge w:val="continue"/>
                  <w:tcBorders>
                    <w:tl2br w:val="nil"/>
                    <w:tr2bl w:val="nil"/>
                  </w:tcBorders>
                  <w:noWrap w:val="0"/>
                  <w:vAlign w:val="center"/>
                </w:tcPr>
                <w:p>
                  <w:pPr>
                    <w:pStyle w:val="81"/>
                    <w:bidi w:val="0"/>
                    <w:spacing w:line="240" w:lineRule="auto"/>
                    <w:jc w:val="center"/>
                    <w:rPr>
                      <w:rFonts w:hint="eastAsia" w:ascii="Times New Roman" w:hAnsi="Times New Roman" w:cs="Times New Roman"/>
                      <w:color w:val="auto"/>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494" w:type="pct"/>
                  <w:vMerge w:val="restart"/>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公用工程</w:t>
                  </w:r>
                </w:p>
              </w:tc>
              <w:tc>
                <w:tcPr>
                  <w:tcW w:w="1437" w:type="pct"/>
                  <w:gridSpan w:val="2"/>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rPr>
                    <w:t>供水</w:t>
                  </w:r>
                </w:p>
              </w:tc>
              <w:tc>
                <w:tcPr>
                  <w:tcW w:w="2080" w:type="pct"/>
                  <w:tcBorders>
                    <w:tl2br w:val="nil"/>
                    <w:tr2bl w:val="nil"/>
                  </w:tcBorders>
                  <w:noWrap w:val="0"/>
                  <w:vAlign w:val="center"/>
                </w:tcPr>
                <w:p>
                  <w:pPr>
                    <w:pStyle w:val="81"/>
                    <w:bidi w:val="0"/>
                    <w:spacing w:line="240" w:lineRule="auto"/>
                    <w:jc w:val="center"/>
                    <w:rPr>
                      <w:rFonts w:hint="default" w:ascii="Times New Roman" w:hAnsi="Times New Roman" w:eastAsia="宋体" w:cs="Times New Roman"/>
                      <w:color w:val="auto"/>
                      <w:highlight w:val="none"/>
                      <w:lang w:val="en-US" w:eastAsia="zh-CN"/>
                    </w:rPr>
                  </w:pPr>
                  <w:r>
                    <w:rPr>
                      <w:rFonts w:hint="eastAsia" w:ascii="Times New Roman" w:hAnsi="Times New Roman" w:cs="Times New Roman"/>
                      <w:color w:val="auto"/>
                      <w:highlight w:val="none"/>
                      <w:lang w:val="en-US" w:eastAsia="zh-CN"/>
                    </w:rPr>
                    <w:t>市政供水管网</w:t>
                  </w:r>
                </w:p>
              </w:tc>
              <w:tc>
                <w:tcPr>
                  <w:tcW w:w="988" w:type="pct"/>
                  <w:vMerge w:val="restart"/>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利旧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94" w:type="pct"/>
                  <w:vMerge w:val="continue"/>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rPr>
                  </w:pPr>
                </w:p>
              </w:tc>
              <w:tc>
                <w:tcPr>
                  <w:tcW w:w="1437" w:type="pct"/>
                  <w:gridSpan w:val="2"/>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rPr>
                    <w:t>供热</w:t>
                  </w:r>
                </w:p>
              </w:tc>
              <w:tc>
                <w:tcPr>
                  <w:tcW w:w="2080" w:type="pct"/>
                  <w:tcBorders>
                    <w:tl2br w:val="nil"/>
                    <w:tr2bl w:val="nil"/>
                  </w:tcBorders>
                  <w:noWrap w:val="0"/>
                  <w:vAlign w:val="center"/>
                </w:tcPr>
                <w:p>
                  <w:pPr>
                    <w:pStyle w:val="81"/>
                    <w:bidi w:val="0"/>
                    <w:spacing w:line="240" w:lineRule="auto"/>
                    <w:jc w:val="center"/>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车间</w:t>
                  </w:r>
                  <w:r>
                    <w:rPr>
                      <w:rFonts w:hint="eastAsia" w:ascii="Times New Roman" w:hAnsi="Times New Roman" w:cs="Times New Roman"/>
                      <w:color w:val="auto"/>
                      <w:highlight w:val="none"/>
                      <w:lang w:val="en-US" w:eastAsia="zh-CN"/>
                    </w:rPr>
                    <w:t>不需要供暖、</w:t>
                  </w:r>
                  <w:r>
                    <w:rPr>
                      <w:rFonts w:hint="default" w:ascii="Times New Roman" w:hAnsi="Times New Roman" w:eastAsia="宋体" w:cs="Times New Roman"/>
                      <w:color w:val="auto"/>
                      <w:highlight w:val="none"/>
                      <w:lang w:val="en-US" w:eastAsia="zh-CN"/>
                    </w:rPr>
                    <w:t>办公室空调供暖</w:t>
                  </w:r>
                </w:p>
              </w:tc>
              <w:tc>
                <w:tcPr>
                  <w:tcW w:w="988" w:type="pct"/>
                  <w:vMerge w:val="continue"/>
                  <w:tcBorders>
                    <w:tl2br w:val="nil"/>
                    <w:tr2bl w:val="nil"/>
                  </w:tcBorders>
                  <w:noWrap w:val="0"/>
                  <w:vAlign w:val="center"/>
                </w:tcPr>
                <w:p>
                  <w:pPr>
                    <w:pStyle w:val="81"/>
                    <w:bidi w:val="0"/>
                    <w:spacing w:line="240" w:lineRule="auto"/>
                    <w:jc w:val="center"/>
                    <w:rPr>
                      <w:rFonts w:hint="default" w:ascii="Times New Roman" w:hAnsi="Times New Roman" w:eastAsia="宋体" w:cs="Times New Roman"/>
                      <w:color w:val="auto"/>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94" w:type="pct"/>
                  <w:vMerge w:val="continue"/>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rPr>
                  </w:pPr>
                </w:p>
              </w:tc>
              <w:tc>
                <w:tcPr>
                  <w:tcW w:w="1437" w:type="pct"/>
                  <w:gridSpan w:val="2"/>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rPr>
                    <w:t>供电</w:t>
                  </w:r>
                </w:p>
              </w:tc>
              <w:tc>
                <w:tcPr>
                  <w:tcW w:w="2080" w:type="pct"/>
                  <w:tcBorders>
                    <w:tl2br w:val="nil"/>
                    <w:tr2bl w:val="nil"/>
                  </w:tcBorders>
                  <w:noWrap w:val="0"/>
                  <w:vAlign w:val="center"/>
                </w:tcPr>
                <w:p>
                  <w:pPr>
                    <w:pStyle w:val="81"/>
                    <w:bidi w:val="0"/>
                    <w:spacing w:line="240" w:lineRule="auto"/>
                    <w:jc w:val="center"/>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依托</w:t>
                  </w:r>
                  <w:r>
                    <w:rPr>
                      <w:rFonts w:hint="eastAsia" w:ascii="Times New Roman" w:hAnsi="Times New Roman" w:cs="Times New Roman"/>
                      <w:color w:val="auto"/>
                      <w:highlight w:val="none"/>
                      <w:lang w:val="en-US" w:eastAsia="zh-CN"/>
                    </w:rPr>
                    <w:t>市政供电管网</w:t>
                  </w:r>
                </w:p>
              </w:tc>
              <w:tc>
                <w:tcPr>
                  <w:tcW w:w="988" w:type="pct"/>
                  <w:vMerge w:val="continue"/>
                  <w:tcBorders>
                    <w:tl2br w:val="nil"/>
                    <w:tr2bl w:val="nil"/>
                  </w:tcBorders>
                  <w:noWrap w:val="0"/>
                  <w:vAlign w:val="center"/>
                </w:tcPr>
                <w:p>
                  <w:pPr>
                    <w:pStyle w:val="81"/>
                    <w:bidi w:val="0"/>
                    <w:spacing w:line="240" w:lineRule="auto"/>
                    <w:jc w:val="center"/>
                    <w:rPr>
                      <w:rFonts w:hint="eastAsia" w:ascii="Times New Roman" w:hAnsi="Times New Roman" w:eastAsia="宋体" w:cs="Times New Roman"/>
                      <w:color w:val="auto"/>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94" w:type="pct"/>
                  <w:vMerge w:val="restart"/>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lang w:val="en-US" w:eastAsia="zh-CN"/>
                    </w:rPr>
                    <w:t>环保</w:t>
                  </w:r>
                  <w:r>
                    <w:rPr>
                      <w:rFonts w:hint="default" w:ascii="Times New Roman" w:hAnsi="Times New Roman" w:cs="Times New Roman"/>
                      <w:color w:val="auto"/>
                      <w:highlight w:val="none"/>
                    </w:rPr>
                    <w:t>工程</w:t>
                  </w:r>
                </w:p>
              </w:tc>
              <w:tc>
                <w:tcPr>
                  <w:tcW w:w="369" w:type="pct"/>
                  <w:vMerge w:val="restart"/>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废气</w:t>
                  </w:r>
                </w:p>
              </w:tc>
              <w:tc>
                <w:tcPr>
                  <w:tcW w:w="1068" w:type="pct"/>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喷漆废气（</w:t>
                  </w:r>
                  <w:r>
                    <w:rPr>
                      <w:rFonts w:hint="eastAsia" w:eastAsia="宋体" w:cs="Times New Roman"/>
                      <w:color w:val="auto"/>
                      <w:sz w:val="21"/>
                      <w:szCs w:val="21"/>
                      <w:highlight w:val="none"/>
                      <w:lang w:val="en-US" w:eastAsia="zh-CN"/>
                    </w:rPr>
                    <w:t>调漆、喷漆、晾干</w:t>
                  </w:r>
                  <w:r>
                    <w:rPr>
                      <w:rFonts w:hint="eastAsia" w:ascii="Times New Roman" w:hAnsi="Times New Roman" w:cs="Times New Roman"/>
                      <w:color w:val="auto"/>
                      <w:highlight w:val="none"/>
                      <w:lang w:val="en-US" w:eastAsia="zh-CN"/>
                    </w:rPr>
                    <w:t>）</w:t>
                  </w:r>
                </w:p>
              </w:tc>
              <w:tc>
                <w:tcPr>
                  <w:tcW w:w="2080" w:type="pct"/>
                  <w:tcBorders>
                    <w:tl2br w:val="nil"/>
                    <w:tr2bl w:val="nil"/>
                  </w:tcBorders>
                  <w:noWrap w:val="0"/>
                  <w:vAlign w:val="center"/>
                </w:tcPr>
                <w:p>
                  <w:pPr>
                    <w:pStyle w:val="81"/>
                    <w:bidi w:val="0"/>
                    <w:spacing w:line="240" w:lineRule="auto"/>
                    <w:jc w:val="center"/>
                    <w:rPr>
                      <w:rFonts w:hint="default" w:ascii="Times New Roman" w:hAnsi="Times New Roman" w:eastAsia="宋体" w:cs="Times New Roman"/>
                      <w:color w:val="auto"/>
                      <w:highlight w:val="none"/>
                      <w:lang w:val="en-US" w:eastAsia="zh-CN"/>
                    </w:rPr>
                  </w:pPr>
                  <w:r>
                    <w:rPr>
                      <w:rFonts w:hint="eastAsia" w:ascii="Times New Roman" w:hAnsi="Times New Roman" w:cs="Times New Roman"/>
                      <w:color w:val="auto"/>
                      <w:highlight w:val="none"/>
                      <w:lang w:val="en-US" w:eastAsia="zh-CN"/>
                    </w:rPr>
                    <w:t>喷漆工序在微负压喷漆房内进行，废气经</w:t>
                  </w:r>
                  <w:r>
                    <w:rPr>
                      <w:rFonts w:hint="default" w:ascii="Times New Roman" w:hAnsi="Times New Roman" w:cs="Times New Roman"/>
                      <w:color w:val="auto"/>
                      <w:highlight w:val="none"/>
                      <w:lang w:val="en-US" w:eastAsia="zh-CN"/>
                    </w:rPr>
                    <w:t>干式过滤箱+二级活性炭吸附处理后由1根15m高排气筒排放</w:t>
                  </w:r>
                  <w:r>
                    <w:rPr>
                      <w:rFonts w:hint="eastAsia" w:ascii="Times New Roman" w:hAnsi="Times New Roman" w:cs="Times New Roman"/>
                      <w:color w:val="auto"/>
                      <w:highlight w:val="none"/>
                      <w:lang w:val="en-US" w:eastAsia="zh-CN"/>
                    </w:rPr>
                    <w:t>（DA001）</w:t>
                  </w:r>
                </w:p>
              </w:tc>
              <w:tc>
                <w:tcPr>
                  <w:tcW w:w="988" w:type="pct"/>
                  <w:tcBorders>
                    <w:tl2br w:val="nil"/>
                    <w:tr2bl w:val="nil"/>
                  </w:tcBorders>
                  <w:noWrap w:val="0"/>
                  <w:vAlign w:val="center"/>
                </w:tcPr>
                <w:p>
                  <w:pPr>
                    <w:pStyle w:val="81"/>
                    <w:bidi w:val="0"/>
                    <w:spacing w:line="240" w:lineRule="auto"/>
                    <w:jc w:val="center"/>
                    <w:rPr>
                      <w:rFonts w:hint="default" w:ascii="Times New Roman" w:hAnsi="Times New Roman" w:eastAsia="宋体" w:cs="Times New Roman"/>
                      <w:color w:val="auto"/>
                      <w:kern w:val="0"/>
                      <w:sz w:val="21"/>
                      <w:szCs w:val="20"/>
                      <w:highlight w:val="none"/>
                      <w:lang w:val="en-US" w:eastAsia="zh-CN" w:bidi="ar-SA"/>
                    </w:rPr>
                  </w:pPr>
                  <w:r>
                    <w:rPr>
                      <w:rFonts w:hint="eastAsia" w:ascii="Times New Roman" w:hAnsi="Times New Roman" w:cs="Times New Roman"/>
                      <w:color w:val="auto"/>
                      <w:kern w:val="0"/>
                      <w:sz w:val="21"/>
                      <w:szCs w:val="20"/>
                      <w:highlight w:val="none"/>
                      <w:lang w:val="en-US" w:eastAsia="zh-CN" w:bidi="ar-SA"/>
                    </w:rPr>
                    <w:t>新增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94" w:type="pct"/>
                  <w:vMerge w:val="continue"/>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p>
              </w:tc>
              <w:tc>
                <w:tcPr>
                  <w:tcW w:w="369" w:type="pct"/>
                  <w:vMerge w:val="continue"/>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p>
              </w:tc>
              <w:tc>
                <w:tcPr>
                  <w:tcW w:w="1068" w:type="pct"/>
                  <w:tcBorders>
                    <w:tl2br w:val="nil"/>
                    <w:tr2bl w:val="nil"/>
                  </w:tcBorders>
                  <w:noWrap w:val="0"/>
                  <w:vAlign w:val="center"/>
                </w:tcPr>
                <w:p>
                  <w:pPr>
                    <w:pStyle w:val="81"/>
                    <w:bidi w:val="0"/>
                    <w:spacing w:line="240" w:lineRule="auto"/>
                    <w:jc w:val="center"/>
                    <w:rPr>
                      <w:rFonts w:hint="default" w:ascii="Times New Roman" w:hAnsi="Times New Roman" w:eastAsia="宋体" w:cs="Times New Roman"/>
                      <w:color w:val="auto"/>
                      <w:kern w:val="0"/>
                      <w:sz w:val="21"/>
                      <w:szCs w:val="20"/>
                      <w:highlight w:val="none"/>
                      <w:lang w:val="en-US" w:eastAsia="zh-CN" w:bidi="ar-SA"/>
                    </w:rPr>
                  </w:pPr>
                  <w:r>
                    <w:rPr>
                      <w:rFonts w:hint="eastAsia" w:ascii="Times New Roman" w:hAnsi="Times New Roman" w:cs="Times New Roman"/>
                      <w:color w:val="auto"/>
                      <w:kern w:val="0"/>
                      <w:sz w:val="21"/>
                      <w:szCs w:val="20"/>
                      <w:highlight w:val="none"/>
                      <w:lang w:val="en-US" w:eastAsia="zh-CN" w:bidi="ar-SA"/>
                    </w:rPr>
                    <w:t>焊接废气</w:t>
                  </w:r>
                </w:p>
              </w:tc>
              <w:tc>
                <w:tcPr>
                  <w:tcW w:w="2080" w:type="pct"/>
                  <w:tcBorders>
                    <w:tl2br w:val="nil"/>
                    <w:tr2bl w:val="nil"/>
                  </w:tcBorders>
                  <w:noWrap w:val="0"/>
                  <w:vAlign w:val="center"/>
                </w:tcPr>
                <w:p>
                  <w:pPr>
                    <w:pStyle w:val="81"/>
                    <w:bidi w:val="0"/>
                    <w:spacing w:line="240" w:lineRule="auto"/>
                    <w:jc w:val="center"/>
                    <w:rPr>
                      <w:rFonts w:hint="default" w:ascii="Times New Roman" w:hAnsi="Times New Roman" w:eastAsia="宋体" w:cs="Times New Roman"/>
                      <w:color w:val="auto"/>
                      <w:kern w:val="0"/>
                      <w:sz w:val="21"/>
                      <w:szCs w:val="20"/>
                      <w:highlight w:val="none"/>
                      <w:lang w:val="en-US" w:eastAsia="zh-CN" w:bidi="ar-SA"/>
                    </w:rPr>
                  </w:pPr>
                  <w:r>
                    <w:rPr>
                      <w:rFonts w:hint="eastAsia" w:ascii="Times New Roman" w:hAnsi="Times New Roman" w:cs="Times New Roman"/>
                      <w:color w:val="auto"/>
                      <w:kern w:val="0"/>
                      <w:sz w:val="21"/>
                      <w:szCs w:val="20"/>
                      <w:highlight w:val="none"/>
                      <w:lang w:val="en-US" w:eastAsia="zh-CN" w:bidi="ar-SA"/>
                    </w:rPr>
                    <w:t>使用2台现有移动式焊烟净化器进行净化后车间内无组织排放</w:t>
                  </w:r>
                </w:p>
              </w:tc>
              <w:tc>
                <w:tcPr>
                  <w:tcW w:w="988" w:type="pct"/>
                  <w:tcBorders>
                    <w:tl2br w:val="nil"/>
                    <w:tr2bl w:val="nil"/>
                  </w:tcBorders>
                  <w:noWrap w:val="0"/>
                  <w:vAlign w:val="center"/>
                </w:tcPr>
                <w:p>
                  <w:pPr>
                    <w:pStyle w:val="81"/>
                    <w:bidi w:val="0"/>
                    <w:spacing w:line="240" w:lineRule="auto"/>
                    <w:jc w:val="center"/>
                    <w:rPr>
                      <w:rFonts w:hint="default" w:ascii="Times New Roman" w:hAnsi="Times New Roman" w:eastAsia="宋体" w:cs="Times New Roman"/>
                      <w:color w:val="auto"/>
                      <w:kern w:val="0"/>
                      <w:sz w:val="21"/>
                      <w:szCs w:val="20"/>
                      <w:highlight w:val="none"/>
                      <w:lang w:val="en-US" w:eastAsia="zh-CN" w:bidi="ar-SA"/>
                    </w:rPr>
                  </w:pPr>
                  <w:r>
                    <w:rPr>
                      <w:rFonts w:hint="eastAsia" w:ascii="Times New Roman" w:hAnsi="Times New Roman" w:cs="Times New Roman"/>
                      <w:color w:val="auto"/>
                      <w:kern w:val="0"/>
                      <w:sz w:val="21"/>
                      <w:szCs w:val="20"/>
                      <w:highlight w:val="none"/>
                      <w:lang w:val="en-US" w:eastAsia="zh-CN" w:bidi="ar-SA"/>
                    </w:rPr>
                    <w:t>利旧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94" w:type="pct"/>
                  <w:vMerge w:val="continue"/>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rPr>
                  </w:pPr>
                </w:p>
              </w:tc>
              <w:tc>
                <w:tcPr>
                  <w:tcW w:w="369" w:type="pct"/>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rPr>
                    <w:t>废水</w:t>
                  </w:r>
                </w:p>
              </w:tc>
              <w:tc>
                <w:tcPr>
                  <w:tcW w:w="1068" w:type="pct"/>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rPr>
                    <w:t>生活污水</w:t>
                  </w:r>
                </w:p>
              </w:tc>
              <w:tc>
                <w:tcPr>
                  <w:tcW w:w="2080" w:type="pct"/>
                  <w:tcBorders>
                    <w:tl2br w:val="nil"/>
                    <w:tr2bl w:val="nil"/>
                  </w:tcBorders>
                  <w:noWrap w:val="0"/>
                  <w:vAlign w:val="center"/>
                </w:tcPr>
                <w:p>
                  <w:pPr>
                    <w:pStyle w:val="81"/>
                    <w:bidi w:val="0"/>
                    <w:spacing w:line="240" w:lineRule="auto"/>
                    <w:jc w:val="center"/>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厂区设</w:t>
                  </w:r>
                  <w:r>
                    <w:rPr>
                      <w:rFonts w:hint="eastAsia" w:ascii="Times New Roman" w:hAnsi="Times New Roman" w:cs="Times New Roman"/>
                      <w:color w:val="auto"/>
                      <w:highlight w:val="none"/>
                      <w:lang w:val="en-US" w:eastAsia="zh-CN"/>
                    </w:rPr>
                    <w:t>化粪池</w:t>
                  </w:r>
                  <w:r>
                    <w:rPr>
                      <w:rFonts w:hint="default" w:ascii="Times New Roman" w:hAnsi="Times New Roman" w:eastAsia="宋体" w:cs="Times New Roman"/>
                      <w:color w:val="auto"/>
                      <w:highlight w:val="none"/>
                      <w:lang w:val="en-US" w:eastAsia="zh-CN"/>
                    </w:rPr>
                    <w:t>，定期清掏</w:t>
                  </w:r>
                  <w:r>
                    <w:rPr>
                      <w:rFonts w:hint="eastAsia" w:ascii="Times New Roman" w:hAnsi="Times New Roman" w:cs="Times New Roman"/>
                      <w:color w:val="auto"/>
                      <w:highlight w:val="none"/>
                      <w:lang w:val="en-US" w:eastAsia="zh-CN"/>
                    </w:rPr>
                    <w:t>，本次不新增生活污水及生产废水的排放</w:t>
                  </w:r>
                </w:p>
              </w:tc>
              <w:tc>
                <w:tcPr>
                  <w:tcW w:w="988" w:type="pct"/>
                  <w:tcBorders>
                    <w:tl2br w:val="nil"/>
                    <w:tr2bl w:val="nil"/>
                  </w:tcBorders>
                  <w:noWrap w:val="0"/>
                  <w:vAlign w:val="center"/>
                </w:tcPr>
                <w:p>
                  <w:pPr>
                    <w:pStyle w:val="81"/>
                    <w:bidi w:val="0"/>
                    <w:spacing w:line="240" w:lineRule="auto"/>
                    <w:jc w:val="center"/>
                    <w:rPr>
                      <w:rFonts w:hint="default" w:ascii="Times New Roman" w:hAnsi="Times New Roman" w:eastAsia="宋体" w:cs="Times New Roman"/>
                      <w:color w:val="auto"/>
                      <w:highlight w:val="none"/>
                      <w:lang w:val="en-US" w:eastAsia="zh-CN"/>
                    </w:rPr>
                  </w:pPr>
                  <w:r>
                    <w:rPr>
                      <w:rFonts w:hint="eastAsia" w:ascii="Times New Roman" w:hAnsi="Times New Roman" w:cs="Times New Roman"/>
                      <w:color w:val="auto"/>
                      <w:highlight w:val="none"/>
                      <w:lang w:val="en-US" w:eastAsia="zh-CN"/>
                    </w:rPr>
                    <w:t>利旧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94" w:type="pct"/>
                  <w:vMerge w:val="continue"/>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rPr>
                  </w:pPr>
                </w:p>
              </w:tc>
              <w:tc>
                <w:tcPr>
                  <w:tcW w:w="369" w:type="pct"/>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rPr>
                    <w:t>噪声</w:t>
                  </w:r>
                </w:p>
              </w:tc>
              <w:tc>
                <w:tcPr>
                  <w:tcW w:w="1068" w:type="pct"/>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rPr>
                    <w:t>设备噪声</w:t>
                  </w:r>
                </w:p>
              </w:tc>
              <w:tc>
                <w:tcPr>
                  <w:tcW w:w="2080" w:type="pct"/>
                  <w:tcBorders>
                    <w:tl2br w:val="nil"/>
                    <w:tr2bl w:val="nil"/>
                  </w:tcBorders>
                  <w:noWrap w:val="0"/>
                  <w:vAlign w:val="center"/>
                </w:tcPr>
                <w:p>
                  <w:pPr>
                    <w:pStyle w:val="81"/>
                    <w:bidi w:val="0"/>
                    <w:spacing w:line="240" w:lineRule="auto"/>
                    <w:jc w:val="center"/>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选用低噪声设备，建筑隔声，距离衰减</w:t>
                  </w:r>
                </w:p>
              </w:tc>
              <w:tc>
                <w:tcPr>
                  <w:tcW w:w="988" w:type="pct"/>
                  <w:tcBorders>
                    <w:tl2br w:val="nil"/>
                    <w:tr2bl w:val="nil"/>
                  </w:tcBorders>
                  <w:noWrap w:val="0"/>
                  <w:vAlign w:val="center"/>
                </w:tcPr>
                <w:p>
                  <w:pPr>
                    <w:pStyle w:val="81"/>
                    <w:bidi w:val="0"/>
                    <w:spacing w:line="240" w:lineRule="auto"/>
                    <w:jc w:val="center"/>
                    <w:rPr>
                      <w:rFonts w:hint="default" w:ascii="Times New Roman" w:hAnsi="Times New Roman" w:eastAsia="宋体" w:cs="Times New Roman"/>
                      <w:color w:val="auto"/>
                      <w:highlight w:val="none"/>
                      <w:lang w:val="en-US" w:eastAsia="zh-CN"/>
                    </w:rPr>
                  </w:pPr>
                  <w:r>
                    <w:rPr>
                      <w:rFonts w:hint="eastAsia" w:ascii="Times New Roman" w:hAnsi="Times New Roman" w:cs="Times New Roman"/>
                      <w:color w:val="auto"/>
                      <w:highlight w:val="none"/>
                      <w:lang w:val="en-US" w:eastAsia="zh-CN"/>
                    </w:rPr>
                    <w:t>新增部分设备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94" w:type="pct"/>
                  <w:vMerge w:val="continue"/>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rPr>
                  </w:pPr>
                </w:p>
              </w:tc>
              <w:tc>
                <w:tcPr>
                  <w:tcW w:w="369" w:type="pct"/>
                  <w:vMerge w:val="restart"/>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rPr>
                    <w:t>固废</w:t>
                  </w:r>
                </w:p>
              </w:tc>
              <w:tc>
                <w:tcPr>
                  <w:tcW w:w="1068" w:type="pct"/>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生活垃圾</w:t>
                  </w:r>
                  <w:r>
                    <w:rPr>
                      <w:rFonts w:hint="eastAsia" w:ascii="Times New Roman" w:hAnsi="Times New Roman" w:cs="Times New Roman"/>
                      <w:color w:val="auto"/>
                      <w:highlight w:val="none"/>
                      <w:lang w:val="en-US" w:eastAsia="zh-CN"/>
                    </w:rPr>
                    <w:t>、废抹布</w:t>
                  </w:r>
                </w:p>
              </w:tc>
              <w:tc>
                <w:tcPr>
                  <w:tcW w:w="2080" w:type="pct"/>
                  <w:tcBorders>
                    <w:tl2br w:val="nil"/>
                    <w:tr2bl w:val="nil"/>
                  </w:tcBorders>
                  <w:noWrap w:val="0"/>
                  <w:vAlign w:val="center"/>
                </w:tcPr>
                <w:p>
                  <w:pPr>
                    <w:pStyle w:val="81"/>
                    <w:bidi w:val="0"/>
                    <w:spacing w:line="240" w:lineRule="auto"/>
                    <w:jc w:val="center"/>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定点收集后委托环卫部门清运</w:t>
                  </w:r>
                </w:p>
              </w:tc>
              <w:tc>
                <w:tcPr>
                  <w:tcW w:w="988" w:type="pct"/>
                  <w:tcBorders>
                    <w:tl2br w:val="nil"/>
                    <w:tr2bl w:val="nil"/>
                  </w:tcBorders>
                  <w:noWrap w:val="0"/>
                  <w:vAlign w:val="center"/>
                </w:tcPr>
                <w:p>
                  <w:pPr>
                    <w:pStyle w:val="81"/>
                    <w:bidi w:val="0"/>
                    <w:spacing w:line="240" w:lineRule="auto"/>
                    <w:jc w:val="center"/>
                    <w:rPr>
                      <w:rFonts w:hint="default" w:ascii="Times New Roman" w:hAnsi="Times New Roman" w:eastAsia="宋体" w:cs="Times New Roman"/>
                      <w:color w:val="auto"/>
                      <w:highlight w:val="none"/>
                      <w:lang w:val="en-US" w:eastAsia="zh-CN"/>
                    </w:rPr>
                  </w:pPr>
                  <w:r>
                    <w:rPr>
                      <w:rFonts w:hint="eastAsia" w:ascii="Times New Roman" w:hAnsi="Times New Roman" w:cs="Times New Roman"/>
                      <w:color w:val="auto"/>
                      <w:highlight w:val="none"/>
                      <w:lang w:val="en-US" w:eastAsia="zh-CN"/>
                    </w:rPr>
                    <w:t>利旧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1" w:hRule="atLeast"/>
                <w:jc w:val="center"/>
              </w:trPr>
              <w:tc>
                <w:tcPr>
                  <w:tcW w:w="494" w:type="pct"/>
                  <w:vMerge w:val="continue"/>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rPr>
                  </w:pPr>
                </w:p>
              </w:tc>
              <w:tc>
                <w:tcPr>
                  <w:tcW w:w="369" w:type="pct"/>
                  <w:vMerge w:val="continue"/>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rPr>
                  </w:pPr>
                </w:p>
              </w:tc>
              <w:tc>
                <w:tcPr>
                  <w:tcW w:w="1068" w:type="pct"/>
                  <w:tcBorders>
                    <w:tl2br w:val="nil"/>
                    <w:tr2bl w:val="nil"/>
                  </w:tcBorders>
                  <w:noWrap w:val="0"/>
                  <w:vAlign w:val="center"/>
                </w:tcPr>
                <w:p>
                  <w:pPr>
                    <w:pStyle w:val="58"/>
                    <w:bidi w:val="0"/>
                    <w:spacing w:line="240" w:lineRule="auto"/>
                    <w:jc w:val="center"/>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边角料</w:t>
                  </w:r>
                  <w:r>
                    <w:rPr>
                      <w:rFonts w:hint="eastAsia" w:ascii="Times New Roman" w:hAnsi="Times New Roman" w:cs="Times New Roman"/>
                      <w:color w:val="auto"/>
                      <w:highlight w:val="none"/>
                      <w:lang w:val="en-US" w:eastAsia="zh-CN"/>
                    </w:rPr>
                    <w:t>、金属屑、废焊头、除尘灰</w:t>
                  </w:r>
                </w:p>
              </w:tc>
              <w:tc>
                <w:tcPr>
                  <w:tcW w:w="2080" w:type="pct"/>
                  <w:tcBorders>
                    <w:tl2br w:val="nil"/>
                    <w:tr2bl w:val="nil"/>
                  </w:tcBorders>
                  <w:noWrap w:val="0"/>
                  <w:vAlign w:val="center"/>
                </w:tcPr>
                <w:p>
                  <w:pPr>
                    <w:pStyle w:val="81"/>
                    <w:bidi w:val="0"/>
                    <w:spacing w:line="240" w:lineRule="auto"/>
                    <w:jc w:val="center"/>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暂存固废暂存区，集中收集，统一外售</w:t>
                  </w:r>
                </w:p>
              </w:tc>
              <w:tc>
                <w:tcPr>
                  <w:tcW w:w="988" w:type="pct"/>
                  <w:tcBorders>
                    <w:tl2br w:val="nil"/>
                    <w:tr2bl w:val="nil"/>
                  </w:tcBorders>
                  <w:noWrap w:val="0"/>
                  <w:vAlign w:val="center"/>
                </w:tcPr>
                <w:p>
                  <w:pPr>
                    <w:pStyle w:val="81"/>
                    <w:bidi w:val="0"/>
                    <w:spacing w:line="240" w:lineRule="auto"/>
                    <w:jc w:val="center"/>
                    <w:rPr>
                      <w:rFonts w:hint="default" w:ascii="Times New Roman" w:hAnsi="Times New Roman" w:eastAsia="宋体" w:cs="Times New Roman"/>
                      <w:color w:val="auto"/>
                      <w:highlight w:val="none"/>
                      <w:lang w:val="en-US" w:eastAsia="zh-CN"/>
                    </w:rPr>
                  </w:pPr>
                  <w:r>
                    <w:rPr>
                      <w:rFonts w:hint="eastAsia" w:ascii="Times New Roman" w:hAnsi="Times New Roman" w:cs="Times New Roman"/>
                      <w:color w:val="auto"/>
                      <w:highlight w:val="none"/>
                      <w:lang w:val="en-US" w:eastAsia="zh-CN"/>
                    </w:rPr>
                    <w:t>利旧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2" w:hRule="atLeast"/>
                <w:jc w:val="center"/>
              </w:trPr>
              <w:tc>
                <w:tcPr>
                  <w:tcW w:w="494" w:type="pct"/>
                  <w:vMerge w:val="continue"/>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p>
              </w:tc>
              <w:tc>
                <w:tcPr>
                  <w:tcW w:w="369" w:type="pct"/>
                  <w:vMerge w:val="continue"/>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p>
              </w:tc>
              <w:tc>
                <w:tcPr>
                  <w:tcW w:w="1068" w:type="pct"/>
                  <w:tcBorders>
                    <w:tl2br w:val="nil"/>
                    <w:tr2bl w:val="nil"/>
                  </w:tcBorders>
                  <w:noWrap w:val="0"/>
                  <w:vAlign w:val="center"/>
                </w:tcPr>
                <w:p>
                  <w:pPr>
                    <w:pStyle w:val="58"/>
                    <w:bidi w:val="0"/>
                    <w:spacing w:line="240" w:lineRule="auto"/>
                    <w:jc w:val="center"/>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废机油</w:t>
                  </w:r>
                </w:p>
              </w:tc>
              <w:tc>
                <w:tcPr>
                  <w:tcW w:w="2080" w:type="pct"/>
                  <w:vMerge w:val="restart"/>
                  <w:tcBorders>
                    <w:tl2br w:val="nil"/>
                    <w:tr2bl w:val="nil"/>
                  </w:tcBorders>
                  <w:noWrap w:val="0"/>
                  <w:vAlign w:val="center"/>
                </w:tcPr>
                <w:p>
                  <w:pPr>
                    <w:pStyle w:val="81"/>
                    <w:bidi w:val="0"/>
                    <w:spacing w:line="240" w:lineRule="auto"/>
                    <w:jc w:val="center"/>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暂存于危废暂存间内，定期由有资质单位运输处理</w:t>
                  </w:r>
                </w:p>
              </w:tc>
              <w:tc>
                <w:tcPr>
                  <w:tcW w:w="988" w:type="pct"/>
                  <w:vMerge w:val="restart"/>
                  <w:tcBorders>
                    <w:tl2br w:val="nil"/>
                    <w:tr2bl w:val="nil"/>
                  </w:tcBorders>
                  <w:noWrap w:val="0"/>
                  <w:vAlign w:val="center"/>
                </w:tcPr>
                <w:p>
                  <w:pPr>
                    <w:pStyle w:val="81"/>
                    <w:bidi w:val="0"/>
                    <w:spacing w:line="240" w:lineRule="auto"/>
                    <w:jc w:val="center"/>
                    <w:rPr>
                      <w:rFonts w:hint="default" w:ascii="Times New Roman" w:hAnsi="Times New Roman" w:eastAsia="宋体" w:cs="Times New Roman"/>
                      <w:color w:val="auto"/>
                      <w:highlight w:val="none"/>
                      <w:lang w:val="en-US" w:eastAsia="zh-CN"/>
                    </w:rPr>
                  </w:pPr>
                  <w:r>
                    <w:rPr>
                      <w:rFonts w:hint="eastAsia" w:ascii="Times New Roman" w:hAnsi="Times New Roman" w:cs="Times New Roman"/>
                      <w:color w:val="auto"/>
                      <w:highlight w:val="none"/>
                      <w:lang w:val="en-US" w:eastAsia="zh-CN"/>
                    </w:rPr>
                    <w:t>企业现有危废间面积为10m</w:t>
                  </w:r>
                  <w:r>
                    <w:rPr>
                      <w:rFonts w:hint="eastAsia" w:ascii="Times New Roman" w:hAnsi="Times New Roman" w:cs="Times New Roman"/>
                      <w:color w:val="auto"/>
                      <w:highlight w:val="none"/>
                      <w:vertAlign w:val="superscript"/>
                      <w:lang w:val="en-US" w:eastAsia="zh-CN"/>
                    </w:rPr>
                    <w:t>2</w:t>
                  </w:r>
                  <w:r>
                    <w:rPr>
                      <w:rFonts w:hint="eastAsia" w:ascii="Times New Roman" w:hAnsi="Times New Roman" w:cs="Times New Roman"/>
                      <w:color w:val="auto"/>
                      <w:highlight w:val="none"/>
                      <w:lang w:val="en-US" w:eastAsia="zh-CN"/>
                    </w:rPr>
                    <w:t>，现有危废间满足技改后全厂使用（详见固体废物分析章节）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494" w:type="pct"/>
                  <w:vMerge w:val="continue"/>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p>
              </w:tc>
              <w:tc>
                <w:tcPr>
                  <w:tcW w:w="369" w:type="pct"/>
                  <w:vMerge w:val="continue"/>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p>
              </w:tc>
              <w:tc>
                <w:tcPr>
                  <w:tcW w:w="1068" w:type="pct"/>
                  <w:tcBorders>
                    <w:tl2br w:val="nil"/>
                    <w:tr2bl w:val="nil"/>
                  </w:tcBorders>
                  <w:noWrap w:val="0"/>
                  <w:vAlign w:val="center"/>
                </w:tcPr>
                <w:p>
                  <w:pPr>
                    <w:pStyle w:val="58"/>
                    <w:bidi w:val="0"/>
                    <w:spacing w:line="240" w:lineRule="auto"/>
                    <w:jc w:val="center"/>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废润滑油</w:t>
                  </w:r>
                </w:p>
              </w:tc>
              <w:tc>
                <w:tcPr>
                  <w:tcW w:w="2080" w:type="pct"/>
                  <w:vMerge w:val="continue"/>
                  <w:tcBorders>
                    <w:tl2br w:val="nil"/>
                    <w:tr2bl w:val="nil"/>
                  </w:tcBorders>
                  <w:noWrap w:val="0"/>
                  <w:vAlign w:val="center"/>
                </w:tcPr>
                <w:p>
                  <w:pPr>
                    <w:pStyle w:val="81"/>
                    <w:bidi w:val="0"/>
                    <w:spacing w:line="240" w:lineRule="auto"/>
                    <w:jc w:val="center"/>
                    <w:rPr>
                      <w:rFonts w:hint="default" w:ascii="Times New Roman" w:hAnsi="Times New Roman" w:eastAsia="宋体" w:cs="Times New Roman"/>
                      <w:color w:val="auto"/>
                      <w:highlight w:val="none"/>
                      <w:lang w:val="en-US" w:eastAsia="zh-CN"/>
                    </w:rPr>
                  </w:pPr>
                </w:p>
              </w:tc>
              <w:tc>
                <w:tcPr>
                  <w:tcW w:w="988" w:type="pct"/>
                  <w:vMerge w:val="continue"/>
                  <w:tcBorders>
                    <w:tl2br w:val="nil"/>
                    <w:tr2bl w:val="nil"/>
                  </w:tcBorders>
                  <w:noWrap w:val="0"/>
                  <w:vAlign w:val="center"/>
                </w:tcPr>
                <w:p>
                  <w:pPr>
                    <w:pStyle w:val="81"/>
                    <w:bidi w:val="0"/>
                    <w:spacing w:line="240" w:lineRule="auto"/>
                    <w:jc w:val="center"/>
                    <w:rPr>
                      <w:rFonts w:hint="default" w:ascii="Times New Roman" w:hAnsi="Times New Roman" w:eastAsia="宋体" w:cs="Times New Roman"/>
                      <w:color w:val="auto"/>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94" w:type="pct"/>
                  <w:vMerge w:val="continue"/>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p>
              </w:tc>
              <w:tc>
                <w:tcPr>
                  <w:tcW w:w="369" w:type="pct"/>
                  <w:vMerge w:val="continue"/>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p>
              </w:tc>
              <w:tc>
                <w:tcPr>
                  <w:tcW w:w="1068" w:type="pct"/>
                  <w:tcBorders>
                    <w:tl2br w:val="nil"/>
                    <w:tr2bl w:val="nil"/>
                  </w:tcBorders>
                  <w:noWrap w:val="0"/>
                  <w:vAlign w:val="center"/>
                </w:tcPr>
                <w:p>
                  <w:pPr>
                    <w:pStyle w:val="58"/>
                    <w:bidi w:val="0"/>
                    <w:spacing w:line="240" w:lineRule="auto"/>
                    <w:jc w:val="center"/>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废液压油</w:t>
                  </w:r>
                </w:p>
              </w:tc>
              <w:tc>
                <w:tcPr>
                  <w:tcW w:w="2080" w:type="pct"/>
                  <w:vMerge w:val="continue"/>
                  <w:tcBorders>
                    <w:tl2br w:val="nil"/>
                    <w:tr2bl w:val="nil"/>
                  </w:tcBorders>
                  <w:noWrap w:val="0"/>
                  <w:vAlign w:val="center"/>
                </w:tcPr>
                <w:p>
                  <w:pPr>
                    <w:pStyle w:val="81"/>
                    <w:bidi w:val="0"/>
                    <w:spacing w:line="240" w:lineRule="auto"/>
                    <w:jc w:val="center"/>
                    <w:rPr>
                      <w:rFonts w:hint="default" w:ascii="Times New Roman" w:hAnsi="Times New Roman" w:eastAsia="宋体" w:cs="Times New Roman"/>
                      <w:color w:val="auto"/>
                      <w:highlight w:val="none"/>
                      <w:lang w:val="en-US" w:eastAsia="zh-CN"/>
                    </w:rPr>
                  </w:pPr>
                </w:p>
              </w:tc>
              <w:tc>
                <w:tcPr>
                  <w:tcW w:w="988" w:type="pct"/>
                  <w:vMerge w:val="continue"/>
                  <w:tcBorders>
                    <w:tl2br w:val="nil"/>
                    <w:tr2bl w:val="nil"/>
                  </w:tcBorders>
                  <w:noWrap w:val="0"/>
                  <w:vAlign w:val="center"/>
                </w:tcPr>
                <w:p>
                  <w:pPr>
                    <w:pStyle w:val="81"/>
                    <w:bidi w:val="0"/>
                    <w:spacing w:line="240" w:lineRule="auto"/>
                    <w:jc w:val="center"/>
                    <w:rPr>
                      <w:rFonts w:hint="default" w:ascii="Times New Roman" w:hAnsi="Times New Roman" w:eastAsia="宋体" w:cs="Times New Roman"/>
                      <w:color w:val="auto"/>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jc w:val="center"/>
              </w:trPr>
              <w:tc>
                <w:tcPr>
                  <w:tcW w:w="494" w:type="pct"/>
                  <w:vMerge w:val="continue"/>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p>
              </w:tc>
              <w:tc>
                <w:tcPr>
                  <w:tcW w:w="369" w:type="pct"/>
                  <w:vMerge w:val="continue"/>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p>
              </w:tc>
              <w:tc>
                <w:tcPr>
                  <w:tcW w:w="1068" w:type="pct"/>
                  <w:tcBorders>
                    <w:tl2br w:val="nil"/>
                    <w:tr2bl w:val="nil"/>
                  </w:tcBorders>
                  <w:noWrap w:val="0"/>
                  <w:vAlign w:val="center"/>
                </w:tcPr>
                <w:p>
                  <w:pPr>
                    <w:pStyle w:val="58"/>
                    <w:bidi w:val="0"/>
                    <w:spacing w:line="240" w:lineRule="auto"/>
                    <w:jc w:val="center"/>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废活性炭、废过滤棉</w:t>
                  </w:r>
                </w:p>
              </w:tc>
              <w:tc>
                <w:tcPr>
                  <w:tcW w:w="2080" w:type="pct"/>
                  <w:vMerge w:val="continue"/>
                  <w:tcBorders>
                    <w:tl2br w:val="nil"/>
                    <w:tr2bl w:val="nil"/>
                  </w:tcBorders>
                  <w:noWrap w:val="0"/>
                  <w:vAlign w:val="center"/>
                </w:tcPr>
                <w:p>
                  <w:pPr>
                    <w:pStyle w:val="81"/>
                    <w:bidi w:val="0"/>
                    <w:spacing w:line="240" w:lineRule="auto"/>
                    <w:jc w:val="center"/>
                    <w:rPr>
                      <w:rFonts w:hint="default" w:ascii="Times New Roman" w:hAnsi="Times New Roman" w:eastAsia="宋体" w:cs="Times New Roman"/>
                      <w:color w:val="auto"/>
                      <w:highlight w:val="none"/>
                      <w:lang w:val="en-US" w:eastAsia="zh-CN"/>
                    </w:rPr>
                  </w:pPr>
                </w:p>
              </w:tc>
              <w:tc>
                <w:tcPr>
                  <w:tcW w:w="988" w:type="pct"/>
                  <w:vMerge w:val="continue"/>
                  <w:tcBorders>
                    <w:tl2br w:val="nil"/>
                    <w:tr2bl w:val="nil"/>
                  </w:tcBorders>
                  <w:noWrap w:val="0"/>
                  <w:vAlign w:val="center"/>
                </w:tcPr>
                <w:p>
                  <w:pPr>
                    <w:pStyle w:val="81"/>
                    <w:bidi w:val="0"/>
                    <w:spacing w:line="240" w:lineRule="auto"/>
                    <w:jc w:val="center"/>
                    <w:rPr>
                      <w:rFonts w:hint="default" w:ascii="Times New Roman" w:hAnsi="Times New Roman" w:eastAsia="宋体" w:cs="Times New Roman"/>
                      <w:color w:val="auto"/>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9" w:hRule="atLeast"/>
                <w:jc w:val="center"/>
              </w:trPr>
              <w:tc>
                <w:tcPr>
                  <w:tcW w:w="494" w:type="pct"/>
                  <w:vMerge w:val="continue"/>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p>
              </w:tc>
              <w:tc>
                <w:tcPr>
                  <w:tcW w:w="369" w:type="pct"/>
                  <w:vMerge w:val="continue"/>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p>
              </w:tc>
              <w:tc>
                <w:tcPr>
                  <w:tcW w:w="1068" w:type="pct"/>
                  <w:tcBorders>
                    <w:tl2br w:val="nil"/>
                    <w:tr2bl w:val="nil"/>
                  </w:tcBorders>
                  <w:noWrap w:val="0"/>
                  <w:vAlign w:val="center"/>
                </w:tcPr>
                <w:p>
                  <w:pPr>
                    <w:pStyle w:val="58"/>
                    <w:bidi w:val="0"/>
                    <w:spacing w:line="240" w:lineRule="auto"/>
                    <w:jc w:val="center"/>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废油桶</w:t>
                  </w:r>
                </w:p>
              </w:tc>
              <w:tc>
                <w:tcPr>
                  <w:tcW w:w="2080" w:type="pct"/>
                  <w:vMerge w:val="continue"/>
                  <w:tcBorders>
                    <w:tl2br w:val="nil"/>
                    <w:tr2bl w:val="nil"/>
                  </w:tcBorders>
                  <w:noWrap w:val="0"/>
                  <w:vAlign w:val="center"/>
                </w:tcPr>
                <w:p>
                  <w:pPr>
                    <w:pStyle w:val="81"/>
                    <w:bidi w:val="0"/>
                    <w:spacing w:line="240" w:lineRule="auto"/>
                    <w:jc w:val="center"/>
                    <w:rPr>
                      <w:rFonts w:hint="default" w:ascii="Times New Roman" w:hAnsi="Times New Roman" w:eastAsia="宋体" w:cs="Times New Roman"/>
                      <w:color w:val="auto"/>
                      <w:highlight w:val="none"/>
                      <w:lang w:val="en-US" w:eastAsia="zh-CN"/>
                    </w:rPr>
                  </w:pPr>
                </w:p>
              </w:tc>
              <w:tc>
                <w:tcPr>
                  <w:tcW w:w="988" w:type="pct"/>
                  <w:vMerge w:val="continue"/>
                  <w:tcBorders>
                    <w:tl2br w:val="nil"/>
                    <w:tr2bl w:val="nil"/>
                  </w:tcBorders>
                  <w:noWrap w:val="0"/>
                  <w:vAlign w:val="center"/>
                </w:tcPr>
                <w:p>
                  <w:pPr>
                    <w:pStyle w:val="81"/>
                    <w:bidi w:val="0"/>
                    <w:spacing w:line="240" w:lineRule="auto"/>
                    <w:jc w:val="center"/>
                    <w:rPr>
                      <w:rFonts w:hint="default" w:ascii="Times New Roman" w:hAnsi="Times New Roman" w:eastAsia="宋体" w:cs="Times New Roman"/>
                      <w:color w:val="auto"/>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 w:hRule="atLeast"/>
                <w:jc w:val="center"/>
              </w:trPr>
              <w:tc>
                <w:tcPr>
                  <w:tcW w:w="494" w:type="pct"/>
                  <w:vMerge w:val="continue"/>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p>
              </w:tc>
              <w:tc>
                <w:tcPr>
                  <w:tcW w:w="369" w:type="pct"/>
                  <w:vMerge w:val="continue"/>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p>
              </w:tc>
              <w:tc>
                <w:tcPr>
                  <w:tcW w:w="1068" w:type="pct"/>
                  <w:tcBorders>
                    <w:tl2br w:val="nil"/>
                    <w:tr2bl w:val="nil"/>
                  </w:tcBorders>
                  <w:noWrap w:val="0"/>
                  <w:vAlign w:val="center"/>
                </w:tcPr>
                <w:p>
                  <w:pPr>
                    <w:pStyle w:val="58"/>
                    <w:bidi w:val="0"/>
                    <w:spacing w:line="240" w:lineRule="auto"/>
                    <w:jc w:val="center"/>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漆渣</w:t>
                  </w:r>
                </w:p>
              </w:tc>
              <w:tc>
                <w:tcPr>
                  <w:tcW w:w="2080" w:type="pct"/>
                  <w:vMerge w:val="continue"/>
                  <w:tcBorders>
                    <w:tl2br w:val="nil"/>
                    <w:tr2bl w:val="nil"/>
                  </w:tcBorders>
                  <w:noWrap w:val="0"/>
                  <w:vAlign w:val="center"/>
                </w:tcPr>
                <w:p>
                  <w:pPr>
                    <w:pStyle w:val="81"/>
                    <w:bidi w:val="0"/>
                    <w:spacing w:line="240" w:lineRule="auto"/>
                    <w:jc w:val="center"/>
                    <w:rPr>
                      <w:rFonts w:hint="default" w:ascii="Times New Roman" w:hAnsi="Times New Roman" w:eastAsia="宋体" w:cs="Times New Roman"/>
                      <w:color w:val="auto"/>
                      <w:highlight w:val="none"/>
                      <w:lang w:val="en-US" w:eastAsia="zh-CN"/>
                    </w:rPr>
                  </w:pPr>
                </w:p>
              </w:tc>
              <w:tc>
                <w:tcPr>
                  <w:tcW w:w="988" w:type="pct"/>
                  <w:vMerge w:val="continue"/>
                  <w:tcBorders>
                    <w:tl2br w:val="nil"/>
                    <w:tr2bl w:val="nil"/>
                  </w:tcBorders>
                  <w:noWrap w:val="0"/>
                  <w:vAlign w:val="center"/>
                </w:tcPr>
                <w:p>
                  <w:pPr>
                    <w:pStyle w:val="81"/>
                    <w:bidi w:val="0"/>
                    <w:spacing w:line="240" w:lineRule="auto"/>
                    <w:jc w:val="center"/>
                    <w:rPr>
                      <w:rFonts w:hint="default" w:ascii="Times New Roman" w:hAnsi="Times New Roman" w:eastAsia="宋体" w:cs="Times New Roman"/>
                      <w:color w:val="auto"/>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9" w:hRule="atLeast"/>
                <w:jc w:val="center"/>
              </w:trPr>
              <w:tc>
                <w:tcPr>
                  <w:tcW w:w="494" w:type="pct"/>
                  <w:vMerge w:val="continue"/>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p>
              </w:tc>
              <w:tc>
                <w:tcPr>
                  <w:tcW w:w="369" w:type="pct"/>
                  <w:vMerge w:val="continue"/>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p>
              </w:tc>
              <w:tc>
                <w:tcPr>
                  <w:tcW w:w="1068" w:type="pct"/>
                  <w:tcBorders>
                    <w:tl2br w:val="nil"/>
                    <w:tr2bl w:val="nil"/>
                  </w:tcBorders>
                  <w:noWrap w:val="0"/>
                  <w:vAlign w:val="center"/>
                </w:tcPr>
                <w:p>
                  <w:pPr>
                    <w:pStyle w:val="58"/>
                    <w:bidi w:val="0"/>
                    <w:spacing w:line="240" w:lineRule="auto"/>
                    <w:jc w:val="center"/>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漆桶</w:t>
                  </w:r>
                </w:p>
              </w:tc>
              <w:tc>
                <w:tcPr>
                  <w:tcW w:w="2080" w:type="pct"/>
                  <w:vMerge w:val="continue"/>
                  <w:tcBorders>
                    <w:tl2br w:val="nil"/>
                    <w:tr2bl w:val="nil"/>
                  </w:tcBorders>
                  <w:noWrap w:val="0"/>
                  <w:vAlign w:val="center"/>
                </w:tcPr>
                <w:p>
                  <w:pPr>
                    <w:pStyle w:val="81"/>
                    <w:bidi w:val="0"/>
                    <w:spacing w:line="240" w:lineRule="auto"/>
                    <w:jc w:val="center"/>
                    <w:rPr>
                      <w:rFonts w:hint="default" w:ascii="Times New Roman" w:hAnsi="Times New Roman" w:eastAsia="宋体" w:cs="Times New Roman"/>
                      <w:color w:val="auto"/>
                      <w:highlight w:val="none"/>
                      <w:lang w:val="en-US" w:eastAsia="zh-CN"/>
                    </w:rPr>
                  </w:pPr>
                </w:p>
              </w:tc>
              <w:tc>
                <w:tcPr>
                  <w:tcW w:w="988" w:type="pct"/>
                  <w:vMerge w:val="continue"/>
                  <w:tcBorders>
                    <w:tl2br w:val="nil"/>
                    <w:tr2bl w:val="nil"/>
                  </w:tcBorders>
                  <w:noWrap w:val="0"/>
                  <w:vAlign w:val="center"/>
                </w:tcPr>
                <w:p>
                  <w:pPr>
                    <w:pStyle w:val="81"/>
                    <w:bidi w:val="0"/>
                    <w:spacing w:line="240" w:lineRule="auto"/>
                    <w:jc w:val="center"/>
                    <w:rPr>
                      <w:rFonts w:hint="default" w:ascii="Times New Roman" w:hAnsi="Times New Roman" w:eastAsia="宋体" w:cs="Times New Roman"/>
                      <w:color w:val="auto"/>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94" w:type="pct"/>
                  <w:vMerge w:val="continue"/>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p>
              </w:tc>
              <w:tc>
                <w:tcPr>
                  <w:tcW w:w="369" w:type="pct"/>
                  <w:vMerge w:val="continue"/>
                  <w:tcBorders>
                    <w:tl2br w:val="nil"/>
                    <w:tr2bl w:val="nil"/>
                  </w:tcBorders>
                  <w:noWrap w:val="0"/>
                  <w:vAlign w:val="center"/>
                </w:tcPr>
                <w:p>
                  <w:pPr>
                    <w:pStyle w:val="81"/>
                    <w:bidi w:val="0"/>
                    <w:spacing w:line="240" w:lineRule="auto"/>
                    <w:jc w:val="center"/>
                    <w:rPr>
                      <w:rFonts w:hint="default" w:ascii="Times New Roman" w:hAnsi="Times New Roman" w:cs="Times New Roman"/>
                      <w:color w:val="auto"/>
                      <w:highlight w:val="none"/>
                      <w:lang w:val="en-US" w:eastAsia="zh-CN"/>
                    </w:rPr>
                  </w:pPr>
                </w:p>
              </w:tc>
              <w:tc>
                <w:tcPr>
                  <w:tcW w:w="1068" w:type="pct"/>
                  <w:tcBorders>
                    <w:tl2br w:val="nil"/>
                    <w:tr2bl w:val="nil"/>
                  </w:tcBorders>
                  <w:noWrap w:val="0"/>
                  <w:vAlign w:val="center"/>
                </w:tcPr>
                <w:p>
                  <w:pPr>
                    <w:pStyle w:val="58"/>
                    <w:bidi w:val="0"/>
                    <w:spacing w:line="240" w:lineRule="auto"/>
                    <w:jc w:val="center"/>
                    <w:rPr>
                      <w:rFonts w:hint="default" w:eastAsia="宋体" w:cs="Times New Roman"/>
                      <w:color w:val="auto"/>
                      <w:sz w:val="21"/>
                      <w:szCs w:val="21"/>
                      <w:highlight w:val="none"/>
                      <w:lang w:val="en-US" w:eastAsia="zh-CN"/>
                    </w:rPr>
                  </w:pPr>
                  <w:r>
                    <w:rPr>
                      <w:rFonts w:hint="eastAsia" w:eastAsia="宋体" w:cs="Times New Roman"/>
                      <w:color w:val="auto"/>
                      <w:sz w:val="21"/>
                      <w:szCs w:val="21"/>
                      <w:highlight w:val="none"/>
                      <w:lang w:val="en-US" w:eastAsia="zh-CN"/>
                    </w:rPr>
                    <w:t>废稀释剂桶</w:t>
                  </w:r>
                </w:p>
              </w:tc>
              <w:tc>
                <w:tcPr>
                  <w:tcW w:w="2080" w:type="pct"/>
                  <w:vMerge w:val="continue"/>
                  <w:tcBorders>
                    <w:tl2br w:val="nil"/>
                    <w:tr2bl w:val="nil"/>
                  </w:tcBorders>
                  <w:noWrap w:val="0"/>
                  <w:vAlign w:val="center"/>
                </w:tcPr>
                <w:p>
                  <w:pPr>
                    <w:pStyle w:val="81"/>
                    <w:bidi w:val="0"/>
                    <w:spacing w:line="240" w:lineRule="auto"/>
                    <w:jc w:val="center"/>
                    <w:rPr>
                      <w:rFonts w:hint="default" w:ascii="Times New Roman" w:hAnsi="Times New Roman" w:eastAsia="宋体" w:cs="Times New Roman"/>
                      <w:color w:val="auto"/>
                      <w:highlight w:val="none"/>
                      <w:lang w:val="en-US" w:eastAsia="zh-CN"/>
                    </w:rPr>
                  </w:pPr>
                </w:p>
              </w:tc>
              <w:tc>
                <w:tcPr>
                  <w:tcW w:w="988" w:type="pct"/>
                  <w:vMerge w:val="continue"/>
                  <w:tcBorders>
                    <w:tl2br w:val="nil"/>
                    <w:tr2bl w:val="nil"/>
                  </w:tcBorders>
                  <w:noWrap w:val="0"/>
                  <w:vAlign w:val="center"/>
                </w:tcPr>
                <w:p>
                  <w:pPr>
                    <w:pStyle w:val="81"/>
                    <w:bidi w:val="0"/>
                    <w:spacing w:line="240" w:lineRule="auto"/>
                    <w:jc w:val="center"/>
                    <w:rPr>
                      <w:rFonts w:hint="default" w:ascii="Times New Roman" w:hAnsi="Times New Roman" w:eastAsia="宋体" w:cs="Times New Roman"/>
                      <w:color w:val="auto"/>
                      <w:highlight w:val="none"/>
                      <w:lang w:val="en-US" w:eastAsia="zh-CN"/>
                    </w:rPr>
                  </w:pPr>
                </w:p>
              </w:tc>
            </w:tr>
          </w:tbl>
          <w:p>
            <w:pPr>
              <w:pStyle w:val="50"/>
              <w:numPr>
                <w:ilvl w:val="0"/>
                <w:numId w:val="0"/>
              </w:numPr>
              <w:bidi w:val="0"/>
              <w:ind w:leftChars="0"/>
              <w:rPr>
                <w:rFonts w:hint="default" w:ascii="Times New Roman" w:hAnsi="Times New Roman" w:cs="Times New Roman"/>
                <w:b/>
                <w:bCs/>
                <w:color w:val="auto"/>
                <w:kern w:val="2"/>
                <w:sz w:val="24"/>
                <w:szCs w:val="24"/>
                <w:highlight w:val="none"/>
                <w:lang w:val="en-US" w:eastAsia="zh-CN" w:bidi="ar-SA"/>
              </w:rPr>
            </w:pPr>
            <w:r>
              <w:rPr>
                <w:rFonts w:hint="eastAsia" w:ascii="Times New Roman" w:hAnsi="Times New Roman" w:cs="Times New Roman"/>
                <w:b/>
                <w:bCs/>
                <w:color w:val="auto"/>
                <w:kern w:val="2"/>
                <w:sz w:val="24"/>
                <w:szCs w:val="24"/>
                <w:highlight w:val="none"/>
                <w:lang w:val="en-US" w:eastAsia="zh-CN" w:bidi="ar-SA"/>
              </w:rPr>
              <w:t>3.3产品方案情况</w:t>
            </w:r>
          </w:p>
          <w:p>
            <w:pPr>
              <w:pStyle w:val="51"/>
              <w:bidi w:val="0"/>
              <w:jc w:val="both"/>
              <w:rPr>
                <w:rFonts w:hint="default" w:ascii="Times New Roman" w:hAnsi="Times New Roman" w:eastAsia="宋体" w:cs="Times New Roman"/>
                <w:b w:val="0"/>
                <w:bCs w:val="0"/>
                <w:color w:val="auto"/>
                <w:kern w:val="21"/>
                <w:sz w:val="24"/>
                <w:szCs w:val="24"/>
                <w:highlight w:val="none"/>
                <w:lang w:val="en-US" w:eastAsia="zh-CN" w:bidi="ar-SA"/>
              </w:rPr>
            </w:pPr>
            <w:r>
              <w:rPr>
                <w:rFonts w:hint="eastAsia" w:cs="Times New Roman"/>
                <w:b w:val="0"/>
                <w:bCs w:val="0"/>
                <w:color w:val="auto"/>
                <w:kern w:val="21"/>
                <w:sz w:val="24"/>
                <w:szCs w:val="24"/>
                <w:highlight w:val="none"/>
                <w:lang w:val="en-US" w:eastAsia="zh-CN" w:bidi="ar-SA"/>
              </w:rPr>
              <w:t>本次技改完成后</w:t>
            </w:r>
            <w:r>
              <w:rPr>
                <w:rFonts w:hint="eastAsia" w:cs="Times New Roman"/>
                <w:b w:val="0"/>
                <w:bCs w:val="0"/>
                <w:color w:val="auto"/>
                <w:kern w:val="2"/>
                <w:sz w:val="24"/>
                <w:szCs w:val="24"/>
                <w:highlight w:val="none"/>
                <w:lang w:val="en-US" w:eastAsia="zh-CN" w:bidi="ar-SA"/>
              </w:rPr>
              <w:t>低压铸造机产能由20台/年增加到25台/年，其他产品产能不变。</w:t>
            </w:r>
          </w:p>
          <w:p>
            <w:pPr>
              <w:pStyle w:val="51"/>
              <w:bidi w:val="0"/>
              <w:rPr>
                <w:rFonts w:hint="default" w:ascii="Times New Roman" w:hAnsi="Times New Roman" w:eastAsia="宋体" w:cs="Times New Roman"/>
                <w:b/>
                <w:color w:val="auto"/>
                <w:kern w:val="21"/>
                <w:sz w:val="24"/>
                <w:szCs w:val="20"/>
                <w:highlight w:val="none"/>
                <w:lang w:val="en-US" w:eastAsia="zh-CN" w:bidi="ar-SA"/>
              </w:rPr>
            </w:pPr>
            <w:r>
              <w:rPr>
                <w:rFonts w:hint="eastAsia" w:ascii="Times New Roman" w:hAnsi="Times New Roman" w:eastAsia="宋体" w:cs="Times New Roman"/>
                <w:b/>
                <w:color w:val="auto"/>
                <w:kern w:val="21"/>
                <w:sz w:val="24"/>
                <w:szCs w:val="20"/>
                <w:highlight w:val="none"/>
                <w:lang w:val="en-US" w:eastAsia="zh-CN" w:bidi="ar-SA"/>
              </w:rPr>
              <w:t>表2-</w:t>
            </w:r>
            <w:r>
              <w:rPr>
                <w:rFonts w:hint="eastAsia" w:cs="Times New Roman"/>
                <w:b/>
                <w:color w:val="auto"/>
                <w:kern w:val="21"/>
                <w:sz w:val="24"/>
                <w:szCs w:val="20"/>
                <w:highlight w:val="none"/>
                <w:lang w:val="en-US" w:eastAsia="zh-CN" w:bidi="ar-SA"/>
              </w:rPr>
              <w:t>6</w:t>
            </w:r>
            <w:r>
              <w:rPr>
                <w:rFonts w:hint="eastAsia" w:ascii="Times New Roman" w:hAnsi="Times New Roman" w:eastAsia="宋体" w:cs="Times New Roman"/>
                <w:b/>
                <w:color w:val="auto"/>
                <w:kern w:val="21"/>
                <w:sz w:val="24"/>
                <w:szCs w:val="20"/>
                <w:highlight w:val="none"/>
                <w:lang w:val="en-US" w:eastAsia="zh-CN" w:bidi="ar-SA"/>
              </w:rPr>
              <w:t xml:space="preserve">  </w:t>
            </w:r>
            <w:r>
              <w:rPr>
                <w:rFonts w:hint="eastAsia" w:cs="Times New Roman"/>
                <w:b/>
                <w:color w:val="auto"/>
                <w:kern w:val="21"/>
                <w:sz w:val="24"/>
                <w:szCs w:val="20"/>
                <w:highlight w:val="none"/>
                <w:lang w:val="en-US" w:eastAsia="zh-CN" w:bidi="ar-SA"/>
              </w:rPr>
              <w:t>建设完成后全厂</w:t>
            </w:r>
            <w:r>
              <w:rPr>
                <w:rFonts w:hint="eastAsia" w:ascii="Times New Roman" w:hAnsi="Times New Roman" w:eastAsia="宋体" w:cs="Times New Roman"/>
                <w:b/>
                <w:color w:val="auto"/>
                <w:kern w:val="21"/>
                <w:sz w:val="24"/>
                <w:szCs w:val="20"/>
                <w:highlight w:val="none"/>
                <w:lang w:val="en-US" w:eastAsia="zh-CN" w:bidi="ar-SA"/>
              </w:rPr>
              <w:t>产品方案一览表</w:t>
            </w:r>
            <w:r>
              <w:rPr>
                <w:rFonts w:hint="eastAsia" w:cs="Times New Roman"/>
                <w:b/>
                <w:color w:val="auto"/>
                <w:kern w:val="21"/>
                <w:sz w:val="24"/>
                <w:szCs w:val="20"/>
                <w:highlight w:val="none"/>
                <w:lang w:val="en-US" w:eastAsia="zh-CN" w:bidi="ar-SA"/>
              </w:rPr>
              <w:t xml:space="preserve">    单位：台</w:t>
            </w:r>
          </w:p>
          <w:tbl>
            <w:tblPr>
              <w:tblStyle w:val="33"/>
              <w:tblW w:w="499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85"/>
              <w:gridCol w:w="1691"/>
              <w:gridCol w:w="1569"/>
              <w:gridCol w:w="2420"/>
              <w:gridCol w:w="13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52" w:type="pct"/>
                  <w:vAlign w:val="center"/>
                </w:tcPr>
                <w:p>
                  <w:pPr>
                    <w:spacing w:line="240" w:lineRule="auto"/>
                    <w:jc w:val="center"/>
                    <w:rPr>
                      <w:rFonts w:hint="default" w:ascii="Times New Roman" w:hAnsi="Times New Roman" w:cs="Times New Roman"/>
                      <w:color w:val="auto"/>
                      <w:highlight w:val="none"/>
                      <w:vertAlign w:val="baseline"/>
                      <w:lang w:val="en-US" w:eastAsia="zh-CN"/>
                    </w:rPr>
                  </w:pPr>
                  <w:r>
                    <w:rPr>
                      <w:rFonts w:hint="eastAsia" w:ascii="Times New Roman" w:hAnsi="Times New Roman" w:cs="Times New Roman" w:eastAsiaTheme="minorEastAsia"/>
                      <w:color w:val="auto"/>
                      <w:sz w:val="21"/>
                      <w:szCs w:val="21"/>
                      <w:highlight w:val="none"/>
                      <w:lang w:val="en-US" w:eastAsia="zh-CN"/>
                    </w:rPr>
                    <w:t>产品名称</w:t>
                  </w:r>
                </w:p>
              </w:tc>
              <w:tc>
                <w:tcPr>
                  <w:tcW w:w="944" w:type="pct"/>
                  <w:vAlign w:val="center"/>
                </w:tcPr>
                <w:p>
                  <w:pPr>
                    <w:spacing w:line="240" w:lineRule="auto"/>
                    <w:jc w:val="center"/>
                    <w:rPr>
                      <w:rFonts w:hint="default" w:ascii="Times New Roman" w:hAnsi="Times New Roman" w:cs="Times New Roman"/>
                      <w:color w:val="auto"/>
                      <w:highlight w:val="none"/>
                      <w:vertAlign w:val="baseline"/>
                      <w:lang w:val="en-US" w:eastAsia="zh-CN"/>
                    </w:rPr>
                  </w:pPr>
                  <w:r>
                    <w:rPr>
                      <w:rFonts w:hint="eastAsia" w:cs="Times New Roman" w:eastAsiaTheme="minorEastAsia"/>
                      <w:color w:val="auto"/>
                      <w:sz w:val="21"/>
                      <w:szCs w:val="21"/>
                      <w:highlight w:val="none"/>
                      <w:lang w:val="en-US" w:eastAsia="zh-CN"/>
                    </w:rPr>
                    <w:t>现有工程</w:t>
                  </w:r>
                  <w:r>
                    <w:rPr>
                      <w:rFonts w:hint="eastAsia" w:ascii="Times New Roman" w:hAnsi="Times New Roman" w:cs="Times New Roman" w:eastAsiaTheme="minorEastAsia"/>
                      <w:color w:val="auto"/>
                      <w:sz w:val="21"/>
                      <w:szCs w:val="21"/>
                      <w:highlight w:val="none"/>
                      <w:lang w:val="en-US" w:eastAsia="zh-CN"/>
                    </w:rPr>
                    <w:t>年产量</w:t>
                  </w:r>
                </w:p>
              </w:tc>
              <w:tc>
                <w:tcPr>
                  <w:tcW w:w="876" w:type="pct"/>
                  <w:vAlign w:val="center"/>
                </w:tcPr>
                <w:p>
                  <w:pPr>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本项目年产量</w:t>
                  </w:r>
                </w:p>
              </w:tc>
              <w:tc>
                <w:tcPr>
                  <w:tcW w:w="1351" w:type="pct"/>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技改完成后全厂产量</w:t>
                  </w:r>
                </w:p>
              </w:tc>
              <w:tc>
                <w:tcPr>
                  <w:tcW w:w="776" w:type="pct"/>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变化情况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52" w:type="pct"/>
                  <w:vAlign w:val="top"/>
                </w:tcPr>
                <w:p>
                  <w:pPr>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弯管机</w:t>
                  </w:r>
                </w:p>
              </w:tc>
              <w:tc>
                <w:tcPr>
                  <w:tcW w:w="944" w:type="pct"/>
                  <w:vAlign w:val="top"/>
                </w:tcPr>
                <w:p>
                  <w:pPr>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100</w:t>
                  </w:r>
                </w:p>
              </w:tc>
              <w:tc>
                <w:tcPr>
                  <w:tcW w:w="876" w:type="pct"/>
                  <w:vAlign w:val="top"/>
                </w:tcPr>
                <w:p>
                  <w:pPr>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0</w:t>
                  </w:r>
                </w:p>
              </w:tc>
              <w:tc>
                <w:tcPr>
                  <w:tcW w:w="2420" w:type="dxa"/>
                  <w:vAlign w:val="top"/>
                </w:tcPr>
                <w:p>
                  <w:pPr>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100</w:t>
                  </w:r>
                </w:p>
              </w:tc>
              <w:tc>
                <w:tcPr>
                  <w:tcW w:w="776" w:type="pct"/>
                  <w:vAlign w:val="center"/>
                </w:tcPr>
                <w:p>
                  <w:pPr>
                    <w:spacing w:line="240" w:lineRule="auto"/>
                    <w:jc w:val="center"/>
                    <w:rPr>
                      <w:rFonts w:hint="default" w:ascii="Times New Roman" w:hAnsi="Times New Roman" w:cs="Times New Roman" w:eastAsiaTheme="minorEastAsia"/>
                      <w:color w:val="auto"/>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52" w:type="pct"/>
                  <w:vAlign w:val="top"/>
                </w:tcPr>
                <w:p>
                  <w:pPr>
                    <w:spacing w:line="240" w:lineRule="auto"/>
                    <w:jc w:val="center"/>
                    <w:rPr>
                      <w:rFonts w:hint="eastAsia"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胶管扣压机</w:t>
                  </w:r>
                </w:p>
              </w:tc>
              <w:tc>
                <w:tcPr>
                  <w:tcW w:w="944" w:type="pct"/>
                  <w:vAlign w:val="top"/>
                </w:tcPr>
                <w:p>
                  <w:pPr>
                    <w:spacing w:line="240" w:lineRule="auto"/>
                    <w:jc w:val="center"/>
                    <w:rPr>
                      <w:rFonts w:hint="eastAsia"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50</w:t>
                  </w:r>
                </w:p>
              </w:tc>
              <w:tc>
                <w:tcPr>
                  <w:tcW w:w="876" w:type="pct"/>
                  <w:vAlign w:val="top"/>
                </w:tcPr>
                <w:p>
                  <w:pPr>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0</w:t>
                  </w:r>
                </w:p>
              </w:tc>
              <w:tc>
                <w:tcPr>
                  <w:tcW w:w="2420" w:type="dxa"/>
                  <w:vAlign w:val="top"/>
                </w:tcPr>
                <w:p>
                  <w:pPr>
                    <w:spacing w:line="240" w:lineRule="auto"/>
                    <w:jc w:val="center"/>
                    <w:rPr>
                      <w:rFonts w:hint="eastAsia"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50</w:t>
                  </w:r>
                </w:p>
              </w:tc>
              <w:tc>
                <w:tcPr>
                  <w:tcW w:w="776" w:type="pct"/>
                  <w:vAlign w:val="center"/>
                </w:tcPr>
                <w:p>
                  <w:pPr>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52" w:type="pct"/>
                  <w:vAlign w:val="top"/>
                </w:tcPr>
                <w:p>
                  <w:pPr>
                    <w:spacing w:line="240" w:lineRule="auto"/>
                    <w:jc w:val="center"/>
                    <w:rPr>
                      <w:rFonts w:hint="eastAsia"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旋压扩口机</w:t>
                  </w:r>
                </w:p>
              </w:tc>
              <w:tc>
                <w:tcPr>
                  <w:tcW w:w="944" w:type="pct"/>
                  <w:vAlign w:val="top"/>
                </w:tcPr>
                <w:p>
                  <w:pPr>
                    <w:spacing w:line="240" w:lineRule="auto"/>
                    <w:jc w:val="center"/>
                    <w:rPr>
                      <w:rFonts w:hint="eastAsia"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30</w:t>
                  </w:r>
                </w:p>
              </w:tc>
              <w:tc>
                <w:tcPr>
                  <w:tcW w:w="876" w:type="pct"/>
                  <w:vAlign w:val="top"/>
                </w:tcPr>
                <w:p>
                  <w:pPr>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0</w:t>
                  </w:r>
                </w:p>
              </w:tc>
              <w:tc>
                <w:tcPr>
                  <w:tcW w:w="2420" w:type="dxa"/>
                  <w:vAlign w:val="top"/>
                </w:tcPr>
                <w:p>
                  <w:pPr>
                    <w:spacing w:line="240" w:lineRule="auto"/>
                    <w:jc w:val="center"/>
                    <w:rPr>
                      <w:rFonts w:hint="eastAsia"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30</w:t>
                  </w:r>
                </w:p>
              </w:tc>
              <w:tc>
                <w:tcPr>
                  <w:tcW w:w="776" w:type="pct"/>
                  <w:vAlign w:val="center"/>
                </w:tcPr>
                <w:p>
                  <w:pPr>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52" w:type="pct"/>
                  <w:vAlign w:val="top"/>
                </w:tcPr>
                <w:p>
                  <w:pPr>
                    <w:spacing w:line="240" w:lineRule="auto"/>
                    <w:jc w:val="center"/>
                    <w:rPr>
                      <w:rFonts w:hint="eastAsia"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卡套预装机</w:t>
                  </w:r>
                </w:p>
              </w:tc>
              <w:tc>
                <w:tcPr>
                  <w:tcW w:w="944" w:type="pct"/>
                  <w:vAlign w:val="top"/>
                </w:tcPr>
                <w:p>
                  <w:pPr>
                    <w:spacing w:line="240" w:lineRule="auto"/>
                    <w:jc w:val="center"/>
                    <w:rPr>
                      <w:rFonts w:hint="eastAsia"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100</w:t>
                  </w:r>
                </w:p>
              </w:tc>
              <w:tc>
                <w:tcPr>
                  <w:tcW w:w="876" w:type="pct"/>
                  <w:vAlign w:val="top"/>
                </w:tcPr>
                <w:p>
                  <w:pPr>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0</w:t>
                  </w:r>
                </w:p>
              </w:tc>
              <w:tc>
                <w:tcPr>
                  <w:tcW w:w="2420" w:type="dxa"/>
                  <w:vAlign w:val="top"/>
                </w:tcPr>
                <w:p>
                  <w:pPr>
                    <w:spacing w:line="240" w:lineRule="auto"/>
                    <w:jc w:val="center"/>
                    <w:rPr>
                      <w:rFonts w:hint="eastAsia"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100</w:t>
                  </w:r>
                </w:p>
              </w:tc>
              <w:tc>
                <w:tcPr>
                  <w:tcW w:w="776" w:type="pct"/>
                  <w:vAlign w:val="center"/>
                </w:tcPr>
                <w:p>
                  <w:pPr>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52" w:type="pct"/>
                  <w:vAlign w:val="top"/>
                </w:tcPr>
                <w:p>
                  <w:pPr>
                    <w:spacing w:line="240" w:lineRule="auto"/>
                    <w:jc w:val="center"/>
                    <w:rPr>
                      <w:rFonts w:hint="eastAsia"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窝缝机</w:t>
                  </w:r>
                </w:p>
              </w:tc>
              <w:tc>
                <w:tcPr>
                  <w:tcW w:w="944" w:type="pct"/>
                  <w:vAlign w:val="top"/>
                </w:tcPr>
                <w:p>
                  <w:pPr>
                    <w:spacing w:line="240" w:lineRule="auto"/>
                    <w:jc w:val="center"/>
                    <w:rPr>
                      <w:rFonts w:hint="eastAsia"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20</w:t>
                  </w:r>
                </w:p>
              </w:tc>
              <w:tc>
                <w:tcPr>
                  <w:tcW w:w="876" w:type="pct"/>
                  <w:vAlign w:val="top"/>
                </w:tcPr>
                <w:p>
                  <w:pPr>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0</w:t>
                  </w:r>
                </w:p>
              </w:tc>
              <w:tc>
                <w:tcPr>
                  <w:tcW w:w="2420" w:type="dxa"/>
                  <w:vAlign w:val="top"/>
                </w:tcPr>
                <w:p>
                  <w:pPr>
                    <w:spacing w:line="240" w:lineRule="auto"/>
                    <w:jc w:val="center"/>
                    <w:rPr>
                      <w:rFonts w:hint="eastAsia"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20</w:t>
                  </w:r>
                </w:p>
              </w:tc>
              <w:tc>
                <w:tcPr>
                  <w:tcW w:w="776" w:type="pct"/>
                  <w:vAlign w:val="center"/>
                </w:tcPr>
                <w:p>
                  <w:pPr>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52" w:type="pct"/>
                  <w:vAlign w:val="top"/>
                </w:tcPr>
                <w:p>
                  <w:pPr>
                    <w:spacing w:line="240" w:lineRule="auto"/>
                    <w:jc w:val="center"/>
                    <w:rPr>
                      <w:rFonts w:hint="eastAsia"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低压铸造机</w:t>
                  </w:r>
                </w:p>
              </w:tc>
              <w:tc>
                <w:tcPr>
                  <w:tcW w:w="944" w:type="pct"/>
                  <w:vAlign w:val="top"/>
                </w:tcPr>
                <w:p>
                  <w:pPr>
                    <w:spacing w:line="240" w:lineRule="auto"/>
                    <w:jc w:val="center"/>
                    <w:rPr>
                      <w:rFonts w:hint="eastAsia"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20</w:t>
                  </w:r>
                </w:p>
              </w:tc>
              <w:tc>
                <w:tcPr>
                  <w:tcW w:w="876" w:type="pct"/>
                  <w:vAlign w:val="top"/>
                </w:tcPr>
                <w:p>
                  <w:pPr>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5</w:t>
                  </w:r>
                </w:p>
              </w:tc>
              <w:tc>
                <w:tcPr>
                  <w:tcW w:w="2420" w:type="dxa"/>
                  <w:vAlign w:val="top"/>
                </w:tcPr>
                <w:p>
                  <w:pPr>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25</w:t>
                  </w:r>
                </w:p>
              </w:tc>
              <w:tc>
                <w:tcPr>
                  <w:tcW w:w="776" w:type="pct"/>
                  <w:vAlign w:val="center"/>
                </w:tcPr>
                <w:p>
                  <w:pPr>
                    <w:spacing w:line="240" w:lineRule="auto"/>
                    <w:jc w:val="center"/>
                    <w:rPr>
                      <w:rFonts w:hint="eastAsia"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+5</w:t>
                  </w:r>
                </w:p>
              </w:tc>
            </w:tr>
          </w:tbl>
          <w:p>
            <w:pPr>
              <w:pStyle w:val="50"/>
              <w:numPr>
                <w:ilvl w:val="0"/>
                <w:numId w:val="0"/>
              </w:numPr>
              <w:bidi w:val="0"/>
              <w:ind w:leftChars="0"/>
              <w:rPr>
                <w:rFonts w:hint="eastAsia" w:ascii="Times New Roman" w:hAnsi="Times New Roman" w:cs="Times New Roman"/>
                <w:b/>
                <w:bCs/>
                <w:color w:val="auto"/>
                <w:kern w:val="2"/>
                <w:sz w:val="24"/>
                <w:szCs w:val="24"/>
                <w:highlight w:val="none"/>
                <w:lang w:val="en-US" w:eastAsia="zh-CN" w:bidi="ar-SA"/>
              </w:rPr>
            </w:pPr>
            <w:r>
              <w:rPr>
                <w:rFonts w:hint="eastAsia" w:ascii="Times New Roman" w:hAnsi="Times New Roman" w:cs="Times New Roman"/>
                <w:b/>
                <w:bCs/>
                <w:color w:val="auto"/>
                <w:kern w:val="2"/>
                <w:sz w:val="24"/>
                <w:szCs w:val="24"/>
                <w:highlight w:val="none"/>
                <w:lang w:val="en-US" w:eastAsia="zh-CN" w:bidi="ar-SA"/>
              </w:rPr>
              <w:t>3.4生产设备情况</w:t>
            </w:r>
          </w:p>
          <w:p>
            <w:pPr>
              <w:pStyle w:val="50"/>
              <w:bidi w:val="0"/>
              <w:rPr>
                <w:rFonts w:hint="default" w:ascii="Times New Roman" w:hAnsi="Times New Roman" w:cs="Times New Roman"/>
                <w:color w:val="auto"/>
                <w:highlight w:val="none"/>
                <w:lang w:val="en-US"/>
              </w:rPr>
            </w:pPr>
            <w:r>
              <w:rPr>
                <w:rFonts w:hint="default" w:ascii="Times New Roman" w:hAnsi="Times New Roman" w:cs="Times New Roman"/>
                <w:color w:val="auto"/>
                <w:highlight w:val="none"/>
                <w:lang w:val="en-US" w:eastAsia="zh-CN"/>
              </w:rPr>
              <w:t>本次</w:t>
            </w:r>
            <w:r>
              <w:rPr>
                <w:rFonts w:hint="eastAsia" w:ascii="Times New Roman" w:hAnsi="Times New Roman" w:cs="Times New Roman"/>
                <w:color w:val="auto"/>
                <w:highlight w:val="none"/>
                <w:lang w:val="en-US" w:eastAsia="zh-CN"/>
              </w:rPr>
              <w:t>技改</w:t>
            </w:r>
            <w:r>
              <w:rPr>
                <w:rFonts w:hint="default" w:ascii="Times New Roman" w:hAnsi="Times New Roman" w:cs="Times New Roman"/>
                <w:color w:val="auto"/>
                <w:highlight w:val="none"/>
                <w:lang w:val="en-US" w:eastAsia="zh-CN"/>
              </w:rPr>
              <w:t>项目新增</w:t>
            </w:r>
            <w:r>
              <w:rPr>
                <w:rFonts w:hint="eastAsia" w:ascii="Times New Roman" w:hAnsi="Times New Roman" w:cs="Times New Roman"/>
                <w:color w:val="auto"/>
                <w:highlight w:val="none"/>
                <w:lang w:val="en-US" w:eastAsia="zh-CN"/>
              </w:rPr>
              <w:t>部分生产设备，现有工程设备中无落后、淘汰设备。</w:t>
            </w:r>
            <w:r>
              <w:rPr>
                <w:rFonts w:hint="default" w:ascii="Times New Roman" w:hAnsi="Times New Roman" w:cs="Times New Roman"/>
                <w:color w:val="auto"/>
                <w:highlight w:val="none"/>
                <w:lang w:val="en-US" w:eastAsia="zh-CN"/>
              </w:rPr>
              <w:t>生产设备一览表如下表：</w:t>
            </w:r>
            <w:r>
              <w:rPr>
                <w:rFonts w:hint="eastAsia" w:ascii="Times New Roman" w:hAnsi="Times New Roman" w:cs="Times New Roman"/>
                <w:color w:val="auto"/>
                <w:highlight w:val="none"/>
                <w:lang w:val="en-US" w:eastAsia="zh-CN"/>
              </w:rPr>
              <w:t>1</w:t>
            </w:r>
          </w:p>
          <w:p>
            <w:pPr>
              <w:pStyle w:val="51"/>
              <w:bidi w:val="0"/>
              <w:rPr>
                <w:rFonts w:hint="default" w:ascii="Times New Roman" w:hAnsi="Times New Roman" w:eastAsia="宋体" w:cs="Times New Roman"/>
                <w:b/>
                <w:color w:val="auto"/>
                <w:kern w:val="21"/>
                <w:sz w:val="24"/>
                <w:szCs w:val="20"/>
                <w:highlight w:val="none"/>
                <w:lang w:val="en-US" w:eastAsia="zh-CN" w:bidi="ar-SA"/>
              </w:rPr>
            </w:pPr>
            <w:r>
              <w:rPr>
                <w:rFonts w:hint="default" w:ascii="Times New Roman" w:hAnsi="Times New Roman" w:eastAsia="宋体" w:cs="Times New Roman"/>
                <w:b/>
                <w:color w:val="auto"/>
                <w:kern w:val="21"/>
                <w:sz w:val="24"/>
                <w:szCs w:val="20"/>
                <w:highlight w:val="none"/>
                <w:lang w:val="en-US" w:eastAsia="zh-CN" w:bidi="ar-SA"/>
              </w:rPr>
              <w:t>表</w:t>
            </w:r>
            <w:r>
              <w:rPr>
                <w:rFonts w:hint="eastAsia" w:ascii="Times New Roman" w:hAnsi="Times New Roman" w:eastAsia="宋体" w:cs="Times New Roman"/>
                <w:b/>
                <w:color w:val="auto"/>
                <w:kern w:val="21"/>
                <w:sz w:val="24"/>
                <w:szCs w:val="20"/>
                <w:highlight w:val="none"/>
                <w:lang w:val="en-US" w:eastAsia="zh-CN" w:bidi="ar-SA"/>
              </w:rPr>
              <w:t>2-</w:t>
            </w:r>
            <w:r>
              <w:rPr>
                <w:rFonts w:hint="eastAsia" w:cs="Times New Roman"/>
                <w:b/>
                <w:color w:val="auto"/>
                <w:kern w:val="21"/>
                <w:sz w:val="24"/>
                <w:szCs w:val="20"/>
                <w:highlight w:val="none"/>
                <w:lang w:val="en-US" w:eastAsia="zh-CN" w:bidi="ar-SA"/>
              </w:rPr>
              <w:t>7</w:t>
            </w:r>
            <w:r>
              <w:rPr>
                <w:rFonts w:hint="default" w:ascii="Times New Roman" w:hAnsi="Times New Roman" w:eastAsia="宋体" w:cs="Times New Roman"/>
                <w:b/>
                <w:color w:val="auto"/>
                <w:kern w:val="21"/>
                <w:sz w:val="24"/>
                <w:szCs w:val="20"/>
                <w:highlight w:val="none"/>
                <w:lang w:val="en-US" w:eastAsia="zh-CN" w:bidi="ar-SA"/>
              </w:rPr>
              <w:t xml:space="preserve">  生产设备一览表</w:t>
            </w:r>
          </w:p>
          <w:tbl>
            <w:tblPr>
              <w:tblStyle w:val="32"/>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93"/>
              <w:gridCol w:w="2201"/>
              <w:gridCol w:w="1492"/>
              <w:gridCol w:w="782"/>
              <w:gridCol w:w="1348"/>
              <w:gridCol w:w="793"/>
              <w:gridCol w:w="793"/>
              <w:gridCol w:w="9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blHeader/>
                <w:jc w:val="center"/>
              </w:trPr>
              <w:tc>
                <w:tcPr>
                  <w:tcW w:w="619" w:type="dxa"/>
                  <w:vMerge w:val="restart"/>
                  <w:tcBorders>
                    <w:tl2br w:val="nil"/>
                    <w:tr2bl w:val="nil"/>
                  </w:tcBorders>
                  <w:noWrap w:val="0"/>
                  <w:vAlign w:val="center"/>
                </w:tcPr>
                <w:p>
                  <w:pPr>
                    <w:pStyle w:val="58"/>
                    <w:bidi w:val="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序号</w:t>
                  </w:r>
                </w:p>
              </w:tc>
              <w:tc>
                <w:tcPr>
                  <w:tcW w:w="2431" w:type="dxa"/>
                  <w:vMerge w:val="restart"/>
                  <w:tcBorders>
                    <w:tl2br w:val="nil"/>
                    <w:tr2bl w:val="nil"/>
                  </w:tcBorders>
                  <w:noWrap w:val="0"/>
                  <w:vAlign w:val="center"/>
                </w:tcPr>
                <w:p>
                  <w:pPr>
                    <w:pStyle w:val="58"/>
                    <w:bidi w:val="0"/>
                    <w:rPr>
                      <w:rFonts w:hint="default" w:ascii="Times New Roman" w:hAnsi="Times New Roman" w:cs="Times New Roman"/>
                      <w:color w:val="auto"/>
                      <w:highlight w:val="none"/>
                    </w:rPr>
                  </w:pPr>
                  <w:r>
                    <w:rPr>
                      <w:rFonts w:hint="default" w:ascii="Times New Roman" w:hAnsi="Times New Roman" w:cs="Times New Roman"/>
                      <w:color w:val="auto"/>
                      <w:highlight w:val="none"/>
                    </w:rPr>
                    <w:t>设备名称</w:t>
                  </w:r>
                </w:p>
              </w:tc>
              <w:tc>
                <w:tcPr>
                  <w:tcW w:w="2331" w:type="dxa"/>
                  <w:gridSpan w:val="2"/>
                  <w:tcBorders>
                    <w:tl2br w:val="nil"/>
                    <w:tr2bl w:val="nil"/>
                  </w:tcBorders>
                  <w:noWrap w:val="0"/>
                  <w:vAlign w:val="center"/>
                </w:tcPr>
                <w:p>
                  <w:pPr>
                    <w:pStyle w:val="58"/>
                    <w:bidi w:val="0"/>
                    <w:rPr>
                      <w:rFonts w:hint="default" w:ascii="Times New Roman" w:hAnsi="Times New Roman" w:cs="Times New Roman"/>
                      <w:color w:val="auto"/>
                      <w:highlight w:val="none"/>
                    </w:rPr>
                  </w:pPr>
                  <w:r>
                    <w:rPr>
                      <w:rFonts w:hint="default" w:ascii="Times New Roman" w:hAnsi="Times New Roman" w:cs="Times New Roman"/>
                      <w:color w:val="auto"/>
                      <w:highlight w:val="none"/>
                      <w:lang w:val="en-US" w:eastAsia="zh-CN"/>
                    </w:rPr>
                    <w:t>现有</w:t>
                  </w:r>
                  <w:r>
                    <w:rPr>
                      <w:rFonts w:hint="eastAsia" w:ascii="Times New Roman" w:hAnsi="Times New Roman" w:cs="Times New Roman"/>
                      <w:color w:val="auto"/>
                      <w:highlight w:val="none"/>
                      <w:lang w:val="en-US" w:eastAsia="zh-CN"/>
                    </w:rPr>
                    <w:t>工程</w:t>
                  </w:r>
                </w:p>
              </w:tc>
              <w:tc>
                <w:tcPr>
                  <w:tcW w:w="1689" w:type="dxa"/>
                  <w:gridSpan w:val="2"/>
                  <w:tcBorders>
                    <w:tl2br w:val="nil"/>
                    <w:tr2bl w:val="nil"/>
                  </w:tcBorders>
                  <w:noWrap w:val="0"/>
                  <w:vAlign w:val="center"/>
                </w:tcPr>
                <w:p>
                  <w:pPr>
                    <w:pStyle w:val="58"/>
                    <w:bidi w:val="0"/>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技改工程</w:t>
                  </w:r>
                </w:p>
              </w:tc>
              <w:tc>
                <w:tcPr>
                  <w:tcW w:w="851" w:type="dxa"/>
                  <w:vMerge w:val="restart"/>
                  <w:tcBorders>
                    <w:tl2br w:val="nil"/>
                    <w:tr2bl w:val="nil"/>
                  </w:tcBorders>
                  <w:noWrap w:val="0"/>
                  <w:vAlign w:val="center"/>
                </w:tcPr>
                <w:p>
                  <w:pPr>
                    <w:pStyle w:val="58"/>
                    <w:bidi w:val="0"/>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全厂</w:t>
                  </w:r>
                </w:p>
                <w:p>
                  <w:pPr>
                    <w:pStyle w:val="58"/>
                    <w:bidi w:val="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数量</w:t>
                  </w:r>
                </w:p>
              </w:tc>
              <w:tc>
                <w:tcPr>
                  <w:tcW w:w="1034" w:type="dxa"/>
                  <w:vMerge w:val="restart"/>
                  <w:tcBorders>
                    <w:tl2br w:val="nil"/>
                    <w:tr2bl w:val="nil"/>
                  </w:tcBorders>
                  <w:noWrap w:val="0"/>
                  <w:vAlign w:val="center"/>
                </w:tcPr>
                <w:p>
                  <w:pPr>
                    <w:pStyle w:val="58"/>
                    <w:bidi w:val="0"/>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技改</w:t>
                  </w:r>
                  <w:r>
                    <w:rPr>
                      <w:rFonts w:hint="default" w:ascii="Times New Roman" w:hAnsi="Times New Roman" w:cs="Times New Roman"/>
                      <w:color w:val="auto"/>
                      <w:highlight w:val="none"/>
                      <w:lang w:val="en-US" w:eastAsia="zh-CN"/>
                    </w:rPr>
                    <w:t>前后变化情况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tblHeader/>
                <w:jc w:val="center"/>
              </w:trPr>
              <w:tc>
                <w:tcPr>
                  <w:tcW w:w="619" w:type="dxa"/>
                  <w:vMerge w:val="continue"/>
                  <w:tcBorders>
                    <w:tl2br w:val="nil"/>
                    <w:tr2bl w:val="nil"/>
                  </w:tcBorders>
                  <w:noWrap w:val="0"/>
                  <w:vAlign w:val="center"/>
                </w:tcPr>
                <w:p>
                  <w:pPr>
                    <w:pStyle w:val="58"/>
                    <w:bidi w:val="0"/>
                    <w:rPr>
                      <w:rFonts w:hint="default" w:ascii="Times New Roman" w:hAnsi="Times New Roman" w:cs="Times New Roman"/>
                      <w:color w:val="auto"/>
                      <w:highlight w:val="none"/>
                      <w:lang w:val="en-US" w:eastAsia="zh-CN"/>
                    </w:rPr>
                  </w:pPr>
                </w:p>
              </w:tc>
              <w:tc>
                <w:tcPr>
                  <w:tcW w:w="2431" w:type="dxa"/>
                  <w:vMerge w:val="continue"/>
                  <w:tcBorders>
                    <w:tl2br w:val="nil"/>
                    <w:tr2bl w:val="nil"/>
                  </w:tcBorders>
                  <w:noWrap w:val="0"/>
                  <w:vAlign w:val="center"/>
                </w:tcPr>
                <w:p>
                  <w:pPr>
                    <w:pStyle w:val="58"/>
                    <w:bidi w:val="0"/>
                    <w:rPr>
                      <w:rFonts w:hint="default" w:ascii="Times New Roman" w:hAnsi="Times New Roman" w:cs="Times New Roman"/>
                      <w:color w:val="auto"/>
                      <w:highlight w:val="none"/>
                    </w:rPr>
                  </w:pPr>
                </w:p>
              </w:tc>
              <w:tc>
                <w:tcPr>
                  <w:tcW w:w="1493" w:type="dxa"/>
                  <w:tcBorders>
                    <w:tl2br w:val="nil"/>
                    <w:tr2bl w:val="nil"/>
                  </w:tcBorders>
                  <w:noWrap w:val="0"/>
                  <w:vAlign w:val="center"/>
                </w:tcPr>
                <w:p>
                  <w:pPr>
                    <w:pStyle w:val="58"/>
                    <w:bidi w:val="0"/>
                    <w:rPr>
                      <w:rFonts w:hint="default" w:ascii="Times New Roman" w:hAnsi="Times New Roman" w:cs="Times New Roman"/>
                      <w:color w:val="auto"/>
                      <w:highlight w:val="none"/>
                      <w:lang w:eastAsia="zh-CN"/>
                    </w:rPr>
                  </w:pPr>
                  <w:r>
                    <w:rPr>
                      <w:rFonts w:hint="default" w:ascii="Times New Roman" w:hAnsi="Times New Roman" w:cs="Times New Roman"/>
                      <w:color w:val="auto"/>
                      <w:highlight w:val="none"/>
                      <w:lang w:eastAsia="zh-CN"/>
                    </w:rPr>
                    <w:t>型号</w:t>
                  </w:r>
                </w:p>
              </w:tc>
              <w:tc>
                <w:tcPr>
                  <w:tcW w:w="838" w:type="dxa"/>
                  <w:tcBorders>
                    <w:tl2br w:val="nil"/>
                    <w:tr2bl w:val="nil"/>
                  </w:tcBorders>
                  <w:noWrap w:val="0"/>
                  <w:vAlign w:val="center"/>
                </w:tcPr>
                <w:p>
                  <w:pPr>
                    <w:pStyle w:val="58"/>
                    <w:bidi w:val="0"/>
                    <w:rPr>
                      <w:rFonts w:hint="eastAsia" w:ascii="Times New Roman" w:hAnsi="Times New Roman" w:cs="Times New Roman"/>
                      <w:color w:val="auto"/>
                      <w:highlight w:val="none"/>
                      <w:lang w:val="en-US" w:eastAsia="zh-CN"/>
                    </w:rPr>
                  </w:pPr>
                  <w:r>
                    <w:rPr>
                      <w:rFonts w:hint="default" w:ascii="Times New Roman" w:hAnsi="Times New Roman" w:cs="Times New Roman"/>
                      <w:color w:val="auto"/>
                      <w:highlight w:val="none"/>
                    </w:rPr>
                    <w:t>数量</w:t>
                  </w:r>
                </w:p>
              </w:tc>
              <w:tc>
                <w:tcPr>
                  <w:tcW w:w="838" w:type="dxa"/>
                  <w:tcBorders>
                    <w:tl2br w:val="nil"/>
                    <w:tr2bl w:val="nil"/>
                  </w:tcBorders>
                  <w:noWrap w:val="0"/>
                  <w:vAlign w:val="center"/>
                </w:tcPr>
                <w:p>
                  <w:pPr>
                    <w:pStyle w:val="58"/>
                    <w:bidi w:val="0"/>
                    <w:rPr>
                      <w:rFonts w:hint="eastAsia"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型号</w:t>
                  </w:r>
                </w:p>
              </w:tc>
              <w:tc>
                <w:tcPr>
                  <w:tcW w:w="851" w:type="dxa"/>
                  <w:tcBorders>
                    <w:tl2br w:val="nil"/>
                    <w:tr2bl w:val="nil"/>
                  </w:tcBorders>
                  <w:noWrap w:val="0"/>
                  <w:vAlign w:val="center"/>
                </w:tcPr>
                <w:p>
                  <w:pPr>
                    <w:pStyle w:val="58"/>
                    <w:bidi w:val="0"/>
                    <w:rPr>
                      <w:rFonts w:hint="eastAsia"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数量</w:t>
                  </w:r>
                </w:p>
              </w:tc>
              <w:tc>
                <w:tcPr>
                  <w:tcW w:w="851" w:type="dxa"/>
                  <w:vMerge w:val="continue"/>
                  <w:tcBorders>
                    <w:tl2br w:val="nil"/>
                    <w:tr2bl w:val="nil"/>
                  </w:tcBorders>
                  <w:noWrap w:val="0"/>
                  <w:vAlign w:val="center"/>
                </w:tcPr>
                <w:p>
                  <w:pPr>
                    <w:pStyle w:val="58"/>
                    <w:bidi w:val="0"/>
                    <w:rPr>
                      <w:rFonts w:hint="default" w:ascii="Times New Roman" w:hAnsi="Times New Roman" w:cs="Times New Roman"/>
                      <w:color w:val="auto"/>
                      <w:highlight w:val="none"/>
                      <w:lang w:val="en-US" w:eastAsia="zh-CN"/>
                    </w:rPr>
                  </w:pPr>
                </w:p>
              </w:tc>
              <w:tc>
                <w:tcPr>
                  <w:tcW w:w="1034" w:type="dxa"/>
                  <w:vMerge w:val="continue"/>
                  <w:tcBorders>
                    <w:tl2br w:val="nil"/>
                    <w:tr2bl w:val="nil"/>
                  </w:tcBorders>
                  <w:noWrap w:val="0"/>
                  <w:vAlign w:val="center"/>
                </w:tcPr>
                <w:p>
                  <w:pPr>
                    <w:pStyle w:val="58"/>
                    <w:bidi w:val="0"/>
                    <w:rPr>
                      <w:rFonts w:hint="eastAsia" w:ascii="Times New Roman" w:hAnsi="Times New Roman" w:cs="Times New Roman"/>
                      <w:color w:val="auto"/>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blHeader/>
                <w:jc w:val="center"/>
              </w:trPr>
              <w:tc>
                <w:tcPr>
                  <w:tcW w:w="619" w:type="dxa"/>
                  <w:tcBorders>
                    <w:tl2br w:val="nil"/>
                    <w:tr2bl w:val="nil"/>
                  </w:tcBorders>
                  <w:noWrap w:val="0"/>
                  <w:vAlign w:val="center"/>
                </w:tcPr>
                <w:p>
                  <w:pPr>
                    <w:pStyle w:val="58"/>
                    <w:bidi w:val="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1</w:t>
                  </w:r>
                </w:p>
              </w:tc>
              <w:tc>
                <w:tcPr>
                  <w:tcW w:w="2431" w:type="dxa"/>
                  <w:tcBorders>
                    <w:tl2br w:val="nil"/>
                    <w:tr2bl w:val="nil"/>
                  </w:tcBorders>
                  <w:noWrap w:val="0"/>
                  <w:vAlign w:val="center"/>
                </w:tcPr>
                <w:p>
                  <w:pPr>
                    <w:pStyle w:val="58"/>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普通车床</w:t>
                  </w:r>
                </w:p>
              </w:tc>
              <w:tc>
                <w:tcPr>
                  <w:tcW w:w="1493" w:type="dxa"/>
                  <w:tcBorders>
                    <w:tl2br w:val="nil"/>
                    <w:tr2bl w:val="nil"/>
                  </w:tcBorders>
                  <w:noWrap w:val="0"/>
                  <w:vAlign w:val="center"/>
                </w:tcPr>
                <w:p>
                  <w:pPr>
                    <w:pStyle w:val="58"/>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CDE6140A</w:t>
                  </w:r>
                </w:p>
              </w:tc>
              <w:tc>
                <w:tcPr>
                  <w:tcW w:w="838" w:type="dxa"/>
                  <w:tcBorders>
                    <w:tl2br w:val="nil"/>
                    <w:tr2bl w:val="nil"/>
                  </w:tcBorders>
                  <w:noWrap w:val="0"/>
                  <w:vAlign w:val="center"/>
                </w:tcPr>
                <w:p>
                  <w:pPr>
                    <w:pStyle w:val="58"/>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1</w:t>
                  </w:r>
                </w:p>
              </w:tc>
              <w:tc>
                <w:tcPr>
                  <w:tcW w:w="838" w:type="dxa"/>
                  <w:tcBorders>
                    <w:tl2br w:val="nil"/>
                    <w:tr2bl w:val="nil"/>
                  </w:tcBorders>
                  <w:noWrap w:val="0"/>
                  <w:vAlign w:val="center"/>
                </w:tcPr>
                <w:p>
                  <w:pPr>
                    <w:pStyle w:val="58"/>
                    <w:bidi w:val="0"/>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w:t>
                  </w:r>
                </w:p>
              </w:tc>
              <w:tc>
                <w:tcPr>
                  <w:tcW w:w="851" w:type="dxa"/>
                  <w:tcBorders>
                    <w:tl2br w:val="nil"/>
                    <w:tr2bl w:val="nil"/>
                  </w:tcBorders>
                  <w:noWrap w:val="0"/>
                  <w:vAlign w:val="center"/>
                </w:tcPr>
                <w:p>
                  <w:pPr>
                    <w:pStyle w:val="58"/>
                    <w:bidi w:val="0"/>
                    <w:rPr>
                      <w:rFonts w:hint="eastAsia"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0</w:t>
                  </w:r>
                </w:p>
              </w:tc>
              <w:tc>
                <w:tcPr>
                  <w:tcW w:w="851" w:type="dxa"/>
                  <w:tcBorders>
                    <w:tl2br w:val="nil"/>
                    <w:tr2bl w:val="nil"/>
                  </w:tcBorders>
                  <w:noWrap w:val="0"/>
                  <w:vAlign w:val="center"/>
                </w:tcPr>
                <w:p>
                  <w:pPr>
                    <w:pStyle w:val="58"/>
                    <w:bidi w:val="0"/>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1</w:t>
                  </w:r>
                </w:p>
              </w:tc>
              <w:tc>
                <w:tcPr>
                  <w:tcW w:w="1034" w:type="dxa"/>
                  <w:tcBorders>
                    <w:tl2br w:val="nil"/>
                    <w:tr2bl w:val="nil"/>
                  </w:tcBorders>
                  <w:noWrap w:val="0"/>
                  <w:vAlign w:val="center"/>
                </w:tcPr>
                <w:p>
                  <w:pPr>
                    <w:pStyle w:val="58"/>
                    <w:bidi w:val="0"/>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blHeader/>
                <w:jc w:val="center"/>
              </w:trPr>
              <w:tc>
                <w:tcPr>
                  <w:tcW w:w="619" w:type="dxa"/>
                  <w:tcBorders>
                    <w:tl2br w:val="nil"/>
                    <w:tr2bl w:val="nil"/>
                  </w:tcBorders>
                  <w:noWrap w:val="0"/>
                  <w:vAlign w:val="center"/>
                </w:tcPr>
                <w:p>
                  <w:pPr>
                    <w:pStyle w:val="58"/>
                    <w:bidi w:val="0"/>
                    <w:rPr>
                      <w:rFonts w:hint="default" w:ascii="Times New Roman" w:hAnsi="Times New Roman" w:eastAsia="宋体" w:cs="Times New Roman"/>
                      <w:color w:val="auto"/>
                      <w:sz w:val="21"/>
                      <w:highlight w:val="none"/>
                      <w:lang w:val="en-US" w:eastAsia="zh-CN"/>
                    </w:rPr>
                  </w:pPr>
                  <w:r>
                    <w:rPr>
                      <w:rFonts w:hint="default" w:ascii="Times New Roman" w:hAnsi="Times New Roman" w:cs="Times New Roman"/>
                      <w:color w:val="auto"/>
                      <w:highlight w:val="none"/>
                      <w:lang w:val="en-US" w:eastAsia="zh-CN"/>
                    </w:rPr>
                    <w:t>2</w:t>
                  </w:r>
                </w:p>
              </w:tc>
              <w:tc>
                <w:tcPr>
                  <w:tcW w:w="2431" w:type="dxa"/>
                  <w:tcBorders>
                    <w:tl2br w:val="nil"/>
                    <w:tr2bl w:val="nil"/>
                  </w:tcBorders>
                  <w:noWrap w:val="0"/>
                  <w:vAlign w:val="center"/>
                </w:tcPr>
                <w:p>
                  <w:pPr>
                    <w:pStyle w:val="58"/>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普通车床</w:t>
                  </w:r>
                </w:p>
              </w:tc>
              <w:tc>
                <w:tcPr>
                  <w:tcW w:w="1493" w:type="dxa"/>
                  <w:tcBorders>
                    <w:tl2br w:val="nil"/>
                    <w:tr2bl w:val="nil"/>
                  </w:tcBorders>
                  <w:noWrap w:val="0"/>
                  <w:vAlign w:val="center"/>
                </w:tcPr>
                <w:p>
                  <w:pPr>
                    <w:pStyle w:val="58"/>
                    <w:bidi w:val="0"/>
                    <w:spacing w:line="240" w:lineRule="auto"/>
                    <w:rPr>
                      <w:rFonts w:hint="eastAsia"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w:t>
                  </w:r>
                </w:p>
              </w:tc>
              <w:tc>
                <w:tcPr>
                  <w:tcW w:w="838" w:type="dxa"/>
                  <w:tcBorders>
                    <w:tl2br w:val="nil"/>
                    <w:tr2bl w:val="nil"/>
                  </w:tcBorders>
                  <w:noWrap w:val="0"/>
                  <w:vAlign w:val="center"/>
                </w:tcPr>
                <w:p>
                  <w:pPr>
                    <w:pStyle w:val="58"/>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0</w:t>
                  </w:r>
                </w:p>
              </w:tc>
              <w:tc>
                <w:tcPr>
                  <w:tcW w:w="838" w:type="dxa"/>
                  <w:tcBorders>
                    <w:tl2br w:val="nil"/>
                    <w:tr2bl w:val="nil"/>
                  </w:tcBorders>
                  <w:noWrap w:val="0"/>
                  <w:vAlign w:val="center"/>
                </w:tcPr>
                <w:p>
                  <w:pPr>
                    <w:pStyle w:val="58"/>
                    <w:bidi w:val="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CFW61100Q</w:t>
                  </w:r>
                </w:p>
              </w:tc>
              <w:tc>
                <w:tcPr>
                  <w:tcW w:w="851" w:type="dxa"/>
                  <w:tcBorders>
                    <w:tl2br w:val="nil"/>
                    <w:tr2bl w:val="nil"/>
                  </w:tcBorders>
                  <w:noWrap w:val="0"/>
                  <w:vAlign w:val="center"/>
                </w:tcPr>
                <w:p>
                  <w:pPr>
                    <w:pStyle w:val="58"/>
                    <w:bidi w:val="0"/>
                    <w:rPr>
                      <w:rFonts w:hint="eastAsia"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1</w:t>
                  </w:r>
                </w:p>
              </w:tc>
              <w:tc>
                <w:tcPr>
                  <w:tcW w:w="851" w:type="dxa"/>
                  <w:tcBorders>
                    <w:tl2br w:val="nil"/>
                    <w:tr2bl w:val="nil"/>
                  </w:tcBorders>
                  <w:noWrap w:val="0"/>
                  <w:vAlign w:val="center"/>
                </w:tcPr>
                <w:p>
                  <w:pPr>
                    <w:pStyle w:val="58"/>
                    <w:bidi w:val="0"/>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1</w:t>
                  </w:r>
                </w:p>
              </w:tc>
              <w:tc>
                <w:tcPr>
                  <w:tcW w:w="1034" w:type="dxa"/>
                  <w:tcBorders>
                    <w:tl2br w:val="nil"/>
                    <w:tr2bl w:val="nil"/>
                  </w:tcBorders>
                  <w:noWrap w:val="0"/>
                  <w:vAlign w:val="center"/>
                </w:tcPr>
                <w:p>
                  <w:pPr>
                    <w:pStyle w:val="58"/>
                    <w:bidi w:val="0"/>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blHeader/>
                <w:jc w:val="center"/>
              </w:trPr>
              <w:tc>
                <w:tcPr>
                  <w:tcW w:w="619" w:type="dxa"/>
                  <w:tcBorders>
                    <w:tl2br w:val="nil"/>
                    <w:tr2bl w:val="nil"/>
                  </w:tcBorders>
                  <w:noWrap w:val="0"/>
                  <w:vAlign w:val="center"/>
                </w:tcPr>
                <w:p>
                  <w:pPr>
                    <w:pStyle w:val="58"/>
                    <w:bidi w:val="0"/>
                    <w:rPr>
                      <w:rFonts w:hint="default" w:ascii="Times New Roman" w:hAnsi="Times New Roman" w:eastAsia="宋体" w:cs="Times New Roman"/>
                      <w:color w:val="auto"/>
                      <w:sz w:val="21"/>
                      <w:highlight w:val="none"/>
                      <w:lang w:val="en-US" w:eastAsia="zh-CN"/>
                    </w:rPr>
                  </w:pPr>
                  <w:r>
                    <w:rPr>
                      <w:rFonts w:hint="default" w:ascii="Times New Roman" w:hAnsi="Times New Roman" w:cs="Times New Roman"/>
                      <w:color w:val="auto"/>
                      <w:highlight w:val="none"/>
                      <w:lang w:val="en-US" w:eastAsia="zh-CN"/>
                    </w:rPr>
                    <w:t>3</w:t>
                  </w:r>
                </w:p>
              </w:tc>
              <w:tc>
                <w:tcPr>
                  <w:tcW w:w="2431" w:type="dxa"/>
                  <w:tcBorders>
                    <w:tl2br w:val="nil"/>
                    <w:tr2bl w:val="nil"/>
                  </w:tcBorders>
                  <w:noWrap w:val="0"/>
                  <w:vAlign w:val="center"/>
                </w:tcPr>
                <w:p>
                  <w:pPr>
                    <w:pStyle w:val="58"/>
                    <w:bidi w:val="0"/>
                    <w:spacing w:line="240" w:lineRule="auto"/>
                    <w:rPr>
                      <w:rFonts w:hint="default" w:ascii="Times New Roman" w:hAnsi="Times New Roman" w:eastAsia="宋体"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普通车床</w:t>
                  </w:r>
                </w:p>
              </w:tc>
              <w:tc>
                <w:tcPr>
                  <w:tcW w:w="1493" w:type="dxa"/>
                  <w:tcBorders>
                    <w:tl2br w:val="nil"/>
                    <w:tr2bl w:val="nil"/>
                  </w:tcBorders>
                  <w:noWrap w:val="0"/>
                  <w:vAlign w:val="center"/>
                </w:tcPr>
                <w:p>
                  <w:pPr>
                    <w:pStyle w:val="58"/>
                    <w:bidi w:val="0"/>
                    <w:spacing w:line="240" w:lineRule="auto"/>
                    <w:rPr>
                      <w:rFonts w:hint="default" w:ascii="Times New Roman" w:hAnsi="Times New Roman" w:eastAsia="宋体"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CY6250B1200</w:t>
                  </w:r>
                </w:p>
              </w:tc>
              <w:tc>
                <w:tcPr>
                  <w:tcW w:w="838" w:type="dxa"/>
                  <w:tcBorders>
                    <w:tl2br w:val="nil"/>
                    <w:tr2bl w:val="nil"/>
                  </w:tcBorders>
                  <w:noWrap w:val="0"/>
                  <w:vAlign w:val="center"/>
                </w:tcPr>
                <w:p>
                  <w:pPr>
                    <w:pStyle w:val="58"/>
                    <w:bidi w:val="0"/>
                    <w:spacing w:line="240" w:lineRule="auto"/>
                    <w:rPr>
                      <w:rFonts w:hint="default" w:ascii="Times New Roman" w:hAnsi="Times New Roman" w:eastAsia="宋体"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1</w:t>
                  </w:r>
                </w:p>
              </w:tc>
              <w:tc>
                <w:tcPr>
                  <w:tcW w:w="838" w:type="dxa"/>
                  <w:tcBorders>
                    <w:tl2br w:val="nil"/>
                    <w:tr2bl w:val="nil"/>
                  </w:tcBorders>
                  <w:noWrap w:val="0"/>
                  <w:vAlign w:val="center"/>
                </w:tcPr>
                <w:p>
                  <w:pPr>
                    <w:pStyle w:val="58"/>
                    <w:bidi w:val="0"/>
                    <w:rPr>
                      <w:rFonts w:hint="default" w:ascii="Times New Roman" w:hAnsi="Times New Roman" w:eastAsia="宋体"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w:t>
                  </w:r>
                </w:p>
              </w:tc>
              <w:tc>
                <w:tcPr>
                  <w:tcW w:w="851" w:type="dxa"/>
                  <w:tcBorders>
                    <w:tl2br w:val="nil"/>
                    <w:tr2bl w:val="nil"/>
                  </w:tcBorders>
                  <w:noWrap w:val="0"/>
                  <w:vAlign w:val="center"/>
                </w:tcPr>
                <w:p>
                  <w:pPr>
                    <w:pStyle w:val="58"/>
                    <w:bidi w:val="0"/>
                    <w:rPr>
                      <w:rFonts w:hint="eastAsia"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0</w:t>
                  </w:r>
                </w:p>
              </w:tc>
              <w:tc>
                <w:tcPr>
                  <w:tcW w:w="851" w:type="dxa"/>
                  <w:tcBorders>
                    <w:tl2br w:val="nil"/>
                    <w:tr2bl w:val="nil"/>
                  </w:tcBorders>
                  <w:noWrap w:val="0"/>
                  <w:vAlign w:val="center"/>
                </w:tcPr>
                <w:p>
                  <w:pPr>
                    <w:pStyle w:val="58"/>
                    <w:bidi w:val="0"/>
                    <w:rPr>
                      <w:rFonts w:hint="default" w:ascii="Times New Roman" w:hAnsi="Times New Roman" w:eastAsia="宋体"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1</w:t>
                  </w:r>
                </w:p>
              </w:tc>
              <w:tc>
                <w:tcPr>
                  <w:tcW w:w="1034" w:type="dxa"/>
                  <w:tcBorders>
                    <w:tl2br w:val="nil"/>
                    <w:tr2bl w:val="nil"/>
                  </w:tcBorders>
                  <w:noWrap w:val="0"/>
                  <w:vAlign w:val="center"/>
                </w:tcPr>
                <w:p>
                  <w:pPr>
                    <w:pStyle w:val="58"/>
                    <w:bidi w:val="0"/>
                    <w:rPr>
                      <w:rFonts w:hint="default" w:ascii="Times New Roman" w:hAnsi="Times New Roman" w:eastAsia="宋体"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blHeader/>
                <w:jc w:val="center"/>
              </w:trPr>
              <w:tc>
                <w:tcPr>
                  <w:tcW w:w="619" w:type="dxa"/>
                  <w:tcBorders>
                    <w:tl2br w:val="nil"/>
                    <w:tr2bl w:val="nil"/>
                  </w:tcBorders>
                  <w:noWrap w:val="0"/>
                  <w:vAlign w:val="center"/>
                </w:tcPr>
                <w:p>
                  <w:pPr>
                    <w:pStyle w:val="58"/>
                    <w:bidi w:val="0"/>
                    <w:rPr>
                      <w:rFonts w:hint="default" w:ascii="Times New Roman" w:hAnsi="Times New Roman" w:eastAsia="宋体" w:cs="Times New Roman"/>
                      <w:color w:val="auto"/>
                      <w:sz w:val="21"/>
                      <w:highlight w:val="none"/>
                      <w:lang w:val="en-US" w:eastAsia="zh-CN"/>
                    </w:rPr>
                  </w:pPr>
                  <w:r>
                    <w:rPr>
                      <w:rFonts w:hint="default" w:ascii="Times New Roman" w:hAnsi="Times New Roman" w:cs="Times New Roman"/>
                      <w:color w:val="auto"/>
                      <w:highlight w:val="none"/>
                      <w:lang w:val="en-US" w:eastAsia="zh-CN"/>
                    </w:rPr>
                    <w:t>4</w:t>
                  </w:r>
                </w:p>
              </w:tc>
              <w:tc>
                <w:tcPr>
                  <w:tcW w:w="2431" w:type="dxa"/>
                  <w:tcBorders>
                    <w:tl2br w:val="nil"/>
                    <w:tr2bl w:val="nil"/>
                  </w:tcBorders>
                  <w:noWrap w:val="0"/>
                  <w:vAlign w:val="center"/>
                </w:tcPr>
                <w:p>
                  <w:pPr>
                    <w:pStyle w:val="58"/>
                    <w:bidi w:val="0"/>
                    <w:spacing w:line="240" w:lineRule="auto"/>
                    <w:rPr>
                      <w:rFonts w:hint="default" w:ascii="Times New Roman" w:hAnsi="Times New Roman" w:eastAsia="宋体"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万能升降台铣床</w:t>
                  </w:r>
                </w:p>
              </w:tc>
              <w:tc>
                <w:tcPr>
                  <w:tcW w:w="1493" w:type="dxa"/>
                  <w:tcBorders>
                    <w:tl2br w:val="nil"/>
                    <w:tr2bl w:val="nil"/>
                  </w:tcBorders>
                  <w:noWrap w:val="0"/>
                  <w:vAlign w:val="center"/>
                </w:tcPr>
                <w:p>
                  <w:pPr>
                    <w:pStyle w:val="58"/>
                    <w:bidi w:val="0"/>
                    <w:spacing w:line="240" w:lineRule="auto"/>
                    <w:rPr>
                      <w:rFonts w:hint="default" w:ascii="Times New Roman" w:hAnsi="Times New Roman" w:eastAsia="宋体"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XA6132</w:t>
                  </w:r>
                </w:p>
              </w:tc>
              <w:tc>
                <w:tcPr>
                  <w:tcW w:w="838" w:type="dxa"/>
                  <w:tcBorders>
                    <w:tl2br w:val="nil"/>
                    <w:tr2bl w:val="nil"/>
                  </w:tcBorders>
                  <w:noWrap w:val="0"/>
                  <w:vAlign w:val="center"/>
                </w:tcPr>
                <w:p>
                  <w:pPr>
                    <w:pStyle w:val="58"/>
                    <w:bidi w:val="0"/>
                    <w:spacing w:line="240" w:lineRule="auto"/>
                    <w:rPr>
                      <w:rFonts w:hint="default" w:ascii="Times New Roman" w:hAnsi="Times New Roman" w:eastAsia="宋体"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1</w:t>
                  </w:r>
                </w:p>
              </w:tc>
              <w:tc>
                <w:tcPr>
                  <w:tcW w:w="838" w:type="dxa"/>
                  <w:tcBorders>
                    <w:tl2br w:val="nil"/>
                    <w:tr2bl w:val="nil"/>
                  </w:tcBorders>
                  <w:noWrap w:val="0"/>
                  <w:vAlign w:val="center"/>
                </w:tcPr>
                <w:p>
                  <w:pPr>
                    <w:pStyle w:val="58"/>
                    <w:bidi w:val="0"/>
                    <w:rPr>
                      <w:rFonts w:hint="default" w:ascii="Times New Roman" w:hAnsi="Times New Roman" w:eastAsia="宋体"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w:t>
                  </w:r>
                </w:p>
              </w:tc>
              <w:tc>
                <w:tcPr>
                  <w:tcW w:w="851" w:type="dxa"/>
                  <w:tcBorders>
                    <w:tl2br w:val="nil"/>
                    <w:tr2bl w:val="nil"/>
                  </w:tcBorders>
                  <w:noWrap w:val="0"/>
                  <w:vAlign w:val="center"/>
                </w:tcPr>
                <w:p>
                  <w:pPr>
                    <w:pStyle w:val="58"/>
                    <w:bidi w:val="0"/>
                    <w:rPr>
                      <w:rFonts w:hint="eastAsia"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0</w:t>
                  </w:r>
                </w:p>
              </w:tc>
              <w:tc>
                <w:tcPr>
                  <w:tcW w:w="851" w:type="dxa"/>
                  <w:tcBorders>
                    <w:tl2br w:val="nil"/>
                    <w:tr2bl w:val="nil"/>
                  </w:tcBorders>
                  <w:noWrap w:val="0"/>
                  <w:vAlign w:val="center"/>
                </w:tcPr>
                <w:p>
                  <w:pPr>
                    <w:pStyle w:val="58"/>
                    <w:bidi w:val="0"/>
                    <w:rPr>
                      <w:rFonts w:hint="default" w:ascii="Times New Roman" w:hAnsi="Times New Roman" w:eastAsia="宋体"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1</w:t>
                  </w:r>
                </w:p>
              </w:tc>
              <w:tc>
                <w:tcPr>
                  <w:tcW w:w="1034" w:type="dxa"/>
                  <w:tcBorders>
                    <w:tl2br w:val="nil"/>
                    <w:tr2bl w:val="nil"/>
                  </w:tcBorders>
                  <w:noWrap w:val="0"/>
                  <w:vAlign w:val="center"/>
                </w:tcPr>
                <w:p>
                  <w:pPr>
                    <w:pStyle w:val="58"/>
                    <w:bidi w:val="0"/>
                    <w:rPr>
                      <w:rFonts w:hint="default" w:ascii="Times New Roman" w:hAnsi="Times New Roman" w:eastAsia="宋体"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blHeader/>
                <w:jc w:val="center"/>
              </w:trPr>
              <w:tc>
                <w:tcPr>
                  <w:tcW w:w="619" w:type="dxa"/>
                  <w:tcBorders>
                    <w:tl2br w:val="nil"/>
                    <w:tr2bl w:val="nil"/>
                  </w:tcBorders>
                  <w:noWrap w:val="0"/>
                  <w:vAlign w:val="center"/>
                </w:tcPr>
                <w:p>
                  <w:pPr>
                    <w:pStyle w:val="58"/>
                    <w:bidi w:val="0"/>
                    <w:rPr>
                      <w:rFonts w:hint="default" w:ascii="Times New Roman" w:hAnsi="Times New Roman" w:eastAsia="宋体" w:cs="Times New Roman"/>
                      <w:color w:val="auto"/>
                      <w:sz w:val="21"/>
                      <w:highlight w:val="none"/>
                      <w:lang w:val="en-US" w:eastAsia="zh-CN"/>
                    </w:rPr>
                  </w:pPr>
                  <w:r>
                    <w:rPr>
                      <w:rFonts w:hint="default" w:ascii="Times New Roman" w:hAnsi="Times New Roman" w:cs="Times New Roman"/>
                      <w:color w:val="auto"/>
                      <w:highlight w:val="none"/>
                      <w:lang w:val="en-US" w:eastAsia="zh-CN"/>
                    </w:rPr>
                    <w:t>5</w:t>
                  </w:r>
                </w:p>
              </w:tc>
              <w:tc>
                <w:tcPr>
                  <w:tcW w:w="2431" w:type="dxa"/>
                  <w:tcBorders>
                    <w:tl2br w:val="nil"/>
                    <w:tr2bl w:val="nil"/>
                  </w:tcBorders>
                  <w:noWrap w:val="0"/>
                  <w:vAlign w:val="center"/>
                </w:tcPr>
                <w:p>
                  <w:pPr>
                    <w:pStyle w:val="58"/>
                    <w:bidi w:val="0"/>
                    <w:spacing w:line="240" w:lineRule="auto"/>
                    <w:rPr>
                      <w:rFonts w:hint="default" w:ascii="Times New Roman" w:hAnsi="Times New Roman" w:eastAsia="宋体"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炮塔铣床</w:t>
                  </w:r>
                </w:p>
              </w:tc>
              <w:tc>
                <w:tcPr>
                  <w:tcW w:w="1493" w:type="dxa"/>
                  <w:tcBorders>
                    <w:tl2br w:val="nil"/>
                    <w:tr2bl w:val="nil"/>
                  </w:tcBorders>
                  <w:noWrap w:val="0"/>
                  <w:vAlign w:val="center"/>
                </w:tcPr>
                <w:p>
                  <w:pPr>
                    <w:pStyle w:val="58"/>
                    <w:bidi w:val="0"/>
                    <w:spacing w:line="240" w:lineRule="auto"/>
                    <w:rPr>
                      <w:rFonts w:hint="default" w:ascii="Times New Roman" w:hAnsi="Times New Roman" w:eastAsia="宋体"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4M</w:t>
                  </w:r>
                </w:p>
              </w:tc>
              <w:tc>
                <w:tcPr>
                  <w:tcW w:w="838" w:type="dxa"/>
                  <w:tcBorders>
                    <w:tl2br w:val="nil"/>
                    <w:tr2bl w:val="nil"/>
                  </w:tcBorders>
                  <w:noWrap w:val="0"/>
                  <w:vAlign w:val="center"/>
                </w:tcPr>
                <w:p>
                  <w:pPr>
                    <w:pStyle w:val="58"/>
                    <w:bidi w:val="0"/>
                    <w:spacing w:line="240" w:lineRule="auto"/>
                    <w:rPr>
                      <w:rFonts w:hint="default" w:ascii="Times New Roman" w:hAnsi="Times New Roman" w:eastAsia="宋体"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1</w:t>
                  </w:r>
                </w:p>
              </w:tc>
              <w:tc>
                <w:tcPr>
                  <w:tcW w:w="838" w:type="dxa"/>
                  <w:tcBorders>
                    <w:tl2br w:val="nil"/>
                    <w:tr2bl w:val="nil"/>
                  </w:tcBorders>
                  <w:noWrap w:val="0"/>
                  <w:vAlign w:val="center"/>
                </w:tcPr>
                <w:p>
                  <w:pPr>
                    <w:pStyle w:val="58"/>
                    <w:bidi w:val="0"/>
                    <w:rPr>
                      <w:rFonts w:hint="default" w:ascii="Times New Roman" w:hAnsi="Times New Roman" w:eastAsia="宋体"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w:t>
                  </w:r>
                </w:p>
              </w:tc>
              <w:tc>
                <w:tcPr>
                  <w:tcW w:w="851" w:type="dxa"/>
                  <w:tcBorders>
                    <w:tl2br w:val="nil"/>
                    <w:tr2bl w:val="nil"/>
                  </w:tcBorders>
                  <w:noWrap w:val="0"/>
                  <w:vAlign w:val="center"/>
                </w:tcPr>
                <w:p>
                  <w:pPr>
                    <w:pStyle w:val="58"/>
                    <w:bidi w:val="0"/>
                    <w:rPr>
                      <w:rFonts w:hint="eastAsia"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0</w:t>
                  </w:r>
                </w:p>
              </w:tc>
              <w:tc>
                <w:tcPr>
                  <w:tcW w:w="851" w:type="dxa"/>
                  <w:tcBorders>
                    <w:tl2br w:val="nil"/>
                    <w:tr2bl w:val="nil"/>
                  </w:tcBorders>
                  <w:noWrap w:val="0"/>
                  <w:vAlign w:val="center"/>
                </w:tcPr>
                <w:p>
                  <w:pPr>
                    <w:pStyle w:val="58"/>
                    <w:bidi w:val="0"/>
                    <w:rPr>
                      <w:rFonts w:hint="default" w:ascii="Times New Roman" w:hAnsi="Times New Roman" w:eastAsia="宋体"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1</w:t>
                  </w:r>
                </w:p>
              </w:tc>
              <w:tc>
                <w:tcPr>
                  <w:tcW w:w="1034" w:type="dxa"/>
                  <w:tcBorders>
                    <w:tl2br w:val="nil"/>
                    <w:tr2bl w:val="nil"/>
                  </w:tcBorders>
                  <w:noWrap w:val="0"/>
                  <w:vAlign w:val="center"/>
                </w:tcPr>
                <w:p>
                  <w:pPr>
                    <w:pStyle w:val="58"/>
                    <w:bidi w:val="0"/>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blHeader/>
                <w:jc w:val="center"/>
              </w:trPr>
              <w:tc>
                <w:tcPr>
                  <w:tcW w:w="619" w:type="dxa"/>
                  <w:tcBorders>
                    <w:tl2br w:val="nil"/>
                    <w:tr2bl w:val="nil"/>
                  </w:tcBorders>
                  <w:noWrap w:val="0"/>
                  <w:vAlign w:val="center"/>
                </w:tcPr>
                <w:p>
                  <w:pPr>
                    <w:pStyle w:val="58"/>
                    <w:bidi w:val="0"/>
                    <w:rPr>
                      <w:rFonts w:hint="default" w:ascii="Times New Roman" w:hAnsi="Times New Roman" w:eastAsia="宋体" w:cs="Times New Roman"/>
                      <w:color w:val="auto"/>
                      <w:sz w:val="21"/>
                      <w:highlight w:val="none"/>
                      <w:lang w:val="en-US" w:eastAsia="zh-CN"/>
                    </w:rPr>
                  </w:pPr>
                  <w:r>
                    <w:rPr>
                      <w:rFonts w:hint="default" w:ascii="Times New Roman" w:hAnsi="Times New Roman" w:cs="Times New Roman"/>
                      <w:color w:val="auto"/>
                      <w:highlight w:val="none"/>
                      <w:lang w:val="en-US" w:eastAsia="zh-CN"/>
                    </w:rPr>
                    <w:t>6</w:t>
                  </w:r>
                </w:p>
              </w:tc>
              <w:tc>
                <w:tcPr>
                  <w:tcW w:w="2431" w:type="dxa"/>
                  <w:tcBorders>
                    <w:tl2br w:val="nil"/>
                    <w:tr2bl w:val="nil"/>
                  </w:tcBorders>
                  <w:noWrap w:val="0"/>
                  <w:vAlign w:val="center"/>
                </w:tcPr>
                <w:p>
                  <w:pPr>
                    <w:pStyle w:val="58"/>
                    <w:bidi w:val="0"/>
                    <w:spacing w:line="240" w:lineRule="auto"/>
                    <w:rPr>
                      <w:rFonts w:hint="default" w:ascii="Times New Roman" w:hAnsi="Times New Roman" w:eastAsia="宋体"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卧式车床</w:t>
                  </w:r>
                </w:p>
              </w:tc>
              <w:tc>
                <w:tcPr>
                  <w:tcW w:w="1493" w:type="dxa"/>
                  <w:tcBorders>
                    <w:tl2br w:val="nil"/>
                    <w:tr2bl w:val="nil"/>
                  </w:tcBorders>
                  <w:noWrap w:val="0"/>
                  <w:vAlign w:val="center"/>
                </w:tcPr>
                <w:p>
                  <w:pPr>
                    <w:pStyle w:val="58"/>
                    <w:bidi w:val="0"/>
                    <w:spacing w:line="240" w:lineRule="auto"/>
                    <w:rPr>
                      <w:rFonts w:hint="default" w:ascii="Times New Roman" w:hAnsi="Times New Roman" w:eastAsia="宋体"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CY6250B</w:t>
                  </w:r>
                </w:p>
              </w:tc>
              <w:tc>
                <w:tcPr>
                  <w:tcW w:w="838" w:type="dxa"/>
                  <w:tcBorders>
                    <w:tl2br w:val="nil"/>
                    <w:tr2bl w:val="nil"/>
                  </w:tcBorders>
                  <w:noWrap w:val="0"/>
                  <w:vAlign w:val="center"/>
                </w:tcPr>
                <w:p>
                  <w:pPr>
                    <w:pStyle w:val="58"/>
                    <w:bidi w:val="0"/>
                    <w:spacing w:line="240" w:lineRule="auto"/>
                    <w:rPr>
                      <w:rFonts w:hint="default" w:ascii="Times New Roman" w:hAnsi="Times New Roman" w:eastAsia="宋体"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1</w:t>
                  </w:r>
                </w:p>
              </w:tc>
              <w:tc>
                <w:tcPr>
                  <w:tcW w:w="838" w:type="dxa"/>
                  <w:tcBorders>
                    <w:tl2br w:val="nil"/>
                    <w:tr2bl w:val="nil"/>
                  </w:tcBorders>
                  <w:noWrap w:val="0"/>
                  <w:vAlign w:val="center"/>
                </w:tcPr>
                <w:p>
                  <w:pPr>
                    <w:pStyle w:val="58"/>
                    <w:bidi w:val="0"/>
                    <w:rPr>
                      <w:rFonts w:hint="default" w:ascii="Times New Roman" w:hAnsi="Times New Roman" w:eastAsia="宋体"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w:t>
                  </w:r>
                </w:p>
              </w:tc>
              <w:tc>
                <w:tcPr>
                  <w:tcW w:w="851" w:type="dxa"/>
                  <w:tcBorders>
                    <w:tl2br w:val="nil"/>
                    <w:tr2bl w:val="nil"/>
                  </w:tcBorders>
                  <w:noWrap w:val="0"/>
                  <w:vAlign w:val="center"/>
                </w:tcPr>
                <w:p>
                  <w:pPr>
                    <w:pStyle w:val="58"/>
                    <w:bidi w:val="0"/>
                    <w:rPr>
                      <w:rFonts w:hint="eastAsia"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0</w:t>
                  </w:r>
                </w:p>
              </w:tc>
              <w:tc>
                <w:tcPr>
                  <w:tcW w:w="851" w:type="dxa"/>
                  <w:tcBorders>
                    <w:tl2br w:val="nil"/>
                    <w:tr2bl w:val="nil"/>
                  </w:tcBorders>
                  <w:noWrap w:val="0"/>
                  <w:vAlign w:val="center"/>
                </w:tcPr>
                <w:p>
                  <w:pPr>
                    <w:pStyle w:val="58"/>
                    <w:bidi w:val="0"/>
                    <w:rPr>
                      <w:rFonts w:hint="default" w:ascii="Times New Roman" w:hAnsi="Times New Roman" w:eastAsia="宋体"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1</w:t>
                  </w:r>
                </w:p>
              </w:tc>
              <w:tc>
                <w:tcPr>
                  <w:tcW w:w="1034" w:type="dxa"/>
                  <w:tcBorders>
                    <w:tl2br w:val="nil"/>
                    <w:tr2bl w:val="nil"/>
                  </w:tcBorders>
                  <w:noWrap w:val="0"/>
                  <w:vAlign w:val="center"/>
                </w:tcPr>
                <w:p>
                  <w:pPr>
                    <w:pStyle w:val="58"/>
                    <w:bidi w:val="0"/>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tblHeader/>
                <w:jc w:val="center"/>
              </w:trPr>
              <w:tc>
                <w:tcPr>
                  <w:tcW w:w="619" w:type="dxa"/>
                  <w:tcBorders>
                    <w:tl2br w:val="nil"/>
                    <w:tr2bl w:val="nil"/>
                  </w:tcBorders>
                  <w:noWrap w:val="0"/>
                  <w:vAlign w:val="center"/>
                </w:tcPr>
                <w:p>
                  <w:pPr>
                    <w:pStyle w:val="58"/>
                    <w:bidi w:val="0"/>
                    <w:rPr>
                      <w:rFonts w:hint="default" w:ascii="Times New Roman" w:hAnsi="Times New Roman" w:eastAsia="宋体" w:cs="Times New Roman"/>
                      <w:color w:val="auto"/>
                      <w:sz w:val="21"/>
                      <w:highlight w:val="none"/>
                      <w:lang w:val="en-US" w:eastAsia="zh-CN"/>
                    </w:rPr>
                  </w:pPr>
                  <w:r>
                    <w:rPr>
                      <w:rFonts w:hint="eastAsia" w:ascii="Times New Roman" w:hAnsi="Times New Roman" w:cs="Times New Roman"/>
                      <w:color w:val="auto"/>
                      <w:highlight w:val="none"/>
                      <w:lang w:val="en-US" w:eastAsia="zh-CN"/>
                    </w:rPr>
                    <w:t>7</w:t>
                  </w:r>
                </w:p>
              </w:tc>
              <w:tc>
                <w:tcPr>
                  <w:tcW w:w="2431" w:type="dxa"/>
                  <w:tcBorders>
                    <w:tl2br w:val="nil"/>
                    <w:tr2bl w:val="nil"/>
                  </w:tcBorders>
                  <w:noWrap w:val="0"/>
                  <w:vAlign w:val="center"/>
                </w:tcPr>
                <w:p>
                  <w:pPr>
                    <w:pStyle w:val="58"/>
                    <w:bidi w:val="0"/>
                    <w:spacing w:line="240" w:lineRule="auto"/>
                    <w:jc w:val="center"/>
                    <w:rPr>
                      <w:rFonts w:hint="default" w:ascii="Times New Roman" w:hAnsi="Times New Roman" w:eastAsia="宋体"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带锯床</w:t>
                  </w:r>
                </w:p>
              </w:tc>
              <w:tc>
                <w:tcPr>
                  <w:tcW w:w="1493" w:type="dxa"/>
                  <w:tcBorders>
                    <w:tl2br w:val="nil"/>
                    <w:tr2bl w:val="nil"/>
                  </w:tcBorders>
                  <w:noWrap w:val="0"/>
                  <w:vAlign w:val="center"/>
                </w:tcPr>
                <w:p>
                  <w:pPr>
                    <w:pStyle w:val="58"/>
                    <w:bidi w:val="0"/>
                    <w:spacing w:line="240" w:lineRule="auto"/>
                    <w:rPr>
                      <w:rFonts w:hint="default" w:ascii="Times New Roman" w:hAnsi="Times New Roman" w:eastAsia="宋体"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FS4230</w:t>
                  </w:r>
                </w:p>
              </w:tc>
              <w:tc>
                <w:tcPr>
                  <w:tcW w:w="838" w:type="dxa"/>
                  <w:tcBorders>
                    <w:tl2br w:val="nil"/>
                    <w:tr2bl w:val="nil"/>
                  </w:tcBorders>
                  <w:noWrap w:val="0"/>
                  <w:vAlign w:val="center"/>
                </w:tcPr>
                <w:p>
                  <w:pPr>
                    <w:pStyle w:val="58"/>
                    <w:bidi w:val="0"/>
                    <w:spacing w:line="240" w:lineRule="auto"/>
                    <w:rPr>
                      <w:rFonts w:hint="default" w:ascii="Times New Roman" w:hAnsi="Times New Roman" w:eastAsia="宋体"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1</w:t>
                  </w:r>
                </w:p>
              </w:tc>
              <w:tc>
                <w:tcPr>
                  <w:tcW w:w="838" w:type="dxa"/>
                  <w:tcBorders>
                    <w:tl2br w:val="nil"/>
                    <w:tr2bl w:val="nil"/>
                  </w:tcBorders>
                  <w:noWrap w:val="0"/>
                  <w:vAlign w:val="center"/>
                </w:tcPr>
                <w:p>
                  <w:pPr>
                    <w:pStyle w:val="58"/>
                    <w:bidi w:val="0"/>
                    <w:rPr>
                      <w:rFonts w:hint="default" w:ascii="Times New Roman" w:hAnsi="Times New Roman" w:eastAsia="宋体"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w:t>
                  </w:r>
                </w:p>
              </w:tc>
              <w:tc>
                <w:tcPr>
                  <w:tcW w:w="851" w:type="dxa"/>
                  <w:tcBorders>
                    <w:tl2br w:val="nil"/>
                    <w:tr2bl w:val="nil"/>
                  </w:tcBorders>
                  <w:noWrap w:val="0"/>
                  <w:vAlign w:val="center"/>
                </w:tcPr>
                <w:p>
                  <w:pPr>
                    <w:pStyle w:val="58"/>
                    <w:bidi w:val="0"/>
                    <w:rPr>
                      <w:rFonts w:hint="eastAsia"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0</w:t>
                  </w:r>
                </w:p>
              </w:tc>
              <w:tc>
                <w:tcPr>
                  <w:tcW w:w="851" w:type="dxa"/>
                  <w:tcBorders>
                    <w:tl2br w:val="nil"/>
                    <w:tr2bl w:val="nil"/>
                  </w:tcBorders>
                  <w:noWrap w:val="0"/>
                  <w:vAlign w:val="center"/>
                </w:tcPr>
                <w:p>
                  <w:pPr>
                    <w:pStyle w:val="58"/>
                    <w:bidi w:val="0"/>
                    <w:rPr>
                      <w:rFonts w:hint="default" w:ascii="Times New Roman" w:hAnsi="Times New Roman" w:eastAsia="宋体"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1</w:t>
                  </w:r>
                </w:p>
              </w:tc>
              <w:tc>
                <w:tcPr>
                  <w:tcW w:w="1034" w:type="dxa"/>
                  <w:tcBorders>
                    <w:tl2br w:val="nil"/>
                    <w:tr2bl w:val="nil"/>
                  </w:tcBorders>
                  <w:noWrap w:val="0"/>
                  <w:vAlign w:val="center"/>
                </w:tcPr>
                <w:p>
                  <w:pPr>
                    <w:pStyle w:val="58"/>
                    <w:bidi w:val="0"/>
                    <w:rPr>
                      <w:rFonts w:hint="default" w:ascii="Times New Roman" w:hAnsi="Times New Roman" w:eastAsia="宋体"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tblHeader/>
                <w:jc w:val="center"/>
              </w:trPr>
              <w:tc>
                <w:tcPr>
                  <w:tcW w:w="619" w:type="dxa"/>
                  <w:tcBorders>
                    <w:tl2br w:val="nil"/>
                    <w:tr2bl w:val="nil"/>
                  </w:tcBorders>
                  <w:noWrap w:val="0"/>
                  <w:vAlign w:val="center"/>
                </w:tcPr>
                <w:p>
                  <w:pPr>
                    <w:pStyle w:val="58"/>
                    <w:bidi w:val="0"/>
                    <w:rPr>
                      <w:rFonts w:hint="default" w:ascii="Times New Roman" w:hAnsi="Times New Roman" w:eastAsia="宋体" w:cs="Times New Roman"/>
                      <w:color w:val="auto"/>
                      <w:sz w:val="21"/>
                      <w:highlight w:val="none"/>
                      <w:lang w:val="en-US" w:eastAsia="zh-CN"/>
                    </w:rPr>
                  </w:pPr>
                  <w:r>
                    <w:rPr>
                      <w:rFonts w:hint="eastAsia" w:ascii="Times New Roman" w:hAnsi="Times New Roman" w:cs="Times New Roman"/>
                      <w:color w:val="auto"/>
                      <w:highlight w:val="none"/>
                      <w:lang w:val="en-US" w:eastAsia="zh-CN"/>
                    </w:rPr>
                    <w:t>8</w:t>
                  </w:r>
                </w:p>
              </w:tc>
              <w:tc>
                <w:tcPr>
                  <w:tcW w:w="2431" w:type="dxa"/>
                  <w:tcBorders>
                    <w:tl2br w:val="nil"/>
                    <w:tr2bl w:val="nil"/>
                  </w:tcBorders>
                  <w:noWrap w:val="0"/>
                  <w:vAlign w:val="center"/>
                </w:tcPr>
                <w:p>
                  <w:pPr>
                    <w:pStyle w:val="58"/>
                    <w:bidi w:val="0"/>
                    <w:spacing w:line="240" w:lineRule="auto"/>
                    <w:jc w:val="center"/>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数控加工中心</w:t>
                  </w:r>
                </w:p>
              </w:tc>
              <w:tc>
                <w:tcPr>
                  <w:tcW w:w="1493" w:type="dxa"/>
                  <w:tcBorders>
                    <w:tl2br w:val="nil"/>
                    <w:tr2bl w:val="nil"/>
                  </w:tcBorders>
                  <w:noWrap w:val="0"/>
                  <w:vAlign w:val="center"/>
                </w:tcPr>
                <w:p>
                  <w:pPr>
                    <w:pStyle w:val="58"/>
                    <w:bidi w:val="0"/>
                    <w:spacing w:line="240" w:lineRule="auto"/>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XK715D/11</w:t>
                  </w:r>
                </w:p>
              </w:tc>
              <w:tc>
                <w:tcPr>
                  <w:tcW w:w="838" w:type="dxa"/>
                  <w:tcBorders>
                    <w:tl2br w:val="nil"/>
                    <w:tr2bl w:val="nil"/>
                  </w:tcBorders>
                  <w:noWrap w:val="0"/>
                  <w:vAlign w:val="center"/>
                </w:tcPr>
                <w:p>
                  <w:pPr>
                    <w:pStyle w:val="58"/>
                    <w:bidi w:val="0"/>
                    <w:spacing w:line="240" w:lineRule="auto"/>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1</w:t>
                  </w:r>
                </w:p>
              </w:tc>
              <w:tc>
                <w:tcPr>
                  <w:tcW w:w="838" w:type="dxa"/>
                  <w:tcBorders>
                    <w:tl2br w:val="nil"/>
                    <w:tr2bl w:val="nil"/>
                  </w:tcBorders>
                  <w:noWrap w:val="0"/>
                  <w:vAlign w:val="center"/>
                </w:tcPr>
                <w:p>
                  <w:pPr>
                    <w:pStyle w:val="58"/>
                    <w:bidi w:val="0"/>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w:t>
                  </w:r>
                </w:p>
              </w:tc>
              <w:tc>
                <w:tcPr>
                  <w:tcW w:w="851" w:type="dxa"/>
                  <w:tcBorders>
                    <w:tl2br w:val="nil"/>
                    <w:tr2bl w:val="nil"/>
                  </w:tcBorders>
                  <w:noWrap w:val="0"/>
                  <w:vAlign w:val="center"/>
                </w:tcPr>
                <w:p>
                  <w:pPr>
                    <w:pStyle w:val="58"/>
                    <w:bidi w:val="0"/>
                    <w:rPr>
                      <w:rFonts w:hint="eastAsia"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0</w:t>
                  </w:r>
                </w:p>
              </w:tc>
              <w:tc>
                <w:tcPr>
                  <w:tcW w:w="851" w:type="dxa"/>
                  <w:tcBorders>
                    <w:tl2br w:val="nil"/>
                    <w:tr2bl w:val="nil"/>
                  </w:tcBorders>
                  <w:noWrap w:val="0"/>
                  <w:vAlign w:val="center"/>
                </w:tcPr>
                <w:p>
                  <w:pPr>
                    <w:pStyle w:val="58"/>
                    <w:bidi w:val="0"/>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1</w:t>
                  </w:r>
                </w:p>
              </w:tc>
              <w:tc>
                <w:tcPr>
                  <w:tcW w:w="1034" w:type="dxa"/>
                  <w:tcBorders>
                    <w:tl2br w:val="nil"/>
                    <w:tr2bl w:val="nil"/>
                  </w:tcBorders>
                  <w:noWrap w:val="0"/>
                  <w:vAlign w:val="center"/>
                </w:tcPr>
                <w:p>
                  <w:pPr>
                    <w:pStyle w:val="58"/>
                    <w:bidi w:val="0"/>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tblHeader/>
                <w:jc w:val="center"/>
              </w:trPr>
              <w:tc>
                <w:tcPr>
                  <w:tcW w:w="619" w:type="dxa"/>
                  <w:tcBorders>
                    <w:tl2br w:val="nil"/>
                    <w:tr2bl w:val="nil"/>
                  </w:tcBorders>
                  <w:noWrap w:val="0"/>
                  <w:vAlign w:val="center"/>
                </w:tcPr>
                <w:p>
                  <w:pPr>
                    <w:pStyle w:val="58"/>
                    <w:bidi w:val="0"/>
                    <w:rPr>
                      <w:rFonts w:hint="eastAsia" w:ascii="Times New Roman" w:hAnsi="Times New Roman" w:eastAsia="宋体" w:cs="Times New Roman"/>
                      <w:color w:val="auto"/>
                      <w:sz w:val="21"/>
                      <w:highlight w:val="none"/>
                      <w:lang w:val="en-US" w:eastAsia="zh-CN"/>
                    </w:rPr>
                  </w:pPr>
                  <w:r>
                    <w:rPr>
                      <w:rFonts w:hint="eastAsia" w:ascii="Times New Roman" w:hAnsi="Times New Roman" w:cs="Times New Roman"/>
                      <w:color w:val="auto"/>
                      <w:highlight w:val="none"/>
                      <w:lang w:val="en-US" w:eastAsia="zh-CN"/>
                    </w:rPr>
                    <w:t>9</w:t>
                  </w:r>
                </w:p>
              </w:tc>
              <w:tc>
                <w:tcPr>
                  <w:tcW w:w="2431" w:type="dxa"/>
                  <w:tcBorders>
                    <w:tl2br w:val="nil"/>
                    <w:tr2bl w:val="nil"/>
                  </w:tcBorders>
                  <w:noWrap w:val="0"/>
                  <w:vAlign w:val="center"/>
                </w:tcPr>
                <w:p>
                  <w:pPr>
                    <w:pStyle w:val="58"/>
                    <w:bidi w:val="0"/>
                    <w:spacing w:line="240" w:lineRule="auto"/>
                    <w:jc w:val="center"/>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数控加工中心</w:t>
                  </w:r>
                </w:p>
              </w:tc>
              <w:tc>
                <w:tcPr>
                  <w:tcW w:w="1493" w:type="dxa"/>
                  <w:tcBorders>
                    <w:tl2br w:val="nil"/>
                    <w:tr2bl w:val="nil"/>
                  </w:tcBorders>
                  <w:noWrap w:val="0"/>
                  <w:vAlign w:val="center"/>
                </w:tcPr>
                <w:p>
                  <w:pPr>
                    <w:pStyle w:val="58"/>
                    <w:bidi w:val="0"/>
                    <w:spacing w:line="240" w:lineRule="auto"/>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w:t>
                  </w:r>
                </w:p>
              </w:tc>
              <w:tc>
                <w:tcPr>
                  <w:tcW w:w="838" w:type="dxa"/>
                  <w:tcBorders>
                    <w:tl2br w:val="nil"/>
                    <w:tr2bl w:val="nil"/>
                  </w:tcBorders>
                  <w:noWrap w:val="0"/>
                  <w:vAlign w:val="center"/>
                </w:tcPr>
                <w:p>
                  <w:pPr>
                    <w:pStyle w:val="58"/>
                    <w:bidi w:val="0"/>
                    <w:spacing w:line="240" w:lineRule="auto"/>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0</w:t>
                  </w:r>
                </w:p>
              </w:tc>
              <w:tc>
                <w:tcPr>
                  <w:tcW w:w="838" w:type="dxa"/>
                  <w:tcBorders>
                    <w:tl2br w:val="nil"/>
                    <w:tr2bl w:val="nil"/>
                  </w:tcBorders>
                  <w:noWrap w:val="0"/>
                  <w:vAlign w:val="center"/>
                </w:tcPr>
                <w:p>
                  <w:pPr>
                    <w:pStyle w:val="58"/>
                    <w:bidi w:val="0"/>
                    <w:rPr>
                      <w:rFonts w:hint="default" w:ascii="Times New Roman" w:hAnsi="Times New Roman" w:cs="Times New Roman"/>
                      <w:color w:val="auto"/>
                      <w:sz w:val="21"/>
                      <w:highlight w:val="none"/>
                      <w:lang w:val="en-US" w:eastAsia="zh-CN"/>
                    </w:rPr>
                  </w:pPr>
                  <w:r>
                    <w:rPr>
                      <w:rFonts w:hint="default" w:ascii="Times New Roman" w:hAnsi="Times New Roman" w:cs="Times New Roman"/>
                      <w:color w:val="auto"/>
                      <w:sz w:val="21"/>
                      <w:highlight w:val="none"/>
                      <w:lang w:val="en-US" w:eastAsia="zh-CN"/>
                    </w:rPr>
                    <w:t>(Vturn-22w)</w:t>
                  </w:r>
                </w:p>
              </w:tc>
              <w:tc>
                <w:tcPr>
                  <w:tcW w:w="851" w:type="dxa"/>
                  <w:tcBorders>
                    <w:tl2br w:val="nil"/>
                    <w:tr2bl w:val="nil"/>
                  </w:tcBorders>
                  <w:noWrap w:val="0"/>
                  <w:vAlign w:val="center"/>
                </w:tcPr>
                <w:p>
                  <w:pPr>
                    <w:pStyle w:val="58"/>
                    <w:bidi w:val="0"/>
                    <w:rPr>
                      <w:rFonts w:hint="eastAsia"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1</w:t>
                  </w:r>
                </w:p>
              </w:tc>
              <w:tc>
                <w:tcPr>
                  <w:tcW w:w="851" w:type="dxa"/>
                  <w:tcBorders>
                    <w:tl2br w:val="nil"/>
                    <w:tr2bl w:val="nil"/>
                  </w:tcBorders>
                  <w:noWrap w:val="0"/>
                  <w:vAlign w:val="center"/>
                </w:tcPr>
                <w:p>
                  <w:pPr>
                    <w:pStyle w:val="58"/>
                    <w:bidi w:val="0"/>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1</w:t>
                  </w:r>
                </w:p>
              </w:tc>
              <w:tc>
                <w:tcPr>
                  <w:tcW w:w="1034" w:type="dxa"/>
                  <w:tcBorders>
                    <w:tl2br w:val="nil"/>
                    <w:tr2bl w:val="nil"/>
                  </w:tcBorders>
                  <w:noWrap w:val="0"/>
                  <w:vAlign w:val="center"/>
                </w:tcPr>
                <w:p>
                  <w:pPr>
                    <w:pStyle w:val="58"/>
                    <w:bidi w:val="0"/>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tblHeader/>
                <w:jc w:val="center"/>
              </w:trPr>
              <w:tc>
                <w:tcPr>
                  <w:tcW w:w="619" w:type="dxa"/>
                  <w:tcBorders>
                    <w:tl2br w:val="nil"/>
                    <w:tr2bl w:val="nil"/>
                  </w:tcBorders>
                  <w:noWrap w:val="0"/>
                  <w:vAlign w:val="center"/>
                </w:tcPr>
                <w:p>
                  <w:pPr>
                    <w:pStyle w:val="58"/>
                    <w:bidi w:val="0"/>
                    <w:rPr>
                      <w:rFonts w:hint="eastAsia" w:ascii="Times New Roman" w:hAnsi="Times New Roman" w:eastAsia="宋体" w:cs="Times New Roman"/>
                      <w:color w:val="auto"/>
                      <w:sz w:val="21"/>
                      <w:highlight w:val="none"/>
                      <w:lang w:val="en-US" w:eastAsia="zh-CN"/>
                    </w:rPr>
                  </w:pPr>
                  <w:r>
                    <w:rPr>
                      <w:rFonts w:hint="eastAsia" w:ascii="Times New Roman" w:hAnsi="Times New Roman" w:cs="Times New Roman"/>
                      <w:color w:val="auto"/>
                      <w:highlight w:val="none"/>
                      <w:lang w:val="en-US" w:eastAsia="zh-CN"/>
                    </w:rPr>
                    <w:t>10</w:t>
                  </w:r>
                </w:p>
              </w:tc>
              <w:tc>
                <w:tcPr>
                  <w:tcW w:w="2431" w:type="dxa"/>
                  <w:tcBorders>
                    <w:tl2br w:val="nil"/>
                    <w:tr2bl w:val="nil"/>
                  </w:tcBorders>
                  <w:noWrap w:val="0"/>
                  <w:vAlign w:val="center"/>
                </w:tcPr>
                <w:p>
                  <w:pPr>
                    <w:pStyle w:val="58"/>
                    <w:bidi w:val="0"/>
                    <w:spacing w:line="240" w:lineRule="auto"/>
                    <w:jc w:val="center"/>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数控车床</w:t>
                  </w:r>
                </w:p>
              </w:tc>
              <w:tc>
                <w:tcPr>
                  <w:tcW w:w="1493" w:type="dxa"/>
                  <w:tcBorders>
                    <w:tl2br w:val="nil"/>
                    <w:tr2bl w:val="nil"/>
                  </w:tcBorders>
                  <w:noWrap w:val="0"/>
                  <w:vAlign w:val="center"/>
                </w:tcPr>
                <w:p>
                  <w:pPr>
                    <w:pStyle w:val="58"/>
                    <w:bidi w:val="0"/>
                    <w:spacing w:line="240" w:lineRule="auto"/>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w:t>
                  </w:r>
                </w:p>
              </w:tc>
              <w:tc>
                <w:tcPr>
                  <w:tcW w:w="838" w:type="dxa"/>
                  <w:tcBorders>
                    <w:tl2br w:val="nil"/>
                    <w:tr2bl w:val="nil"/>
                  </w:tcBorders>
                  <w:noWrap w:val="0"/>
                  <w:vAlign w:val="center"/>
                </w:tcPr>
                <w:p>
                  <w:pPr>
                    <w:pStyle w:val="58"/>
                    <w:bidi w:val="0"/>
                    <w:spacing w:line="240" w:lineRule="auto"/>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0</w:t>
                  </w:r>
                </w:p>
              </w:tc>
              <w:tc>
                <w:tcPr>
                  <w:tcW w:w="838" w:type="dxa"/>
                  <w:tcBorders>
                    <w:tl2br w:val="nil"/>
                    <w:tr2bl w:val="nil"/>
                  </w:tcBorders>
                  <w:noWrap w:val="0"/>
                  <w:vAlign w:val="center"/>
                </w:tcPr>
                <w:p>
                  <w:pPr>
                    <w:pStyle w:val="58"/>
                    <w:bidi w:val="0"/>
                    <w:spacing w:line="240" w:lineRule="auto"/>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CAK6150D</w:t>
                  </w:r>
                </w:p>
              </w:tc>
              <w:tc>
                <w:tcPr>
                  <w:tcW w:w="851" w:type="dxa"/>
                  <w:tcBorders>
                    <w:tl2br w:val="nil"/>
                    <w:tr2bl w:val="nil"/>
                  </w:tcBorders>
                  <w:noWrap w:val="0"/>
                  <w:vAlign w:val="center"/>
                </w:tcPr>
                <w:p>
                  <w:pPr>
                    <w:pStyle w:val="58"/>
                    <w:bidi w:val="0"/>
                    <w:rPr>
                      <w:rFonts w:hint="eastAsia"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1</w:t>
                  </w:r>
                </w:p>
              </w:tc>
              <w:tc>
                <w:tcPr>
                  <w:tcW w:w="851" w:type="dxa"/>
                  <w:tcBorders>
                    <w:tl2br w:val="nil"/>
                    <w:tr2bl w:val="nil"/>
                  </w:tcBorders>
                  <w:noWrap w:val="0"/>
                  <w:vAlign w:val="center"/>
                </w:tcPr>
                <w:p>
                  <w:pPr>
                    <w:pStyle w:val="58"/>
                    <w:bidi w:val="0"/>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1</w:t>
                  </w:r>
                </w:p>
              </w:tc>
              <w:tc>
                <w:tcPr>
                  <w:tcW w:w="1034" w:type="dxa"/>
                  <w:tcBorders>
                    <w:tl2br w:val="nil"/>
                    <w:tr2bl w:val="nil"/>
                  </w:tcBorders>
                  <w:noWrap w:val="0"/>
                  <w:vAlign w:val="center"/>
                </w:tcPr>
                <w:p>
                  <w:pPr>
                    <w:pStyle w:val="58"/>
                    <w:bidi w:val="0"/>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tblHeader/>
                <w:jc w:val="center"/>
              </w:trPr>
              <w:tc>
                <w:tcPr>
                  <w:tcW w:w="619" w:type="dxa"/>
                  <w:tcBorders>
                    <w:tl2br w:val="nil"/>
                    <w:tr2bl w:val="nil"/>
                  </w:tcBorders>
                  <w:noWrap w:val="0"/>
                  <w:vAlign w:val="center"/>
                </w:tcPr>
                <w:p>
                  <w:pPr>
                    <w:pStyle w:val="58"/>
                    <w:bidi w:val="0"/>
                    <w:rPr>
                      <w:rFonts w:hint="eastAsia" w:ascii="Times New Roman" w:hAnsi="Times New Roman" w:eastAsia="宋体" w:cs="Times New Roman"/>
                      <w:color w:val="auto"/>
                      <w:sz w:val="21"/>
                      <w:highlight w:val="none"/>
                      <w:lang w:val="en-US" w:eastAsia="zh-CN"/>
                    </w:rPr>
                  </w:pPr>
                  <w:r>
                    <w:rPr>
                      <w:rFonts w:hint="eastAsia" w:ascii="Times New Roman" w:hAnsi="Times New Roman" w:cs="Times New Roman"/>
                      <w:color w:val="auto"/>
                      <w:highlight w:val="none"/>
                      <w:lang w:val="en-US" w:eastAsia="zh-CN"/>
                    </w:rPr>
                    <w:t>11</w:t>
                  </w:r>
                </w:p>
              </w:tc>
              <w:tc>
                <w:tcPr>
                  <w:tcW w:w="2431" w:type="dxa"/>
                  <w:tcBorders>
                    <w:tl2br w:val="nil"/>
                    <w:tr2bl w:val="nil"/>
                  </w:tcBorders>
                  <w:noWrap w:val="0"/>
                  <w:vAlign w:val="center"/>
                </w:tcPr>
                <w:p>
                  <w:pPr>
                    <w:pStyle w:val="58"/>
                    <w:bidi w:val="0"/>
                    <w:spacing w:line="240" w:lineRule="auto"/>
                    <w:jc w:val="center"/>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数控车床</w:t>
                  </w:r>
                </w:p>
              </w:tc>
              <w:tc>
                <w:tcPr>
                  <w:tcW w:w="1493" w:type="dxa"/>
                  <w:tcBorders>
                    <w:tl2br w:val="nil"/>
                    <w:tr2bl w:val="nil"/>
                  </w:tcBorders>
                  <w:noWrap w:val="0"/>
                  <w:vAlign w:val="center"/>
                </w:tcPr>
                <w:p>
                  <w:pPr>
                    <w:pStyle w:val="58"/>
                    <w:bidi w:val="0"/>
                    <w:spacing w:line="240" w:lineRule="auto"/>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w:t>
                  </w:r>
                </w:p>
              </w:tc>
              <w:tc>
                <w:tcPr>
                  <w:tcW w:w="838" w:type="dxa"/>
                  <w:tcBorders>
                    <w:tl2br w:val="nil"/>
                    <w:tr2bl w:val="nil"/>
                  </w:tcBorders>
                  <w:noWrap w:val="0"/>
                  <w:vAlign w:val="center"/>
                </w:tcPr>
                <w:p>
                  <w:pPr>
                    <w:pStyle w:val="58"/>
                    <w:bidi w:val="0"/>
                    <w:spacing w:line="240" w:lineRule="auto"/>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0</w:t>
                  </w:r>
                </w:p>
              </w:tc>
              <w:tc>
                <w:tcPr>
                  <w:tcW w:w="838" w:type="dxa"/>
                  <w:tcBorders>
                    <w:tl2br w:val="nil"/>
                    <w:tr2bl w:val="nil"/>
                  </w:tcBorders>
                  <w:noWrap w:val="0"/>
                  <w:vAlign w:val="center"/>
                </w:tcPr>
                <w:p>
                  <w:pPr>
                    <w:pStyle w:val="58"/>
                    <w:bidi w:val="0"/>
                    <w:spacing w:line="240" w:lineRule="auto"/>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CFK6163B</w:t>
                  </w:r>
                </w:p>
              </w:tc>
              <w:tc>
                <w:tcPr>
                  <w:tcW w:w="851" w:type="dxa"/>
                  <w:tcBorders>
                    <w:tl2br w:val="nil"/>
                    <w:tr2bl w:val="nil"/>
                  </w:tcBorders>
                  <w:noWrap w:val="0"/>
                  <w:vAlign w:val="center"/>
                </w:tcPr>
                <w:p>
                  <w:pPr>
                    <w:pStyle w:val="58"/>
                    <w:bidi w:val="0"/>
                    <w:rPr>
                      <w:rFonts w:hint="eastAsia"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1</w:t>
                  </w:r>
                </w:p>
              </w:tc>
              <w:tc>
                <w:tcPr>
                  <w:tcW w:w="851" w:type="dxa"/>
                  <w:tcBorders>
                    <w:tl2br w:val="nil"/>
                    <w:tr2bl w:val="nil"/>
                  </w:tcBorders>
                  <w:noWrap w:val="0"/>
                  <w:vAlign w:val="center"/>
                </w:tcPr>
                <w:p>
                  <w:pPr>
                    <w:pStyle w:val="58"/>
                    <w:bidi w:val="0"/>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1</w:t>
                  </w:r>
                </w:p>
              </w:tc>
              <w:tc>
                <w:tcPr>
                  <w:tcW w:w="1034" w:type="dxa"/>
                  <w:tcBorders>
                    <w:tl2br w:val="nil"/>
                    <w:tr2bl w:val="nil"/>
                  </w:tcBorders>
                  <w:noWrap w:val="0"/>
                  <w:vAlign w:val="center"/>
                </w:tcPr>
                <w:p>
                  <w:pPr>
                    <w:pStyle w:val="58"/>
                    <w:bidi w:val="0"/>
                    <w:rPr>
                      <w:rFonts w:hint="default" w:ascii="Times New Roman" w:hAnsi="Times New Roman" w:cs="Times New Roman"/>
                      <w:color w:val="auto"/>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tblHeader/>
                <w:jc w:val="center"/>
              </w:trPr>
              <w:tc>
                <w:tcPr>
                  <w:tcW w:w="619" w:type="dxa"/>
                  <w:tcBorders>
                    <w:tl2br w:val="nil"/>
                    <w:tr2bl w:val="nil"/>
                  </w:tcBorders>
                  <w:noWrap w:val="0"/>
                  <w:vAlign w:val="center"/>
                </w:tcPr>
                <w:p>
                  <w:pPr>
                    <w:pStyle w:val="58"/>
                    <w:bidi w:val="0"/>
                    <w:rPr>
                      <w:rFonts w:hint="default" w:ascii="Times New Roman" w:hAnsi="Times New Roman" w:eastAsia="宋体" w:cs="Times New Roman"/>
                      <w:color w:val="auto"/>
                      <w:sz w:val="21"/>
                      <w:highlight w:val="none"/>
                      <w:lang w:val="en-US" w:eastAsia="zh-CN"/>
                    </w:rPr>
                  </w:pPr>
                  <w:r>
                    <w:rPr>
                      <w:rFonts w:hint="eastAsia" w:ascii="Times New Roman" w:hAnsi="Times New Roman" w:cs="Times New Roman"/>
                      <w:color w:val="auto"/>
                      <w:highlight w:val="none"/>
                      <w:lang w:val="en-US" w:eastAsia="zh-CN"/>
                    </w:rPr>
                    <w:t>12</w:t>
                  </w:r>
                </w:p>
              </w:tc>
              <w:tc>
                <w:tcPr>
                  <w:tcW w:w="2431" w:type="dxa"/>
                  <w:tcBorders>
                    <w:tl2br w:val="nil"/>
                    <w:tr2bl w:val="nil"/>
                  </w:tcBorders>
                  <w:noWrap w:val="0"/>
                  <w:vAlign w:val="center"/>
                </w:tcPr>
                <w:p>
                  <w:pPr>
                    <w:pStyle w:val="58"/>
                    <w:bidi w:val="0"/>
                    <w:spacing w:line="240" w:lineRule="auto"/>
                    <w:jc w:val="center"/>
                    <w:rPr>
                      <w:rFonts w:hint="eastAsia"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数控车床</w:t>
                  </w:r>
                </w:p>
              </w:tc>
              <w:tc>
                <w:tcPr>
                  <w:tcW w:w="1493" w:type="dxa"/>
                  <w:tcBorders>
                    <w:tl2br w:val="nil"/>
                    <w:tr2bl w:val="nil"/>
                  </w:tcBorders>
                  <w:noWrap w:val="0"/>
                  <w:vAlign w:val="center"/>
                </w:tcPr>
                <w:p>
                  <w:pPr>
                    <w:pStyle w:val="58"/>
                    <w:bidi w:val="0"/>
                    <w:spacing w:line="240" w:lineRule="auto"/>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 xml:space="preserve">CAK5085ns   </w:t>
                  </w:r>
                </w:p>
              </w:tc>
              <w:tc>
                <w:tcPr>
                  <w:tcW w:w="838" w:type="dxa"/>
                  <w:tcBorders>
                    <w:tl2br w:val="nil"/>
                    <w:tr2bl w:val="nil"/>
                  </w:tcBorders>
                  <w:noWrap w:val="0"/>
                  <w:vAlign w:val="center"/>
                </w:tcPr>
                <w:p>
                  <w:pPr>
                    <w:pStyle w:val="58"/>
                    <w:bidi w:val="0"/>
                    <w:spacing w:line="240" w:lineRule="auto"/>
                    <w:rPr>
                      <w:rFonts w:hint="eastAsia"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1</w:t>
                  </w:r>
                </w:p>
              </w:tc>
              <w:tc>
                <w:tcPr>
                  <w:tcW w:w="838" w:type="dxa"/>
                  <w:tcBorders>
                    <w:tl2br w:val="nil"/>
                    <w:tr2bl w:val="nil"/>
                  </w:tcBorders>
                  <w:noWrap w:val="0"/>
                  <w:vAlign w:val="center"/>
                </w:tcPr>
                <w:p>
                  <w:pPr>
                    <w:pStyle w:val="58"/>
                    <w:bidi w:val="0"/>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w:t>
                  </w:r>
                </w:p>
              </w:tc>
              <w:tc>
                <w:tcPr>
                  <w:tcW w:w="851" w:type="dxa"/>
                  <w:tcBorders>
                    <w:tl2br w:val="nil"/>
                    <w:tr2bl w:val="nil"/>
                  </w:tcBorders>
                  <w:noWrap w:val="0"/>
                  <w:vAlign w:val="center"/>
                </w:tcPr>
                <w:p>
                  <w:pPr>
                    <w:pStyle w:val="58"/>
                    <w:bidi w:val="0"/>
                    <w:rPr>
                      <w:rFonts w:hint="eastAsia"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0</w:t>
                  </w:r>
                </w:p>
              </w:tc>
              <w:tc>
                <w:tcPr>
                  <w:tcW w:w="851" w:type="dxa"/>
                  <w:tcBorders>
                    <w:tl2br w:val="nil"/>
                    <w:tr2bl w:val="nil"/>
                  </w:tcBorders>
                  <w:noWrap w:val="0"/>
                  <w:vAlign w:val="center"/>
                </w:tcPr>
                <w:p>
                  <w:pPr>
                    <w:pStyle w:val="58"/>
                    <w:bidi w:val="0"/>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1</w:t>
                  </w:r>
                </w:p>
              </w:tc>
              <w:tc>
                <w:tcPr>
                  <w:tcW w:w="1034" w:type="dxa"/>
                  <w:tcBorders>
                    <w:tl2br w:val="nil"/>
                    <w:tr2bl w:val="nil"/>
                  </w:tcBorders>
                  <w:noWrap w:val="0"/>
                  <w:vAlign w:val="center"/>
                </w:tcPr>
                <w:p>
                  <w:pPr>
                    <w:pStyle w:val="58"/>
                    <w:bidi w:val="0"/>
                    <w:rPr>
                      <w:rFonts w:hint="eastAsia" w:ascii="Times New Roman" w:hAnsi="Times New Roman" w:cs="Times New Roman"/>
                      <w:color w:val="auto"/>
                      <w:highlight w:val="none"/>
                      <w:lang w:val="en-US" w:eastAsia="zh-CN"/>
                    </w:rPr>
                  </w:pPr>
                  <w:r>
                    <w:rPr>
                      <w:rFonts w:hint="eastAsia" w:ascii="Times New Roman" w:hAnsi="Times New Roman" w:cs="Times New Roman"/>
                      <w:color w:val="auto"/>
                      <w:sz w:val="21"/>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tblHeader/>
                <w:jc w:val="center"/>
              </w:trPr>
              <w:tc>
                <w:tcPr>
                  <w:tcW w:w="619" w:type="dxa"/>
                  <w:tcBorders>
                    <w:tl2br w:val="nil"/>
                    <w:tr2bl w:val="nil"/>
                  </w:tcBorders>
                  <w:noWrap w:val="0"/>
                  <w:vAlign w:val="center"/>
                </w:tcPr>
                <w:p>
                  <w:pPr>
                    <w:pStyle w:val="58"/>
                    <w:bidi w:val="0"/>
                    <w:rPr>
                      <w:rFonts w:hint="default" w:ascii="Times New Roman" w:hAnsi="Times New Roman" w:eastAsia="宋体" w:cs="Times New Roman"/>
                      <w:color w:val="auto"/>
                      <w:sz w:val="21"/>
                      <w:highlight w:val="none"/>
                      <w:lang w:val="en-US" w:eastAsia="zh-CN"/>
                    </w:rPr>
                  </w:pPr>
                  <w:r>
                    <w:rPr>
                      <w:rFonts w:hint="eastAsia" w:ascii="Times New Roman" w:hAnsi="Times New Roman" w:cs="Times New Roman"/>
                      <w:color w:val="auto"/>
                      <w:highlight w:val="none"/>
                      <w:lang w:val="en-US" w:eastAsia="zh-CN"/>
                    </w:rPr>
                    <w:t>13</w:t>
                  </w:r>
                </w:p>
              </w:tc>
              <w:tc>
                <w:tcPr>
                  <w:tcW w:w="2431" w:type="dxa"/>
                  <w:tcBorders>
                    <w:tl2br w:val="nil"/>
                    <w:tr2bl w:val="nil"/>
                  </w:tcBorders>
                  <w:noWrap w:val="0"/>
                  <w:vAlign w:val="center"/>
                </w:tcPr>
                <w:p>
                  <w:pPr>
                    <w:pStyle w:val="58"/>
                    <w:bidi w:val="0"/>
                    <w:spacing w:line="240" w:lineRule="auto"/>
                    <w:jc w:val="center"/>
                    <w:rPr>
                      <w:rFonts w:hint="eastAsia"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摇臂钻床</w:t>
                  </w:r>
                </w:p>
              </w:tc>
              <w:tc>
                <w:tcPr>
                  <w:tcW w:w="1493" w:type="dxa"/>
                  <w:tcBorders>
                    <w:tl2br w:val="nil"/>
                    <w:tr2bl w:val="nil"/>
                  </w:tcBorders>
                  <w:noWrap w:val="0"/>
                  <w:vAlign w:val="center"/>
                </w:tcPr>
                <w:p>
                  <w:pPr>
                    <w:pStyle w:val="58"/>
                    <w:bidi w:val="0"/>
                    <w:spacing w:line="240" w:lineRule="auto"/>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Z3050X16/1</w:t>
                  </w:r>
                </w:p>
              </w:tc>
              <w:tc>
                <w:tcPr>
                  <w:tcW w:w="838" w:type="dxa"/>
                  <w:tcBorders>
                    <w:tl2br w:val="nil"/>
                    <w:tr2bl w:val="nil"/>
                  </w:tcBorders>
                  <w:noWrap w:val="0"/>
                  <w:vAlign w:val="center"/>
                </w:tcPr>
                <w:p>
                  <w:pPr>
                    <w:pStyle w:val="58"/>
                    <w:bidi w:val="0"/>
                    <w:spacing w:line="240" w:lineRule="auto"/>
                    <w:rPr>
                      <w:rFonts w:hint="eastAsia"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1</w:t>
                  </w:r>
                </w:p>
              </w:tc>
              <w:tc>
                <w:tcPr>
                  <w:tcW w:w="838" w:type="dxa"/>
                  <w:tcBorders>
                    <w:tl2br w:val="nil"/>
                    <w:tr2bl w:val="nil"/>
                  </w:tcBorders>
                  <w:noWrap w:val="0"/>
                  <w:vAlign w:val="center"/>
                </w:tcPr>
                <w:p>
                  <w:pPr>
                    <w:pStyle w:val="58"/>
                    <w:bidi w:val="0"/>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w:t>
                  </w:r>
                </w:p>
              </w:tc>
              <w:tc>
                <w:tcPr>
                  <w:tcW w:w="851" w:type="dxa"/>
                  <w:tcBorders>
                    <w:tl2br w:val="nil"/>
                    <w:tr2bl w:val="nil"/>
                  </w:tcBorders>
                  <w:noWrap w:val="0"/>
                  <w:vAlign w:val="center"/>
                </w:tcPr>
                <w:p>
                  <w:pPr>
                    <w:pStyle w:val="58"/>
                    <w:bidi w:val="0"/>
                    <w:rPr>
                      <w:rFonts w:hint="eastAsia"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0</w:t>
                  </w:r>
                </w:p>
              </w:tc>
              <w:tc>
                <w:tcPr>
                  <w:tcW w:w="851" w:type="dxa"/>
                  <w:tcBorders>
                    <w:tl2br w:val="nil"/>
                    <w:tr2bl w:val="nil"/>
                  </w:tcBorders>
                  <w:noWrap w:val="0"/>
                  <w:vAlign w:val="center"/>
                </w:tcPr>
                <w:p>
                  <w:pPr>
                    <w:pStyle w:val="58"/>
                    <w:bidi w:val="0"/>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1</w:t>
                  </w:r>
                </w:p>
              </w:tc>
              <w:tc>
                <w:tcPr>
                  <w:tcW w:w="1034" w:type="dxa"/>
                  <w:tcBorders>
                    <w:tl2br w:val="nil"/>
                    <w:tr2bl w:val="nil"/>
                  </w:tcBorders>
                  <w:noWrap w:val="0"/>
                  <w:vAlign w:val="center"/>
                </w:tcPr>
                <w:p>
                  <w:pPr>
                    <w:pStyle w:val="58"/>
                    <w:bidi w:val="0"/>
                    <w:rPr>
                      <w:rFonts w:hint="eastAsia" w:ascii="Times New Roman" w:hAnsi="Times New Roman" w:cs="Times New Roman"/>
                      <w:color w:val="auto"/>
                      <w:highlight w:val="none"/>
                      <w:lang w:val="en-US" w:eastAsia="zh-CN"/>
                    </w:rPr>
                  </w:pPr>
                  <w:r>
                    <w:rPr>
                      <w:rFonts w:hint="eastAsia" w:ascii="Times New Roman" w:hAnsi="Times New Roman" w:cs="Times New Roman"/>
                      <w:color w:val="auto"/>
                      <w:sz w:val="21"/>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tblHeader/>
                <w:jc w:val="center"/>
              </w:trPr>
              <w:tc>
                <w:tcPr>
                  <w:tcW w:w="619" w:type="dxa"/>
                  <w:tcBorders>
                    <w:tl2br w:val="nil"/>
                    <w:tr2bl w:val="nil"/>
                  </w:tcBorders>
                  <w:noWrap w:val="0"/>
                  <w:vAlign w:val="center"/>
                </w:tcPr>
                <w:p>
                  <w:pPr>
                    <w:pStyle w:val="58"/>
                    <w:bidi w:val="0"/>
                    <w:rPr>
                      <w:rFonts w:hint="eastAsia" w:ascii="Times New Roman" w:hAnsi="Times New Roman" w:eastAsia="宋体" w:cs="Times New Roman"/>
                      <w:color w:val="auto"/>
                      <w:sz w:val="21"/>
                      <w:highlight w:val="none"/>
                      <w:lang w:val="en-US" w:eastAsia="zh-CN"/>
                    </w:rPr>
                  </w:pPr>
                  <w:r>
                    <w:rPr>
                      <w:rFonts w:hint="eastAsia" w:ascii="Times New Roman" w:hAnsi="Times New Roman" w:cs="Times New Roman"/>
                      <w:color w:val="auto"/>
                      <w:highlight w:val="none"/>
                      <w:lang w:val="en-US" w:eastAsia="zh-CN"/>
                    </w:rPr>
                    <w:t>14</w:t>
                  </w:r>
                </w:p>
              </w:tc>
              <w:tc>
                <w:tcPr>
                  <w:tcW w:w="2431" w:type="dxa"/>
                  <w:tcBorders>
                    <w:tl2br w:val="nil"/>
                    <w:tr2bl w:val="nil"/>
                  </w:tcBorders>
                  <w:noWrap w:val="0"/>
                  <w:vAlign w:val="center"/>
                </w:tcPr>
                <w:p>
                  <w:pPr>
                    <w:pStyle w:val="58"/>
                    <w:bidi w:val="0"/>
                    <w:spacing w:line="240" w:lineRule="auto"/>
                    <w:jc w:val="center"/>
                    <w:rPr>
                      <w:rFonts w:hint="eastAsia"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摇臂钻床</w:t>
                  </w:r>
                </w:p>
              </w:tc>
              <w:tc>
                <w:tcPr>
                  <w:tcW w:w="1493" w:type="dxa"/>
                  <w:tcBorders>
                    <w:tl2br w:val="nil"/>
                    <w:tr2bl w:val="nil"/>
                  </w:tcBorders>
                  <w:noWrap w:val="0"/>
                  <w:vAlign w:val="center"/>
                </w:tcPr>
                <w:p>
                  <w:pPr>
                    <w:pStyle w:val="58"/>
                    <w:bidi w:val="0"/>
                    <w:spacing w:line="240" w:lineRule="auto"/>
                    <w:rPr>
                      <w:rFonts w:hint="eastAsia"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w:t>
                  </w:r>
                </w:p>
              </w:tc>
              <w:tc>
                <w:tcPr>
                  <w:tcW w:w="838" w:type="dxa"/>
                  <w:tcBorders>
                    <w:tl2br w:val="nil"/>
                    <w:tr2bl w:val="nil"/>
                  </w:tcBorders>
                  <w:noWrap w:val="0"/>
                  <w:vAlign w:val="center"/>
                </w:tcPr>
                <w:p>
                  <w:pPr>
                    <w:pStyle w:val="58"/>
                    <w:bidi w:val="0"/>
                    <w:spacing w:line="240" w:lineRule="auto"/>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0</w:t>
                  </w:r>
                </w:p>
              </w:tc>
              <w:tc>
                <w:tcPr>
                  <w:tcW w:w="838" w:type="dxa"/>
                  <w:tcBorders>
                    <w:tl2br w:val="nil"/>
                    <w:tr2bl w:val="nil"/>
                  </w:tcBorders>
                  <w:noWrap w:val="0"/>
                  <w:vAlign w:val="center"/>
                </w:tcPr>
                <w:p>
                  <w:pPr>
                    <w:pStyle w:val="58"/>
                    <w:bidi w:val="0"/>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Z3032K</w:t>
                  </w:r>
                </w:p>
              </w:tc>
              <w:tc>
                <w:tcPr>
                  <w:tcW w:w="851" w:type="dxa"/>
                  <w:tcBorders>
                    <w:tl2br w:val="nil"/>
                    <w:tr2bl w:val="nil"/>
                  </w:tcBorders>
                  <w:noWrap w:val="0"/>
                  <w:vAlign w:val="center"/>
                </w:tcPr>
                <w:p>
                  <w:pPr>
                    <w:pStyle w:val="58"/>
                    <w:bidi w:val="0"/>
                    <w:rPr>
                      <w:rFonts w:hint="eastAsia"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1</w:t>
                  </w:r>
                </w:p>
              </w:tc>
              <w:tc>
                <w:tcPr>
                  <w:tcW w:w="851" w:type="dxa"/>
                  <w:tcBorders>
                    <w:tl2br w:val="nil"/>
                    <w:tr2bl w:val="nil"/>
                  </w:tcBorders>
                  <w:noWrap w:val="0"/>
                  <w:vAlign w:val="center"/>
                </w:tcPr>
                <w:p>
                  <w:pPr>
                    <w:pStyle w:val="58"/>
                    <w:bidi w:val="0"/>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1</w:t>
                  </w:r>
                </w:p>
              </w:tc>
              <w:tc>
                <w:tcPr>
                  <w:tcW w:w="1034" w:type="dxa"/>
                  <w:tcBorders>
                    <w:tl2br w:val="nil"/>
                    <w:tr2bl w:val="nil"/>
                  </w:tcBorders>
                  <w:noWrap w:val="0"/>
                  <w:vAlign w:val="center"/>
                </w:tcPr>
                <w:p>
                  <w:pPr>
                    <w:pStyle w:val="58"/>
                    <w:bidi w:val="0"/>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tblHeader/>
                <w:jc w:val="center"/>
              </w:trPr>
              <w:tc>
                <w:tcPr>
                  <w:tcW w:w="619" w:type="dxa"/>
                  <w:tcBorders>
                    <w:tl2br w:val="nil"/>
                    <w:tr2bl w:val="nil"/>
                  </w:tcBorders>
                  <w:noWrap w:val="0"/>
                  <w:vAlign w:val="center"/>
                </w:tcPr>
                <w:p>
                  <w:pPr>
                    <w:pStyle w:val="58"/>
                    <w:bidi w:val="0"/>
                    <w:rPr>
                      <w:rFonts w:hint="default" w:ascii="Times New Roman" w:hAnsi="Times New Roman" w:eastAsia="宋体" w:cs="Times New Roman"/>
                      <w:color w:val="auto"/>
                      <w:sz w:val="21"/>
                      <w:highlight w:val="none"/>
                      <w:lang w:val="en-US" w:eastAsia="zh-CN"/>
                    </w:rPr>
                  </w:pPr>
                  <w:r>
                    <w:rPr>
                      <w:rFonts w:hint="eastAsia" w:ascii="Times New Roman" w:hAnsi="Times New Roman" w:cs="Times New Roman"/>
                      <w:color w:val="auto"/>
                      <w:highlight w:val="none"/>
                      <w:lang w:val="en-US" w:eastAsia="zh-CN"/>
                    </w:rPr>
                    <w:t>15</w:t>
                  </w:r>
                </w:p>
              </w:tc>
              <w:tc>
                <w:tcPr>
                  <w:tcW w:w="2431" w:type="dxa"/>
                  <w:tcBorders>
                    <w:tl2br w:val="nil"/>
                    <w:tr2bl w:val="nil"/>
                  </w:tcBorders>
                  <w:noWrap w:val="0"/>
                  <w:vAlign w:val="center"/>
                </w:tcPr>
                <w:p>
                  <w:pPr>
                    <w:pStyle w:val="58"/>
                    <w:bidi w:val="0"/>
                    <w:spacing w:line="240" w:lineRule="auto"/>
                    <w:jc w:val="center"/>
                    <w:rPr>
                      <w:rFonts w:hint="eastAsia"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卧轴距台平面磨床</w:t>
                  </w:r>
                </w:p>
              </w:tc>
              <w:tc>
                <w:tcPr>
                  <w:tcW w:w="1493" w:type="dxa"/>
                  <w:tcBorders>
                    <w:tl2br w:val="nil"/>
                    <w:tr2bl w:val="nil"/>
                  </w:tcBorders>
                  <w:noWrap w:val="0"/>
                  <w:vAlign w:val="center"/>
                </w:tcPr>
                <w:p>
                  <w:pPr>
                    <w:pStyle w:val="58"/>
                    <w:bidi w:val="0"/>
                    <w:spacing w:line="240" w:lineRule="auto"/>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M7130G</w:t>
                  </w:r>
                </w:p>
              </w:tc>
              <w:tc>
                <w:tcPr>
                  <w:tcW w:w="838" w:type="dxa"/>
                  <w:tcBorders>
                    <w:tl2br w:val="nil"/>
                    <w:tr2bl w:val="nil"/>
                  </w:tcBorders>
                  <w:noWrap w:val="0"/>
                  <w:vAlign w:val="center"/>
                </w:tcPr>
                <w:p>
                  <w:pPr>
                    <w:pStyle w:val="58"/>
                    <w:bidi w:val="0"/>
                    <w:spacing w:line="240" w:lineRule="auto"/>
                    <w:rPr>
                      <w:rFonts w:hint="eastAsia"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1</w:t>
                  </w:r>
                </w:p>
              </w:tc>
              <w:tc>
                <w:tcPr>
                  <w:tcW w:w="838" w:type="dxa"/>
                  <w:tcBorders>
                    <w:tl2br w:val="nil"/>
                    <w:tr2bl w:val="nil"/>
                  </w:tcBorders>
                  <w:noWrap w:val="0"/>
                  <w:vAlign w:val="center"/>
                </w:tcPr>
                <w:p>
                  <w:pPr>
                    <w:pStyle w:val="58"/>
                    <w:bidi w:val="0"/>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w:t>
                  </w:r>
                </w:p>
              </w:tc>
              <w:tc>
                <w:tcPr>
                  <w:tcW w:w="851" w:type="dxa"/>
                  <w:tcBorders>
                    <w:tl2br w:val="nil"/>
                    <w:tr2bl w:val="nil"/>
                  </w:tcBorders>
                  <w:noWrap w:val="0"/>
                  <w:vAlign w:val="center"/>
                </w:tcPr>
                <w:p>
                  <w:pPr>
                    <w:pStyle w:val="58"/>
                    <w:bidi w:val="0"/>
                    <w:rPr>
                      <w:rFonts w:hint="eastAsia"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0</w:t>
                  </w:r>
                </w:p>
              </w:tc>
              <w:tc>
                <w:tcPr>
                  <w:tcW w:w="851" w:type="dxa"/>
                  <w:tcBorders>
                    <w:tl2br w:val="nil"/>
                    <w:tr2bl w:val="nil"/>
                  </w:tcBorders>
                  <w:noWrap w:val="0"/>
                  <w:vAlign w:val="center"/>
                </w:tcPr>
                <w:p>
                  <w:pPr>
                    <w:pStyle w:val="58"/>
                    <w:bidi w:val="0"/>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1</w:t>
                  </w:r>
                </w:p>
              </w:tc>
              <w:tc>
                <w:tcPr>
                  <w:tcW w:w="1034" w:type="dxa"/>
                  <w:tcBorders>
                    <w:tl2br w:val="nil"/>
                    <w:tr2bl w:val="nil"/>
                  </w:tcBorders>
                  <w:noWrap w:val="0"/>
                  <w:vAlign w:val="center"/>
                </w:tcPr>
                <w:p>
                  <w:pPr>
                    <w:pStyle w:val="58"/>
                    <w:bidi w:val="0"/>
                    <w:rPr>
                      <w:rFonts w:hint="eastAsia" w:ascii="Times New Roman" w:hAnsi="Times New Roman" w:cs="Times New Roman"/>
                      <w:color w:val="auto"/>
                      <w:highlight w:val="none"/>
                      <w:lang w:val="en-US" w:eastAsia="zh-CN"/>
                    </w:rPr>
                  </w:pPr>
                  <w:r>
                    <w:rPr>
                      <w:rFonts w:hint="eastAsia" w:ascii="Times New Roman" w:hAnsi="Times New Roman" w:cs="Times New Roman"/>
                      <w:color w:val="auto"/>
                      <w:sz w:val="21"/>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tblHeader/>
                <w:jc w:val="center"/>
              </w:trPr>
              <w:tc>
                <w:tcPr>
                  <w:tcW w:w="619" w:type="dxa"/>
                  <w:tcBorders>
                    <w:tl2br w:val="nil"/>
                    <w:tr2bl w:val="nil"/>
                  </w:tcBorders>
                  <w:noWrap w:val="0"/>
                  <w:vAlign w:val="center"/>
                </w:tcPr>
                <w:p>
                  <w:pPr>
                    <w:pStyle w:val="58"/>
                    <w:bidi w:val="0"/>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16</w:t>
                  </w:r>
                </w:p>
              </w:tc>
              <w:tc>
                <w:tcPr>
                  <w:tcW w:w="2431" w:type="dxa"/>
                  <w:tcBorders>
                    <w:tl2br w:val="nil"/>
                    <w:tr2bl w:val="nil"/>
                  </w:tcBorders>
                  <w:noWrap w:val="0"/>
                  <w:vAlign w:val="center"/>
                </w:tcPr>
                <w:p>
                  <w:pPr>
                    <w:pStyle w:val="58"/>
                    <w:bidi w:val="0"/>
                    <w:spacing w:line="240" w:lineRule="auto"/>
                    <w:jc w:val="center"/>
                    <w:rPr>
                      <w:rFonts w:hint="eastAsia"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线切割机</w:t>
                  </w:r>
                </w:p>
              </w:tc>
              <w:tc>
                <w:tcPr>
                  <w:tcW w:w="1493" w:type="dxa"/>
                  <w:tcBorders>
                    <w:tl2br w:val="nil"/>
                    <w:tr2bl w:val="nil"/>
                  </w:tcBorders>
                  <w:noWrap w:val="0"/>
                  <w:vAlign w:val="center"/>
                </w:tcPr>
                <w:p>
                  <w:pPr>
                    <w:pStyle w:val="58"/>
                    <w:bidi w:val="0"/>
                    <w:spacing w:line="240" w:lineRule="auto"/>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w:t>
                  </w:r>
                </w:p>
              </w:tc>
              <w:tc>
                <w:tcPr>
                  <w:tcW w:w="838" w:type="dxa"/>
                  <w:tcBorders>
                    <w:tl2br w:val="nil"/>
                    <w:tr2bl w:val="nil"/>
                  </w:tcBorders>
                  <w:noWrap w:val="0"/>
                  <w:vAlign w:val="center"/>
                </w:tcPr>
                <w:p>
                  <w:pPr>
                    <w:pStyle w:val="58"/>
                    <w:bidi w:val="0"/>
                    <w:spacing w:line="240" w:lineRule="auto"/>
                    <w:rPr>
                      <w:rFonts w:hint="eastAsia"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1</w:t>
                  </w:r>
                </w:p>
              </w:tc>
              <w:tc>
                <w:tcPr>
                  <w:tcW w:w="838" w:type="dxa"/>
                  <w:tcBorders>
                    <w:tl2br w:val="nil"/>
                    <w:tr2bl w:val="nil"/>
                  </w:tcBorders>
                  <w:noWrap w:val="0"/>
                  <w:vAlign w:val="center"/>
                </w:tcPr>
                <w:p>
                  <w:pPr>
                    <w:pStyle w:val="58"/>
                    <w:bidi w:val="0"/>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w:t>
                  </w:r>
                </w:p>
              </w:tc>
              <w:tc>
                <w:tcPr>
                  <w:tcW w:w="851" w:type="dxa"/>
                  <w:tcBorders>
                    <w:tl2br w:val="nil"/>
                    <w:tr2bl w:val="nil"/>
                  </w:tcBorders>
                  <w:noWrap w:val="0"/>
                  <w:vAlign w:val="center"/>
                </w:tcPr>
                <w:p>
                  <w:pPr>
                    <w:pStyle w:val="58"/>
                    <w:bidi w:val="0"/>
                    <w:rPr>
                      <w:rFonts w:hint="eastAsia"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0</w:t>
                  </w:r>
                </w:p>
              </w:tc>
              <w:tc>
                <w:tcPr>
                  <w:tcW w:w="851" w:type="dxa"/>
                  <w:tcBorders>
                    <w:tl2br w:val="nil"/>
                    <w:tr2bl w:val="nil"/>
                  </w:tcBorders>
                  <w:noWrap w:val="0"/>
                  <w:vAlign w:val="center"/>
                </w:tcPr>
                <w:p>
                  <w:pPr>
                    <w:pStyle w:val="58"/>
                    <w:bidi w:val="0"/>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1</w:t>
                  </w:r>
                </w:p>
              </w:tc>
              <w:tc>
                <w:tcPr>
                  <w:tcW w:w="1034" w:type="dxa"/>
                  <w:tcBorders>
                    <w:tl2br w:val="nil"/>
                    <w:tr2bl w:val="nil"/>
                  </w:tcBorders>
                  <w:noWrap w:val="0"/>
                  <w:vAlign w:val="center"/>
                </w:tcPr>
                <w:p>
                  <w:pPr>
                    <w:pStyle w:val="58"/>
                    <w:bidi w:val="0"/>
                    <w:rPr>
                      <w:rFonts w:hint="eastAsia" w:ascii="Times New Roman" w:hAnsi="Times New Roman" w:cs="Times New Roman"/>
                      <w:color w:val="auto"/>
                      <w:highlight w:val="none"/>
                      <w:lang w:val="en-US" w:eastAsia="zh-CN"/>
                    </w:rPr>
                  </w:pPr>
                  <w:r>
                    <w:rPr>
                      <w:rFonts w:hint="eastAsia" w:ascii="Times New Roman" w:hAnsi="Times New Roman" w:cs="Times New Roman"/>
                      <w:color w:val="auto"/>
                      <w:sz w:val="21"/>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tblHeader/>
                <w:jc w:val="center"/>
              </w:trPr>
              <w:tc>
                <w:tcPr>
                  <w:tcW w:w="619" w:type="dxa"/>
                  <w:tcBorders>
                    <w:tl2br w:val="nil"/>
                    <w:tr2bl w:val="nil"/>
                  </w:tcBorders>
                  <w:noWrap w:val="0"/>
                  <w:vAlign w:val="center"/>
                </w:tcPr>
                <w:p>
                  <w:pPr>
                    <w:pStyle w:val="58"/>
                    <w:bidi w:val="0"/>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17</w:t>
                  </w:r>
                </w:p>
              </w:tc>
              <w:tc>
                <w:tcPr>
                  <w:tcW w:w="2431" w:type="dxa"/>
                  <w:tcBorders>
                    <w:tl2br w:val="nil"/>
                    <w:tr2bl w:val="nil"/>
                  </w:tcBorders>
                  <w:noWrap w:val="0"/>
                  <w:vAlign w:val="center"/>
                </w:tcPr>
                <w:p>
                  <w:pPr>
                    <w:pStyle w:val="58"/>
                    <w:bidi w:val="0"/>
                    <w:spacing w:line="240" w:lineRule="auto"/>
                    <w:jc w:val="center"/>
                    <w:rPr>
                      <w:rFonts w:hint="eastAsia"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氩弧焊</w:t>
                  </w:r>
                </w:p>
              </w:tc>
              <w:tc>
                <w:tcPr>
                  <w:tcW w:w="1493" w:type="dxa"/>
                  <w:tcBorders>
                    <w:tl2br w:val="nil"/>
                    <w:tr2bl w:val="nil"/>
                  </w:tcBorders>
                  <w:noWrap w:val="0"/>
                  <w:vAlign w:val="center"/>
                </w:tcPr>
                <w:p>
                  <w:pPr>
                    <w:pStyle w:val="58"/>
                    <w:bidi w:val="0"/>
                    <w:spacing w:line="240" w:lineRule="auto"/>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WS-400</w:t>
                  </w:r>
                </w:p>
              </w:tc>
              <w:tc>
                <w:tcPr>
                  <w:tcW w:w="838" w:type="dxa"/>
                  <w:tcBorders>
                    <w:tl2br w:val="nil"/>
                    <w:tr2bl w:val="nil"/>
                  </w:tcBorders>
                  <w:noWrap w:val="0"/>
                  <w:vAlign w:val="center"/>
                </w:tcPr>
                <w:p>
                  <w:pPr>
                    <w:pStyle w:val="58"/>
                    <w:bidi w:val="0"/>
                    <w:spacing w:line="240" w:lineRule="auto"/>
                    <w:rPr>
                      <w:rFonts w:hint="eastAsia"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1</w:t>
                  </w:r>
                </w:p>
              </w:tc>
              <w:tc>
                <w:tcPr>
                  <w:tcW w:w="838" w:type="dxa"/>
                  <w:tcBorders>
                    <w:tl2br w:val="nil"/>
                    <w:tr2bl w:val="nil"/>
                  </w:tcBorders>
                  <w:noWrap w:val="0"/>
                  <w:vAlign w:val="center"/>
                </w:tcPr>
                <w:p>
                  <w:pPr>
                    <w:pStyle w:val="58"/>
                    <w:bidi w:val="0"/>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w:t>
                  </w:r>
                </w:p>
              </w:tc>
              <w:tc>
                <w:tcPr>
                  <w:tcW w:w="851" w:type="dxa"/>
                  <w:tcBorders>
                    <w:tl2br w:val="nil"/>
                    <w:tr2bl w:val="nil"/>
                  </w:tcBorders>
                  <w:noWrap w:val="0"/>
                  <w:vAlign w:val="center"/>
                </w:tcPr>
                <w:p>
                  <w:pPr>
                    <w:pStyle w:val="58"/>
                    <w:bidi w:val="0"/>
                    <w:rPr>
                      <w:rFonts w:hint="eastAsia"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0</w:t>
                  </w:r>
                </w:p>
              </w:tc>
              <w:tc>
                <w:tcPr>
                  <w:tcW w:w="851" w:type="dxa"/>
                  <w:tcBorders>
                    <w:tl2br w:val="nil"/>
                    <w:tr2bl w:val="nil"/>
                  </w:tcBorders>
                  <w:noWrap w:val="0"/>
                  <w:vAlign w:val="center"/>
                </w:tcPr>
                <w:p>
                  <w:pPr>
                    <w:pStyle w:val="58"/>
                    <w:bidi w:val="0"/>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1</w:t>
                  </w:r>
                </w:p>
              </w:tc>
              <w:tc>
                <w:tcPr>
                  <w:tcW w:w="1034" w:type="dxa"/>
                  <w:tcBorders>
                    <w:tl2br w:val="nil"/>
                    <w:tr2bl w:val="nil"/>
                  </w:tcBorders>
                  <w:noWrap w:val="0"/>
                  <w:vAlign w:val="center"/>
                </w:tcPr>
                <w:p>
                  <w:pPr>
                    <w:pStyle w:val="58"/>
                    <w:bidi w:val="0"/>
                    <w:rPr>
                      <w:rFonts w:hint="eastAsia"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tblHeader/>
                <w:jc w:val="center"/>
              </w:trPr>
              <w:tc>
                <w:tcPr>
                  <w:tcW w:w="619" w:type="dxa"/>
                  <w:tcBorders>
                    <w:tl2br w:val="nil"/>
                    <w:tr2bl w:val="nil"/>
                  </w:tcBorders>
                  <w:noWrap w:val="0"/>
                  <w:vAlign w:val="center"/>
                </w:tcPr>
                <w:p>
                  <w:pPr>
                    <w:pStyle w:val="58"/>
                    <w:bidi w:val="0"/>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18</w:t>
                  </w:r>
                </w:p>
              </w:tc>
              <w:tc>
                <w:tcPr>
                  <w:tcW w:w="2431" w:type="dxa"/>
                  <w:tcBorders>
                    <w:tl2br w:val="nil"/>
                    <w:tr2bl w:val="nil"/>
                  </w:tcBorders>
                  <w:noWrap w:val="0"/>
                  <w:vAlign w:val="center"/>
                </w:tcPr>
                <w:p>
                  <w:pPr>
                    <w:pStyle w:val="58"/>
                    <w:bidi w:val="0"/>
                    <w:spacing w:line="240" w:lineRule="auto"/>
                    <w:jc w:val="center"/>
                    <w:rPr>
                      <w:rFonts w:hint="eastAsia"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CO</w:t>
                  </w:r>
                  <w:r>
                    <w:rPr>
                      <w:rFonts w:hint="eastAsia" w:ascii="Times New Roman" w:hAnsi="Times New Roman" w:cs="Times New Roman"/>
                      <w:color w:val="auto"/>
                      <w:sz w:val="21"/>
                      <w:highlight w:val="none"/>
                      <w:vertAlign w:val="subscript"/>
                      <w:lang w:val="en-US" w:eastAsia="zh-CN"/>
                    </w:rPr>
                    <w:t>2</w:t>
                  </w:r>
                  <w:r>
                    <w:rPr>
                      <w:rFonts w:hint="eastAsia" w:ascii="Times New Roman" w:hAnsi="Times New Roman" w:cs="Times New Roman"/>
                      <w:color w:val="auto"/>
                      <w:sz w:val="21"/>
                      <w:highlight w:val="none"/>
                      <w:lang w:val="en-US" w:eastAsia="zh-CN"/>
                    </w:rPr>
                    <w:t>保护焊机</w:t>
                  </w:r>
                </w:p>
              </w:tc>
              <w:tc>
                <w:tcPr>
                  <w:tcW w:w="1493" w:type="dxa"/>
                  <w:tcBorders>
                    <w:tl2br w:val="nil"/>
                    <w:tr2bl w:val="nil"/>
                  </w:tcBorders>
                  <w:noWrap w:val="0"/>
                  <w:vAlign w:val="center"/>
                </w:tcPr>
                <w:p>
                  <w:pPr>
                    <w:pStyle w:val="58"/>
                    <w:bidi w:val="0"/>
                    <w:spacing w:line="240" w:lineRule="auto"/>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NBC350</w:t>
                  </w:r>
                </w:p>
              </w:tc>
              <w:tc>
                <w:tcPr>
                  <w:tcW w:w="838" w:type="dxa"/>
                  <w:tcBorders>
                    <w:tl2br w:val="nil"/>
                    <w:tr2bl w:val="nil"/>
                  </w:tcBorders>
                  <w:noWrap w:val="0"/>
                  <w:vAlign w:val="center"/>
                </w:tcPr>
                <w:p>
                  <w:pPr>
                    <w:pStyle w:val="58"/>
                    <w:bidi w:val="0"/>
                    <w:spacing w:line="240" w:lineRule="auto"/>
                    <w:rPr>
                      <w:rFonts w:hint="eastAsia"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1</w:t>
                  </w:r>
                </w:p>
              </w:tc>
              <w:tc>
                <w:tcPr>
                  <w:tcW w:w="838" w:type="dxa"/>
                  <w:tcBorders>
                    <w:tl2br w:val="nil"/>
                    <w:tr2bl w:val="nil"/>
                  </w:tcBorders>
                  <w:noWrap w:val="0"/>
                  <w:vAlign w:val="center"/>
                </w:tcPr>
                <w:p>
                  <w:pPr>
                    <w:pStyle w:val="58"/>
                    <w:bidi w:val="0"/>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w:t>
                  </w:r>
                </w:p>
              </w:tc>
              <w:tc>
                <w:tcPr>
                  <w:tcW w:w="851" w:type="dxa"/>
                  <w:tcBorders>
                    <w:tl2br w:val="nil"/>
                    <w:tr2bl w:val="nil"/>
                  </w:tcBorders>
                  <w:noWrap w:val="0"/>
                  <w:vAlign w:val="center"/>
                </w:tcPr>
                <w:p>
                  <w:pPr>
                    <w:pStyle w:val="58"/>
                    <w:bidi w:val="0"/>
                    <w:rPr>
                      <w:rFonts w:hint="eastAsia"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0</w:t>
                  </w:r>
                </w:p>
              </w:tc>
              <w:tc>
                <w:tcPr>
                  <w:tcW w:w="851" w:type="dxa"/>
                  <w:tcBorders>
                    <w:tl2br w:val="nil"/>
                    <w:tr2bl w:val="nil"/>
                  </w:tcBorders>
                  <w:noWrap w:val="0"/>
                  <w:vAlign w:val="center"/>
                </w:tcPr>
                <w:p>
                  <w:pPr>
                    <w:pStyle w:val="58"/>
                    <w:bidi w:val="0"/>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1</w:t>
                  </w:r>
                </w:p>
              </w:tc>
              <w:tc>
                <w:tcPr>
                  <w:tcW w:w="1034" w:type="dxa"/>
                  <w:tcBorders>
                    <w:tl2br w:val="nil"/>
                    <w:tr2bl w:val="nil"/>
                  </w:tcBorders>
                  <w:noWrap w:val="0"/>
                  <w:vAlign w:val="center"/>
                </w:tcPr>
                <w:p>
                  <w:pPr>
                    <w:pStyle w:val="58"/>
                    <w:bidi w:val="0"/>
                    <w:rPr>
                      <w:rFonts w:hint="eastAsia"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tblHeader/>
                <w:jc w:val="center"/>
              </w:trPr>
              <w:tc>
                <w:tcPr>
                  <w:tcW w:w="619" w:type="dxa"/>
                  <w:tcBorders>
                    <w:tl2br w:val="nil"/>
                    <w:tr2bl w:val="nil"/>
                  </w:tcBorders>
                  <w:noWrap w:val="0"/>
                  <w:vAlign w:val="center"/>
                </w:tcPr>
                <w:p>
                  <w:pPr>
                    <w:pStyle w:val="58"/>
                    <w:bidi w:val="0"/>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19</w:t>
                  </w:r>
                </w:p>
              </w:tc>
              <w:tc>
                <w:tcPr>
                  <w:tcW w:w="2431" w:type="dxa"/>
                  <w:tcBorders>
                    <w:tl2br w:val="nil"/>
                    <w:tr2bl w:val="nil"/>
                  </w:tcBorders>
                  <w:noWrap w:val="0"/>
                  <w:vAlign w:val="center"/>
                </w:tcPr>
                <w:p>
                  <w:pPr>
                    <w:bidi w:val="0"/>
                    <w:spacing w:line="240" w:lineRule="auto"/>
                    <w:jc w:val="center"/>
                    <w:rPr>
                      <w:rFonts w:hint="eastAsia"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CO</w:t>
                  </w:r>
                  <w:r>
                    <w:rPr>
                      <w:rFonts w:hint="eastAsia" w:ascii="Times New Roman" w:hAnsi="Times New Roman" w:cs="Times New Roman"/>
                      <w:color w:val="auto"/>
                      <w:sz w:val="21"/>
                      <w:highlight w:val="none"/>
                      <w:vertAlign w:val="subscript"/>
                      <w:lang w:val="en-US" w:eastAsia="zh-CN"/>
                    </w:rPr>
                    <w:t>2</w:t>
                  </w:r>
                  <w:r>
                    <w:rPr>
                      <w:rFonts w:hint="eastAsia" w:ascii="Times New Roman" w:hAnsi="Times New Roman" w:cs="Times New Roman"/>
                      <w:color w:val="auto"/>
                      <w:sz w:val="21"/>
                      <w:highlight w:val="none"/>
                      <w:lang w:val="en-US" w:eastAsia="zh-CN"/>
                    </w:rPr>
                    <w:t>保护焊机</w:t>
                  </w:r>
                </w:p>
              </w:tc>
              <w:tc>
                <w:tcPr>
                  <w:tcW w:w="1493" w:type="dxa"/>
                  <w:tcBorders>
                    <w:tl2br w:val="nil"/>
                    <w:tr2bl w:val="nil"/>
                  </w:tcBorders>
                  <w:noWrap w:val="0"/>
                  <w:vAlign w:val="center"/>
                </w:tcPr>
                <w:p>
                  <w:pPr>
                    <w:pStyle w:val="58"/>
                    <w:bidi w:val="0"/>
                    <w:spacing w:line="240" w:lineRule="auto"/>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KRII350</w:t>
                  </w:r>
                </w:p>
              </w:tc>
              <w:tc>
                <w:tcPr>
                  <w:tcW w:w="838" w:type="dxa"/>
                  <w:tcBorders>
                    <w:tl2br w:val="nil"/>
                    <w:tr2bl w:val="nil"/>
                  </w:tcBorders>
                  <w:noWrap w:val="0"/>
                  <w:vAlign w:val="center"/>
                </w:tcPr>
                <w:p>
                  <w:pPr>
                    <w:pStyle w:val="58"/>
                    <w:bidi w:val="0"/>
                    <w:spacing w:line="240" w:lineRule="auto"/>
                    <w:rPr>
                      <w:rFonts w:hint="eastAsia"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1</w:t>
                  </w:r>
                </w:p>
              </w:tc>
              <w:tc>
                <w:tcPr>
                  <w:tcW w:w="838" w:type="dxa"/>
                  <w:tcBorders>
                    <w:tl2br w:val="nil"/>
                    <w:tr2bl w:val="nil"/>
                  </w:tcBorders>
                  <w:noWrap w:val="0"/>
                  <w:vAlign w:val="center"/>
                </w:tcPr>
                <w:p>
                  <w:pPr>
                    <w:pStyle w:val="58"/>
                    <w:bidi w:val="0"/>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w:t>
                  </w:r>
                </w:p>
              </w:tc>
              <w:tc>
                <w:tcPr>
                  <w:tcW w:w="851" w:type="dxa"/>
                  <w:tcBorders>
                    <w:tl2br w:val="nil"/>
                    <w:tr2bl w:val="nil"/>
                  </w:tcBorders>
                  <w:noWrap w:val="0"/>
                  <w:vAlign w:val="center"/>
                </w:tcPr>
                <w:p>
                  <w:pPr>
                    <w:pStyle w:val="58"/>
                    <w:bidi w:val="0"/>
                    <w:rPr>
                      <w:rFonts w:hint="eastAsia"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0</w:t>
                  </w:r>
                </w:p>
              </w:tc>
              <w:tc>
                <w:tcPr>
                  <w:tcW w:w="851" w:type="dxa"/>
                  <w:tcBorders>
                    <w:tl2br w:val="nil"/>
                    <w:tr2bl w:val="nil"/>
                  </w:tcBorders>
                  <w:noWrap w:val="0"/>
                  <w:vAlign w:val="center"/>
                </w:tcPr>
                <w:p>
                  <w:pPr>
                    <w:pStyle w:val="58"/>
                    <w:bidi w:val="0"/>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1</w:t>
                  </w:r>
                </w:p>
              </w:tc>
              <w:tc>
                <w:tcPr>
                  <w:tcW w:w="1034" w:type="dxa"/>
                  <w:tcBorders>
                    <w:tl2br w:val="nil"/>
                    <w:tr2bl w:val="nil"/>
                  </w:tcBorders>
                  <w:noWrap w:val="0"/>
                  <w:vAlign w:val="center"/>
                </w:tcPr>
                <w:p>
                  <w:pPr>
                    <w:pStyle w:val="58"/>
                    <w:bidi w:val="0"/>
                    <w:rPr>
                      <w:rFonts w:hint="eastAsia" w:ascii="Times New Roman" w:hAnsi="Times New Roman" w:cs="Times New Roman"/>
                      <w:color w:val="auto"/>
                      <w:highlight w:val="none"/>
                      <w:lang w:val="en-US" w:eastAsia="zh-CN"/>
                    </w:rPr>
                  </w:pPr>
                  <w:r>
                    <w:rPr>
                      <w:rFonts w:hint="eastAsia" w:ascii="Times New Roman" w:hAnsi="Times New Roman" w:cs="Times New Roman"/>
                      <w:color w:val="auto"/>
                      <w:sz w:val="21"/>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tblHeader/>
                <w:jc w:val="center"/>
              </w:trPr>
              <w:tc>
                <w:tcPr>
                  <w:tcW w:w="619" w:type="dxa"/>
                  <w:tcBorders>
                    <w:tl2br w:val="nil"/>
                    <w:tr2bl w:val="nil"/>
                  </w:tcBorders>
                  <w:noWrap w:val="0"/>
                  <w:vAlign w:val="center"/>
                </w:tcPr>
                <w:p>
                  <w:pPr>
                    <w:pStyle w:val="58"/>
                    <w:bidi w:val="0"/>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20</w:t>
                  </w:r>
                </w:p>
              </w:tc>
              <w:tc>
                <w:tcPr>
                  <w:tcW w:w="2431" w:type="dxa"/>
                  <w:tcBorders>
                    <w:tl2br w:val="nil"/>
                    <w:tr2bl w:val="nil"/>
                  </w:tcBorders>
                  <w:noWrap w:val="0"/>
                  <w:vAlign w:val="center"/>
                </w:tcPr>
                <w:p>
                  <w:pPr>
                    <w:bidi w:val="0"/>
                    <w:spacing w:line="240" w:lineRule="auto"/>
                    <w:jc w:val="center"/>
                    <w:rPr>
                      <w:rFonts w:hint="eastAsia"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CO</w:t>
                  </w:r>
                  <w:r>
                    <w:rPr>
                      <w:rFonts w:hint="eastAsia" w:ascii="Times New Roman" w:hAnsi="Times New Roman" w:cs="Times New Roman"/>
                      <w:color w:val="auto"/>
                      <w:sz w:val="21"/>
                      <w:highlight w:val="none"/>
                      <w:vertAlign w:val="subscript"/>
                      <w:lang w:val="en-US" w:eastAsia="zh-CN"/>
                    </w:rPr>
                    <w:t>2</w:t>
                  </w:r>
                  <w:r>
                    <w:rPr>
                      <w:rFonts w:hint="eastAsia" w:ascii="Times New Roman" w:hAnsi="Times New Roman" w:cs="Times New Roman"/>
                      <w:color w:val="auto"/>
                      <w:sz w:val="21"/>
                      <w:highlight w:val="none"/>
                      <w:lang w:val="en-US" w:eastAsia="zh-CN"/>
                    </w:rPr>
                    <w:t>保护焊机</w:t>
                  </w:r>
                </w:p>
              </w:tc>
              <w:tc>
                <w:tcPr>
                  <w:tcW w:w="1493" w:type="dxa"/>
                  <w:tcBorders>
                    <w:tl2br w:val="nil"/>
                    <w:tr2bl w:val="nil"/>
                  </w:tcBorders>
                  <w:noWrap w:val="0"/>
                  <w:vAlign w:val="center"/>
                </w:tcPr>
                <w:p>
                  <w:pPr>
                    <w:pStyle w:val="58"/>
                    <w:bidi w:val="0"/>
                    <w:spacing w:line="240" w:lineRule="auto"/>
                    <w:rPr>
                      <w:rFonts w:hint="eastAsia"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NBC500</w:t>
                  </w:r>
                </w:p>
              </w:tc>
              <w:tc>
                <w:tcPr>
                  <w:tcW w:w="838" w:type="dxa"/>
                  <w:tcBorders>
                    <w:tl2br w:val="nil"/>
                    <w:tr2bl w:val="nil"/>
                  </w:tcBorders>
                  <w:noWrap w:val="0"/>
                  <w:vAlign w:val="center"/>
                </w:tcPr>
                <w:p>
                  <w:pPr>
                    <w:pStyle w:val="58"/>
                    <w:bidi w:val="0"/>
                    <w:spacing w:line="240" w:lineRule="auto"/>
                    <w:rPr>
                      <w:rFonts w:hint="eastAsia"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1</w:t>
                  </w:r>
                </w:p>
              </w:tc>
              <w:tc>
                <w:tcPr>
                  <w:tcW w:w="838" w:type="dxa"/>
                  <w:tcBorders>
                    <w:tl2br w:val="nil"/>
                    <w:tr2bl w:val="nil"/>
                  </w:tcBorders>
                  <w:noWrap w:val="0"/>
                  <w:vAlign w:val="center"/>
                </w:tcPr>
                <w:p>
                  <w:pPr>
                    <w:pStyle w:val="58"/>
                    <w:bidi w:val="0"/>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w:t>
                  </w:r>
                </w:p>
              </w:tc>
              <w:tc>
                <w:tcPr>
                  <w:tcW w:w="851" w:type="dxa"/>
                  <w:tcBorders>
                    <w:tl2br w:val="nil"/>
                    <w:tr2bl w:val="nil"/>
                  </w:tcBorders>
                  <w:noWrap w:val="0"/>
                  <w:vAlign w:val="center"/>
                </w:tcPr>
                <w:p>
                  <w:pPr>
                    <w:pStyle w:val="58"/>
                    <w:bidi w:val="0"/>
                    <w:rPr>
                      <w:rFonts w:hint="eastAsia"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0</w:t>
                  </w:r>
                </w:p>
              </w:tc>
              <w:tc>
                <w:tcPr>
                  <w:tcW w:w="851" w:type="dxa"/>
                  <w:tcBorders>
                    <w:tl2br w:val="nil"/>
                    <w:tr2bl w:val="nil"/>
                  </w:tcBorders>
                  <w:noWrap w:val="0"/>
                  <w:vAlign w:val="center"/>
                </w:tcPr>
                <w:p>
                  <w:pPr>
                    <w:pStyle w:val="58"/>
                    <w:bidi w:val="0"/>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1</w:t>
                  </w:r>
                </w:p>
              </w:tc>
              <w:tc>
                <w:tcPr>
                  <w:tcW w:w="1034" w:type="dxa"/>
                  <w:tcBorders>
                    <w:tl2br w:val="nil"/>
                    <w:tr2bl w:val="nil"/>
                  </w:tcBorders>
                  <w:noWrap w:val="0"/>
                  <w:vAlign w:val="center"/>
                </w:tcPr>
                <w:p>
                  <w:pPr>
                    <w:pStyle w:val="58"/>
                    <w:bidi w:val="0"/>
                    <w:rPr>
                      <w:rFonts w:hint="eastAsia"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tblHeader/>
                <w:jc w:val="center"/>
              </w:trPr>
              <w:tc>
                <w:tcPr>
                  <w:tcW w:w="619" w:type="dxa"/>
                  <w:tcBorders>
                    <w:tl2br w:val="nil"/>
                    <w:tr2bl w:val="nil"/>
                  </w:tcBorders>
                  <w:noWrap w:val="0"/>
                  <w:vAlign w:val="center"/>
                </w:tcPr>
                <w:p>
                  <w:pPr>
                    <w:pStyle w:val="58"/>
                    <w:bidi w:val="0"/>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21</w:t>
                  </w:r>
                </w:p>
              </w:tc>
              <w:tc>
                <w:tcPr>
                  <w:tcW w:w="2431" w:type="dxa"/>
                  <w:tcBorders>
                    <w:tl2br w:val="nil"/>
                    <w:tr2bl w:val="nil"/>
                  </w:tcBorders>
                  <w:noWrap w:val="0"/>
                  <w:vAlign w:val="center"/>
                </w:tcPr>
                <w:p>
                  <w:pPr>
                    <w:bidi w:val="0"/>
                    <w:spacing w:line="240" w:lineRule="auto"/>
                    <w:jc w:val="center"/>
                    <w:rPr>
                      <w:rFonts w:hint="eastAsia"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CO</w:t>
                  </w:r>
                  <w:r>
                    <w:rPr>
                      <w:rFonts w:hint="eastAsia" w:ascii="Times New Roman" w:hAnsi="Times New Roman" w:cs="Times New Roman"/>
                      <w:color w:val="auto"/>
                      <w:sz w:val="21"/>
                      <w:highlight w:val="none"/>
                      <w:vertAlign w:val="subscript"/>
                      <w:lang w:val="en-US" w:eastAsia="zh-CN"/>
                    </w:rPr>
                    <w:t>2</w:t>
                  </w:r>
                  <w:r>
                    <w:rPr>
                      <w:rFonts w:hint="eastAsia" w:ascii="Times New Roman" w:hAnsi="Times New Roman" w:cs="Times New Roman"/>
                      <w:color w:val="auto"/>
                      <w:sz w:val="21"/>
                      <w:highlight w:val="none"/>
                      <w:lang w:val="en-US" w:eastAsia="zh-CN"/>
                    </w:rPr>
                    <w:t>保护焊机</w:t>
                  </w:r>
                </w:p>
              </w:tc>
              <w:tc>
                <w:tcPr>
                  <w:tcW w:w="1493" w:type="dxa"/>
                  <w:tcBorders>
                    <w:tl2br w:val="nil"/>
                    <w:tr2bl w:val="nil"/>
                  </w:tcBorders>
                  <w:noWrap w:val="0"/>
                  <w:vAlign w:val="center"/>
                </w:tcPr>
                <w:p>
                  <w:pPr>
                    <w:pStyle w:val="58"/>
                    <w:bidi w:val="0"/>
                    <w:spacing w:line="240" w:lineRule="auto"/>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w:t>
                  </w:r>
                </w:p>
              </w:tc>
              <w:tc>
                <w:tcPr>
                  <w:tcW w:w="838" w:type="dxa"/>
                  <w:tcBorders>
                    <w:tl2br w:val="nil"/>
                    <w:tr2bl w:val="nil"/>
                  </w:tcBorders>
                  <w:noWrap w:val="0"/>
                  <w:vAlign w:val="center"/>
                </w:tcPr>
                <w:p>
                  <w:pPr>
                    <w:pStyle w:val="58"/>
                    <w:bidi w:val="0"/>
                    <w:spacing w:line="240" w:lineRule="auto"/>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0</w:t>
                  </w:r>
                </w:p>
              </w:tc>
              <w:tc>
                <w:tcPr>
                  <w:tcW w:w="838" w:type="dxa"/>
                  <w:tcBorders>
                    <w:tl2br w:val="nil"/>
                    <w:tr2bl w:val="nil"/>
                  </w:tcBorders>
                  <w:noWrap w:val="0"/>
                  <w:vAlign w:val="center"/>
                </w:tcPr>
                <w:p>
                  <w:pPr>
                    <w:pStyle w:val="58"/>
                    <w:bidi w:val="0"/>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KRII500</w:t>
                  </w:r>
                </w:p>
              </w:tc>
              <w:tc>
                <w:tcPr>
                  <w:tcW w:w="851" w:type="dxa"/>
                  <w:tcBorders>
                    <w:tl2br w:val="nil"/>
                    <w:tr2bl w:val="nil"/>
                  </w:tcBorders>
                  <w:noWrap w:val="0"/>
                  <w:vAlign w:val="center"/>
                </w:tcPr>
                <w:p>
                  <w:pPr>
                    <w:pStyle w:val="58"/>
                    <w:bidi w:val="0"/>
                    <w:rPr>
                      <w:rFonts w:hint="eastAsia"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2</w:t>
                  </w:r>
                </w:p>
              </w:tc>
              <w:tc>
                <w:tcPr>
                  <w:tcW w:w="851" w:type="dxa"/>
                  <w:tcBorders>
                    <w:tl2br w:val="nil"/>
                    <w:tr2bl w:val="nil"/>
                  </w:tcBorders>
                  <w:noWrap w:val="0"/>
                  <w:vAlign w:val="center"/>
                </w:tcPr>
                <w:p>
                  <w:pPr>
                    <w:pStyle w:val="58"/>
                    <w:bidi w:val="0"/>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2</w:t>
                  </w:r>
                </w:p>
              </w:tc>
              <w:tc>
                <w:tcPr>
                  <w:tcW w:w="1034" w:type="dxa"/>
                  <w:tcBorders>
                    <w:tl2br w:val="nil"/>
                    <w:tr2bl w:val="nil"/>
                  </w:tcBorders>
                  <w:noWrap w:val="0"/>
                  <w:vAlign w:val="center"/>
                </w:tcPr>
                <w:p>
                  <w:pPr>
                    <w:pStyle w:val="58"/>
                    <w:bidi w:val="0"/>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tblHeader/>
                <w:jc w:val="center"/>
              </w:trPr>
              <w:tc>
                <w:tcPr>
                  <w:tcW w:w="619" w:type="dxa"/>
                  <w:tcBorders>
                    <w:tl2br w:val="nil"/>
                    <w:tr2bl w:val="nil"/>
                  </w:tcBorders>
                  <w:noWrap w:val="0"/>
                  <w:vAlign w:val="center"/>
                </w:tcPr>
                <w:p>
                  <w:pPr>
                    <w:pStyle w:val="58"/>
                    <w:bidi w:val="0"/>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22</w:t>
                  </w:r>
                </w:p>
              </w:tc>
              <w:tc>
                <w:tcPr>
                  <w:tcW w:w="2431" w:type="dxa"/>
                  <w:tcBorders>
                    <w:tl2br w:val="nil"/>
                    <w:tr2bl w:val="nil"/>
                  </w:tcBorders>
                  <w:noWrap w:val="0"/>
                  <w:vAlign w:val="center"/>
                </w:tcPr>
                <w:p>
                  <w:pPr>
                    <w:bidi w:val="0"/>
                    <w:spacing w:line="240" w:lineRule="auto"/>
                    <w:jc w:val="center"/>
                    <w:rPr>
                      <w:rFonts w:hint="default" w:ascii="Times New Roman" w:hAnsi="Times New Roman" w:cs="Times New Roman"/>
                      <w:color w:val="auto"/>
                      <w:sz w:val="21"/>
                      <w:highlight w:val="none"/>
                      <w:lang w:val="en-US" w:eastAsia="zh-CN"/>
                    </w:rPr>
                  </w:pPr>
                  <w:r>
                    <w:rPr>
                      <w:rFonts w:hint="eastAsia" w:cs="Times New Roman"/>
                      <w:color w:val="auto"/>
                      <w:sz w:val="21"/>
                      <w:highlight w:val="none"/>
                      <w:lang w:val="en-US" w:eastAsia="zh-CN"/>
                    </w:rPr>
                    <w:t>电火花机</w:t>
                  </w:r>
                </w:p>
              </w:tc>
              <w:tc>
                <w:tcPr>
                  <w:tcW w:w="1493" w:type="dxa"/>
                  <w:tcBorders>
                    <w:tl2br w:val="nil"/>
                    <w:tr2bl w:val="nil"/>
                  </w:tcBorders>
                  <w:noWrap w:val="0"/>
                  <w:vAlign w:val="center"/>
                </w:tcPr>
                <w:p>
                  <w:pPr>
                    <w:pStyle w:val="58"/>
                    <w:bidi w:val="0"/>
                    <w:spacing w:line="240" w:lineRule="auto"/>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w:t>
                  </w:r>
                </w:p>
              </w:tc>
              <w:tc>
                <w:tcPr>
                  <w:tcW w:w="838" w:type="dxa"/>
                  <w:tcBorders>
                    <w:tl2br w:val="nil"/>
                    <w:tr2bl w:val="nil"/>
                  </w:tcBorders>
                  <w:noWrap w:val="0"/>
                  <w:vAlign w:val="center"/>
                </w:tcPr>
                <w:p>
                  <w:pPr>
                    <w:pStyle w:val="58"/>
                    <w:bidi w:val="0"/>
                    <w:spacing w:line="240" w:lineRule="auto"/>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0</w:t>
                  </w:r>
                </w:p>
              </w:tc>
              <w:tc>
                <w:tcPr>
                  <w:tcW w:w="838" w:type="dxa"/>
                  <w:tcBorders>
                    <w:tl2br w:val="nil"/>
                    <w:tr2bl w:val="nil"/>
                  </w:tcBorders>
                  <w:noWrap w:val="0"/>
                  <w:vAlign w:val="center"/>
                </w:tcPr>
                <w:p>
                  <w:pPr>
                    <w:pStyle w:val="58"/>
                    <w:bidi w:val="0"/>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EDM450</w:t>
                  </w:r>
                </w:p>
              </w:tc>
              <w:tc>
                <w:tcPr>
                  <w:tcW w:w="851" w:type="dxa"/>
                  <w:tcBorders>
                    <w:tl2br w:val="nil"/>
                    <w:tr2bl w:val="nil"/>
                  </w:tcBorders>
                  <w:noWrap w:val="0"/>
                  <w:vAlign w:val="center"/>
                </w:tcPr>
                <w:p>
                  <w:pPr>
                    <w:pStyle w:val="58"/>
                    <w:bidi w:val="0"/>
                    <w:rPr>
                      <w:rFonts w:hint="eastAsia"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1</w:t>
                  </w:r>
                </w:p>
              </w:tc>
              <w:tc>
                <w:tcPr>
                  <w:tcW w:w="851" w:type="dxa"/>
                  <w:tcBorders>
                    <w:tl2br w:val="nil"/>
                    <w:tr2bl w:val="nil"/>
                  </w:tcBorders>
                  <w:noWrap w:val="0"/>
                  <w:vAlign w:val="center"/>
                </w:tcPr>
                <w:p>
                  <w:pPr>
                    <w:pStyle w:val="58"/>
                    <w:bidi w:val="0"/>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1</w:t>
                  </w:r>
                </w:p>
              </w:tc>
              <w:tc>
                <w:tcPr>
                  <w:tcW w:w="1034" w:type="dxa"/>
                  <w:tcBorders>
                    <w:tl2br w:val="nil"/>
                    <w:tr2bl w:val="nil"/>
                  </w:tcBorders>
                  <w:noWrap w:val="0"/>
                  <w:vAlign w:val="center"/>
                </w:tcPr>
                <w:p>
                  <w:pPr>
                    <w:pStyle w:val="58"/>
                    <w:bidi w:val="0"/>
                    <w:rPr>
                      <w:rFonts w:hint="eastAsia"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tblHeader/>
                <w:jc w:val="center"/>
              </w:trPr>
              <w:tc>
                <w:tcPr>
                  <w:tcW w:w="619" w:type="dxa"/>
                  <w:tcBorders>
                    <w:tl2br w:val="nil"/>
                    <w:tr2bl w:val="nil"/>
                  </w:tcBorders>
                  <w:noWrap w:val="0"/>
                  <w:vAlign w:val="center"/>
                </w:tcPr>
                <w:p>
                  <w:pPr>
                    <w:pStyle w:val="58"/>
                    <w:bidi w:val="0"/>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23</w:t>
                  </w:r>
                </w:p>
              </w:tc>
              <w:tc>
                <w:tcPr>
                  <w:tcW w:w="2431" w:type="dxa"/>
                  <w:tcBorders>
                    <w:tl2br w:val="nil"/>
                    <w:tr2bl w:val="nil"/>
                  </w:tcBorders>
                  <w:noWrap w:val="0"/>
                  <w:vAlign w:val="center"/>
                </w:tcPr>
                <w:p>
                  <w:pPr>
                    <w:bidi w:val="0"/>
                    <w:spacing w:line="240" w:lineRule="auto"/>
                    <w:jc w:val="center"/>
                    <w:rPr>
                      <w:rFonts w:hint="default" w:cs="Times New Roman"/>
                      <w:color w:val="auto"/>
                      <w:sz w:val="21"/>
                      <w:highlight w:val="none"/>
                      <w:lang w:val="en-US" w:eastAsia="zh-CN"/>
                    </w:rPr>
                  </w:pPr>
                  <w:r>
                    <w:rPr>
                      <w:rFonts w:hint="eastAsia" w:cs="Times New Roman"/>
                      <w:color w:val="auto"/>
                      <w:sz w:val="21"/>
                      <w:highlight w:val="none"/>
                      <w:lang w:val="en-US" w:eastAsia="zh-CN"/>
                    </w:rPr>
                    <w:t>卷圆机</w:t>
                  </w:r>
                </w:p>
              </w:tc>
              <w:tc>
                <w:tcPr>
                  <w:tcW w:w="1493" w:type="dxa"/>
                  <w:tcBorders>
                    <w:tl2br w:val="nil"/>
                    <w:tr2bl w:val="nil"/>
                  </w:tcBorders>
                  <w:noWrap w:val="0"/>
                  <w:vAlign w:val="center"/>
                </w:tcPr>
                <w:p>
                  <w:pPr>
                    <w:pStyle w:val="58"/>
                    <w:bidi w:val="0"/>
                    <w:spacing w:line="240" w:lineRule="auto"/>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w:t>
                  </w:r>
                </w:p>
              </w:tc>
              <w:tc>
                <w:tcPr>
                  <w:tcW w:w="838" w:type="dxa"/>
                  <w:tcBorders>
                    <w:tl2br w:val="nil"/>
                    <w:tr2bl w:val="nil"/>
                  </w:tcBorders>
                  <w:noWrap w:val="0"/>
                  <w:vAlign w:val="center"/>
                </w:tcPr>
                <w:p>
                  <w:pPr>
                    <w:pStyle w:val="58"/>
                    <w:bidi w:val="0"/>
                    <w:spacing w:line="240" w:lineRule="auto"/>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0</w:t>
                  </w:r>
                </w:p>
              </w:tc>
              <w:tc>
                <w:tcPr>
                  <w:tcW w:w="838" w:type="dxa"/>
                  <w:tcBorders>
                    <w:tl2br w:val="nil"/>
                    <w:tr2bl w:val="nil"/>
                  </w:tcBorders>
                  <w:noWrap w:val="0"/>
                  <w:vAlign w:val="center"/>
                </w:tcPr>
                <w:p>
                  <w:pPr>
                    <w:pStyle w:val="58"/>
                    <w:bidi w:val="0"/>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w:t>
                  </w:r>
                </w:p>
              </w:tc>
              <w:tc>
                <w:tcPr>
                  <w:tcW w:w="851" w:type="dxa"/>
                  <w:tcBorders>
                    <w:tl2br w:val="nil"/>
                    <w:tr2bl w:val="nil"/>
                  </w:tcBorders>
                  <w:noWrap w:val="0"/>
                  <w:vAlign w:val="center"/>
                </w:tcPr>
                <w:p>
                  <w:pPr>
                    <w:pStyle w:val="58"/>
                    <w:bidi w:val="0"/>
                    <w:rPr>
                      <w:rFonts w:hint="eastAsia"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1</w:t>
                  </w:r>
                </w:p>
              </w:tc>
              <w:tc>
                <w:tcPr>
                  <w:tcW w:w="851" w:type="dxa"/>
                  <w:tcBorders>
                    <w:tl2br w:val="nil"/>
                    <w:tr2bl w:val="nil"/>
                  </w:tcBorders>
                  <w:noWrap w:val="0"/>
                  <w:vAlign w:val="center"/>
                </w:tcPr>
                <w:p>
                  <w:pPr>
                    <w:pStyle w:val="58"/>
                    <w:bidi w:val="0"/>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1</w:t>
                  </w:r>
                </w:p>
              </w:tc>
              <w:tc>
                <w:tcPr>
                  <w:tcW w:w="1034" w:type="dxa"/>
                  <w:tcBorders>
                    <w:tl2br w:val="nil"/>
                    <w:tr2bl w:val="nil"/>
                  </w:tcBorders>
                  <w:noWrap w:val="0"/>
                  <w:vAlign w:val="center"/>
                </w:tcPr>
                <w:p>
                  <w:pPr>
                    <w:pStyle w:val="58"/>
                    <w:bidi w:val="0"/>
                    <w:rPr>
                      <w:rFonts w:hint="eastAsia"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tblHeader/>
                <w:jc w:val="center"/>
              </w:trPr>
              <w:tc>
                <w:tcPr>
                  <w:tcW w:w="619" w:type="dxa"/>
                  <w:tcBorders>
                    <w:tl2br w:val="nil"/>
                    <w:tr2bl w:val="nil"/>
                  </w:tcBorders>
                  <w:noWrap w:val="0"/>
                  <w:vAlign w:val="center"/>
                </w:tcPr>
                <w:p>
                  <w:pPr>
                    <w:pStyle w:val="58"/>
                    <w:bidi w:val="0"/>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24</w:t>
                  </w:r>
                </w:p>
              </w:tc>
              <w:tc>
                <w:tcPr>
                  <w:tcW w:w="2431" w:type="dxa"/>
                  <w:tcBorders>
                    <w:tl2br w:val="nil"/>
                    <w:tr2bl w:val="nil"/>
                  </w:tcBorders>
                  <w:noWrap w:val="0"/>
                  <w:vAlign w:val="center"/>
                </w:tcPr>
                <w:p>
                  <w:pPr>
                    <w:pStyle w:val="58"/>
                    <w:bidi w:val="0"/>
                    <w:spacing w:line="240" w:lineRule="auto"/>
                    <w:jc w:val="center"/>
                    <w:rPr>
                      <w:rFonts w:hint="eastAsia"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移动式焊烟净化器</w:t>
                  </w:r>
                </w:p>
              </w:tc>
              <w:tc>
                <w:tcPr>
                  <w:tcW w:w="1493" w:type="dxa"/>
                  <w:tcBorders>
                    <w:tl2br w:val="nil"/>
                    <w:tr2bl w:val="nil"/>
                  </w:tcBorders>
                  <w:noWrap w:val="0"/>
                  <w:vAlign w:val="center"/>
                </w:tcPr>
                <w:p>
                  <w:pPr>
                    <w:pStyle w:val="58"/>
                    <w:bidi w:val="0"/>
                    <w:spacing w:line="240" w:lineRule="auto"/>
                    <w:rPr>
                      <w:rFonts w:hint="eastAsia"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移动式</w:t>
                  </w:r>
                </w:p>
              </w:tc>
              <w:tc>
                <w:tcPr>
                  <w:tcW w:w="838" w:type="dxa"/>
                  <w:tcBorders>
                    <w:tl2br w:val="nil"/>
                    <w:tr2bl w:val="nil"/>
                  </w:tcBorders>
                  <w:noWrap w:val="0"/>
                  <w:vAlign w:val="center"/>
                </w:tcPr>
                <w:p>
                  <w:pPr>
                    <w:pStyle w:val="58"/>
                    <w:bidi w:val="0"/>
                    <w:spacing w:line="240" w:lineRule="auto"/>
                    <w:rPr>
                      <w:rFonts w:hint="eastAsia"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2</w:t>
                  </w:r>
                </w:p>
              </w:tc>
              <w:tc>
                <w:tcPr>
                  <w:tcW w:w="838" w:type="dxa"/>
                  <w:tcBorders>
                    <w:tl2br w:val="nil"/>
                    <w:tr2bl w:val="nil"/>
                  </w:tcBorders>
                  <w:noWrap w:val="0"/>
                  <w:vAlign w:val="center"/>
                </w:tcPr>
                <w:p>
                  <w:pPr>
                    <w:pStyle w:val="58"/>
                    <w:bidi w:val="0"/>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w:t>
                  </w:r>
                </w:p>
              </w:tc>
              <w:tc>
                <w:tcPr>
                  <w:tcW w:w="851" w:type="dxa"/>
                  <w:tcBorders>
                    <w:tl2br w:val="nil"/>
                    <w:tr2bl w:val="nil"/>
                  </w:tcBorders>
                  <w:noWrap w:val="0"/>
                  <w:vAlign w:val="center"/>
                </w:tcPr>
                <w:p>
                  <w:pPr>
                    <w:pStyle w:val="58"/>
                    <w:bidi w:val="0"/>
                    <w:rPr>
                      <w:rFonts w:hint="eastAsia"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 xml:space="preserve">0     </w:t>
                  </w:r>
                </w:p>
              </w:tc>
              <w:tc>
                <w:tcPr>
                  <w:tcW w:w="851" w:type="dxa"/>
                  <w:tcBorders>
                    <w:tl2br w:val="nil"/>
                    <w:tr2bl w:val="nil"/>
                  </w:tcBorders>
                  <w:noWrap w:val="0"/>
                  <w:vAlign w:val="center"/>
                </w:tcPr>
                <w:p>
                  <w:pPr>
                    <w:pStyle w:val="58"/>
                    <w:bidi w:val="0"/>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2</w:t>
                  </w:r>
                </w:p>
              </w:tc>
              <w:tc>
                <w:tcPr>
                  <w:tcW w:w="1034" w:type="dxa"/>
                  <w:tcBorders>
                    <w:tl2br w:val="nil"/>
                    <w:tr2bl w:val="nil"/>
                  </w:tcBorders>
                  <w:noWrap w:val="0"/>
                  <w:vAlign w:val="center"/>
                </w:tcPr>
                <w:p>
                  <w:pPr>
                    <w:pStyle w:val="58"/>
                    <w:bidi w:val="0"/>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tblHeader/>
                <w:jc w:val="center"/>
              </w:trPr>
              <w:tc>
                <w:tcPr>
                  <w:tcW w:w="619" w:type="dxa"/>
                  <w:tcBorders>
                    <w:tl2br w:val="nil"/>
                    <w:tr2bl w:val="nil"/>
                  </w:tcBorders>
                  <w:noWrap w:val="0"/>
                  <w:vAlign w:val="center"/>
                </w:tcPr>
                <w:p>
                  <w:pPr>
                    <w:pStyle w:val="58"/>
                    <w:bidi w:val="0"/>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25</w:t>
                  </w:r>
                </w:p>
              </w:tc>
              <w:tc>
                <w:tcPr>
                  <w:tcW w:w="2431" w:type="dxa"/>
                  <w:tcBorders>
                    <w:tl2br w:val="nil"/>
                    <w:tr2bl w:val="nil"/>
                  </w:tcBorders>
                  <w:noWrap w:val="0"/>
                  <w:vAlign w:val="center"/>
                </w:tcPr>
                <w:p>
                  <w:pPr>
                    <w:pStyle w:val="58"/>
                    <w:bidi w:val="0"/>
                    <w:spacing w:line="240" w:lineRule="auto"/>
                    <w:jc w:val="center"/>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有机废气治理设施</w:t>
                  </w:r>
                </w:p>
              </w:tc>
              <w:tc>
                <w:tcPr>
                  <w:tcW w:w="1493" w:type="dxa"/>
                  <w:tcBorders>
                    <w:tl2br w:val="nil"/>
                    <w:tr2bl w:val="nil"/>
                  </w:tcBorders>
                  <w:noWrap w:val="0"/>
                  <w:vAlign w:val="center"/>
                </w:tcPr>
                <w:p>
                  <w:pPr>
                    <w:pStyle w:val="58"/>
                    <w:bidi w:val="0"/>
                    <w:spacing w:line="240" w:lineRule="auto"/>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二级活性炭+干式过滤箱</w:t>
                  </w:r>
                </w:p>
              </w:tc>
              <w:tc>
                <w:tcPr>
                  <w:tcW w:w="838" w:type="dxa"/>
                  <w:tcBorders>
                    <w:tl2br w:val="nil"/>
                    <w:tr2bl w:val="nil"/>
                  </w:tcBorders>
                  <w:noWrap w:val="0"/>
                  <w:vAlign w:val="center"/>
                </w:tcPr>
                <w:p>
                  <w:pPr>
                    <w:pStyle w:val="58"/>
                    <w:bidi w:val="0"/>
                    <w:spacing w:line="240" w:lineRule="auto"/>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0</w:t>
                  </w:r>
                </w:p>
              </w:tc>
              <w:tc>
                <w:tcPr>
                  <w:tcW w:w="838" w:type="dxa"/>
                  <w:tcBorders>
                    <w:tl2br w:val="nil"/>
                    <w:tr2bl w:val="nil"/>
                  </w:tcBorders>
                  <w:noWrap w:val="0"/>
                  <w:vAlign w:val="center"/>
                </w:tcPr>
                <w:p>
                  <w:pPr>
                    <w:pStyle w:val="58"/>
                    <w:bidi w:val="0"/>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w:t>
                  </w:r>
                </w:p>
              </w:tc>
              <w:tc>
                <w:tcPr>
                  <w:tcW w:w="851" w:type="dxa"/>
                  <w:tcBorders>
                    <w:tl2br w:val="nil"/>
                    <w:tr2bl w:val="nil"/>
                  </w:tcBorders>
                  <w:noWrap w:val="0"/>
                  <w:vAlign w:val="center"/>
                </w:tcPr>
                <w:p>
                  <w:pPr>
                    <w:pStyle w:val="58"/>
                    <w:bidi w:val="0"/>
                    <w:rPr>
                      <w:rFonts w:hint="eastAsia"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1套</w:t>
                  </w:r>
                </w:p>
              </w:tc>
              <w:tc>
                <w:tcPr>
                  <w:tcW w:w="851" w:type="dxa"/>
                  <w:tcBorders>
                    <w:tl2br w:val="nil"/>
                    <w:tr2bl w:val="nil"/>
                  </w:tcBorders>
                  <w:noWrap w:val="0"/>
                  <w:vAlign w:val="center"/>
                </w:tcPr>
                <w:p>
                  <w:pPr>
                    <w:pStyle w:val="58"/>
                    <w:bidi w:val="0"/>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1</w:t>
                  </w:r>
                </w:p>
              </w:tc>
              <w:tc>
                <w:tcPr>
                  <w:tcW w:w="1034" w:type="dxa"/>
                  <w:tcBorders>
                    <w:tl2br w:val="nil"/>
                    <w:tr2bl w:val="nil"/>
                  </w:tcBorders>
                  <w:noWrap w:val="0"/>
                  <w:vAlign w:val="center"/>
                </w:tcPr>
                <w:p>
                  <w:pPr>
                    <w:pStyle w:val="58"/>
                    <w:bidi w:val="0"/>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tblHeader/>
                <w:jc w:val="center"/>
              </w:trPr>
              <w:tc>
                <w:tcPr>
                  <w:tcW w:w="619" w:type="dxa"/>
                  <w:tcBorders>
                    <w:tl2br w:val="nil"/>
                    <w:tr2bl w:val="nil"/>
                  </w:tcBorders>
                  <w:noWrap w:val="0"/>
                  <w:vAlign w:val="center"/>
                </w:tcPr>
                <w:p>
                  <w:pPr>
                    <w:pStyle w:val="58"/>
                    <w:bidi w:val="0"/>
                    <w:rPr>
                      <w:rFonts w:hint="default" w:ascii="Times New Roman" w:hAnsi="Times New Roman" w:eastAsia="宋体" w:cs="Times New Roman"/>
                      <w:color w:val="auto"/>
                      <w:sz w:val="21"/>
                      <w:highlight w:val="none"/>
                      <w:lang w:val="en-US" w:eastAsia="zh-CN"/>
                    </w:rPr>
                  </w:pPr>
                  <w:r>
                    <w:rPr>
                      <w:rFonts w:hint="eastAsia" w:ascii="Times New Roman" w:hAnsi="Times New Roman" w:cs="Times New Roman"/>
                      <w:color w:val="auto"/>
                      <w:highlight w:val="none"/>
                      <w:lang w:val="en-US" w:eastAsia="zh-CN"/>
                    </w:rPr>
                    <w:t>26</w:t>
                  </w:r>
                </w:p>
              </w:tc>
              <w:tc>
                <w:tcPr>
                  <w:tcW w:w="2431" w:type="dxa"/>
                  <w:tcBorders>
                    <w:tl2br w:val="nil"/>
                    <w:tr2bl w:val="nil"/>
                  </w:tcBorders>
                  <w:noWrap w:val="0"/>
                  <w:vAlign w:val="center"/>
                </w:tcPr>
                <w:p>
                  <w:pPr>
                    <w:pStyle w:val="58"/>
                    <w:bidi w:val="0"/>
                    <w:spacing w:line="240" w:lineRule="auto"/>
                    <w:jc w:val="center"/>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喷漆设备</w:t>
                  </w:r>
                </w:p>
              </w:tc>
              <w:tc>
                <w:tcPr>
                  <w:tcW w:w="1493" w:type="dxa"/>
                  <w:tcBorders>
                    <w:tl2br w:val="nil"/>
                    <w:tr2bl w:val="nil"/>
                  </w:tcBorders>
                  <w:noWrap w:val="0"/>
                  <w:vAlign w:val="center"/>
                </w:tcPr>
                <w:p>
                  <w:pPr>
                    <w:pStyle w:val="58"/>
                    <w:bidi w:val="0"/>
                    <w:spacing w:line="240" w:lineRule="auto"/>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喷枪</w:t>
                  </w:r>
                </w:p>
              </w:tc>
              <w:tc>
                <w:tcPr>
                  <w:tcW w:w="838" w:type="dxa"/>
                  <w:tcBorders>
                    <w:tl2br w:val="nil"/>
                    <w:tr2bl w:val="nil"/>
                  </w:tcBorders>
                  <w:noWrap w:val="0"/>
                  <w:vAlign w:val="center"/>
                </w:tcPr>
                <w:p>
                  <w:pPr>
                    <w:pStyle w:val="58"/>
                    <w:bidi w:val="0"/>
                    <w:spacing w:line="240" w:lineRule="auto"/>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0</w:t>
                  </w:r>
                </w:p>
              </w:tc>
              <w:tc>
                <w:tcPr>
                  <w:tcW w:w="838" w:type="dxa"/>
                  <w:tcBorders>
                    <w:tl2br w:val="nil"/>
                    <w:tr2bl w:val="nil"/>
                  </w:tcBorders>
                  <w:noWrap w:val="0"/>
                  <w:vAlign w:val="center"/>
                </w:tcPr>
                <w:p>
                  <w:pPr>
                    <w:pStyle w:val="58"/>
                    <w:bidi w:val="0"/>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w:t>
                  </w:r>
                </w:p>
              </w:tc>
              <w:tc>
                <w:tcPr>
                  <w:tcW w:w="851" w:type="dxa"/>
                  <w:tcBorders>
                    <w:tl2br w:val="nil"/>
                    <w:tr2bl w:val="nil"/>
                  </w:tcBorders>
                  <w:noWrap w:val="0"/>
                  <w:vAlign w:val="center"/>
                </w:tcPr>
                <w:p>
                  <w:pPr>
                    <w:pStyle w:val="58"/>
                    <w:bidi w:val="0"/>
                    <w:rPr>
                      <w:rFonts w:hint="eastAsia"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1</w:t>
                  </w:r>
                </w:p>
              </w:tc>
              <w:tc>
                <w:tcPr>
                  <w:tcW w:w="851" w:type="dxa"/>
                  <w:tcBorders>
                    <w:tl2br w:val="nil"/>
                    <w:tr2bl w:val="nil"/>
                  </w:tcBorders>
                  <w:noWrap w:val="0"/>
                  <w:vAlign w:val="center"/>
                </w:tcPr>
                <w:p>
                  <w:pPr>
                    <w:pStyle w:val="58"/>
                    <w:bidi w:val="0"/>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1</w:t>
                  </w:r>
                </w:p>
              </w:tc>
              <w:tc>
                <w:tcPr>
                  <w:tcW w:w="1034" w:type="dxa"/>
                  <w:tcBorders>
                    <w:tl2br w:val="nil"/>
                    <w:tr2bl w:val="nil"/>
                  </w:tcBorders>
                  <w:noWrap w:val="0"/>
                  <w:vAlign w:val="center"/>
                </w:tcPr>
                <w:p>
                  <w:pPr>
                    <w:pStyle w:val="58"/>
                    <w:bidi w:val="0"/>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tblHeader/>
                <w:jc w:val="center"/>
              </w:trPr>
              <w:tc>
                <w:tcPr>
                  <w:tcW w:w="619" w:type="dxa"/>
                  <w:tcBorders>
                    <w:tl2br w:val="nil"/>
                    <w:tr2bl w:val="nil"/>
                  </w:tcBorders>
                  <w:noWrap w:val="0"/>
                  <w:vAlign w:val="center"/>
                </w:tcPr>
                <w:p>
                  <w:pPr>
                    <w:pStyle w:val="58"/>
                    <w:bidi w:val="0"/>
                    <w:rPr>
                      <w:rFonts w:hint="default" w:ascii="Times New Roman" w:hAnsi="Times New Roman" w:eastAsia="宋体" w:cs="Times New Roman"/>
                      <w:color w:val="auto"/>
                      <w:sz w:val="21"/>
                      <w:highlight w:val="none"/>
                      <w:lang w:val="en-US" w:eastAsia="zh-CN"/>
                    </w:rPr>
                  </w:pPr>
                  <w:r>
                    <w:rPr>
                      <w:rFonts w:hint="eastAsia" w:ascii="Times New Roman" w:hAnsi="Times New Roman" w:cs="Times New Roman"/>
                      <w:color w:val="auto"/>
                      <w:highlight w:val="none"/>
                      <w:lang w:val="en-US" w:eastAsia="zh-CN"/>
                    </w:rPr>
                    <w:t>27</w:t>
                  </w:r>
                </w:p>
              </w:tc>
              <w:tc>
                <w:tcPr>
                  <w:tcW w:w="2431" w:type="dxa"/>
                  <w:tcBorders>
                    <w:tl2br w:val="nil"/>
                    <w:tr2bl w:val="nil"/>
                  </w:tcBorders>
                  <w:noWrap w:val="0"/>
                  <w:vAlign w:val="center"/>
                </w:tcPr>
                <w:p>
                  <w:pPr>
                    <w:pStyle w:val="58"/>
                    <w:bidi w:val="0"/>
                    <w:spacing w:line="240" w:lineRule="auto"/>
                    <w:jc w:val="center"/>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VOCs在线报警装置</w:t>
                  </w:r>
                </w:p>
              </w:tc>
              <w:tc>
                <w:tcPr>
                  <w:tcW w:w="1493" w:type="dxa"/>
                  <w:tcBorders>
                    <w:tl2br w:val="nil"/>
                    <w:tr2bl w:val="nil"/>
                  </w:tcBorders>
                  <w:noWrap w:val="0"/>
                  <w:vAlign w:val="center"/>
                </w:tcPr>
                <w:p>
                  <w:pPr>
                    <w:pStyle w:val="58"/>
                    <w:bidi w:val="0"/>
                    <w:spacing w:line="240" w:lineRule="auto"/>
                    <w:rPr>
                      <w:rFonts w:hint="eastAsia"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w:t>
                  </w:r>
                </w:p>
              </w:tc>
              <w:tc>
                <w:tcPr>
                  <w:tcW w:w="838" w:type="dxa"/>
                  <w:tcBorders>
                    <w:tl2br w:val="nil"/>
                    <w:tr2bl w:val="nil"/>
                  </w:tcBorders>
                  <w:noWrap w:val="0"/>
                  <w:vAlign w:val="center"/>
                </w:tcPr>
                <w:p>
                  <w:pPr>
                    <w:pStyle w:val="58"/>
                    <w:bidi w:val="0"/>
                    <w:spacing w:line="240" w:lineRule="auto"/>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0</w:t>
                  </w:r>
                </w:p>
              </w:tc>
              <w:tc>
                <w:tcPr>
                  <w:tcW w:w="838" w:type="dxa"/>
                  <w:tcBorders>
                    <w:tl2br w:val="nil"/>
                    <w:tr2bl w:val="nil"/>
                  </w:tcBorders>
                  <w:noWrap w:val="0"/>
                  <w:vAlign w:val="center"/>
                </w:tcPr>
                <w:p>
                  <w:pPr>
                    <w:pStyle w:val="58"/>
                    <w:bidi w:val="0"/>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w:t>
                  </w:r>
                </w:p>
              </w:tc>
              <w:tc>
                <w:tcPr>
                  <w:tcW w:w="851" w:type="dxa"/>
                  <w:tcBorders>
                    <w:tl2br w:val="nil"/>
                    <w:tr2bl w:val="nil"/>
                  </w:tcBorders>
                  <w:noWrap w:val="0"/>
                  <w:vAlign w:val="center"/>
                </w:tcPr>
                <w:p>
                  <w:pPr>
                    <w:pStyle w:val="58"/>
                    <w:bidi w:val="0"/>
                    <w:rPr>
                      <w:rFonts w:hint="eastAsia"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1</w:t>
                  </w:r>
                </w:p>
              </w:tc>
              <w:tc>
                <w:tcPr>
                  <w:tcW w:w="851" w:type="dxa"/>
                  <w:tcBorders>
                    <w:tl2br w:val="nil"/>
                    <w:tr2bl w:val="nil"/>
                  </w:tcBorders>
                  <w:noWrap w:val="0"/>
                  <w:vAlign w:val="center"/>
                </w:tcPr>
                <w:p>
                  <w:pPr>
                    <w:pStyle w:val="58"/>
                    <w:bidi w:val="0"/>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1</w:t>
                  </w:r>
                </w:p>
              </w:tc>
              <w:tc>
                <w:tcPr>
                  <w:tcW w:w="1034" w:type="dxa"/>
                  <w:tcBorders>
                    <w:tl2br w:val="nil"/>
                    <w:tr2bl w:val="nil"/>
                  </w:tcBorders>
                  <w:noWrap w:val="0"/>
                  <w:vAlign w:val="center"/>
                </w:tcPr>
                <w:p>
                  <w:pPr>
                    <w:pStyle w:val="58"/>
                    <w:bidi w:val="0"/>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tblHeader/>
                <w:jc w:val="center"/>
              </w:trPr>
              <w:tc>
                <w:tcPr>
                  <w:tcW w:w="619" w:type="dxa"/>
                  <w:tcBorders>
                    <w:tl2br w:val="nil"/>
                    <w:tr2bl w:val="nil"/>
                  </w:tcBorders>
                  <w:noWrap w:val="0"/>
                  <w:vAlign w:val="center"/>
                </w:tcPr>
                <w:p>
                  <w:pPr>
                    <w:pStyle w:val="58"/>
                    <w:bidi w:val="0"/>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28</w:t>
                  </w:r>
                </w:p>
              </w:tc>
              <w:tc>
                <w:tcPr>
                  <w:tcW w:w="2431" w:type="dxa"/>
                  <w:tcBorders>
                    <w:tl2br w:val="nil"/>
                    <w:tr2bl w:val="nil"/>
                  </w:tcBorders>
                  <w:noWrap w:val="0"/>
                  <w:vAlign w:val="center"/>
                </w:tcPr>
                <w:p>
                  <w:pPr>
                    <w:pStyle w:val="58"/>
                    <w:bidi w:val="0"/>
                    <w:spacing w:line="240" w:lineRule="auto"/>
                    <w:jc w:val="center"/>
                    <w:rPr>
                      <w:rFonts w:hint="eastAsia"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VOCs厂界监测器</w:t>
                  </w:r>
                </w:p>
              </w:tc>
              <w:tc>
                <w:tcPr>
                  <w:tcW w:w="1493" w:type="dxa"/>
                  <w:tcBorders>
                    <w:tl2br w:val="nil"/>
                    <w:tr2bl w:val="nil"/>
                  </w:tcBorders>
                  <w:noWrap w:val="0"/>
                  <w:vAlign w:val="center"/>
                </w:tcPr>
                <w:p>
                  <w:pPr>
                    <w:pStyle w:val="58"/>
                    <w:bidi w:val="0"/>
                    <w:spacing w:line="240" w:lineRule="auto"/>
                    <w:rPr>
                      <w:rFonts w:hint="eastAsia"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w:t>
                  </w:r>
                </w:p>
              </w:tc>
              <w:tc>
                <w:tcPr>
                  <w:tcW w:w="838" w:type="dxa"/>
                  <w:tcBorders>
                    <w:tl2br w:val="nil"/>
                    <w:tr2bl w:val="nil"/>
                  </w:tcBorders>
                  <w:noWrap w:val="0"/>
                  <w:vAlign w:val="center"/>
                </w:tcPr>
                <w:p>
                  <w:pPr>
                    <w:pStyle w:val="58"/>
                    <w:bidi w:val="0"/>
                    <w:spacing w:line="240" w:lineRule="auto"/>
                    <w:rPr>
                      <w:rFonts w:hint="eastAsia"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0</w:t>
                  </w:r>
                </w:p>
              </w:tc>
              <w:tc>
                <w:tcPr>
                  <w:tcW w:w="838" w:type="dxa"/>
                  <w:tcBorders>
                    <w:tl2br w:val="nil"/>
                    <w:tr2bl w:val="nil"/>
                  </w:tcBorders>
                  <w:noWrap w:val="0"/>
                  <w:vAlign w:val="center"/>
                </w:tcPr>
                <w:p>
                  <w:pPr>
                    <w:pStyle w:val="58"/>
                    <w:bidi w:val="0"/>
                    <w:rPr>
                      <w:rFonts w:hint="default"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w:t>
                  </w:r>
                </w:p>
              </w:tc>
              <w:tc>
                <w:tcPr>
                  <w:tcW w:w="851" w:type="dxa"/>
                  <w:tcBorders>
                    <w:tl2br w:val="nil"/>
                    <w:tr2bl w:val="nil"/>
                  </w:tcBorders>
                  <w:noWrap w:val="0"/>
                  <w:vAlign w:val="center"/>
                </w:tcPr>
                <w:p>
                  <w:pPr>
                    <w:pStyle w:val="58"/>
                    <w:bidi w:val="0"/>
                    <w:rPr>
                      <w:rFonts w:hint="eastAsia"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1</w:t>
                  </w:r>
                </w:p>
              </w:tc>
              <w:tc>
                <w:tcPr>
                  <w:tcW w:w="851" w:type="dxa"/>
                  <w:tcBorders>
                    <w:tl2br w:val="nil"/>
                    <w:tr2bl w:val="nil"/>
                  </w:tcBorders>
                  <w:noWrap w:val="0"/>
                  <w:vAlign w:val="center"/>
                </w:tcPr>
                <w:p>
                  <w:pPr>
                    <w:pStyle w:val="58"/>
                    <w:bidi w:val="0"/>
                    <w:rPr>
                      <w:rFonts w:hint="eastAsia" w:ascii="Times New Roman" w:hAnsi="Times New Roman" w:cs="Times New Roman"/>
                      <w:color w:val="auto"/>
                      <w:sz w:val="21"/>
                      <w:highlight w:val="none"/>
                      <w:lang w:val="en-US" w:eastAsia="zh-CN"/>
                    </w:rPr>
                  </w:pPr>
                  <w:r>
                    <w:rPr>
                      <w:rFonts w:hint="eastAsia" w:ascii="Times New Roman" w:hAnsi="Times New Roman" w:cs="Times New Roman"/>
                      <w:color w:val="auto"/>
                      <w:sz w:val="21"/>
                      <w:highlight w:val="none"/>
                      <w:lang w:val="en-US" w:eastAsia="zh-CN"/>
                    </w:rPr>
                    <w:t>1</w:t>
                  </w:r>
                </w:p>
              </w:tc>
              <w:tc>
                <w:tcPr>
                  <w:tcW w:w="1034" w:type="dxa"/>
                  <w:tcBorders>
                    <w:tl2br w:val="nil"/>
                    <w:tr2bl w:val="nil"/>
                  </w:tcBorders>
                  <w:noWrap w:val="0"/>
                  <w:vAlign w:val="center"/>
                </w:tcPr>
                <w:p>
                  <w:pPr>
                    <w:pStyle w:val="58"/>
                    <w:bidi w:val="0"/>
                    <w:rPr>
                      <w:rFonts w:hint="eastAsia"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+1</w:t>
                  </w:r>
                </w:p>
              </w:tc>
            </w:tr>
          </w:tbl>
          <w:p>
            <w:pPr>
              <w:pStyle w:val="50"/>
              <w:numPr>
                <w:ilvl w:val="0"/>
                <w:numId w:val="0"/>
              </w:numPr>
              <w:bidi w:val="0"/>
              <w:ind w:leftChars="0"/>
              <w:rPr>
                <w:rFonts w:hint="eastAsia" w:ascii="Times New Roman" w:hAnsi="Times New Roman" w:cs="Times New Roman"/>
                <w:b/>
                <w:bCs/>
                <w:color w:val="auto"/>
                <w:kern w:val="2"/>
                <w:sz w:val="24"/>
                <w:szCs w:val="24"/>
                <w:highlight w:val="none"/>
                <w:lang w:val="en-US" w:eastAsia="zh-CN" w:bidi="ar-SA"/>
              </w:rPr>
            </w:pPr>
            <w:r>
              <w:rPr>
                <w:rFonts w:hint="eastAsia" w:ascii="Times New Roman" w:hAnsi="Times New Roman" w:cs="Times New Roman"/>
                <w:b/>
                <w:bCs/>
                <w:color w:val="auto"/>
                <w:kern w:val="2"/>
                <w:sz w:val="24"/>
                <w:szCs w:val="24"/>
                <w:highlight w:val="none"/>
                <w:lang w:val="en-US" w:eastAsia="zh-CN" w:bidi="ar-SA"/>
              </w:rPr>
              <w:t>3.5原辅材料情况</w:t>
            </w:r>
          </w:p>
          <w:p>
            <w:pPr>
              <w:ind w:firstLine="480" w:firstLineChars="200"/>
              <w:rPr>
                <w:rFonts w:hint="default" w:ascii="Times New Roman" w:hAnsi="Times New Roman" w:eastAsia="宋体" w:cs="Times New Roman"/>
                <w:b/>
                <w:color w:val="auto"/>
                <w:kern w:val="21"/>
                <w:sz w:val="24"/>
                <w:szCs w:val="20"/>
                <w:highlight w:val="none"/>
                <w:lang w:val="en-US" w:eastAsia="zh-CN" w:bidi="ar-SA"/>
              </w:rPr>
            </w:pPr>
            <w:r>
              <w:rPr>
                <w:rFonts w:hint="eastAsia" w:cs="Times New Roman"/>
                <w:color w:val="auto"/>
                <w:highlight w:val="none"/>
                <w:lang w:val="en-US" w:eastAsia="zh-CN"/>
              </w:rPr>
              <w:t>本次技改项目原辅材料用量及技改后全厂原辅料用量详见下表。</w:t>
            </w:r>
          </w:p>
          <w:p>
            <w:pPr>
              <w:pStyle w:val="51"/>
              <w:bidi w:val="0"/>
              <w:rPr>
                <w:rFonts w:hint="default" w:ascii="Times New Roman" w:hAnsi="Times New Roman" w:eastAsia="宋体" w:cs="Times New Roman"/>
                <w:b/>
                <w:color w:val="auto"/>
                <w:kern w:val="21"/>
                <w:sz w:val="24"/>
                <w:szCs w:val="20"/>
                <w:highlight w:val="none"/>
                <w:lang w:val="en-US" w:eastAsia="zh-CN" w:bidi="ar-SA"/>
              </w:rPr>
            </w:pPr>
            <w:r>
              <w:rPr>
                <w:rFonts w:hint="default" w:ascii="Times New Roman" w:hAnsi="Times New Roman" w:eastAsia="宋体" w:cs="Times New Roman"/>
                <w:b/>
                <w:color w:val="auto"/>
                <w:kern w:val="21"/>
                <w:sz w:val="24"/>
                <w:szCs w:val="20"/>
                <w:highlight w:val="none"/>
                <w:lang w:val="en-US" w:eastAsia="zh-CN" w:bidi="ar-SA"/>
              </w:rPr>
              <w:t>表</w:t>
            </w:r>
            <w:r>
              <w:rPr>
                <w:rFonts w:hint="eastAsia" w:ascii="Times New Roman" w:hAnsi="Times New Roman" w:eastAsia="宋体" w:cs="Times New Roman"/>
                <w:b/>
                <w:color w:val="auto"/>
                <w:kern w:val="21"/>
                <w:sz w:val="24"/>
                <w:szCs w:val="20"/>
                <w:highlight w:val="none"/>
                <w:lang w:val="en-US" w:eastAsia="zh-CN" w:bidi="ar-SA"/>
              </w:rPr>
              <w:t>2-</w:t>
            </w:r>
            <w:r>
              <w:rPr>
                <w:rFonts w:hint="eastAsia" w:cs="Times New Roman"/>
                <w:b/>
                <w:color w:val="auto"/>
                <w:kern w:val="21"/>
                <w:sz w:val="24"/>
                <w:szCs w:val="20"/>
                <w:highlight w:val="none"/>
                <w:lang w:val="en-US" w:eastAsia="zh-CN" w:bidi="ar-SA"/>
              </w:rPr>
              <w:t>8</w:t>
            </w:r>
            <w:r>
              <w:rPr>
                <w:rFonts w:hint="default" w:ascii="Times New Roman" w:hAnsi="Times New Roman" w:eastAsia="宋体" w:cs="Times New Roman"/>
                <w:b/>
                <w:color w:val="auto"/>
                <w:kern w:val="21"/>
                <w:sz w:val="24"/>
                <w:szCs w:val="20"/>
                <w:highlight w:val="none"/>
                <w:lang w:val="en-US" w:eastAsia="zh-CN" w:bidi="ar-SA"/>
              </w:rPr>
              <w:t xml:space="preserve">  主要原辅材料消耗一览表</w:t>
            </w:r>
          </w:p>
          <w:tbl>
            <w:tblPr>
              <w:tblStyle w:val="32"/>
              <w:tblW w:w="4977"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426"/>
              <w:gridCol w:w="646"/>
              <w:gridCol w:w="762"/>
              <w:gridCol w:w="952"/>
              <w:gridCol w:w="1064"/>
              <w:gridCol w:w="744"/>
              <w:gridCol w:w="918"/>
              <w:gridCol w:w="948"/>
              <w:gridCol w:w="903"/>
              <w:gridCol w:w="1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2" w:hRule="atLeast"/>
                <w:jc w:val="center"/>
              </w:trPr>
              <w:tc>
                <w:tcPr>
                  <w:tcW w:w="238" w:type="pct"/>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sz w:val="21"/>
                      <w:szCs w:val="21"/>
                      <w:highlight w:val="none"/>
                      <w:lang w:eastAsia="zh-CN"/>
                    </w:rPr>
                  </w:pPr>
                  <w:r>
                    <w:rPr>
                      <w:rFonts w:hint="default" w:ascii="Times New Roman" w:hAnsi="Times New Roman" w:cs="Times New Roman" w:eastAsiaTheme="minorEastAsia"/>
                      <w:color w:val="auto"/>
                      <w:sz w:val="21"/>
                      <w:szCs w:val="21"/>
                      <w:highlight w:val="none"/>
                      <w:lang w:eastAsia="zh-CN"/>
                    </w:rPr>
                    <w:t>序号</w:t>
                  </w:r>
                </w:p>
              </w:tc>
              <w:tc>
                <w:tcPr>
                  <w:tcW w:w="362" w:type="pct"/>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sz w:val="21"/>
                      <w:szCs w:val="21"/>
                      <w:highlight w:val="none"/>
                    </w:rPr>
                    <w:t>名称</w:t>
                  </w:r>
                </w:p>
              </w:tc>
              <w:tc>
                <w:tcPr>
                  <w:tcW w:w="427" w:type="pct"/>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sz w:val="21"/>
                      <w:szCs w:val="21"/>
                      <w:highlight w:val="none"/>
                    </w:rPr>
                    <w:t>单位</w:t>
                  </w:r>
                </w:p>
              </w:tc>
              <w:tc>
                <w:tcPr>
                  <w:tcW w:w="533" w:type="pct"/>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现有环评批复用量</w:t>
                  </w:r>
                </w:p>
              </w:tc>
              <w:tc>
                <w:tcPr>
                  <w:tcW w:w="596" w:type="pct"/>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现有工程满负荷生产使用量</w:t>
                  </w:r>
                </w:p>
              </w:tc>
              <w:tc>
                <w:tcPr>
                  <w:tcW w:w="417" w:type="pct"/>
                  <w:tcBorders>
                    <w:tl2br w:val="nil"/>
                    <w:tr2bl w:val="nil"/>
                  </w:tcBorders>
                  <w:noWrap w:val="0"/>
                  <w:vAlign w:val="center"/>
                </w:tcPr>
                <w:p>
                  <w:pPr>
                    <w:pStyle w:val="81"/>
                    <w:bidi w:val="0"/>
                    <w:spacing w:line="240" w:lineRule="auto"/>
                    <w:rPr>
                      <w:rFonts w:hint="eastAsia"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本次</w:t>
                  </w:r>
                  <w:r>
                    <w:rPr>
                      <w:rFonts w:hint="eastAsia" w:ascii="Times New Roman" w:hAnsi="Times New Roman" w:cs="Times New Roman"/>
                      <w:color w:val="auto"/>
                      <w:highlight w:val="none"/>
                      <w:lang w:val="en-US" w:eastAsia="zh-CN"/>
                    </w:rPr>
                    <w:t>技改</w:t>
                  </w:r>
                  <w:r>
                    <w:rPr>
                      <w:rFonts w:hint="eastAsia" w:ascii="Times New Roman" w:hAnsi="Times New Roman" w:cs="Times New Roman" w:eastAsiaTheme="minorEastAsia"/>
                      <w:color w:val="auto"/>
                      <w:sz w:val="21"/>
                      <w:szCs w:val="21"/>
                      <w:highlight w:val="none"/>
                      <w:lang w:val="en-US" w:eastAsia="zh-CN"/>
                    </w:rPr>
                    <w:t>用量</w:t>
                  </w:r>
                </w:p>
              </w:tc>
              <w:tc>
                <w:tcPr>
                  <w:tcW w:w="514" w:type="pct"/>
                  <w:tcBorders>
                    <w:tl2br w:val="nil"/>
                    <w:tr2bl w:val="nil"/>
                  </w:tcBorders>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本次技改增加量</w:t>
                  </w:r>
                </w:p>
              </w:tc>
              <w:tc>
                <w:tcPr>
                  <w:tcW w:w="531" w:type="pct"/>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color w:val="auto"/>
                      <w:highlight w:val="none"/>
                      <w:lang w:val="en-US" w:eastAsia="zh-CN"/>
                    </w:rPr>
                    <w:t>技改</w:t>
                  </w:r>
                  <w:r>
                    <w:rPr>
                      <w:rFonts w:hint="eastAsia" w:ascii="Times New Roman" w:hAnsi="Times New Roman" w:cs="Times New Roman" w:eastAsiaTheme="minorEastAsia"/>
                      <w:color w:val="auto"/>
                      <w:sz w:val="21"/>
                      <w:szCs w:val="21"/>
                      <w:highlight w:val="none"/>
                      <w:lang w:val="en-US" w:eastAsia="zh-CN"/>
                    </w:rPr>
                    <w:t>完成后全厂用量</w:t>
                  </w:r>
                </w:p>
              </w:tc>
              <w:tc>
                <w:tcPr>
                  <w:tcW w:w="506" w:type="pct"/>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贮存位置</w:t>
                  </w:r>
                </w:p>
              </w:tc>
              <w:tc>
                <w:tcPr>
                  <w:tcW w:w="869" w:type="pct"/>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备注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238" w:type="pct"/>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color w:val="auto"/>
                      <w:sz w:val="21"/>
                      <w:szCs w:val="21"/>
                      <w:highlight w:val="none"/>
                      <w:lang w:val="en-US" w:eastAsia="zh-CN"/>
                    </w:rPr>
                    <w:t>1</w:t>
                  </w:r>
                </w:p>
              </w:tc>
              <w:tc>
                <w:tcPr>
                  <w:tcW w:w="362"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钢板</w:t>
                  </w:r>
                </w:p>
              </w:tc>
              <w:tc>
                <w:tcPr>
                  <w:tcW w:w="427"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吨/年</w:t>
                  </w:r>
                </w:p>
              </w:tc>
              <w:tc>
                <w:tcPr>
                  <w:tcW w:w="533"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165</w:t>
                  </w:r>
                </w:p>
              </w:tc>
              <w:tc>
                <w:tcPr>
                  <w:tcW w:w="596"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1</w:t>
                  </w:r>
                  <w:r>
                    <w:rPr>
                      <w:rFonts w:hint="eastAsia" w:cs="Times New Roman"/>
                      <w:color w:val="auto"/>
                      <w:sz w:val="21"/>
                      <w:szCs w:val="21"/>
                      <w:highlight w:val="none"/>
                      <w:lang w:val="en-US" w:eastAsia="zh-CN"/>
                    </w:rPr>
                    <w:t>35</w:t>
                  </w:r>
                </w:p>
              </w:tc>
              <w:tc>
                <w:tcPr>
                  <w:tcW w:w="417"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color w:val="auto"/>
                      <w:sz w:val="21"/>
                      <w:szCs w:val="21"/>
                      <w:highlight w:val="none"/>
                      <w:lang w:val="en-US" w:eastAsia="zh-CN"/>
                    </w:rPr>
                    <w:t>43</w:t>
                  </w:r>
                </w:p>
              </w:tc>
              <w:tc>
                <w:tcPr>
                  <w:tcW w:w="514"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w:t>
                  </w:r>
                  <w:r>
                    <w:rPr>
                      <w:rFonts w:hint="eastAsia" w:cs="Times New Roman"/>
                      <w:color w:val="auto"/>
                      <w:sz w:val="21"/>
                      <w:szCs w:val="21"/>
                      <w:highlight w:val="none"/>
                      <w:lang w:val="en-US" w:eastAsia="zh-CN"/>
                    </w:rPr>
                    <w:t>13</w:t>
                  </w:r>
                </w:p>
              </w:tc>
              <w:tc>
                <w:tcPr>
                  <w:tcW w:w="531"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178</w:t>
                  </w:r>
                </w:p>
              </w:tc>
              <w:tc>
                <w:tcPr>
                  <w:tcW w:w="506" w:type="pct"/>
                  <w:tcBorders>
                    <w:tl2br w:val="nil"/>
                    <w:tr2bl w:val="nil"/>
                  </w:tcBorders>
                  <w:noWrap w:val="0"/>
                  <w:vAlign w:val="center"/>
                </w:tcPr>
                <w:p>
                  <w:pPr>
                    <w:bidi w:val="0"/>
                    <w:spacing w:line="240" w:lineRule="auto"/>
                    <w:jc w:val="center"/>
                    <w:rPr>
                      <w:rFonts w:hint="eastAsia"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库房</w:t>
                  </w:r>
                </w:p>
                <w:p>
                  <w:pPr>
                    <w:bidi w:val="0"/>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车间</w:t>
                  </w:r>
                </w:p>
              </w:tc>
              <w:tc>
                <w:tcPr>
                  <w:tcW w:w="869" w:type="pct"/>
                  <w:tcBorders>
                    <w:tl2br w:val="nil"/>
                    <w:tr2bl w:val="nil"/>
                  </w:tcBorders>
                  <w:noWrap w:val="0"/>
                  <w:vAlign w:val="center"/>
                </w:tcPr>
                <w:p>
                  <w:pPr>
                    <w:pStyle w:val="81"/>
                    <w:bidi w:val="0"/>
                    <w:spacing w:line="240" w:lineRule="auto"/>
                    <w:rPr>
                      <w:rFonts w:hint="eastAsia"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厚度4.5-60mm</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5" w:hRule="atLeast"/>
                <w:jc w:val="center"/>
              </w:trPr>
              <w:tc>
                <w:tcPr>
                  <w:tcW w:w="238" w:type="pct"/>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kern w:val="0"/>
                      <w:sz w:val="21"/>
                      <w:szCs w:val="21"/>
                      <w:highlight w:val="none"/>
                      <w:lang w:val="en-US" w:eastAsia="zh-CN" w:bidi="ar-SA"/>
                    </w:rPr>
                  </w:pPr>
                  <w:r>
                    <w:rPr>
                      <w:rFonts w:hint="eastAsia" w:ascii="Times New Roman" w:hAnsi="Times New Roman" w:cs="Times New Roman" w:eastAsiaTheme="minorEastAsia"/>
                      <w:color w:val="auto"/>
                      <w:kern w:val="0"/>
                      <w:sz w:val="21"/>
                      <w:szCs w:val="21"/>
                      <w:highlight w:val="none"/>
                      <w:lang w:val="en-US" w:eastAsia="zh-CN" w:bidi="ar-SA"/>
                    </w:rPr>
                    <w:t>2</w:t>
                  </w:r>
                </w:p>
              </w:tc>
              <w:tc>
                <w:tcPr>
                  <w:tcW w:w="362"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圆钢</w:t>
                  </w:r>
                </w:p>
              </w:tc>
              <w:tc>
                <w:tcPr>
                  <w:tcW w:w="427"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吨/年</w:t>
                  </w:r>
                </w:p>
              </w:tc>
              <w:tc>
                <w:tcPr>
                  <w:tcW w:w="533"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30</w:t>
                  </w:r>
                </w:p>
              </w:tc>
              <w:tc>
                <w:tcPr>
                  <w:tcW w:w="596"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color w:val="auto"/>
                      <w:sz w:val="21"/>
                      <w:szCs w:val="21"/>
                      <w:highlight w:val="none"/>
                      <w:lang w:val="en-US" w:eastAsia="zh-CN"/>
                    </w:rPr>
                    <w:t>25</w:t>
                  </w:r>
                </w:p>
              </w:tc>
              <w:tc>
                <w:tcPr>
                  <w:tcW w:w="417"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color w:val="auto"/>
                      <w:sz w:val="21"/>
                      <w:szCs w:val="21"/>
                      <w:highlight w:val="none"/>
                      <w:lang w:val="en-US" w:eastAsia="zh-CN"/>
                    </w:rPr>
                    <w:t>10</w:t>
                  </w:r>
                </w:p>
              </w:tc>
              <w:tc>
                <w:tcPr>
                  <w:tcW w:w="514"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w:t>
                  </w:r>
                  <w:r>
                    <w:rPr>
                      <w:rFonts w:hint="eastAsia" w:cs="Times New Roman"/>
                      <w:color w:val="auto"/>
                      <w:sz w:val="21"/>
                      <w:szCs w:val="21"/>
                      <w:highlight w:val="none"/>
                      <w:lang w:val="en-US" w:eastAsia="zh-CN"/>
                    </w:rPr>
                    <w:t>5</w:t>
                  </w:r>
                </w:p>
              </w:tc>
              <w:tc>
                <w:tcPr>
                  <w:tcW w:w="531"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35</w:t>
                  </w:r>
                </w:p>
              </w:tc>
              <w:tc>
                <w:tcPr>
                  <w:tcW w:w="506" w:type="pct"/>
                  <w:tcBorders>
                    <w:tl2br w:val="nil"/>
                    <w:tr2bl w:val="nil"/>
                  </w:tcBorders>
                  <w:noWrap w:val="0"/>
                  <w:vAlign w:val="center"/>
                </w:tcPr>
                <w:p>
                  <w:pPr>
                    <w:bidi w:val="0"/>
                    <w:spacing w:line="240" w:lineRule="auto"/>
                    <w:jc w:val="center"/>
                    <w:rPr>
                      <w:rFonts w:hint="eastAsia"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库房</w:t>
                  </w:r>
                </w:p>
                <w:p>
                  <w:pPr>
                    <w:bidi w:val="0"/>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车间</w:t>
                  </w:r>
                </w:p>
              </w:tc>
              <w:tc>
                <w:tcPr>
                  <w:tcW w:w="869" w:type="pct"/>
                  <w:tcBorders>
                    <w:tl2br w:val="nil"/>
                    <w:tr2bl w:val="nil"/>
                  </w:tcBorders>
                  <w:noWrap w:val="0"/>
                  <w:vAlign w:val="center"/>
                </w:tcPr>
                <w:p>
                  <w:pPr>
                    <w:pStyle w:val="81"/>
                    <w:bidi w:val="0"/>
                    <w:spacing w:line="240" w:lineRule="auto"/>
                    <w:rPr>
                      <w:rFonts w:hint="eastAsia"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Φ8-300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238" w:type="pct"/>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kern w:val="0"/>
                      <w:sz w:val="21"/>
                      <w:szCs w:val="21"/>
                      <w:highlight w:val="none"/>
                      <w:lang w:val="en-US" w:eastAsia="zh-CN" w:bidi="ar-SA"/>
                    </w:rPr>
                  </w:pPr>
                  <w:r>
                    <w:rPr>
                      <w:rFonts w:hint="default" w:ascii="Times New Roman" w:hAnsi="Times New Roman" w:cs="Times New Roman" w:eastAsiaTheme="minorEastAsia"/>
                      <w:color w:val="auto"/>
                      <w:sz w:val="21"/>
                      <w:szCs w:val="21"/>
                      <w:highlight w:val="none"/>
                      <w:lang w:val="en-US" w:eastAsia="zh-CN"/>
                    </w:rPr>
                    <w:t>3</w:t>
                  </w:r>
                </w:p>
              </w:tc>
              <w:tc>
                <w:tcPr>
                  <w:tcW w:w="362"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焊管</w:t>
                  </w:r>
                </w:p>
              </w:tc>
              <w:tc>
                <w:tcPr>
                  <w:tcW w:w="427"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吨/年</w:t>
                  </w:r>
                </w:p>
              </w:tc>
              <w:tc>
                <w:tcPr>
                  <w:tcW w:w="533"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60</w:t>
                  </w:r>
                </w:p>
              </w:tc>
              <w:tc>
                <w:tcPr>
                  <w:tcW w:w="596"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color w:val="auto"/>
                      <w:sz w:val="21"/>
                      <w:szCs w:val="21"/>
                      <w:highlight w:val="none"/>
                      <w:lang w:val="en-US" w:eastAsia="zh-CN"/>
                    </w:rPr>
                    <w:t>55</w:t>
                  </w:r>
                </w:p>
              </w:tc>
              <w:tc>
                <w:tcPr>
                  <w:tcW w:w="417"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color w:val="auto"/>
                      <w:sz w:val="21"/>
                      <w:szCs w:val="21"/>
                      <w:highlight w:val="none"/>
                      <w:lang w:val="en-US" w:eastAsia="zh-CN"/>
                    </w:rPr>
                    <w:t>10</w:t>
                  </w:r>
                </w:p>
              </w:tc>
              <w:tc>
                <w:tcPr>
                  <w:tcW w:w="514"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w:t>
                  </w:r>
                  <w:r>
                    <w:rPr>
                      <w:rFonts w:hint="eastAsia" w:cs="Times New Roman"/>
                      <w:color w:val="auto"/>
                      <w:sz w:val="21"/>
                      <w:szCs w:val="21"/>
                      <w:highlight w:val="none"/>
                      <w:lang w:val="en-US" w:eastAsia="zh-CN"/>
                    </w:rPr>
                    <w:t>5</w:t>
                  </w:r>
                </w:p>
              </w:tc>
              <w:tc>
                <w:tcPr>
                  <w:tcW w:w="531"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65</w:t>
                  </w:r>
                </w:p>
              </w:tc>
              <w:tc>
                <w:tcPr>
                  <w:tcW w:w="506" w:type="pct"/>
                  <w:tcBorders>
                    <w:tl2br w:val="nil"/>
                    <w:tr2bl w:val="nil"/>
                  </w:tcBorders>
                  <w:noWrap w:val="0"/>
                  <w:vAlign w:val="center"/>
                </w:tcPr>
                <w:p>
                  <w:pPr>
                    <w:bidi w:val="0"/>
                    <w:spacing w:line="240" w:lineRule="auto"/>
                    <w:jc w:val="center"/>
                    <w:rPr>
                      <w:rFonts w:hint="eastAsia"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库房</w:t>
                  </w:r>
                </w:p>
                <w:p>
                  <w:pPr>
                    <w:bidi w:val="0"/>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车间</w:t>
                  </w:r>
                </w:p>
              </w:tc>
              <w:tc>
                <w:tcPr>
                  <w:tcW w:w="869" w:type="pct"/>
                  <w:tcBorders>
                    <w:tl2br w:val="nil"/>
                    <w:tr2bl w:val="nil"/>
                  </w:tcBorders>
                  <w:noWrap w:val="0"/>
                  <w:vAlign w:val="center"/>
                </w:tcPr>
                <w:p>
                  <w:pPr>
                    <w:pStyle w:val="81"/>
                    <w:bidi w:val="0"/>
                    <w:spacing w:line="240" w:lineRule="auto"/>
                    <w:rPr>
                      <w:rFonts w:hint="eastAsia"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Φ25、40、89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08" w:hRule="atLeast"/>
                <w:jc w:val="center"/>
              </w:trPr>
              <w:tc>
                <w:tcPr>
                  <w:tcW w:w="238" w:type="pct"/>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kern w:val="0"/>
                      <w:sz w:val="21"/>
                      <w:szCs w:val="21"/>
                      <w:highlight w:val="none"/>
                      <w:lang w:val="en-US" w:eastAsia="zh-CN" w:bidi="ar-SA"/>
                    </w:rPr>
                  </w:pPr>
                  <w:r>
                    <w:rPr>
                      <w:rFonts w:hint="default" w:ascii="Times New Roman" w:hAnsi="Times New Roman" w:cs="Times New Roman" w:eastAsiaTheme="minorEastAsia"/>
                      <w:color w:val="auto"/>
                      <w:sz w:val="21"/>
                      <w:szCs w:val="21"/>
                      <w:highlight w:val="none"/>
                      <w:lang w:val="en-US" w:eastAsia="zh-CN"/>
                    </w:rPr>
                    <w:t>4</w:t>
                  </w:r>
                </w:p>
              </w:tc>
              <w:tc>
                <w:tcPr>
                  <w:tcW w:w="362"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kern w:val="2"/>
                      <w:sz w:val="21"/>
                      <w:szCs w:val="21"/>
                      <w:highlight w:val="none"/>
                      <w:lang w:val="en-US" w:eastAsia="zh-CN" w:bidi="ar-SA"/>
                    </w:rPr>
                  </w:pPr>
                  <w:r>
                    <w:rPr>
                      <w:rFonts w:hint="eastAsia" w:cs="Times New Roman" w:eastAsiaTheme="minorEastAsia"/>
                      <w:color w:val="auto"/>
                      <w:kern w:val="2"/>
                      <w:sz w:val="21"/>
                      <w:szCs w:val="21"/>
                      <w:highlight w:val="none"/>
                      <w:lang w:val="en-US" w:eastAsia="zh-CN" w:bidi="ar-SA"/>
                    </w:rPr>
                    <w:t>方管</w:t>
                  </w:r>
                </w:p>
              </w:tc>
              <w:tc>
                <w:tcPr>
                  <w:tcW w:w="427"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kern w:val="2"/>
                      <w:sz w:val="21"/>
                      <w:szCs w:val="21"/>
                      <w:highlight w:val="none"/>
                      <w:lang w:val="en-US" w:eastAsia="zh-CN" w:bidi="ar-SA"/>
                    </w:rPr>
                  </w:pPr>
                  <w:r>
                    <w:rPr>
                      <w:rFonts w:hint="eastAsia" w:cs="Times New Roman" w:eastAsiaTheme="minorEastAsia"/>
                      <w:color w:val="auto"/>
                      <w:sz w:val="21"/>
                      <w:szCs w:val="21"/>
                      <w:highlight w:val="none"/>
                      <w:lang w:val="en-US" w:eastAsia="zh-CN"/>
                    </w:rPr>
                    <w:t>吨/年</w:t>
                  </w:r>
                </w:p>
              </w:tc>
              <w:tc>
                <w:tcPr>
                  <w:tcW w:w="533"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kern w:val="2"/>
                      <w:sz w:val="21"/>
                      <w:szCs w:val="21"/>
                      <w:highlight w:val="none"/>
                      <w:lang w:val="en-US" w:eastAsia="zh-CN" w:bidi="ar-SA"/>
                    </w:rPr>
                  </w:pPr>
                  <w:r>
                    <w:rPr>
                      <w:rFonts w:hint="eastAsia" w:cs="Times New Roman" w:eastAsiaTheme="minorEastAsia"/>
                      <w:color w:val="auto"/>
                      <w:kern w:val="2"/>
                      <w:sz w:val="21"/>
                      <w:szCs w:val="21"/>
                      <w:highlight w:val="none"/>
                      <w:lang w:val="en-US" w:eastAsia="zh-CN" w:bidi="ar-SA"/>
                    </w:rPr>
                    <w:t>95</w:t>
                  </w:r>
                </w:p>
              </w:tc>
              <w:tc>
                <w:tcPr>
                  <w:tcW w:w="596"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color w:val="auto"/>
                      <w:sz w:val="21"/>
                      <w:szCs w:val="21"/>
                      <w:highlight w:val="none"/>
                      <w:lang w:val="en-US" w:eastAsia="zh-CN"/>
                    </w:rPr>
                    <w:t>88</w:t>
                  </w:r>
                </w:p>
              </w:tc>
              <w:tc>
                <w:tcPr>
                  <w:tcW w:w="417"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color w:val="auto"/>
                      <w:sz w:val="21"/>
                      <w:szCs w:val="21"/>
                      <w:highlight w:val="none"/>
                      <w:lang w:val="en-US" w:eastAsia="zh-CN"/>
                    </w:rPr>
                    <w:t>7</w:t>
                  </w:r>
                </w:p>
              </w:tc>
              <w:tc>
                <w:tcPr>
                  <w:tcW w:w="514" w:type="pct"/>
                  <w:tcBorders>
                    <w:tl2br w:val="nil"/>
                    <w:tr2bl w:val="nil"/>
                  </w:tcBorders>
                  <w:noWrap w:val="0"/>
                  <w:vAlign w:val="center"/>
                </w:tcPr>
                <w:p>
                  <w:pPr>
                    <w:spacing w:line="240" w:lineRule="auto"/>
                    <w:jc w:val="center"/>
                    <w:rPr>
                      <w:rFonts w:hint="default" w:cs="Times New Roman" w:eastAsiaTheme="minorEastAsia"/>
                      <w:color w:val="auto"/>
                      <w:kern w:val="2"/>
                      <w:sz w:val="21"/>
                      <w:szCs w:val="21"/>
                      <w:highlight w:val="none"/>
                      <w:lang w:val="en-US" w:eastAsia="zh-CN" w:bidi="ar-SA"/>
                    </w:rPr>
                  </w:pPr>
                  <w:r>
                    <w:rPr>
                      <w:rFonts w:hint="eastAsia" w:cs="Times New Roman" w:eastAsiaTheme="minorEastAsia"/>
                      <w:color w:val="auto"/>
                      <w:kern w:val="2"/>
                      <w:sz w:val="21"/>
                      <w:szCs w:val="21"/>
                      <w:highlight w:val="none"/>
                      <w:lang w:val="en-US" w:eastAsia="zh-CN" w:bidi="ar-SA"/>
                    </w:rPr>
                    <w:t>0</w:t>
                  </w:r>
                </w:p>
              </w:tc>
              <w:tc>
                <w:tcPr>
                  <w:tcW w:w="531" w:type="pct"/>
                  <w:tcBorders>
                    <w:tl2br w:val="nil"/>
                    <w:tr2bl w:val="nil"/>
                  </w:tcBorders>
                  <w:noWrap w:val="0"/>
                  <w:vAlign w:val="center"/>
                </w:tcPr>
                <w:p>
                  <w:pPr>
                    <w:spacing w:line="240" w:lineRule="auto"/>
                    <w:jc w:val="center"/>
                    <w:rPr>
                      <w:rFonts w:hint="eastAsia"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kern w:val="2"/>
                      <w:sz w:val="21"/>
                      <w:szCs w:val="21"/>
                      <w:highlight w:val="none"/>
                      <w:lang w:val="en-US" w:eastAsia="zh-CN" w:bidi="ar-SA"/>
                    </w:rPr>
                    <w:t>95</w:t>
                  </w:r>
                </w:p>
              </w:tc>
              <w:tc>
                <w:tcPr>
                  <w:tcW w:w="506" w:type="pct"/>
                  <w:tcBorders>
                    <w:tl2br w:val="nil"/>
                    <w:tr2bl w:val="nil"/>
                  </w:tcBorders>
                  <w:noWrap w:val="0"/>
                  <w:vAlign w:val="center"/>
                </w:tcPr>
                <w:p>
                  <w:pPr>
                    <w:bidi w:val="0"/>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库房</w:t>
                  </w:r>
                  <w:r>
                    <w:rPr>
                      <w:rFonts w:hint="eastAsia" w:cs="Times New Roman" w:eastAsiaTheme="minorEastAsia"/>
                      <w:color w:val="auto"/>
                      <w:sz w:val="21"/>
                      <w:szCs w:val="21"/>
                      <w:highlight w:val="none"/>
                      <w:lang w:val="en-US" w:eastAsia="zh-CN"/>
                    </w:rPr>
                    <w:t>车间</w:t>
                  </w:r>
                </w:p>
              </w:tc>
              <w:tc>
                <w:tcPr>
                  <w:tcW w:w="869" w:type="pct"/>
                  <w:tcBorders>
                    <w:tl2br w:val="nil"/>
                    <w:tr2bl w:val="nil"/>
                  </w:tcBorders>
                  <w:noWrap w:val="0"/>
                  <w:vAlign w:val="center"/>
                </w:tcPr>
                <w:p>
                  <w:pPr>
                    <w:pStyle w:val="81"/>
                    <w:bidi w:val="0"/>
                    <w:spacing w:line="240" w:lineRule="auto"/>
                    <w:rPr>
                      <w:rFonts w:hint="eastAsia"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40*40-200*200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238" w:type="pct"/>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kern w:val="0"/>
                      <w:sz w:val="21"/>
                      <w:szCs w:val="21"/>
                      <w:highlight w:val="none"/>
                      <w:lang w:val="en-US" w:eastAsia="zh-CN" w:bidi="ar-SA"/>
                    </w:rPr>
                  </w:pPr>
                  <w:r>
                    <w:rPr>
                      <w:rFonts w:hint="default" w:ascii="Times New Roman" w:hAnsi="Times New Roman" w:cs="Times New Roman" w:eastAsiaTheme="minorEastAsia"/>
                      <w:color w:val="auto"/>
                      <w:sz w:val="21"/>
                      <w:szCs w:val="21"/>
                      <w:highlight w:val="none"/>
                      <w:lang w:val="en-US" w:eastAsia="zh-CN"/>
                    </w:rPr>
                    <w:t>5</w:t>
                  </w:r>
                </w:p>
              </w:tc>
              <w:tc>
                <w:tcPr>
                  <w:tcW w:w="362"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kern w:val="2"/>
                      <w:sz w:val="21"/>
                      <w:szCs w:val="21"/>
                      <w:highlight w:val="none"/>
                      <w:lang w:val="en-US" w:eastAsia="zh-CN" w:bidi="ar-SA"/>
                    </w:rPr>
                  </w:pPr>
                  <w:r>
                    <w:rPr>
                      <w:rFonts w:hint="eastAsia" w:cs="Times New Roman" w:eastAsiaTheme="minorEastAsia"/>
                      <w:color w:val="auto"/>
                      <w:kern w:val="2"/>
                      <w:sz w:val="21"/>
                      <w:szCs w:val="21"/>
                      <w:highlight w:val="none"/>
                      <w:lang w:val="en-US" w:eastAsia="zh-CN" w:bidi="ar-SA"/>
                    </w:rPr>
                    <w:t>槽钢</w:t>
                  </w:r>
                </w:p>
              </w:tc>
              <w:tc>
                <w:tcPr>
                  <w:tcW w:w="427"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kern w:val="2"/>
                      <w:sz w:val="21"/>
                      <w:szCs w:val="21"/>
                      <w:highlight w:val="none"/>
                      <w:lang w:val="en-US" w:eastAsia="zh-CN" w:bidi="ar-SA"/>
                    </w:rPr>
                  </w:pPr>
                  <w:r>
                    <w:rPr>
                      <w:rFonts w:hint="eastAsia" w:cs="Times New Roman" w:eastAsiaTheme="minorEastAsia"/>
                      <w:color w:val="auto"/>
                      <w:sz w:val="21"/>
                      <w:szCs w:val="21"/>
                      <w:highlight w:val="none"/>
                      <w:lang w:val="en-US" w:eastAsia="zh-CN"/>
                    </w:rPr>
                    <w:t>吨/年</w:t>
                  </w:r>
                </w:p>
              </w:tc>
              <w:tc>
                <w:tcPr>
                  <w:tcW w:w="533"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kern w:val="2"/>
                      <w:sz w:val="21"/>
                      <w:szCs w:val="21"/>
                      <w:highlight w:val="none"/>
                      <w:lang w:val="en-US" w:eastAsia="zh-CN" w:bidi="ar-SA"/>
                    </w:rPr>
                  </w:pPr>
                  <w:r>
                    <w:rPr>
                      <w:rFonts w:hint="eastAsia" w:cs="Times New Roman" w:eastAsiaTheme="minorEastAsia"/>
                      <w:color w:val="auto"/>
                      <w:kern w:val="2"/>
                      <w:sz w:val="21"/>
                      <w:szCs w:val="21"/>
                      <w:highlight w:val="none"/>
                      <w:lang w:val="en-US" w:eastAsia="zh-CN" w:bidi="ar-SA"/>
                    </w:rPr>
                    <w:t>2</w:t>
                  </w:r>
                </w:p>
              </w:tc>
              <w:tc>
                <w:tcPr>
                  <w:tcW w:w="596"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2</w:t>
                  </w:r>
                </w:p>
              </w:tc>
              <w:tc>
                <w:tcPr>
                  <w:tcW w:w="417"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1</w:t>
                  </w:r>
                </w:p>
              </w:tc>
              <w:tc>
                <w:tcPr>
                  <w:tcW w:w="514"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+1</w:t>
                  </w:r>
                </w:p>
              </w:tc>
              <w:tc>
                <w:tcPr>
                  <w:tcW w:w="531"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3</w:t>
                  </w:r>
                </w:p>
              </w:tc>
              <w:tc>
                <w:tcPr>
                  <w:tcW w:w="506" w:type="pct"/>
                  <w:tcBorders>
                    <w:tl2br w:val="nil"/>
                    <w:tr2bl w:val="nil"/>
                  </w:tcBorders>
                  <w:noWrap w:val="0"/>
                  <w:vAlign w:val="center"/>
                </w:tcPr>
                <w:p>
                  <w:pPr>
                    <w:bidi w:val="0"/>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库房</w:t>
                  </w:r>
                  <w:r>
                    <w:rPr>
                      <w:rFonts w:hint="eastAsia" w:cs="Times New Roman" w:eastAsiaTheme="minorEastAsia"/>
                      <w:color w:val="auto"/>
                      <w:sz w:val="21"/>
                      <w:szCs w:val="21"/>
                      <w:highlight w:val="none"/>
                      <w:lang w:val="en-US" w:eastAsia="zh-CN"/>
                    </w:rPr>
                    <w:t>车间</w:t>
                  </w:r>
                </w:p>
              </w:tc>
              <w:tc>
                <w:tcPr>
                  <w:tcW w:w="869" w:type="pct"/>
                  <w:tcBorders>
                    <w:tl2br w:val="nil"/>
                    <w:tr2bl w:val="nil"/>
                  </w:tcBorders>
                  <w:noWrap w:val="0"/>
                  <w:vAlign w:val="center"/>
                </w:tcPr>
                <w:p>
                  <w:pPr>
                    <w:pStyle w:val="81"/>
                    <w:bidi w:val="0"/>
                    <w:spacing w:line="240" w:lineRule="auto"/>
                    <w:rPr>
                      <w:rFonts w:hint="eastAsia"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5#-16#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238" w:type="pct"/>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kern w:val="0"/>
                      <w:sz w:val="21"/>
                      <w:szCs w:val="21"/>
                      <w:highlight w:val="none"/>
                      <w:lang w:val="en-US" w:eastAsia="zh-CN" w:bidi="ar-SA"/>
                    </w:rPr>
                  </w:pPr>
                  <w:r>
                    <w:rPr>
                      <w:rFonts w:hint="default" w:ascii="Times New Roman" w:hAnsi="Times New Roman" w:cs="Times New Roman" w:eastAsiaTheme="minorEastAsia"/>
                      <w:color w:val="auto"/>
                      <w:sz w:val="21"/>
                      <w:szCs w:val="21"/>
                      <w:highlight w:val="none"/>
                      <w:lang w:val="en-US" w:eastAsia="zh-CN"/>
                    </w:rPr>
                    <w:t>6</w:t>
                  </w:r>
                </w:p>
              </w:tc>
              <w:tc>
                <w:tcPr>
                  <w:tcW w:w="362"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kern w:val="2"/>
                      <w:sz w:val="21"/>
                      <w:szCs w:val="21"/>
                      <w:highlight w:val="none"/>
                      <w:lang w:val="en-US" w:eastAsia="zh-CN" w:bidi="ar-SA"/>
                    </w:rPr>
                  </w:pPr>
                  <w:r>
                    <w:rPr>
                      <w:rFonts w:hint="eastAsia" w:cs="Times New Roman" w:eastAsiaTheme="minorEastAsia"/>
                      <w:color w:val="auto"/>
                      <w:kern w:val="2"/>
                      <w:sz w:val="21"/>
                      <w:szCs w:val="21"/>
                      <w:highlight w:val="none"/>
                      <w:lang w:val="en-US" w:eastAsia="zh-CN" w:bidi="ar-SA"/>
                    </w:rPr>
                    <w:t>角钢</w:t>
                  </w:r>
                </w:p>
              </w:tc>
              <w:tc>
                <w:tcPr>
                  <w:tcW w:w="427"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kern w:val="2"/>
                      <w:sz w:val="21"/>
                      <w:szCs w:val="21"/>
                      <w:highlight w:val="none"/>
                      <w:lang w:val="en-US" w:eastAsia="zh-CN" w:bidi="ar-SA"/>
                    </w:rPr>
                  </w:pPr>
                  <w:r>
                    <w:rPr>
                      <w:rFonts w:hint="eastAsia" w:cs="Times New Roman" w:eastAsiaTheme="minorEastAsia"/>
                      <w:color w:val="auto"/>
                      <w:sz w:val="21"/>
                      <w:szCs w:val="21"/>
                      <w:highlight w:val="none"/>
                      <w:lang w:val="en-US" w:eastAsia="zh-CN"/>
                    </w:rPr>
                    <w:t>吨/年</w:t>
                  </w:r>
                </w:p>
              </w:tc>
              <w:tc>
                <w:tcPr>
                  <w:tcW w:w="533"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kern w:val="2"/>
                      <w:sz w:val="21"/>
                      <w:szCs w:val="21"/>
                      <w:highlight w:val="none"/>
                      <w:lang w:val="en-US" w:eastAsia="zh-CN" w:bidi="ar-SA"/>
                    </w:rPr>
                  </w:pPr>
                  <w:r>
                    <w:rPr>
                      <w:rFonts w:hint="eastAsia" w:cs="Times New Roman" w:eastAsiaTheme="minorEastAsia"/>
                      <w:color w:val="auto"/>
                      <w:kern w:val="2"/>
                      <w:sz w:val="21"/>
                      <w:szCs w:val="21"/>
                      <w:highlight w:val="none"/>
                      <w:lang w:val="en-US" w:eastAsia="zh-CN" w:bidi="ar-SA"/>
                    </w:rPr>
                    <w:t>7</w:t>
                  </w:r>
                </w:p>
              </w:tc>
              <w:tc>
                <w:tcPr>
                  <w:tcW w:w="596"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7</w:t>
                  </w:r>
                </w:p>
              </w:tc>
              <w:tc>
                <w:tcPr>
                  <w:tcW w:w="417"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1</w:t>
                  </w:r>
                </w:p>
              </w:tc>
              <w:tc>
                <w:tcPr>
                  <w:tcW w:w="514"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+1</w:t>
                  </w:r>
                </w:p>
              </w:tc>
              <w:tc>
                <w:tcPr>
                  <w:tcW w:w="531"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8</w:t>
                  </w:r>
                </w:p>
              </w:tc>
              <w:tc>
                <w:tcPr>
                  <w:tcW w:w="506" w:type="pct"/>
                  <w:tcBorders>
                    <w:tl2br w:val="nil"/>
                    <w:tr2bl w:val="nil"/>
                  </w:tcBorders>
                  <w:noWrap w:val="0"/>
                  <w:vAlign w:val="center"/>
                </w:tcPr>
                <w:p>
                  <w:pPr>
                    <w:bidi w:val="0"/>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库房</w:t>
                  </w:r>
                  <w:r>
                    <w:rPr>
                      <w:rFonts w:hint="eastAsia" w:cs="Times New Roman" w:eastAsiaTheme="minorEastAsia"/>
                      <w:color w:val="auto"/>
                      <w:sz w:val="21"/>
                      <w:szCs w:val="21"/>
                      <w:highlight w:val="none"/>
                      <w:lang w:val="en-US" w:eastAsia="zh-CN"/>
                    </w:rPr>
                    <w:t>车间</w:t>
                  </w:r>
                </w:p>
              </w:tc>
              <w:tc>
                <w:tcPr>
                  <w:tcW w:w="869" w:type="pct"/>
                  <w:tcBorders>
                    <w:tl2br w:val="nil"/>
                    <w:tr2bl w:val="nil"/>
                  </w:tcBorders>
                  <w:noWrap w:val="0"/>
                  <w:vAlign w:val="center"/>
                </w:tcPr>
                <w:p>
                  <w:pPr>
                    <w:pStyle w:val="81"/>
                    <w:bidi w:val="0"/>
                    <w:spacing w:line="240" w:lineRule="auto"/>
                    <w:rPr>
                      <w:rFonts w:hint="eastAsia"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2.5#-6.3#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238" w:type="pct"/>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kern w:val="0"/>
                      <w:sz w:val="21"/>
                      <w:szCs w:val="21"/>
                      <w:highlight w:val="none"/>
                      <w:lang w:val="en-US" w:eastAsia="zh-CN" w:bidi="ar-SA"/>
                    </w:rPr>
                  </w:pPr>
                  <w:r>
                    <w:rPr>
                      <w:rFonts w:hint="default" w:ascii="Times New Roman" w:hAnsi="Times New Roman" w:cs="Times New Roman" w:eastAsiaTheme="minorEastAsia"/>
                      <w:color w:val="auto"/>
                      <w:sz w:val="21"/>
                      <w:szCs w:val="21"/>
                      <w:highlight w:val="none"/>
                      <w:lang w:val="en-US" w:eastAsia="zh-CN"/>
                    </w:rPr>
                    <w:t>7</w:t>
                  </w:r>
                </w:p>
              </w:tc>
              <w:tc>
                <w:tcPr>
                  <w:tcW w:w="362"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H型钢</w:t>
                  </w:r>
                </w:p>
              </w:tc>
              <w:tc>
                <w:tcPr>
                  <w:tcW w:w="427" w:type="pct"/>
                  <w:tcBorders>
                    <w:tl2br w:val="nil"/>
                    <w:tr2bl w:val="nil"/>
                  </w:tcBorders>
                  <w:noWrap w:val="0"/>
                  <w:vAlign w:val="center"/>
                </w:tcPr>
                <w:p>
                  <w:pPr>
                    <w:spacing w:line="240" w:lineRule="auto"/>
                    <w:jc w:val="center"/>
                    <w:rPr>
                      <w:rFonts w:hint="eastAsia"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吨/年</w:t>
                  </w:r>
                </w:p>
              </w:tc>
              <w:tc>
                <w:tcPr>
                  <w:tcW w:w="533"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3.2</w:t>
                  </w:r>
                </w:p>
              </w:tc>
              <w:tc>
                <w:tcPr>
                  <w:tcW w:w="596"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3</w:t>
                  </w:r>
                  <w:r>
                    <w:rPr>
                      <w:rFonts w:hint="eastAsia" w:cs="Times New Roman"/>
                      <w:color w:val="auto"/>
                      <w:sz w:val="21"/>
                      <w:szCs w:val="21"/>
                      <w:highlight w:val="none"/>
                      <w:lang w:val="en-US" w:eastAsia="zh-CN"/>
                    </w:rPr>
                    <w:t>.2</w:t>
                  </w:r>
                </w:p>
              </w:tc>
              <w:tc>
                <w:tcPr>
                  <w:tcW w:w="417"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color w:val="auto"/>
                      <w:sz w:val="21"/>
                      <w:szCs w:val="21"/>
                      <w:highlight w:val="none"/>
                      <w:lang w:val="en-US" w:eastAsia="zh-CN"/>
                    </w:rPr>
                    <w:t>0</w:t>
                  </w:r>
                </w:p>
              </w:tc>
              <w:tc>
                <w:tcPr>
                  <w:tcW w:w="514"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0</w:t>
                  </w:r>
                </w:p>
              </w:tc>
              <w:tc>
                <w:tcPr>
                  <w:tcW w:w="531" w:type="pct"/>
                  <w:tcBorders>
                    <w:tl2br w:val="nil"/>
                    <w:tr2bl w:val="nil"/>
                  </w:tcBorders>
                  <w:noWrap w:val="0"/>
                  <w:vAlign w:val="center"/>
                </w:tcPr>
                <w:p>
                  <w:pPr>
                    <w:spacing w:line="240" w:lineRule="auto"/>
                    <w:jc w:val="center"/>
                    <w:rPr>
                      <w:rFonts w:hint="eastAsia"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3.2</w:t>
                  </w:r>
                </w:p>
              </w:tc>
              <w:tc>
                <w:tcPr>
                  <w:tcW w:w="506" w:type="pct"/>
                  <w:tcBorders>
                    <w:tl2br w:val="nil"/>
                    <w:tr2bl w:val="nil"/>
                  </w:tcBorders>
                  <w:noWrap w:val="0"/>
                  <w:vAlign w:val="center"/>
                </w:tcPr>
                <w:p>
                  <w:pPr>
                    <w:bidi w:val="0"/>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库房</w:t>
                  </w:r>
                  <w:r>
                    <w:rPr>
                      <w:rFonts w:hint="eastAsia" w:cs="Times New Roman" w:eastAsiaTheme="minorEastAsia"/>
                      <w:color w:val="auto"/>
                      <w:sz w:val="21"/>
                      <w:szCs w:val="21"/>
                      <w:highlight w:val="none"/>
                      <w:lang w:val="en-US" w:eastAsia="zh-CN"/>
                    </w:rPr>
                    <w:t>车间</w:t>
                  </w:r>
                </w:p>
              </w:tc>
              <w:tc>
                <w:tcPr>
                  <w:tcW w:w="869" w:type="pct"/>
                  <w:tcBorders>
                    <w:tl2br w:val="nil"/>
                    <w:tr2bl w:val="nil"/>
                  </w:tcBorders>
                  <w:noWrap w:val="0"/>
                  <w:vAlign w:val="center"/>
                </w:tcPr>
                <w:p>
                  <w:pPr>
                    <w:pStyle w:val="81"/>
                    <w:bidi w:val="0"/>
                    <w:spacing w:line="240" w:lineRule="auto"/>
                    <w:rPr>
                      <w:rFonts w:hint="eastAsia"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238" w:type="pct"/>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kern w:val="0"/>
                      <w:sz w:val="21"/>
                      <w:szCs w:val="21"/>
                      <w:highlight w:val="none"/>
                      <w:lang w:val="en-US" w:eastAsia="zh-CN" w:bidi="ar-SA"/>
                    </w:rPr>
                  </w:pPr>
                  <w:r>
                    <w:rPr>
                      <w:rFonts w:hint="default" w:ascii="Times New Roman" w:hAnsi="Times New Roman" w:cs="Times New Roman" w:eastAsiaTheme="minorEastAsia"/>
                      <w:color w:val="auto"/>
                      <w:sz w:val="21"/>
                      <w:szCs w:val="21"/>
                      <w:highlight w:val="none"/>
                      <w:lang w:val="en-US" w:eastAsia="zh-CN"/>
                    </w:rPr>
                    <w:t>8</w:t>
                  </w:r>
                </w:p>
              </w:tc>
              <w:tc>
                <w:tcPr>
                  <w:tcW w:w="362"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kern w:val="2"/>
                      <w:sz w:val="21"/>
                      <w:szCs w:val="21"/>
                      <w:highlight w:val="none"/>
                      <w:lang w:val="en-US" w:eastAsia="zh-CN" w:bidi="ar-SA"/>
                    </w:rPr>
                  </w:pPr>
                  <w:r>
                    <w:rPr>
                      <w:rFonts w:hint="eastAsia" w:cs="Times New Roman" w:eastAsiaTheme="minorEastAsia"/>
                      <w:color w:val="auto"/>
                      <w:kern w:val="2"/>
                      <w:sz w:val="21"/>
                      <w:szCs w:val="21"/>
                      <w:highlight w:val="none"/>
                      <w:lang w:val="en-US" w:eastAsia="zh-CN" w:bidi="ar-SA"/>
                    </w:rPr>
                    <w:t>热镀管</w:t>
                  </w:r>
                </w:p>
              </w:tc>
              <w:tc>
                <w:tcPr>
                  <w:tcW w:w="427"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kern w:val="2"/>
                      <w:sz w:val="21"/>
                      <w:szCs w:val="21"/>
                      <w:highlight w:val="none"/>
                      <w:lang w:val="en-US" w:eastAsia="zh-CN" w:bidi="ar-SA"/>
                    </w:rPr>
                  </w:pPr>
                  <w:r>
                    <w:rPr>
                      <w:rFonts w:hint="eastAsia" w:cs="Times New Roman" w:eastAsiaTheme="minorEastAsia"/>
                      <w:color w:val="auto"/>
                      <w:sz w:val="21"/>
                      <w:szCs w:val="21"/>
                      <w:highlight w:val="none"/>
                      <w:lang w:val="en-US" w:eastAsia="zh-CN"/>
                    </w:rPr>
                    <w:t>吨/年</w:t>
                  </w:r>
                </w:p>
              </w:tc>
              <w:tc>
                <w:tcPr>
                  <w:tcW w:w="533"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kern w:val="2"/>
                      <w:sz w:val="21"/>
                      <w:szCs w:val="21"/>
                      <w:highlight w:val="none"/>
                      <w:lang w:val="en-US" w:eastAsia="zh-CN" w:bidi="ar-SA"/>
                    </w:rPr>
                  </w:pPr>
                  <w:r>
                    <w:rPr>
                      <w:rFonts w:hint="eastAsia" w:cs="Times New Roman" w:eastAsiaTheme="minorEastAsia"/>
                      <w:color w:val="auto"/>
                      <w:kern w:val="2"/>
                      <w:sz w:val="21"/>
                      <w:szCs w:val="21"/>
                      <w:highlight w:val="none"/>
                      <w:lang w:val="en-US" w:eastAsia="zh-CN" w:bidi="ar-SA"/>
                    </w:rPr>
                    <w:t>2</w:t>
                  </w:r>
                </w:p>
              </w:tc>
              <w:tc>
                <w:tcPr>
                  <w:tcW w:w="596"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2</w:t>
                  </w:r>
                </w:p>
              </w:tc>
              <w:tc>
                <w:tcPr>
                  <w:tcW w:w="417"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0</w:t>
                  </w:r>
                </w:p>
              </w:tc>
              <w:tc>
                <w:tcPr>
                  <w:tcW w:w="514" w:type="pct"/>
                  <w:tcBorders>
                    <w:tl2br w:val="nil"/>
                    <w:tr2bl w:val="nil"/>
                  </w:tcBorders>
                  <w:noWrap w:val="0"/>
                  <w:vAlign w:val="center"/>
                </w:tcPr>
                <w:p>
                  <w:pPr>
                    <w:spacing w:line="240" w:lineRule="auto"/>
                    <w:jc w:val="center"/>
                    <w:rPr>
                      <w:rFonts w:hint="default" w:cs="Times New Roman" w:eastAsiaTheme="minorEastAsia"/>
                      <w:color w:val="auto"/>
                      <w:kern w:val="2"/>
                      <w:sz w:val="21"/>
                      <w:szCs w:val="21"/>
                      <w:highlight w:val="none"/>
                      <w:lang w:val="en-US" w:eastAsia="zh-CN" w:bidi="ar-SA"/>
                    </w:rPr>
                  </w:pPr>
                  <w:r>
                    <w:rPr>
                      <w:rFonts w:hint="eastAsia" w:cs="Times New Roman" w:eastAsiaTheme="minorEastAsia"/>
                      <w:color w:val="auto"/>
                      <w:kern w:val="2"/>
                      <w:sz w:val="21"/>
                      <w:szCs w:val="21"/>
                      <w:highlight w:val="none"/>
                      <w:lang w:val="en-US" w:eastAsia="zh-CN" w:bidi="ar-SA"/>
                    </w:rPr>
                    <w:t>0</w:t>
                  </w:r>
                </w:p>
              </w:tc>
              <w:tc>
                <w:tcPr>
                  <w:tcW w:w="531" w:type="pct"/>
                  <w:tcBorders>
                    <w:tl2br w:val="nil"/>
                    <w:tr2bl w:val="nil"/>
                  </w:tcBorders>
                  <w:noWrap w:val="0"/>
                  <w:vAlign w:val="center"/>
                </w:tcPr>
                <w:p>
                  <w:pPr>
                    <w:spacing w:line="240" w:lineRule="auto"/>
                    <w:jc w:val="center"/>
                    <w:rPr>
                      <w:rFonts w:hint="eastAsia"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kern w:val="2"/>
                      <w:sz w:val="21"/>
                      <w:szCs w:val="21"/>
                      <w:highlight w:val="none"/>
                      <w:lang w:val="en-US" w:eastAsia="zh-CN" w:bidi="ar-SA"/>
                    </w:rPr>
                    <w:t>2</w:t>
                  </w:r>
                </w:p>
              </w:tc>
              <w:tc>
                <w:tcPr>
                  <w:tcW w:w="506" w:type="pct"/>
                  <w:tcBorders>
                    <w:tl2br w:val="nil"/>
                    <w:tr2bl w:val="nil"/>
                  </w:tcBorders>
                  <w:noWrap w:val="0"/>
                  <w:vAlign w:val="center"/>
                </w:tcPr>
                <w:p>
                  <w:pPr>
                    <w:bidi w:val="0"/>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库房</w:t>
                  </w:r>
                  <w:r>
                    <w:rPr>
                      <w:rFonts w:hint="eastAsia" w:cs="Times New Roman" w:eastAsiaTheme="minorEastAsia"/>
                      <w:color w:val="auto"/>
                      <w:sz w:val="21"/>
                      <w:szCs w:val="21"/>
                      <w:highlight w:val="none"/>
                      <w:lang w:val="en-US" w:eastAsia="zh-CN"/>
                    </w:rPr>
                    <w:t>车间</w:t>
                  </w:r>
                </w:p>
              </w:tc>
              <w:tc>
                <w:tcPr>
                  <w:tcW w:w="869" w:type="pct"/>
                  <w:tcBorders>
                    <w:tl2br w:val="nil"/>
                    <w:tr2bl w:val="nil"/>
                  </w:tcBorders>
                  <w:noWrap w:val="0"/>
                  <w:vAlign w:val="center"/>
                </w:tcPr>
                <w:p>
                  <w:pPr>
                    <w:pStyle w:val="81"/>
                    <w:bidi w:val="0"/>
                    <w:spacing w:line="240" w:lineRule="auto"/>
                    <w:rPr>
                      <w:rFonts w:hint="eastAsia"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1.5*2.5-42-2.5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238" w:type="pct"/>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kern w:val="0"/>
                      <w:sz w:val="21"/>
                      <w:szCs w:val="21"/>
                      <w:highlight w:val="none"/>
                      <w:lang w:val="en-US" w:eastAsia="zh-CN" w:bidi="ar-SA"/>
                    </w:rPr>
                  </w:pPr>
                  <w:r>
                    <w:rPr>
                      <w:rFonts w:hint="default" w:ascii="Times New Roman" w:hAnsi="Times New Roman" w:cs="Times New Roman" w:eastAsiaTheme="minorEastAsia"/>
                      <w:color w:val="auto"/>
                      <w:sz w:val="21"/>
                      <w:szCs w:val="21"/>
                      <w:highlight w:val="none"/>
                      <w:lang w:val="en-US" w:eastAsia="zh-CN"/>
                    </w:rPr>
                    <w:t>9</w:t>
                  </w:r>
                </w:p>
              </w:tc>
              <w:tc>
                <w:tcPr>
                  <w:tcW w:w="362"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kern w:val="2"/>
                      <w:sz w:val="21"/>
                      <w:szCs w:val="21"/>
                      <w:highlight w:val="none"/>
                      <w:lang w:val="en-US" w:eastAsia="zh-CN" w:bidi="ar-SA"/>
                    </w:rPr>
                  </w:pPr>
                  <w:r>
                    <w:rPr>
                      <w:rFonts w:hint="eastAsia" w:cs="Times New Roman" w:eastAsiaTheme="minorEastAsia"/>
                      <w:color w:val="auto"/>
                      <w:kern w:val="2"/>
                      <w:sz w:val="21"/>
                      <w:szCs w:val="21"/>
                      <w:highlight w:val="none"/>
                      <w:lang w:val="en-US" w:eastAsia="zh-CN" w:bidi="ar-SA"/>
                    </w:rPr>
                    <w:t>焊条</w:t>
                  </w:r>
                </w:p>
              </w:tc>
              <w:tc>
                <w:tcPr>
                  <w:tcW w:w="427"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kern w:val="2"/>
                      <w:sz w:val="21"/>
                      <w:szCs w:val="21"/>
                      <w:highlight w:val="none"/>
                      <w:lang w:val="en-US" w:eastAsia="zh-CN" w:bidi="ar-SA"/>
                    </w:rPr>
                  </w:pPr>
                  <w:r>
                    <w:rPr>
                      <w:rFonts w:hint="eastAsia" w:cs="Times New Roman" w:eastAsiaTheme="minorEastAsia"/>
                      <w:color w:val="auto"/>
                      <w:sz w:val="21"/>
                      <w:szCs w:val="21"/>
                      <w:highlight w:val="none"/>
                      <w:lang w:val="en-US" w:eastAsia="zh-CN"/>
                    </w:rPr>
                    <w:t>吨/年</w:t>
                  </w:r>
                </w:p>
              </w:tc>
              <w:tc>
                <w:tcPr>
                  <w:tcW w:w="533"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kern w:val="2"/>
                      <w:sz w:val="21"/>
                      <w:szCs w:val="21"/>
                      <w:highlight w:val="none"/>
                      <w:lang w:val="en-US" w:eastAsia="zh-CN" w:bidi="ar-SA"/>
                    </w:rPr>
                  </w:pPr>
                  <w:r>
                    <w:rPr>
                      <w:rFonts w:hint="eastAsia" w:cs="Times New Roman" w:eastAsiaTheme="minorEastAsia"/>
                      <w:color w:val="auto"/>
                      <w:kern w:val="2"/>
                      <w:sz w:val="21"/>
                      <w:szCs w:val="21"/>
                      <w:highlight w:val="none"/>
                      <w:lang w:val="en-US" w:eastAsia="zh-CN" w:bidi="ar-SA"/>
                    </w:rPr>
                    <w:t>200</w:t>
                  </w:r>
                </w:p>
              </w:tc>
              <w:tc>
                <w:tcPr>
                  <w:tcW w:w="596"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197</w:t>
                  </w:r>
                </w:p>
              </w:tc>
              <w:tc>
                <w:tcPr>
                  <w:tcW w:w="417"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3</w:t>
                  </w:r>
                </w:p>
              </w:tc>
              <w:tc>
                <w:tcPr>
                  <w:tcW w:w="514" w:type="pct"/>
                  <w:tcBorders>
                    <w:tl2br w:val="nil"/>
                    <w:tr2bl w:val="nil"/>
                  </w:tcBorders>
                  <w:noWrap w:val="0"/>
                  <w:vAlign w:val="center"/>
                </w:tcPr>
                <w:p>
                  <w:pPr>
                    <w:spacing w:line="240" w:lineRule="auto"/>
                    <w:jc w:val="center"/>
                    <w:rPr>
                      <w:rFonts w:hint="default" w:cs="Times New Roman" w:eastAsiaTheme="minorEastAsia"/>
                      <w:color w:val="auto"/>
                      <w:kern w:val="2"/>
                      <w:sz w:val="21"/>
                      <w:szCs w:val="21"/>
                      <w:highlight w:val="none"/>
                      <w:lang w:val="en-US" w:eastAsia="zh-CN" w:bidi="ar-SA"/>
                    </w:rPr>
                  </w:pPr>
                  <w:r>
                    <w:rPr>
                      <w:rFonts w:hint="eastAsia" w:cs="Times New Roman" w:eastAsiaTheme="minorEastAsia"/>
                      <w:color w:val="auto"/>
                      <w:kern w:val="2"/>
                      <w:sz w:val="21"/>
                      <w:szCs w:val="21"/>
                      <w:highlight w:val="none"/>
                      <w:lang w:val="en-US" w:eastAsia="zh-CN" w:bidi="ar-SA"/>
                    </w:rPr>
                    <w:t>0</w:t>
                  </w:r>
                </w:p>
              </w:tc>
              <w:tc>
                <w:tcPr>
                  <w:tcW w:w="531" w:type="pct"/>
                  <w:tcBorders>
                    <w:tl2br w:val="nil"/>
                    <w:tr2bl w:val="nil"/>
                  </w:tcBorders>
                  <w:noWrap w:val="0"/>
                  <w:vAlign w:val="center"/>
                </w:tcPr>
                <w:p>
                  <w:pPr>
                    <w:spacing w:line="240" w:lineRule="auto"/>
                    <w:jc w:val="center"/>
                    <w:rPr>
                      <w:rFonts w:hint="eastAsia"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kern w:val="2"/>
                      <w:sz w:val="21"/>
                      <w:szCs w:val="21"/>
                      <w:highlight w:val="none"/>
                      <w:lang w:val="en-US" w:eastAsia="zh-CN" w:bidi="ar-SA"/>
                    </w:rPr>
                    <w:t>200</w:t>
                  </w:r>
                </w:p>
              </w:tc>
              <w:tc>
                <w:tcPr>
                  <w:tcW w:w="506" w:type="pct"/>
                  <w:tcBorders>
                    <w:tl2br w:val="nil"/>
                    <w:tr2bl w:val="nil"/>
                  </w:tcBorders>
                  <w:noWrap w:val="0"/>
                  <w:vAlign w:val="center"/>
                </w:tcPr>
                <w:p>
                  <w:pPr>
                    <w:bidi w:val="0"/>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库房</w:t>
                  </w:r>
                  <w:r>
                    <w:rPr>
                      <w:rFonts w:hint="eastAsia" w:cs="Times New Roman" w:eastAsiaTheme="minorEastAsia"/>
                      <w:color w:val="auto"/>
                      <w:sz w:val="21"/>
                      <w:szCs w:val="21"/>
                      <w:highlight w:val="none"/>
                      <w:lang w:val="en-US" w:eastAsia="zh-CN"/>
                    </w:rPr>
                    <w:t>车间</w:t>
                  </w:r>
                </w:p>
              </w:tc>
              <w:tc>
                <w:tcPr>
                  <w:tcW w:w="869" w:type="pct"/>
                  <w:tcBorders>
                    <w:tl2br w:val="nil"/>
                    <w:tr2bl w:val="nil"/>
                  </w:tcBorders>
                  <w:noWrap w:val="0"/>
                  <w:vAlign w:val="center"/>
                </w:tcPr>
                <w:p>
                  <w:pPr>
                    <w:pStyle w:val="81"/>
                    <w:bidi w:val="0"/>
                    <w:spacing w:line="240" w:lineRule="auto"/>
                    <w:rPr>
                      <w:rFonts w:hint="eastAsia"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2.0mm、2.5mm、3.2mm</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238" w:type="pct"/>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kern w:val="0"/>
                      <w:sz w:val="21"/>
                      <w:szCs w:val="21"/>
                      <w:highlight w:val="none"/>
                      <w:lang w:val="en-US" w:eastAsia="zh-CN" w:bidi="ar-SA"/>
                    </w:rPr>
                  </w:pPr>
                  <w:r>
                    <w:rPr>
                      <w:rFonts w:hint="eastAsia" w:ascii="Times New Roman" w:hAnsi="Times New Roman" w:cs="Times New Roman" w:eastAsiaTheme="minorEastAsia"/>
                      <w:color w:val="auto"/>
                      <w:kern w:val="0"/>
                      <w:sz w:val="21"/>
                      <w:szCs w:val="21"/>
                      <w:highlight w:val="none"/>
                      <w:lang w:val="en-US" w:eastAsia="zh-CN" w:bidi="ar-SA"/>
                    </w:rPr>
                    <w:t>10</w:t>
                  </w:r>
                </w:p>
              </w:tc>
              <w:tc>
                <w:tcPr>
                  <w:tcW w:w="362"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kern w:val="2"/>
                      <w:sz w:val="21"/>
                      <w:szCs w:val="21"/>
                      <w:highlight w:val="none"/>
                      <w:lang w:val="en-US" w:eastAsia="zh-CN" w:bidi="ar-SA"/>
                    </w:rPr>
                  </w:pPr>
                  <w:r>
                    <w:rPr>
                      <w:rFonts w:hint="eastAsia" w:cs="Times New Roman" w:eastAsiaTheme="minorEastAsia"/>
                      <w:color w:val="auto"/>
                      <w:kern w:val="2"/>
                      <w:sz w:val="21"/>
                      <w:szCs w:val="21"/>
                      <w:highlight w:val="none"/>
                      <w:lang w:val="en-US" w:eastAsia="zh-CN" w:bidi="ar-SA"/>
                    </w:rPr>
                    <w:t>润滑油</w:t>
                  </w:r>
                </w:p>
              </w:tc>
              <w:tc>
                <w:tcPr>
                  <w:tcW w:w="427"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Kg/年</w:t>
                  </w:r>
                </w:p>
              </w:tc>
              <w:tc>
                <w:tcPr>
                  <w:tcW w:w="533"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150</w:t>
                  </w:r>
                </w:p>
              </w:tc>
              <w:tc>
                <w:tcPr>
                  <w:tcW w:w="596"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149</w:t>
                  </w:r>
                </w:p>
              </w:tc>
              <w:tc>
                <w:tcPr>
                  <w:tcW w:w="417"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1</w:t>
                  </w:r>
                </w:p>
              </w:tc>
              <w:tc>
                <w:tcPr>
                  <w:tcW w:w="514"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0</w:t>
                  </w:r>
                </w:p>
              </w:tc>
              <w:tc>
                <w:tcPr>
                  <w:tcW w:w="531" w:type="pct"/>
                  <w:tcBorders>
                    <w:tl2br w:val="nil"/>
                    <w:tr2bl w:val="nil"/>
                  </w:tcBorders>
                  <w:noWrap w:val="0"/>
                  <w:vAlign w:val="center"/>
                </w:tcPr>
                <w:p>
                  <w:pPr>
                    <w:spacing w:line="240" w:lineRule="auto"/>
                    <w:jc w:val="center"/>
                    <w:rPr>
                      <w:rFonts w:hint="eastAsia"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150</w:t>
                  </w:r>
                </w:p>
              </w:tc>
              <w:tc>
                <w:tcPr>
                  <w:tcW w:w="506" w:type="pct"/>
                  <w:tcBorders>
                    <w:tl2br w:val="nil"/>
                    <w:tr2bl w:val="nil"/>
                  </w:tcBorders>
                  <w:noWrap w:val="0"/>
                  <w:vAlign w:val="center"/>
                </w:tcPr>
                <w:p>
                  <w:pPr>
                    <w:bidi w:val="0"/>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库房</w:t>
                  </w:r>
                  <w:r>
                    <w:rPr>
                      <w:rFonts w:hint="eastAsia" w:cs="Times New Roman" w:eastAsiaTheme="minorEastAsia"/>
                      <w:color w:val="auto"/>
                      <w:sz w:val="21"/>
                      <w:szCs w:val="21"/>
                      <w:highlight w:val="none"/>
                      <w:lang w:val="en-US" w:eastAsia="zh-CN"/>
                    </w:rPr>
                    <w:t>车间</w:t>
                  </w:r>
                </w:p>
              </w:tc>
              <w:tc>
                <w:tcPr>
                  <w:tcW w:w="869" w:type="pct"/>
                  <w:tcBorders>
                    <w:tl2br w:val="nil"/>
                    <w:tr2bl w:val="nil"/>
                  </w:tcBorders>
                  <w:noWrap w:val="0"/>
                  <w:vAlign w:val="center"/>
                </w:tcPr>
                <w:p>
                  <w:pPr>
                    <w:pStyle w:val="81"/>
                    <w:bidi w:val="0"/>
                    <w:spacing w:line="240" w:lineRule="auto"/>
                    <w:rPr>
                      <w:rFonts w:hint="eastAsia"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220kg/桶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238" w:type="pct"/>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kern w:val="0"/>
                      <w:sz w:val="21"/>
                      <w:szCs w:val="21"/>
                      <w:highlight w:val="none"/>
                      <w:lang w:val="en-US" w:eastAsia="zh-CN" w:bidi="ar-SA"/>
                    </w:rPr>
                  </w:pPr>
                  <w:r>
                    <w:rPr>
                      <w:rFonts w:hint="eastAsia" w:ascii="Times New Roman" w:hAnsi="Times New Roman" w:cs="Times New Roman" w:eastAsiaTheme="minorEastAsia"/>
                      <w:color w:val="auto"/>
                      <w:kern w:val="0"/>
                      <w:sz w:val="21"/>
                      <w:szCs w:val="21"/>
                      <w:highlight w:val="none"/>
                      <w:lang w:val="en-US" w:eastAsia="zh-CN" w:bidi="ar-SA"/>
                    </w:rPr>
                    <w:t>11</w:t>
                  </w:r>
                </w:p>
              </w:tc>
              <w:tc>
                <w:tcPr>
                  <w:tcW w:w="362"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kern w:val="2"/>
                      <w:sz w:val="21"/>
                      <w:szCs w:val="21"/>
                      <w:highlight w:val="none"/>
                      <w:lang w:val="en-US" w:eastAsia="zh-CN" w:bidi="ar-SA"/>
                    </w:rPr>
                  </w:pPr>
                  <w:r>
                    <w:rPr>
                      <w:rFonts w:hint="eastAsia" w:cs="Times New Roman" w:eastAsiaTheme="minorEastAsia"/>
                      <w:color w:val="auto"/>
                      <w:kern w:val="2"/>
                      <w:sz w:val="21"/>
                      <w:szCs w:val="21"/>
                      <w:highlight w:val="none"/>
                      <w:lang w:val="en-US" w:eastAsia="zh-CN" w:bidi="ar-SA"/>
                    </w:rPr>
                    <w:t>机油</w:t>
                  </w:r>
                </w:p>
              </w:tc>
              <w:tc>
                <w:tcPr>
                  <w:tcW w:w="427"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Kg/年</w:t>
                  </w:r>
                </w:p>
              </w:tc>
              <w:tc>
                <w:tcPr>
                  <w:tcW w:w="533"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35</w:t>
                  </w:r>
                </w:p>
              </w:tc>
              <w:tc>
                <w:tcPr>
                  <w:tcW w:w="596"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34</w:t>
                  </w:r>
                </w:p>
              </w:tc>
              <w:tc>
                <w:tcPr>
                  <w:tcW w:w="417"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1</w:t>
                  </w:r>
                </w:p>
              </w:tc>
              <w:tc>
                <w:tcPr>
                  <w:tcW w:w="514"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0</w:t>
                  </w:r>
                </w:p>
              </w:tc>
              <w:tc>
                <w:tcPr>
                  <w:tcW w:w="531" w:type="pct"/>
                  <w:tcBorders>
                    <w:tl2br w:val="nil"/>
                    <w:tr2bl w:val="nil"/>
                  </w:tcBorders>
                  <w:noWrap w:val="0"/>
                  <w:vAlign w:val="center"/>
                </w:tcPr>
                <w:p>
                  <w:pPr>
                    <w:spacing w:line="240" w:lineRule="auto"/>
                    <w:jc w:val="center"/>
                    <w:rPr>
                      <w:rFonts w:hint="eastAsia"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35</w:t>
                  </w:r>
                </w:p>
              </w:tc>
              <w:tc>
                <w:tcPr>
                  <w:tcW w:w="506" w:type="pct"/>
                  <w:tcBorders>
                    <w:tl2br w:val="nil"/>
                    <w:tr2bl w:val="nil"/>
                  </w:tcBorders>
                  <w:noWrap w:val="0"/>
                  <w:vAlign w:val="center"/>
                </w:tcPr>
                <w:p>
                  <w:pPr>
                    <w:bidi w:val="0"/>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库房</w:t>
                  </w:r>
                  <w:r>
                    <w:rPr>
                      <w:rFonts w:hint="eastAsia" w:cs="Times New Roman" w:eastAsiaTheme="minorEastAsia"/>
                      <w:color w:val="auto"/>
                      <w:sz w:val="21"/>
                      <w:szCs w:val="21"/>
                      <w:highlight w:val="none"/>
                      <w:lang w:val="en-US" w:eastAsia="zh-CN"/>
                    </w:rPr>
                    <w:t>车间</w:t>
                  </w:r>
                </w:p>
              </w:tc>
              <w:tc>
                <w:tcPr>
                  <w:tcW w:w="869" w:type="pct"/>
                  <w:tcBorders>
                    <w:tl2br w:val="nil"/>
                    <w:tr2bl w:val="nil"/>
                  </w:tcBorders>
                  <w:noWrap w:val="0"/>
                  <w:vAlign w:val="center"/>
                </w:tcPr>
                <w:p>
                  <w:pPr>
                    <w:pStyle w:val="81"/>
                    <w:bidi w:val="0"/>
                    <w:spacing w:line="240" w:lineRule="auto"/>
                    <w:rPr>
                      <w:rFonts w:hint="eastAsia"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25kg/桶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4" w:hRule="atLeast"/>
                <w:jc w:val="center"/>
              </w:trPr>
              <w:tc>
                <w:tcPr>
                  <w:tcW w:w="238" w:type="pct"/>
                  <w:tcBorders>
                    <w:tl2br w:val="nil"/>
                    <w:tr2bl w:val="nil"/>
                  </w:tcBorders>
                  <w:noWrap w:val="0"/>
                  <w:vAlign w:val="center"/>
                </w:tcPr>
                <w:p>
                  <w:pPr>
                    <w:pStyle w:val="81"/>
                    <w:bidi w:val="0"/>
                    <w:spacing w:line="240" w:lineRule="auto"/>
                    <w:rPr>
                      <w:rFonts w:hint="eastAsia" w:ascii="Times New Roman" w:hAnsi="Times New Roman" w:cs="Times New Roman" w:eastAsiaTheme="minorEastAsia"/>
                      <w:color w:val="auto"/>
                      <w:kern w:val="0"/>
                      <w:sz w:val="21"/>
                      <w:szCs w:val="21"/>
                      <w:highlight w:val="none"/>
                      <w:lang w:val="en-US" w:eastAsia="zh-CN" w:bidi="ar-SA"/>
                    </w:rPr>
                  </w:pPr>
                  <w:r>
                    <w:rPr>
                      <w:rFonts w:hint="eastAsia" w:ascii="Times New Roman" w:hAnsi="Times New Roman" w:cs="Times New Roman" w:eastAsiaTheme="minorEastAsia"/>
                      <w:color w:val="auto"/>
                      <w:kern w:val="0"/>
                      <w:sz w:val="21"/>
                      <w:szCs w:val="21"/>
                      <w:highlight w:val="none"/>
                      <w:lang w:val="en-US" w:eastAsia="zh-CN" w:bidi="ar-SA"/>
                    </w:rPr>
                    <w:t>12</w:t>
                  </w:r>
                </w:p>
              </w:tc>
              <w:tc>
                <w:tcPr>
                  <w:tcW w:w="362" w:type="pct"/>
                  <w:tcBorders>
                    <w:tl2br w:val="nil"/>
                    <w:tr2bl w:val="nil"/>
                  </w:tcBorders>
                  <w:noWrap w:val="0"/>
                  <w:vAlign w:val="center"/>
                </w:tcPr>
                <w:p>
                  <w:pPr>
                    <w:spacing w:line="240" w:lineRule="auto"/>
                    <w:jc w:val="center"/>
                    <w:rPr>
                      <w:rFonts w:hint="default" w:cs="Times New Roman" w:eastAsiaTheme="minorEastAsia"/>
                      <w:color w:val="auto"/>
                      <w:kern w:val="2"/>
                      <w:sz w:val="21"/>
                      <w:szCs w:val="21"/>
                      <w:highlight w:val="none"/>
                      <w:lang w:val="en-US" w:eastAsia="zh-CN" w:bidi="ar-SA"/>
                    </w:rPr>
                  </w:pPr>
                  <w:r>
                    <w:rPr>
                      <w:rFonts w:hint="eastAsia" w:cs="Times New Roman" w:eastAsiaTheme="minorEastAsia"/>
                      <w:color w:val="auto"/>
                      <w:kern w:val="2"/>
                      <w:sz w:val="21"/>
                      <w:szCs w:val="21"/>
                      <w:highlight w:val="none"/>
                      <w:lang w:val="en-US" w:eastAsia="zh-CN" w:bidi="ar-SA"/>
                    </w:rPr>
                    <w:t>液压油</w:t>
                  </w:r>
                </w:p>
              </w:tc>
              <w:tc>
                <w:tcPr>
                  <w:tcW w:w="427"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Kg/年</w:t>
                  </w:r>
                </w:p>
              </w:tc>
              <w:tc>
                <w:tcPr>
                  <w:tcW w:w="533"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300</w:t>
                  </w:r>
                </w:p>
              </w:tc>
              <w:tc>
                <w:tcPr>
                  <w:tcW w:w="596"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298</w:t>
                  </w:r>
                </w:p>
              </w:tc>
              <w:tc>
                <w:tcPr>
                  <w:tcW w:w="417"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2</w:t>
                  </w:r>
                </w:p>
              </w:tc>
              <w:tc>
                <w:tcPr>
                  <w:tcW w:w="514"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0</w:t>
                  </w:r>
                </w:p>
              </w:tc>
              <w:tc>
                <w:tcPr>
                  <w:tcW w:w="531" w:type="pct"/>
                  <w:tcBorders>
                    <w:tl2br w:val="nil"/>
                    <w:tr2bl w:val="nil"/>
                  </w:tcBorders>
                  <w:noWrap w:val="0"/>
                  <w:vAlign w:val="center"/>
                </w:tcPr>
                <w:p>
                  <w:pPr>
                    <w:spacing w:line="240" w:lineRule="auto"/>
                    <w:jc w:val="center"/>
                    <w:rPr>
                      <w:rFonts w:hint="eastAsia"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300</w:t>
                  </w:r>
                </w:p>
              </w:tc>
              <w:tc>
                <w:tcPr>
                  <w:tcW w:w="506" w:type="pct"/>
                  <w:tcBorders>
                    <w:tl2br w:val="nil"/>
                    <w:tr2bl w:val="nil"/>
                  </w:tcBorders>
                  <w:noWrap w:val="0"/>
                  <w:vAlign w:val="center"/>
                </w:tcPr>
                <w:p>
                  <w:pPr>
                    <w:bidi w:val="0"/>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库房</w:t>
                  </w:r>
                  <w:r>
                    <w:rPr>
                      <w:rFonts w:hint="eastAsia" w:cs="Times New Roman" w:eastAsiaTheme="minorEastAsia"/>
                      <w:color w:val="auto"/>
                      <w:sz w:val="21"/>
                      <w:szCs w:val="21"/>
                      <w:highlight w:val="none"/>
                      <w:lang w:val="en-US" w:eastAsia="zh-CN"/>
                    </w:rPr>
                    <w:t>车间</w:t>
                  </w:r>
                </w:p>
              </w:tc>
              <w:tc>
                <w:tcPr>
                  <w:tcW w:w="869" w:type="pct"/>
                  <w:tcBorders>
                    <w:tl2br w:val="nil"/>
                    <w:tr2bl w:val="nil"/>
                  </w:tcBorders>
                  <w:noWrap w:val="0"/>
                  <w:vAlign w:val="center"/>
                </w:tcPr>
                <w:p>
                  <w:pPr>
                    <w:pStyle w:val="81"/>
                    <w:bidi w:val="0"/>
                    <w:spacing w:line="240" w:lineRule="auto"/>
                    <w:rPr>
                      <w:rFonts w:hint="eastAsia"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220kg/桶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4" w:hRule="atLeast"/>
                <w:jc w:val="center"/>
              </w:trPr>
              <w:tc>
                <w:tcPr>
                  <w:tcW w:w="238" w:type="pct"/>
                  <w:tcBorders>
                    <w:tl2br w:val="nil"/>
                    <w:tr2bl w:val="nil"/>
                  </w:tcBorders>
                  <w:noWrap w:val="0"/>
                  <w:vAlign w:val="center"/>
                </w:tcPr>
                <w:p>
                  <w:pPr>
                    <w:pStyle w:val="81"/>
                    <w:bidi w:val="0"/>
                    <w:spacing w:line="240" w:lineRule="auto"/>
                    <w:rPr>
                      <w:rFonts w:hint="eastAsia" w:ascii="Times New Roman" w:hAnsi="Times New Roman" w:cs="Times New Roman" w:eastAsiaTheme="minorEastAsia"/>
                      <w:color w:val="auto"/>
                      <w:kern w:val="0"/>
                      <w:sz w:val="21"/>
                      <w:szCs w:val="21"/>
                      <w:highlight w:val="none"/>
                      <w:lang w:val="en-US" w:eastAsia="zh-CN" w:bidi="ar-SA"/>
                    </w:rPr>
                  </w:pPr>
                  <w:r>
                    <w:rPr>
                      <w:rFonts w:hint="eastAsia" w:ascii="Times New Roman" w:hAnsi="Times New Roman" w:cs="Times New Roman" w:eastAsiaTheme="minorEastAsia"/>
                      <w:color w:val="auto"/>
                      <w:kern w:val="0"/>
                      <w:sz w:val="21"/>
                      <w:szCs w:val="21"/>
                      <w:highlight w:val="none"/>
                      <w:lang w:val="en-US" w:eastAsia="zh-CN" w:bidi="ar-SA"/>
                    </w:rPr>
                    <w:t>13</w:t>
                  </w:r>
                </w:p>
              </w:tc>
              <w:tc>
                <w:tcPr>
                  <w:tcW w:w="362" w:type="pct"/>
                  <w:tcBorders>
                    <w:tl2br w:val="nil"/>
                    <w:tr2bl w:val="nil"/>
                  </w:tcBorders>
                  <w:noWrap w:val="0"/>
                  <w:vAlign w:val="center"/>
                </w:tcPr>
                <w:p>
                  <w:pPr>
                    <w:spacing w:line="240" w:lineRule="auto"/>
                    <w:jc w:val="center"/>
                    <w:rPr>
                      <w:rFonts w:hint="default" w:cs="Times New Roman" w:eastAsiaTheme="minorEastAsia"/>
                      <w:color w:val="auto"/>
                      <w:kern w:val="2"/>
                      <w:sz w:val="21"/>
                      <w:szCs w:val="21"/>
                      <w:highlight w:val="none"/>
                      <w:lang w:val="en-US" w:eastAsia="zh-CN" w:bidi="ar-SA"/>
                    </w:rPr>
                  </w:pPr>
                  <w:r>
                    <w:rPr>
                      <w:rFonts w:hint="eastAsia" w:cs="Times New Roman" w:eastAsiaTheme="minorEastAsia"/>
                      <w:color w:val="auto"/>
                      <w:kern w:val="2"/>
                      <w:sz w:val="21"/>
                      <w:szCs w:val="21"/>
                      <w:highlight w:val="none"/>
                      <w:lang w:val="en-US" w:eastAsia="zh-CN" w:bidi="ar-SA"/>
                    </w:rPr>
                    <w:t>乳化液</w:t>
                  </w:r>
                </w:p>
              </w:tc>
              <w:tc>
                <w:tcPr>
                  <w:tcW w:w="427"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kg/a</w:t>
                  </w:r>
                </w:p>
              </w:tc>
              <w:tc>
                <w:tcPr>
                  <w:tcW w:w="533"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75</w:t>
                  </w:r>
                </w:p>
              </w:tc>
              <w:tc>
                <w:tcPr>
                  <w:tcW w:w="596"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74</w:t>
                  </w:r>
                </w:p>
              </w:tc>
              <w:tc>
                <w:tcPr>
                  <w:tcW w:w="417"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1</w:t>
                  </w:r>
                </w:p>
              </w:tc>
              <w:tc>
                <w:tcPr>
                  <w:tcW w:w="514"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0</w:t>
                  </w:r>
                </w:p>
              </w:tc>
              <w:tc>
                <w:tcPr>
                  <w:tcW w:w="531"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75</w:t>
                  </w:r>
                </w:p>
              </w:tc>
              <w:tc>
                <w:tcPr>
                  <w:tcW w:w="506" w:type="pct"/>
                  <w:tcBorders>
                    <w:tl2br w:val="nil"/>
                    <w:tr2bl w:val="nil"/>
                  </w:tcBorders>
                  <w:noWrap w:val="0"/>
                  <w:vAlign w:val="center"/>
                </w:tcPr>
                <w:p>
                  <w:pPr>
                    <w:bidi w:val="0"/>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库房车间</w:t>
                  </w:r>
                </w:p>
              </w:tc>
              <w:tc>
                <w:tcPr>
                  <w:tcW w:w="869" w:type="pct"/>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15kg/桶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4" w:hRule="atLeast"/>
                <w:jc w:val="center"/>
              </w:trPr>
              <w:tc>
                <w:tcPr>
                  <w:tcW w:w="238" w:type="pct"/>
                  <w:tcBorders>
                    <w:tl2br w:val="nil"/>
                    <w:tr2bl w:val="nil"/>
                  </w:tcBorders>
                  <w:noWrap w:val="0"/>
                  <w:vAlign w:val="center"/>
                </w:tcPr>
                <w:p>
                  <w:pPr>
                    <w:pStyle w:val="81"/>
                    <w:bidi w:val="0"/>
                    <w:spacing w:line="240" w:lineRule="auto"/>
                    <w:rPr>
                      <w:rFonts w:hint="eastAsia" w:ascii="Times New Roman" w:hAnsi="Times New Roman" w:cs="Times New Roman" w:eastAsiaTheme="minorEastAsia"/>
                      <w:color w:val="auto"/>
                      <w:kern w:val="0"/>
                      <w:sz w:val="21"/>
                      <w:szCs w:val="21"/>
                      <w:highlight w:val="none"/>
                      <w:lang w:val="en-US" w:eastAsia="zh-CN" w:bidi="ar-SA"/>
                    </w:rPr>
                  </w:pPr>
                  <w:r>
                    <w:rPr>
                      <w:rFonts w:hint="eastAsia" w:ascii="Times New Roman" w:hAnsi="Times New Roman" w:cs="Times New Roman" w:eastAsiaTheme="minorEastAsia"/>
                      <w:color w:val="auto"/>
                      <w:kern w:val="0"/>
                      <w:sz w:val="21"/>
                      <w:szCs w:val="21"/>
                      <w:highlight w:val="none"/>
                      <w:lang w:val="en-US" w:eastAsia="zh-CN" w:bidi="ar-SA"/>
                    </w:rPr>
                    <w:t>14</w:t>
                  </w:r>
                </w:p>
              </w:tc>
              <w:tc>
                <w:tcPr>
                  <w:tcW w:w="362" w:type="pct"/>
                  <w:tcBorders>
                    <w:tl2br w:val="nil"/>
                    <w:tr2bl w:val="nil"/>
                  </w:tcBorders>
                  <w:noWrap w:val="0"/>
                  <w:vAlign w:val="center"/>
                </w:tcPr>
                <w:p>
                  <w:pPr>
                    <w:spacing w:line="240" w:lineRule="auto"/>
                    <w:jc w:val="center"/>
                    <w:rPr>
                      <w:rFonts w:hint="eastAsia" w:cs="Times New Roman" w:eastAsiaTheme="minorEastAsia"/>
                      <w:color w:val="auto"/>
                      <w:kern w:val="2"/>
                      <w:sz w:val="21"/>
                      <w:szCs w:val="21"/>
                      <w:highlight w:val="none"/>
                      <w:lang w:val="en-US" w:eastAsia="zh-CN" w:bidi="ar-SA"/>
                    </w:rPr>
                  </w:pPr>
                  <w:r>
                    <w:rPr>
                      <w:rFonts w:hint="eastAsia" w:cs="Times New Roman" w:eastAsiaTheme="minorEastAsia"/>
                      <w:color w:val="auto"/>
                      <w:kern w:val="2"/>
                      <w:sz w:val="21"/>
                      <w:szCs w:val="21"/>
                      <w:highlight w:val="none"/>
                      <w:lang w:val="en-US" w:eastAsia="zh-CN" w:bidi="ar-SA"/>
                    </w:rPr>
                    <w:t>混合气</w:t>
                  </w:r>
                </w:p>
              </w:tc>
              <w:tc>
                <w:tcPr>
                  <w:tcW w:w="427" w:type="pct"/>
                  <w:tcBorders>
                    <w:tl2br w:val="nil"/>
                    <w:tr2bl w:val="nil"/>
                  </w:tcBorders>
                  <w:noWrap w:val="0"/>
                  <w:vAlign w:val="center"/>
                </w:tcPr>
                <w:p>
                  <w:pPr>
                    <w:spacing w:line="240" w:lineRule="auto"/>
                    <w:jc w:val="center"/>
                    <w:rPr>
                      <w:rFonts w:hint="eastAsia"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瓶/年</w:t>
                  </w:r>
                </w:p>
              </w:tc>
              <w:tc>
                <w:tcPr>
                  <w:tcW w:w="533"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360</w:t>
                  </w:r>
                </w:p>
              </w:tc>
              <w:tc>
                <w:tcPr>
                  <w:tcW w:w="596"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358</w:t>
                  </w:r>
                </w:p>
              </w:tc>
              <w:tc>
                <w:tcPr>
                  <w:tcW w:w="417"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2</w:t>
                  </w:r>
                </w:p>
              </w:tc>
              <w:tc>
                <w:tcPr>
                  <w:tcW w:w="514"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0</w:t>
                  </w:r>
                </w:p>
              </w:tc>
              <w:tc>
                <w:tcPr>
                  <w:tcW w:w="531" w:type="pct"/>
                  <w:tcBorders>
                    <w:tl2br w:val="nil"/>
                    <w:tr2bl w:val="nil"/>
                  </w:tcBorders>
                  <w:noWrap w:val="0"/>
                  <w:vAlign w:val="center"/>
                </w:tcPr>
                <w:p>
                  <w:pPr>
                    <w:spacing w:line="240" w:lineRule="auto"/>
                    <w:jc w:val="center"/>
                    <w:rPr>
                      <w:rFonts w:hint="eastAsia"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360</w:t>
                  </w:r>
                </w:p>
              </w:tc>
              <w:tc>
                <w:tcPr>
                  <w:tcW w:w="506" w:type="pct"/>
                  <w:tcBorders>
                    <w:tl2br w:val="nil"/>
                    <w:tr2bl w:val="nil"/>
                  </w:tcBorders>
                  <w:noWrap w:val="0"/>
                  <w:vAlign w:val="center"/>
                </w:tcPr>
                <w:p>
                  <w:pPr>
                    <w:bidi w:val="0"/>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库房</w:t>
                  </w:r>
                  <w:r>
                    <w:rPr>
                      <w:rFonts w:hint="eastAsia" w:cs="Times New Roman" w:eastAsiaTheme="minorEastAsia"/>
                      <w:color w:val="auto"/>
                      <w:sz w:val="21"/>
                      <w:szCs w:val="21"/>
                      <w:highlight w:val="none"/>
                      <w:lang w:val="en-US" w:eastAsia="zh-CN"/>
                    </w:rPr>
                    <w:t>车间</w:t>
                  </w:r>
                </w:p>
              </w:tc>
              <w:tc>
                <w:tcPr>
                  <w:tcW w:w="869" w:type="pct"/>
                  <w:tcBorders>
                    <w:tl2br w:val="nil"/>
                    <w:tr2bl w:val="nil"/>
                  </w:tcBorders>
                  <w:noWrap w:val="0"/>
                  <w:vAlign w:val="center"/>
                </w:tcPr>
                <w:p>
                  <w:pPr>
                    <w:pStyle w:val="81"/>
                    <w:bidi w:val="0"/>
                    <w:spacing w:line="240" w:lineRule="auto"/>
                    <w:rPr>
                      <w:rFonts w:hint="eastAsia"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CO</w:t>
                  </w:r>
                  <w:r>
                    <w:rPr>
                      <w:rFonts w:hint="eastAsia" w:ascii="Times New Roman" w:hAnsi="Times New Roman" w:cs="Times New Roman" w:eastAsiaTheme="minorEastAsia"/>
                      <w:color w:val="auto"/>
                      <w:sz w:val="21"/>
                      <w:szCs w:val="21"/>
                      <w:highlight w:val="none"/>
                      <w:vertAlign w:val="subscript"/>
                      <w:lang w:val="en-US" w:eastAsia="zh-CN"/>
                    </w:rPr>
                    <w:t>2</w:t>
                  </w:r>
                  <w:r>
                    <w:rPr>
                      <w:rFonts w:hint="eastAsia" w:ascii="Times New Roman" w:hAnsi="Times New Roman" w:cs="Times New Roman" w:eastAsiaTheme="minorEastAsia"/>
                      <w:color w:val="auto"/>
                      <w:sz w:val="21"/>
                      <w:szCs w:val="21"/>
                      <w:highlight w:val="none"/>
                      <w:lang w:val="en-US" w:eastAsia="zh-CN"/>
                    </w:rPr>
                    <w:t>和氩气混合气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4" w:hRule="atLeast"/>
                <w:jc w:val="center"/>
              </w:trPr>
              <w:tc>
                <w:tcPr>
                  <w:tcW w:w="238" w:type="pct"/>
                  <w:tcBorders>
                    <w:tl2br w:val="nil"/>
                    <w:tr2bl w:val="nil"/>
                  </w:tcBorders>
                  <w:noWrap w:val="0"/>
                  <w:vAlign w:val="center"/>
                </w:tcPr>
                <w:p>
                  <w:pPr>
                    <w:pStyle w:val="81"/>
                    <w:bidi w:val="0"/>
                    <w:spacing w:line="240" w:lineRule="auto"/>
                    <w:rPr>
                      <w:rFonts w:hint="eastAsia" w:ascii="Times New Roman" w:hAnsi="Times New Roman" w:cs="Times New Roman" w:eastAsiaTheme="minorEastAsia"/>
                      <w:color w:val="auto"/>
                      <w:kern w:val="0"/>
                      <w:sz w:val="21"/>
                      <w:szCs w:val="21"/>
                      <w:highlight w:val="none"/>
                      <w:lang w:val="en-US" w:eastAsia="zh-CN" w:bidi="ar-SA"/>
                    </w:rPr>
                  </w:pPr>
                  <w:r>
                    <w:rPr>
                      <w:rFonts w:hint="eastAsia" w:ascii="Times New Roman" w:hAnsi="Times New Roman" w:cs="Times New Roman" w:eastAsiaTheme="minorEastAsia"/>
                      <w:color w:val="auto"/>
                      <w:kern w:val="0"/>
                      <w:sz w:val="21"/>
                      <w:szCs w:val="21"/>
                      <w:highlight w:val="none"/>
                      <w:lang w:val="en-US" w:eastAsia="zh-CN" w:bidi="ar-SA"/>
                    </w:rPr>
                    <w:t>15</w:t>
                  </w:r>
                </w:p>
              </w:tc>
              <w:tc>
                <w:tcPr>
                  <w:tcW w:w="362" w:type="pct"/>
                  <w:tcBorders>
                    <w:tl2br w:val="nil"/>
                    <w:tr2bl w:val="nil"/>
                  </w:tcBorders>
                  <w:noWrap w:val="0"/>
                  <w:vAlign w:val="center"/>
                </w:tcPr>
                <w:p>
                  <w:pPr>
                    <w:spacing w:line="240" w:lineRule="auto"/>
                    <w:jc w:val="center"/>
                    <w:rPr>
                      <w:rFonts w:hint="default" w:cs="Times New Roman" w:eastAsiaTheme="minorEastAsia"/>
                      <w:color w:val="auto"/>
                      <w:kern w:val="2"/>
                      <w:sz w:val="21"/>
                      <w:szCs w:val="21"/>
                      <w:highlight w:val="none"/>
                      <w:lang w:val="en-US" w:eastAsia="zh-CN" w:bidi="ar-SA"/>
                    </w:rPr>
                  </w:pPr>
                  <w:r>
                    <w:rPr>
                      <w:rFonts w:hint="eastAsia" w:cs="Times New Roman" w:eastAsiaTheme="minorEastAsia"/>
                      <w:color w:val="auto"/>
                      <w:kern w:val="2"/>
                      <w:sz w:val="21"/>
                      <w:szCs w:val="21"/>
                      <w:highlight w:val="none"/>
                      <w:lang w:val="en-US" w:eastAsia="zh-CN" w:bidi="ar-SA"/>
                    </w:rPr>
                    <w:t>氧气</w:t>
                  </w:r>
                </w:p>
              </w:tc>
              <w:tc>
                <w:tcPr>
                  <w:tcW w:w="427" w:type="pct"/>
                  <w:tcBorders>
                    <w:tl2br w:val="nil"/>
                    <w:tr2bl w:val="nil"/>
                  </w:tcBorders>
                  <w:noWrap w:val="0"/>
                  <w:vAlign w:val="center"/>
                </w:tcPr>
                <w:p>
                  <w:pPr>
                    <w:spacing w:line="240" w:lineRule="auto"/>
                    <w:jc w:val="center"/>
                    <w:rPr>
                      <w:rFonts w:hint="eastAsia"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瓶/年</w:t>
                  </w:r>
                </w:p>
              </w:tc>
              <w:tc>
                <w:tcPr>
                  <w:tcW w:w="533"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180</w:t>
                  </w:r>
                </w:p>
              </w:tc>
              <w:tc>
                <w:tcPr>
                  <w:tcW w:w="596"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179</w:t>
                  </w:r>
                </w:p>
              </w:tc>
              <w:tc>
                <w:tcPr>
                  <w:tcW w:w="417"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1</w:t>
                  </w:r>
                </w:p>
              </w:tc>
              <w:tc>
                <w:tcPr>
                  <w:tcW w:w="514"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0</w:t>
                  </w:r>
                </w:p>
              </w:tc>
              <w:tc>
                <w:tcPr>
                  <w:tcW w:w="531" w:type="pct"/>
                  <w:tcBorders>
                    <w:tl2br w:val="nil"/>
                    <w:tr2bl w:val="nil"/>
                  </w:tcBorders>
                  <w:noWrap w:val="0"/>
                  <w:vAlign w:val="center"/>
                </w:tcPr>
                <w:p>
                  <w:pPr>
                    <w:spacing w:line="240" w:lineRule="auto"/>
                    <w:jc w:val="center"/>
                    <w:rPr>
                      <w:rFonts w:hint="eastAsia"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180</w:t>
                  </w:r>
                </w:p>
              </w:tc>
              <w:tc>
                <w:tcPr>
                  <w:tcW w:w="506" w:type="pct"/>
                  <w:tcBorders>
                    <w:tl2br w:val="nil"/>
                    <w:tr2bl w:val="nil"/>
                  </w:tcBorders>
                  <w:noWrap w:val="0"/>
                  <w:vAlign w:val="center"/>
                </w:tcPr>
                <w:p>
                  <w:pPr>
                    <w:bidi w:val="0"/>
                    <w:spacing w:line="240" w:lineRule="auto"/>
                    <w:jc w:val="center"/>
                    <w:rPr>
                      <w:rFonts w:hint="default"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库房</w:t>
                  </w:r>
                  <w:r>
                    <w:rPr>
                      <w:rFonts w:hint="eastAsia" w:cs="Times New Roman" w:eastAsiaTheme="minorEastAsia"/>
                      <w:color w:val="auto"/>
                      <w:sz w:val="21"/>
                      <w:szCs w:val="21"/>
                      <w:highlight w:val="none"/>
                      <w:lang w:val="en-US" w:eastAsia="zh-CN"/>
                    </w:rPr>
                    <w:t>车间</w:t>
                  </w:r>
                </w:p>
              </w:tc>
              <w:tc>
                <w:tcPr>
                  <w:tcW w:w="869" w:type="pct"/>
                  <w:tcBorders>
                    <w:tl2br w:val="nil"/>
                    <w:tr2bl w:val="nil"/>
                  </w:tcBorders>
                  <w:noWrap w:val="0"/>
                  <w:vAlign w:val="center"/>
                </w:tcPr>
                <w:p>
                  <w:pPr>
                    <w:bidi w:val="0"/>
                    <w:spacing w:line="240" w:lineRule="auto"/>
                    <w:jc w:val="center"/>
                    <w:rPr>
                      <w:rFonts w:hint="eastAsia"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10Mp/瓶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4" w:hRule="atLeast"/>
                <w:jc w:val="center"/>
              </w:trPr>
              <w:tc>
                <w:tcPr>
                  <w:tcW w:w="238" w:type="pct"/>
                  <w:tcBorders>
                    <w:tl2br w:val="nil"/>
                    <w:tr2bl w:val="nil"/>
                  </w:tcBorders>
                  <w:noWrap w:val="0"/>
                  <w:vAlign w:val="center"/>
                </w:tcPr>
                <w:p>
                  <w:pPr>
                    <w:pStyle w:val="81"/>
                    <w:bidi w:val="0"/>
                    <w:spacing w:line="240" w:lineRule="auto"/>
                    <w:rPr>
                      <w:rFonts w:hint="eastAsia" w:ascii="Times New Roman" w:hAnsi="Times New Roman" w:cs="Times New Roman" w:eastAsiaTheme="minorEastAsia"/>
                      <w:color w:val="auto"/>
                      <w:kern w:val="0"/>
                      <w:sz w:val="21"/>
                      <w:szCs w:val="21"/>
                      <w:highlight w:val="none"/>
                      <w:lang w:val="en-US" w:eastAsia="zh-CN" w:bidi="ar-SA"/>
                    </w:rPr>
                  </w:pPr>
                  <w:r>
                    <w:rPr>
                      <w:rFonts w:hint="eastAsia" w:ascii="Times New Roman" w:hAnsi="Times New Roman" w:cs="Times New Roman" w:eastAsiaTheme="minorEastAsia"/>
                      <w:color w:val="auto"/>
                      <w:kern w:val="0"/>
                      <w:sz w:val="21"/>
                      <w:szCs w:val="21"/>
                      <w:highlight w:val="none"/>
                      <w:lang w:val="en-US" w:eastAsia="zh-CN" w:bidi="ar-SA"/>
                    </w:rPr>
                    <w:t>16</w:t>
                  </w:r>
                </w:p>
              </w:tc>
              <w:tc>
                <w:tcPr>
                  <w:tcW w:w="362" w:type="pct"/>
                  <w:tcBorders>
                    <w:tl2br w:val="nil"/>
                    <w:tr2bl w:val="nil"/>
                  </w:tcBorders>
                  <w:noWrap w:val="0"/>
                  <w:vAlign w:val="center"/>
                </w:tcPr>
                <w:p>
                  <w:pPr>
                    <w:spacing w:line="240" w:lineRule="auto"/>
                    <w:jc w:val="center"/>
                    <w:rPr>
                      <w:rFonts w:hint="default" w:cs="Times New Roman" w:eastAsiaTheme="minorEastAsia"/>
                      <w:color w:val="auto"/>
                      <w:kern w:val="2"/>
                      <w:sz w:val="21"/>
                      <w:szCs w:val="21"/>
                      <w:highlight w:val="none"/>
                      <w:lang w:val="en-US" w:eastAsia="zh-CN" w:bidi="ar-SA"/>
                    </w:rPr>
                  </w:pPr>
                  <w:r>
                    <w:rPr>
                      <w:rFonts w:hint="eastAsia" w:cs="Times New Roman" w:eastAsiaTheme="minorEastAsia"/>
                      <w:color w:val="auto"/>
                      <w:kern w:val="2"/>
                      <w:sz w:val="21"/>
                      <w:szCs w:val="21"/>
                      <w:highlight w:val="none"/>
                      <w:lang w:val="en-US" w:eastAsia="zh-CN" w:bidi="ar-SA"/>
                    </w:rPr>
                    <w:t>氩气</w:t>
                  </w:r>
                </w:p>
              </w:tc>
              <w:tc>
                <w:tcPr>
                  <w:tcW w:w="427"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瓶/年</w:t>
                  </w:r>
                </w:p>
              </w:tc>
              <w:tc>
                <w:tcPr>
                  <w:tcW w:w="533"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12</w:t>
                  </w:r>
                </w:p>
              </w:tc>
              <w:tc>
                <w:tcPr>
                  <w:tcW w:w="596"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11</w:t>
                  </w:r>
                </w:p>
              </w:tc>
              <w:tc>
                <w:tcPr>
                  <w:tcW w:w="417"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1</w:t>
                  </w:r>
                </w:p>
              </w:tc>
              <w:tc>
                <w:tcPr>
                  <w:tcW w:w="514"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0</w:t>
                  </w:r>
                </w:p>
              </w:tc>
              <w:tc>
                <w:tcPr>
                  <w:tcW w:w="531" w:type="pct"/>
                  <w:tcBorders>
                    <w:tl2br w:val="nil"/>
                    <w:tr2bl w:val="nil"/>
                  </w:tcBorders>
                  <w:noWrap w:val="0"/>
                  <w:vAlign w:val="center"/>
                </w:tcPr>
                <w:p>
                  <w:pPr>
                    <w:spacing w:line="240" w:lineRule="auto"/>
                    <w:jc w:val="center"/>
                    <w:rPr>
                      <w:rFonts w:hint="eastAsia"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12</w:t>
                  </w:r>
                </w:p>
              </w:tc>
              <w:tc>
                <w:tcPr>
                  <w:tcW w:w="506" w:type="pct"/>
                  <w:tcBorders>
                    <w:tl2br w:val="nil"/>
                    <w:tr2bl w:val="nil"/>
                  </w:tcBorders>
                  <w:noWrap w:val="0"/>
                  <w:vAlign w:val="center"/>
                </w:tcPr>
                <w:p>
                  <w:pPr>
                    <w:bidi w:val="0"/>
                    <w:spacing w:line="240" w:lineRule="auto"/>
                    <w:jc w:val="center"/>
                    <w:rPr>
                      <w:rFonts w:hint="eastAsia"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库房</w:t>
                  </w:r>
                  <w:r>
                    <w:rPr>
                      <w:rFonts w:hint="eastAsia" w:cs="Times New Roman" w:eastAsiaTheme="minorEastAsia"/>
                      <w:color w:val="auto"/>
                      <w:sz w:val="21"/>
                      <w:szCs w:val="21"/>
                      <w:highlight w:val="none"/>
                      <w:lang w:val="en-US" w:eastAsia="zh-CN"/>
                    </w:rPr>
                    <w:t>车间</w:t>
                  </w:r>
                </w:p>
              </w:tc>
              <w:tc>
                <w:tcPr>
                  <w:tcW w:w="869" w:type="pct"/>
                  <w:tcBorders>
                    <w:tl2br w:val="nil"/>
                    <w:tr2bl w:val="nil"/>
                  </w:tcBorders>
                  <w:noWrap w:val="0"/>
                  <w:vAlign w:val="center"/>
                </w:tcPr>
                <w:p>
                  <w:pPr>
                    <w:bidi w:val="0"/>
                    <w:spacing w:line="240" w:lineRule="auto"/>
                    <w:jc w:val="center"/>
                    <w:rPr>
                      <w:rFonts w:hint="eastAsia"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10Mp/瓶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4" w:hRule="atLeast"/>
                <w:jc w:val="center"/>
              </w:trPr>
              <w:tc>
                <w:tcPr>
                  <w:tcW w:w="238" w:type="pct"/>
                  <w:tcBorders>
                    <w:tl2br w:val="nil"/>
                    <w:tr2bl w:val="nil"/>
                  </w:tcBorders>
                  <w:noWrap w:val="0"/>
                  <w:vAlign w:val="center"/>
                </w:tcPr>
                <w:p>
                  <w:pPr>
                    <w:pStyle w:val="81"/>
                    <w:bidi w:val="0"/>
                    <w:spacing w:line="240" w:lineRule="auto"/>
                    <w:rPr>
                      <w:rFonts w:hint="eastAsia" w:ascii="Times New Roman" w:hAnsi="Times New Roman" w:cs="Times New Roman" w:eastAsiaTheme="minorEastAsia"/>
                      <w:color w:val="auto"/>
                      <w:kern w:val="0"/>
                      <w:sz w:val="21"/>
                      <w:szCs w:val="21"/>
                      <w:highlight w:val="none"/>
                      <w:lang w:val="en-US" w:eastAsia="zh-CN" w:bidi="ar-SA"/>
                    </w:rPr>
                  </w:pPr>
                  <w:r>
                    <w:rPr>
                      <w:rFonts w:hint="eastAsia" w:ascii="Times New Roman" w:hAnsi="Times New Roman" w:cs="Times New Roman" w:eastAsiaTheme="minorEastAsia"/>
                      <w:color w:val="auto"/>
                      <w:kern w:val="0"/>
                      <w:sz w:val="21"/>
                      <w:szCs w:val="21"/>
                      <w:highlight w:val="none"/>
                      <w:lang w:val="en-US" w:eastAsia="zh-CN" w:bidi="ar-SA"/>
                    </w:rPr>
                    <w:t>17</w:t>
                  </w:r>
                </w:p>
              </w:tc>
              <w:tc>
                <w:tcPr>
                  <w:tcW w:w="362" w:type="pct"/>
                  <w:tcBorders>
                    <w:tl2br w:val="nil"/>
                    <w:tr2bl w:val="nil"/>
                  </w:tcBorders>
                  <w:noWrap w:val="0"/>
                  <w:vAlign w:val="center"/>
                </w:tcPr>
                <w:p>
                  <w:pPr>
                    <w:spacing w:line="240" w:lineRule="auto"/>
                    <w:jc w:val="center"/>
                    <w:rPr>
                      <w:rFonts w:hint="default" w:cs="Times New Roman" w:eastAsiaTheme="minorEastAsia"/>
                      <w:color w:val="auto"/>
                      <w:kern w:val="2"/>
                      <w:sz w:val="21"/>
                      <w:szCs w:val="21"/>
                      <w:highlight w:val="none"/>
                      <w:lang w:val="en-US" w:eastAsia="zh-CN" w:bidi="ar-SA"/>
                    </w:rPr>
                  </w:pPr>
                  <w:r>
                    <w:rPr>
                      <w:rFonts w:hint="eastAsia" w:cs="Times New Roman" w:eastAsiaTheme="minorEastAsia"/>
                      <w:color w:val="auto"/>
                      <w:kern w:val="2"/>
                      <w:sz w:val="21"/>
                      <w:szCs w:val="21"/>
                      <w:highlight w:val="none"/>
                      <w:lang w:val="en-US" w:eastAsia="zh-CN" w:bidi="ar-SA"/>
                    </w:rPr>
                    <w:t>丙烷</w:t>
                  </w:r>
                </w:p>
              </w:tc>
              <w:tc>
                <w:tcPr>
                  <w:tcW w:w="427" w:type="pct"/>
                  <w:tcBorders>
                    <w:tl2br w:val="nil"/>
                    <w:tr2bl w:val="nil"/>
                  </w:tcBorders>
                  <w:noWrap w:val="0"/>
                  <w:vAlign w:val="center"/>
                </w:tcPr>
                <w:p>
                  <w:pPr>
                    <w:spacing w:line="240" w:lineRule="auto"/>
                    <w:jc w:val="center"/>
                    <w:rPr>
                      <w:rFonts w:hint="eastAsia"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瓶/年</w:t>
                  </w:r>
                </w:p>
              </w:tc>
              <w:tc>
                <w:tcPr>
                  <w:tcW w:w="533"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6</w:t>
                  </w:r>
                </w:p>
              </w:tc>
              <w:tc>
                <w:tcPr>
                  <w:tcW w:w="596"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5</w:t>
                  </w:r>
                </w:p>
              </w:tc>
              <w:tc>
                <w:tcPr>
                  <w:tcW w:w="417"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1</w:t>
                  </w:r>
                </w:p>
              </w:tc>
              <w:tc>
                <w:tcPr>
                  <w:tcW w:w="514"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0</w:t>
                  </w:r>
                </w:p>
              </w:tc>
              <w:tc>
                <w:tcPr>
                  <w:tcW w:w="531" w:type="pct"/>
                  <w:tcBorders>
                    <w:tl2br w:val="nil"/>
                    <w:tr2bl w:val="nil"/>
                  </w:tcBorders>
                  <w:noWrap w:val="0"/>
                  <w:vAlign w:val="center"/>
                </w:tcPr>
                <w:p>
                  <w:pPr>
                    <w:spacing w:line="240" w:lineRule="auto"/>
                    <w:jc w:val="center"/>
                    <w:rPr>
                      <w:rFonts w:hint="eastAsia"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6</w:t>
                  </w:r>
                </w:p>
              </w:tc>
              <w:tc>
                <w:tcPr>
                  <w:tcW w:w="506" w:type="pct"/>
                  <w:tcBorders>
                    <w:tl2br w:val="nil"/>
                    <w:tr2bl w:val="nil"/>
                  </w:tcBorders>
                  <w:noWrap w:val="0"/>
                  <w:vAlign w:val="center"/>
                </w:tcPr>
                <w:p>
                  <w:pPr>
                    <w:bidi w:val="0"/>
                    <w:spacing w:line="240" w:lineRule="auto"/>
                    <w:jc w:val="center"/>
                    <w:rPr>
                      <w:rFonts w:hint="eastAsia"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库房</w:t>
                  </w:r>
                  <w:r>
                    <w:rPr>
                      <w:rFonts w:hint="eastAsia" w:cs="Times New Roman" w:eastAsiaTheme="minorEastAsia"/>
                      <w:color w:val="auto"/>
                      <w:sz w:val="21"/>
                      <w:szCs w:val="21"/>
                      <w:highlight w:val="none"/>
                      <w:lang w:val="en-US" w:eastAsia="zh-CN"/>
                    </w:rPr>
                    <w:t>车间</w:t>
                  </w:r>
                </w:p>
              </w:tc>
              <w:tc>
                <w:tcPr>
                  <w:tcW w:w="869" w:type="pct"/>
                  <w:tcBorders>
                    <w:tl2br w:val="nil"/>
                    <w:tr2bl w:val="nil"/>
                  </w:tcBorders>
                  <w:noWrap w:val="0"/>
                  <w:vAlign w:val="center"/>
                </w:tcPr>
                <w:p>
                  <w:pPr>
                    <w:bidi w:val="0"/>
                    <w:spacing w:line="240" w:lineRule="auto"/>
                    <w:jc w:val="center"/>
                    <w:rPr>
                      <w:rFonts w:hint="eastAsia"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20kg</w:t>
                  </w:r>
                  <w:r>
                    <w:rPr>
                      <w:rFonts w:hint="eastAsia" w:ascii="Times New Roman" w:hAnsi="Times New Roman" w:cs="Times New Roman" w:eastAsiaTheme="minorEastAsia"/>
                      <w:color w:val="auto"/>
                      <w:sz w:val="21"/>
                      <w:szCs w:val="21"/>
                      <w:highlight w:val="none"/>
                      <w:lang w:val="en-US" w:eastAsia="zh-CN"/>
                    </w:rPr>
                    <w:t>/瓶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4" w:hRule="atLeast"/>
                <w:jc w:val="center"/>
              </w:trPr>
              <w:tc>
                <w:tcPr>
                  <w:tcW w:w="238" w:type="pct"/>
                  <w:tcBorders>
                    <w:tl2br w:val="nil"/>
                    <w:tr2bl w:val="nil"/>
                  </w:tcBorders>
                  <w:noWrap w:val="0"/>
                  <w:vAlign w:val="center"/>
                </w:tcPr>
                <w:p>
                  <w:pPr>
                    <w:pStyle w:val="81"/>
                    <w:bidi w:val="0"/>
                    <w:spacing w:line="240" w:lineRule="auto"/>
                    <w:rPr>
                      <w:rFonts w:hint="eastAsia" w:ascii="Times New Roman" w:hAnsi="Times New Roman" w:cs="Times New Roman" w:eastAsiaTheme="minorEastAsia"/>
                      <w:color w:val="auto"/>
                      <w:kern w:val="0"/>
                      <w:sz w:val="21"/>
                      <w:szCs w:val="21"/>
                      <w:highlight w:val="none"/>
                      <w:lang w:val="en-US" w:eastAsia="zh-CN" w:bidi="ar-SA"/>
                    </w:rPr>
                  </w:pPr>
                  <w:r>
                    <w:rPr>
                      <w:rFonts w:hint="eastAsia" w:ascii="Times New Roman" w:hAnsi="Times New Roman" w:cs="Times New Roman" w:eastAsiaTheme="minorEastAsia"/>
                      <w:color w:val="auto"/>
                      <w:kern w:val="0"/>
                      <w:sz w:val="21"/>
                      <w:szCs w:val="21"/>
                      <w:highlight w:val="none"/>
                      <w:lang w:val="en-US" w:eastAsia="zh-CN" w:bidi="ar-SA"/>
                    </w:rPr>
                    <w:t>18</w:t>
                  </w:r>
                </w:p>
              </w:tc>
              <w:tc>
                <w:tcPr>
                  <w:tcW w:w="362" w:type="pct"/>
                  <w:tcBorders>
                    <w:tl2br w:val="nil"/>
                    <w:tr2bl w:val="nil"/>
                  </w:tcBorders>
                  <w:noWrap w:val="0"/>
                  <w:vAlign w:val="center"/>
                </w:tcPr>
                <w:p>
                  <w:pPr>
                    <w:spacing w:line="240" w:lineRule="auto"/>
                    <w:jc w:val="center"/>
                    <w:rPr>
                      <w:rFonts w:hint="default" w:cs="Times New Roman" w:eastAsiaTheme="minorEastAsia"/>
                      <w:color w:val="auto"/>
                      <w:kern w:val="2"/>
                      <w:sz w:val="21"/>
                      <w:szCs w:val="21"/>
                      <w:highlight w:val="none"/>
                      <w:lang w:val="en-US" w:eastAsia="zh-CN" w:bidi="ar-SA"/>
                    </w:rPr>
                  </w:pPr>
                  <w:r>
                    <w:rPr>
                      <w:rFonts w:hint="eastAsia" w:cs="Times New Roman" w:eastAsiaTheme="minorEastAsia"/>
                      <w:color w:val="auto"/>
                      <w:kern w:val="2"/>
                      <w:sz w:val="21"/>
                      <w:szCs w:val="21"/>
                      <w:highlight w:val="none"/>
                      <w:lang w:val="en-US" w:eastAsia="zh-CN" w:bidi="ar-SA"/>
                    </w:rPr>
                    <w:t>活性炭</w:t>
                  </w:r>
                </w:p>
              </w:tc>
              <w:tc>
                <w:tcPr>
                  <w:tcW w:w="427" w:type="pct"/>
                  <w:tcBorders>
                    <w:tl2br w:val="nil"/>
                    <w:tr2bl w:val="nil"/>
                  </w:tcBorders>
                  <w:noWrap w:val="0"/>
                  <w:vAlign w:val="center"/>
                </w:tcPr>
                <w:p>
                  <w:pPr>
                    <w:spacing w:line="240" w:lineRule="auto"/>
                    <w:jc w:val="center"/>
                    <w:rPr>
                      <w:rFonts w:hint="eastAsia"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吨/年</w:t>
                  </w:r>
                </w:p>
              </w:tc>
              <w:tc>
                <w:tcPr>
                  <w:tcW w:w="533"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0</w:t>
                  </w:r>
                </w:p>
              </w:tc>
              <w:tc>
                <w:tcPr>
                  <w:tcW w:w="596"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0</w:t>
                  </w:r>
                </w:p>
              </w:tc>
              <w:tc>
                <w:tcPr>
                  <w:tcW w:w="417"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9</w:t>
                  </w:r>
                </w:p>
              </w:tc>
              <w:tc>
                <w:tcPr>
                  <w:tcW w:w="514"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+9</w:t>
                  </w:r>
                </w:p>
              </w:tc>
              <w:tc>
                <w:tcPr>
                  <w:tcW w:w="531" w:type="pct"/>
                  <w:tcBorders>
                    <w:tl2br w:val="nil"/>
                    <w:tr2bl w:val="nil"/>
                  </w:tcBorders>
                  <w:noWrap w:val="0"/>
                  <w:vAlign w:val="center"/>
                </w:tcPr>
                <w:p>
                  <w:pPr>
                    <w:spacing w:line="240" w:lineRule="auto"/>
                    <w:jc w:val="center"/>
                    <w:rPr>
                      <w:rFonts w:hint="eastAsia"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9</w:t>
                  </w:r>
                </w:p>
              </w:tc>
              <w:tc>
                <w:tcPr>
                  <w:tcW w:w="506" w:type="pct"/>
                  <w:vMerge w:val="restart"/>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新增</w:t>
                  </w:r>
                </w:p>
              </w:tc>
              <w:tc>
                <w:tcPr>
                  <w:tcW w:w="869" w:type="pct"/>
                  <w:tcBorders>
                    <w:tl2br w:val="nil"/>
                    <w:tr2bl w:val="nil"/>
                  </w:tcBorders>
                  <w:noWrap w:val="0"/>
                  <w:vAlign w:val="center"/>
                </w:tcPr>
                <w:p>
                  <w:pPr>
                    <w:pStyle w:val="81"/>
                    <w:bidi w:val="0"/>
                    <w:spacing w:line="240" w:lineRule="auto"/>
                    <w:rPr>
                      <w:rFonts w:hint="eastAsia"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环保设备厂家供应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2" w:hRule="atLeast"/>
                <w:jc w:val="center"/>
              </w:trPr>
              <w:tc>
                <w:tcPr>
                  <w:tcW w:w="238" w:type="pct"/>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kern w:val="0"/>
                      <w:sz w:val="21"/>
                      <w:szCs w:val="21"/>
                      <w:highlight w:val="none"/>
                      <w:lang w:val="en-US" w:eastAsia="zh-CN" w:bidi="ar-SA"/>
                    </w:rPr>
                  </w:pPr>
                  <w:r>
                    <w:rPr>
                      <w:rFonts w:hint="eastAsia" w:ascii="Times New Roman" w:hAnsi="Times New Roman" w:cs="Times New Roman" w:eastAsiaTheme="minorEastAsia"/>
                      <w:color w:val="auto"/>
                      <w:kern w:val="0"/>
                      <w:sz w:val="21"/>
                      <w:szCs w:val="21"/>
                      <w:highlight w:val="none"/>
                      <w:lang w:val="en-US" w:eastAsia="zh-CN" w:bidi="ar-SA"/>
                    </w:rPr>
                    <w:t>19</w:t>
                  </w:r>
                </w:p>
              </w:tc>
              <w:tc>
                <w:tcPr>
                  <w:tcW w:w="362" w:type="pct"/>
                  <w:tcBorders>
                    <w:tl2br w:val="nil"/>
                    <w:tr2bl w:val="nil"/>
                  </w:tcBorders>
                  <w:noWrap w:val="0"/>
                  <w:vAlign w:val="center"/>
                </w:tcPr>
                <w:p>
                  <w:pPr>
                    <w:spacing w:line="240" w:lineRule="auto"/>
                    <w:jc w:val="center"/>
                    <w:rPr>
                      <w:rFonts w:hint="default" w:cs="Times New Roman" w:eastAsiaTheme="minorEastAsia"/>
                      <w:color w:val="auto"/>
                      <w:kern w:val="2"/>
                      <w:sz w:val="21"/>
                      <w:szCs w:val="21"/>
                      <w:highlight w:val="none"/>
                      <w:lang w:val="en-US" w:eastAsia="zh-CN" w:bidi="ar-SA"/>
                    </w:rPr>
                  </w:pPr>
                  <w:r>
                    <w:rPr>
                      <w:rFonts w:hint="eastAsia" w:cs="Times New Roman" w:eastAsiaTheme="minorEastAsia"/>
                      <w:color w:val="auto"/>
                      <w:kern w:val="2"/>
                      <w:sz w:val="21"/>
                      <w:szCs w:val="21"/>
                      <w:highlight w:val="none"/>
                      <w:lang w:val="en-US" w:eastAsia="zh-CN" w:bidi="ar-SA"/>
                    </w:rPr>
                    <w:t>过滤棉</w:t>
                  </w:r>
                </w:p>
              </w:tc>
              <w:tc>
                <w:tcPr>
                  <w:tcW w:w="427"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吨/年</w:t>
                  </w:r>
                </w:p>
              </w:tc>
              <w:tc>
                <w:tcPr>
                  <w:tcW w:w="533"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0</w:t>
                  </w:r>
                </w:p>
              </w:tc>
              <w:tc>
                <w:tcPr>
                  <w:tcW w:w="596"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0</w:t>
                  </w:r>
                </w:p>
              </w:tc>
              <w:tc>
                <w:tcPr>
                  <w:tcW w:w="417"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1</w:t>
                  </w:r>
                </w:p>
              </w:tc>
              <w:tc>
                <w:tcPr>
                  <w:tcW w:w="514"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+1</w:t>
                  </w:r>
                </w:p>
              </w:tc>
              <w:tc>
                <w:tcPr>
                  <w:tcW w:w="531" w:type="pct"/>
                  <w:tcBorders>
                    <w:tl2br w:val="nil"/>
                    <w:tr2bl w:val="nil"/>
                  </w:tcBorders>
                  <w:noWrap w:val="0"/>
                  <w:vAlign w:val="center"/>
                </w:tcPr>
                <w:p>
                  <w:pPr>
                    <w:spacing w:line="240" w:lineRule="auto"/>
                    <w:jc w:val="center"/>
                    <w:rPr>
                      <w:rFonts w:hint="eastAsia"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1</w:t>
                  </w:r>
                </w:p>
              </w:tc>
              <w:tc>
                <w:tcPr>
                  <w:tcW w:w="506" w:type="pct"/>
                  <w:vMerge w:val="continue"/>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sz w:val="21"/>
                      <w:szCs w:val="21"/>
                      <w:highlight w:val="none"/>
                      <w:lang w:val="en-US" w:eastAsia="zh-CN"/>
                    </w:rPr>
                  </w:pPr>
                </w:p>
              </w:tc>
              <w:tc>
                <w:tcPr>
                  <w:tcW w:w="869" w:type="pct"/>
                  <w:tcBorders>
                    <w:tl2br w:val="nil"/>
                    <w:tr2bl w:val="nil"/>
                  </w:tcBorders>
                  <w:noWrap w:val="0"/>
                  <w:vAlign w:val="center"/>
                </w:tcPr>
                <w:p>
                  <w:pPr>
                    <w:pStyle w:val="81"/>
                    <w:bidi w:val="0"/>
                    <w:spacing w:line="240" w:lineRule="auto"/>
                    <w:rPr>
                      <w:rFonts w:hint="eastAsia"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环保设备厂家供应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1" w:hRule="atLeast"/>
                <w:jc w:val="center"/>
              </w:trPr>
              <w:tc>
                <w:tcPr>
                  <w:tcW w:w="238" w:type="pct"/>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kern w:val="0"/>
                      <w:sz w:val="21"/>
                      <w:szCs w:val="21"/>
                      <w:highlight w:val="none"/>
                      <w:lang w:val="en-US" w:eastAsia="zh-CN" w:bidi="ar-SA"/>
                    </w:rPr>
                  </w:pPr>
                  <w:r>
                    <w:rPr>
                      <w:rFonts w:hint="eastAsia" w:ascii="Times New Roman" w:hAnsi="Times New Roman" w:cs="Times New Roman" w:eastAsiaTheme="minorEastAsia"/>
                      <w:color w:val="auto"/>
                      <w:kern w:val="0"/>
                      <w:sz w:val="21"/>
                      <w:szCs w:val="21"/>
                      <w:highlight w:val="none"/>
                      <w:lang w:val="en-US" w:eastAsia="zh-CN" w:bidi="ar-SA"/>
                    </w:rPr>
                    <w:t>20</w:t>
                  </w:r>
                </w:p>
              </w:tc>
              <w:tc>
                <w:tcPr>
                  <w:tcW w:w="362" w:type="pct"/>
                  <w:tcBorders>
                    <w:tl2br w:val="nil"/>
                    <w:tr2bl w:val="nil"/>
                  </w:tcBorders>
                  <w:noWrap w:val="0"/>
                  <w:vAlign w:val="center"/>
                </w:tcPr>
                <w:p>
                  <w:pPr>
                    <w:spacing w:line="240" w:lineRule="auto"/>
                    <w:jc w:val="center"/>
                    <w:rPr>
                      <w:rFonts w:hint="default" w:cs="Times New Roman" w:eastAsiaTheme="minorEastAsia"/>
                      <w:color w:val="auto"/>
                      <w:kern w:val="2"/>
                      <w:sz w:val="21"/>
                      <w:szCs w:val="21"/>
                      <w:highlight w:val="none"/>
                      <w:lang w:val="en-US" w:eastAsia="zh-CN" w:bidi="ar-SA"/>
                    </w:rPr>
                  </w:pPr>
                  <w:r>
                    <w:rPr>
                      <w:rFonts w:hint="eastAsia" w:cs="Times New Roman" w:eastAsiaTheme="minorEastAsia"/>
                      <w:color w:val="auto"/>
                      <w:kern w:val="2"/>
                      <w:sz w:val="21"/>
                      <w:szCs w:val="21"/>
                      <w:highlight w:val="none"/>
                      <w:lang w:val="en-US" w:eastAsia="zh-CN" w:bidi="ar-SA"/>
                    </w:rPr>
                    <w:t>高固份油漆（醇酸树脂漆）</w:t>
                  </w:r>
                </w:p>
              </w:tc>
              <w:tc>
                <w:tcPr>
                  <w:tcW w:w="427"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t/a</w:t>
                  </w:r>
                </w:p>
              </w:tc>
              <w:tc>
                <w:tcPr>
                  <w:tcW w:w="533"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0</w:t>
                  </w:r>
                </w:p>
              </w:tc>
              <w:tc>
                <w:tcPr>
                  <w:tcW w:w="596"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0</w:t>
                  </w:r>
                </w:p>
              </w:tc>
              <w:tc>
                <w:tcPr>
                  <w:tcW w:w="417"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0.4</w:t>
                  </w:r>
                </w:p>
              </w:tc>
              <w:tc>
                <w:tcPr>
                  <w:tcW w:w="514"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+0.4</w:t>
                  </w:r>
                </w:p>
              </w:tc>
              <w:tc>
                <w:tcPr>
                  <w:tcW w:w="531" w:type="pct"/>
                  <w:tcBorders>
                    <w:tl2br w:val="nil"/>
                    <w:tr2bl w:val="nil"/>
                  </w:tcBorders>
                  <w:noWrap w:val="0"/>
                  <w:vAlign w:val="center"/>
                </w:tcPr>
                <w:p>
                  <w:pPr>
                    <w:spacing w:line="240" w:lineRule="auto"/>
                    <w:jc w:val="center"/>
                    <w:rPr>
                      <w:rFonts w:hint="eastAsia" w:ascii="Times New Roman" w:hAnsi="Times New Roman"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0.4</w:t>
                  </w:r>
                </w:p>
              </w:tc>
              <w:tc>
                <w:tcPr>
                  <w:tcW w:w="506" w:type="pct"/>
                  <w:vMerge w:val="restart"/>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库房</w:t>
                  </w:r>
                </w:p>
              </w:tc>
              <w:tc>
                <w:tcPr>
                  <w:tcW w:w="869" w:type="pct"/>
                  <w:tcBorders>
                    <w:tl2br w:val="nil"/>
                    <w:tr2bl w:val="nil"/>
                  </w:tcBorders>
                  <w:noWrap w:val="0"/>
                  <w:vAlign w:val="center"/>
                </w:tcPr>
                <w:p>
                  <w:pPr>
                    <w:pStyle w:val="81"/>
                    <w:bidi w:val="0"/>
                    <w:spacing w:line="240" w:lineRule="auto"/>
                    <w:rPr>
                      <w:rFonts w:hint="eastAsia"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25kg/桶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1" w:hRule="atLeast"/>
                <w:jc w:val="center"/>
              </w:trPr>
              <w:tc>
                <w:tcPr>
                  <w:tcW w:w="238" w:type="pct"/>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kern w:val="0"/>
                      <w:sz w:val="21"/>
                      <w:szCs w:val="21"/>
                      <w:highlight w:val="none"/>
                      <w:lang w:val="en-US" w:eastAsia="zh-CN" w:bidi="ar-SA"/>
                    </w:rPr>
                  </w:pPr>
                  <w:r>
                    <w:rPr>
                      <w:rFonts w:hint="eastAsia" w:ascii="Times New Roman" w:hAnsi="Times New Roman" w:cs="Times New Roman" w:eastAsiaTheme="minorEastAsia"/>
                      <w:color w:val="auto"/>
                      <w:kern w:val="0"/>
                      <w:sz w:val="21"/>
                      <w:szCs w:val="21"/>
                      <w:highlight w:val="none"/>
                      <w:lang w:val="en-US" w:eastAsia="zh-CN" w:bidi="ar-SA"/>
                    </w:rPr>
                    <w:t>21</w:t>
                  </w:r>
                </w:p>
              </w:tc>
              <w:tc>
                <w:tcPr>
                  <w:tcW w:w="362" w:type="pct"/>
                  <w:tcBorders>
                    <w:tl2br w:val="nil"/>
                    <w:tr2bl w:val="nil"/>
                  </w:tcBorders>
                  <w:noWrap w:val="0"/>
                  <w:vAlign w:val="center"/>
                </w:tcPr>
                <w:p>
                  <w:pPr>
                    <w:spacing w:line="240" w:lineRule="auto"/>
                    <w:jc w:val="center"/>
                    <w:rPr>
                      <w:rFonts w:hint="default" w:cs="Times New Roman" w:eastAsiaTheme="minorEastAsia"/>
                      <w:color w:val="auto"/>
                      <w:kern w:val="2"/>
                      <w:sz w:val="21"/>
                      <w:szCs w:val="21"/>
                      <w:highlight w:val="none"/>
                      <w:lang w:val="en-US" w:eastAsia="zh-CN" w:bidi="ar-SA"/>
                    </w:rPr>
                  </w:pPr>
                  <w:r>
                    <w:rPr>
                      <w:rFonts w:hint="eastAsia" w:cs="Times New Roman" w:eastAsiaTheme="minorEastAsia"/>
                      <w:color w:val="auto"/>
                      <w:kern w:val="2"/>
                      <w:sz w:val="21"/>
                      <w:szCs w:val="21"/>
                      <w:highlight w:val="none"/>
                      <w:lang w:val="en-US" w:eastAsia="zh-CN" w:bidi="ar-SA"/>
                    </w:rPr>
                    <w:t>水性漆（水性丙烯酸漆）</w:t>
                  </w:r>
                </w:p>
              </w:tc>
              <w:tc>
                <w:tcPr>
                  <w:tcW w:w="427"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t/a</w:t>
                  </w:r>
                </w:p>
              </w:tc>
              <w:tc>
                <w:tcPr>
                  <w:tcW w:w="533"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0</w:t>
                  </w:r>
                </w:p>
              </w:tc>
              <w:tc>
                <w:tcPr>
                  <w:tcW w:w="596"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0</w:t>
                  </w:r>
                </w:p>
              </w:tc>
              <w:tc>
                <w:tcPr>
                  <w:tcW w:w="417"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0.85</w:t>
                  </w:r>
                </w:p>
              </w:tc>
              <w:tc>
                <w:tcPr>
                  <w:tcW w:w="514"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+0.85</w:t>
                  </w:r>
                </w:p>
              </w:tc>
              <w:tc>
                <w:tcPr>
                  <w:tcW w:w="531"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0.85</w:t>
                  </w:r>
                </w:p>
              </w:tc>
              <w:tc>
                <w:tcPr>
                  <w:tcW w:w="506" w:type="pct"/>
                  <w:vMerge w:val="continue"/>
                  <w:tcBorders>
                    <w:tl2br w:val="nil"/>
                    <w:tr2bl w:val="nil"/>
                  </w:tcBorders>
                  <w:noWrap w:val="0"/>
                  <w:vAlign w:val="center"/>
                </w:tcPr>
                <w:p>
                  <w:pPr>
                    <w:pStyle w:val="81"/>
                    <w:bidi w:val="0"/>
                    <w:spacing w:line="240" w:lineRule="auto"/>
                    <w:rPr>
                      <w:rFonts w:hint="eastAsia" w:ascii="Times New Roman" w:hAnsi="Times New Roman" w:cs="Times New Roman" w:eastAsiaTheme="minorEastAsia"/>
                      <w:color w:val="auto"/>
                      <w:sz w:val="21"/>
                      <w:szCs w:val="21"/>
                      <w:highlight w:val="none"/>
                      <w:lang w:val="en-US" w:eastAsia="zh-CN"/>
                    </w:rPr>
                  </w:pPr>
                </w:p>
              </w:tc>
              <w:tc>
                <w:tcPr>
                  <w:tcW w:w="869" w:type="pct"/>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25kg/桶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8" w:hRule="atLeast"/>
                <w:jc w:val="center"/>
              </w:trPr>
              <w:tc>
                <w:tcPr>
                  <w:tcW w:w="238" w:type="pct"/>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kern w:val="0"/>
                      <w:sz w:val="21"/>
                      <w:szCs w:val="21"/>
                      <w:highlight w:val="none"/>
                      <w:lang w:val="en-US" w:eastAsia="zh-CN" w:bidi="ar-SA"/>
                    </w:rPr>
                  </w:pPr>
                  <w:r>
                    <w:rPr>
                      <w:rFonts w:hint="eastAsia" w:ascii="Times New Roman" w:hAnsi="Times New Roman" w:cs="Times New Roman" w:eastAsiaTheme="minorEastAsia"/>
                      <w:color w:val="auto"/>
                      <w:kern w:val="0"/>
                      <w:sz w:val="21"/>
                      <w:szCs w:val="21"/>
                      <w:highlight w:val="none"/>
                      <w:lang w:val="en-US" w:eastAsia="zh-CN" w:bidi="ar-SA"/>
                    </w:rPr>
                    <w:t>22</w:t>
                  </w:r>
                </w:p>
              </w:tc>
              <w:tc>
                <w:tcPr>
                  <w:tcW w:w="362"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kern w:val="2"/>
                      <w:sz w:val="21"/>
                      <w:szCs w:val="21"/>
                      <w:highlight w:val="none"/>
                      <w:lang w:val="en-US" w:eastAsia="zh-CN" w:bidi="ar-SA"/>
                    </w:rPr>
                  </w:pPr>
                  <w:r>
                    <w:rPr>
                      <w:rFonts w:hint="eastAsia" w:cs="Times New Roman" w:eastAsiaTheme="minorEastAsia"/>
                      <w:color w:val="auto"/>
                      <w:kern w:val="2"/>
                      <w:sz w:val="21"/>
                      <w:szCs w:val="21"/>
                      <w:highlight w:val="none"/>
                      <w:lang w:val="en-US" w:eastAsia="zh-CN" w:bidi="ar-SA"/>
                    </w:rPr>
                    <w:t>稀释剂</w:t>
                  </w:r>
                </w:p>
              </w:tc>
              <w:tc>
                <w:tcPr>
                  <w:tcW w:w="427"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kern w:val="2"/>
                      <w:sz w:val="21"/>
                      <w:szCs w:val="21"/>
                      <w:highlight w:val="none"/>
                      <w:lang w:val="en-US" w:eastAsia="zh-CN" w:bidi="ar-SA"/>
                    </w:rPr>
                  </w:pPr>
                  <w:r>
                    <w:rPr>
                      <w:rFonts w:hint="eastAsia" w:cs="Times New Roman" w:eastAsiaTheme="minorEastAsia"/>
                      <w:color w:val="auto"/>
                      <w:sz w:val="21"/>
                      <w:szCs w:val="21"/>
                      <w:highlight w:val="none"/>
                      <w:lang w:val="en-US" w:eastAsia="zh-CN"/>
                    </w:rPr>
                    <w:t>t/a</w:t>
                  </w:r>
                </w:p>
              </w:tc>
              <w:tc>
                <w:tcPr>
                  <w:tcW w:w="533"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kern w:val="2"/>
                      <w:sz w:val="21"/>
                      <w:szCs w:val="21"/>
                      <w:highlight w:val="none"/>
                      <w:lang w:val="en-US" w:eastAsia="zh-CN" w:bidi="ar-SA"/>
                    </w:rPr>
                  </w:pPr>
                  <w:r>
                    <w:rPr>
                      <w:rFonts w:hint="eastAsia" w:cs="Times New Roman" w:eastAsiaTheme="minorEastAsia"/>
                      <w:color w:val="auto"/>
                      <w:sz w:val="21"/>
                      <w:szCs w:val="21"/>
                      <w:highlight w:val="none"/>
                      <w:lang w:val="en-US" w:eastAsia="zh-CN"/>
                    </w:rPr>
                    <w:t>0</w:t>
                  </w:r>
                </w:p>
              </w:tc>
              <w:tc>
                <w:tcPr>
                  <w:tcW w:w="596" w:type="pct"/>
                  <w:tcBorders>
                    <w:tl2br w:val="nil"/>
                    <w:tr2bl w:val="nil"/>
                  </w:tcBorders>
                  <w:noWrap w:val="0"/>
                  <w:vAlign w:val="center"/>
                </w:tcPr>
                <w:p>
                  <w:pPr>
                    <w:spacing w:line="240" w:lineRule="auto"/>
                    <w:jc w:val="center"/>
                    <w:rPr>
                      <w:rFonts w:hint="default" w:cs="Times New Roman" w:eastAsiaTheme="minorEastAsia"/>
                      <w:color w:val="auto"/>
                      <w:kern w:val="2"/>
                      <w:sz w:val="21"/>
                      <w:szCs w:val="21"/>
                      <w:highlight w:val="none"/>
                      <w:lang w:val="en-US" w:eastAsia="zh-CN" w:bidi="ar-SA"/>
                    </w:rPr>
                  </w:pPr>
                  <w:r>
                    <w:rPr>
                      <w:rFonts w:hint="eastAsia" w:cs="Times New Roman" w:eastAsiaTheme="minorEastAsia"/>
                      <w:color w:val="auto"/>
                      <w:kern w:val="2"/>
                      <w:sz w:val="21"/>
                      <w:szCs w:val="21"/>
                      <w:highlight w:val="none"/>
                      <w:lang w:val="en-US" w:eastAsia="zh-CN" w:bidi="ar-SA"/>
                    </w:rPr>
                    <w:t>0</w:t>
                  </w:r>
                </w:p>
              </w:tc>
              <w:tc>
                <w:tcPr>
                  <w:tcW w:w="417"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kern w:val="2"/>
                      <w:sz w:val="21"/>
                      <w:szCs w:val="21"/>
                      <w:highlight w:val="none"/>
                      <w:lang w:val="en-US" w:eastAsia="zh-CN" w:bidi="ar-SA"/>
                    </w:rPr>
                  </w:pPr>
                  <w:r>
                    <w:rPr>
                      <w:rFonts w:hint="eastAsia" w:cs="Times New Roman" w:eastAsiaTheme="minorEastAsia"/>
                      <w:color w:val="auto"/>
                      <w:kern w:val="2"/>
                      <w:sz w:val="21"/>
                      <w:szCs w:val="21"/>
                      <w:highlight w:val="none"/>
                      <w:lang w:val="en-US" w:eastAsia="zh-CN" w:bidi="ar-SA"/>
                    </w:rPr>
                    <w:t>0.05</w:t>
                  </w:r>
                </w:p>
              </w:tc>
              <w:tc>
                <w:tcPr>
                  <w:tcW w:w="514" w:type="pct"/>
                  <w:tcBorders>
                    <w:tl2br w:val="nil"/>
                    <w:tr2bl w:val="nil"/>
                  </w:tcBorders>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+0.05</w:t>
                  </w:r>
                </w:p>
              </w:tc>
              <w:tc>
                <w:tcPr>
                  <w:tcW w:w="531"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auto"/>
                      <w:kern w:val="2"/>
                      <w:sz w:val="21"/>
                      <w:szCs w:val="21"/>
                      <w:highlight w:val="none"/>
                      <w:lang w:val="en-US" w:eastAsia="zh-CN" w:bidi="ar-SA"/>
                    </w:rPr>
                  </w:pPr>
                  <w:r>
                    <w:rPr>
                      <w:rFonts w:hint="eastAsia" w:cs="Times New Roman" w:eastAsiaTheme="minorEastAsia"/>
                      <w:color w:val="auto"/>
                      <w:sz w:val="21"/>
                      <w:szCs w:val="21"/>
                      <w:highlight w:val="none"/>
                      <w:lang w:val="en-US" w:eastAsia="zh-CN"/>
                    </w:rPr>
                    <w:t>0.05</w:t>
                  </w:r>
                </w:p>
              </w:tc>
              <w:tc>
                <w:tcPr>
                  <w:tcW w:w="506" w:type="pct"/>
                  <w:vMerge w:val="continue"/>
                  <w:tcBorders>
                    <w:tl2br w:val="nil"/>
                    <w:tr2bl w:val="nil"/>
                  </w:tcBorders>
                  <w:noWrap w:val="0"/>
                  <w:vAlign w:val="center"/>
                </w:tcPr>
                <w:p>
                  <w:pPr>
                    <w:pStyle w:val="81"/>
                    <w:bidi w:val="0"/>
                    <w:spacing w:line="240" w:lineRule="auto"/>
                    <w:rPr>
                      <w:rFonts w:hint="default" w:ascii="Times New Roman" w:hAnsi="Times New Roman" w:cs="Times New Roman" w:eastAsiaTheme="minorEastAsia"/>
                      <w:color w:val="auto"/>
                      <w:kern w:val="0"/>
                      <w:sz w:val="21"/>
                      <w:szCs w:val="21"/>
                      <w:highlight w:val="none"/>
                      <w:lang w:val="en-US" w:eastAsia="zh-CN" w:bidi="ar-SA"/>
                    </w:rPr>
                  </w:pPr>
                </w:p>
              </w:tc>
              <w:tc>
                <w:tcPr>
                  <w:tcW w:w="869" w:type="pct"/>
                  <w:tcBorders>
                    <w:tl2br w:val="nil"/>
                    <w:tr2bl w:val="nil"/>
                  </w:tcBorders>
                  <w:noWrap w:val="0"/>
                  <w:vAlign w:val="center"/>
                </w:tcPr>
                <w:p>
                  <w:pPr>
                    <w:pStyle w:val="81"/>
                    <w:bidi w:val="0"/>
                    <w:spacing w:line="240" w:lineRule="auto"/>
                    <w:rPr>
                      <w:rFonts w:hint="eastAsia" w:ascii="Times New Roman" w:hAnsi="Times New Roman" w:cs="Times New Roman" w:eastAsiaTheme="minorEastAsia"/>
                      <w:color w:val="auto"/>
                      <w:sz w:val="21"/>
                      <w:szCs w:val="21"/>
                      <w:highlight w:val="none"/>
                      <w:lang w:val="en-US" w:eastAsia="zh-CN"/>
                    </w:rPr>
                  </w:pPr>
                  <w:r>
                    <w:rPr>
                      <w:rFonts w:hint="eastAsia" w:ascii="Times New Roman" w:hAnsi="Times New Roman" w:cs="Times New Roman" w:eastAsiaTheme="minorEastAsia"/>
                      <w:color w:val="auto"/>
                      <w:sz w:val="21"/>
                      <w:szCs w:val="21"/>
                      <w:highlight w:val="none"/>
                      <w:lang w:val="en-US" w:eastAsia="zh-CN"/>
                    </w:rPr>
                    <w:t>10kg/桶（本项目使用高固份油漆需稀释剂较少）</w:t>
                  </w:r>
                </w:p>
              </w:tc>
            </w:tr>
          </w:tbl>
          <w:p>
            <w:pPr>
              <w:keepNext w:val="0"/>
              <w:keepLines w:val="0"/>
              <w:pageBreakBefore w:val="0"/>
              <w:widowControl w:val="0"/>
              <w:kinsoku/>
              <w:wordWrap/>
              <w:overflowPunct/>
              <w:topLinePunct w:val="0"/>
              <w:autoSpaceDE/>
              <w:autoSpaceDN/>
              <w:bidi w:val="0"/>
              <w:adjustRightInd/>
              <w:snapToGrid w:val="0"/>
              <w:spacing w:line="360" w:lineRule="auto"/>
              <w:ind w:firstLine="420" w:firstLineChars="200"/>
              <w:contextualSpacing/>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ascii="Times New Roman" w:hAnsi="Times New Roman" w:eastAsia="宋体" w:cs="Times New Roman"/>
                <w:color w:val="auto"/>
                <w:kern w:val="0"/>
                <w:sz w:val="21"/>
                <w:szCs w:val="21"/>
                <w:highlight w:val="none"/>
                <w:lang w:val="en-US" w:eastAsia="zh-CN" w:bidi="ar-SA"/>
              </w:rPr>
              <w:t>注：</w:t>
            </w:r>
            <w:r>
              <w:rPr>
                <w:rFonts w:hint="eastAsia" w:cs="Times New Roman"/>
                <w:color w:val="auto"/>
                <w:kern w:val="0"/>
                <w:sz w:val="21"/>
                <w:szCs w:val="21"/>
                <w:highlight w:val="none"/>
                <w:lang w:val="en-US" w:eastAsia="zh-CN" w:bidi="ar-SA"/>
              </w:rPr>
              <w:t>根据企业提供的检测报告，</w:t>
            </w:r>
            <w:r>
              <w:rPr>
                <w:rFonts w:hint="eastAsia" w:ascii="Times New Roman" w:hAnsi="Times New Roman" w:eastAsia="宋体" w:cs="Times New Roman"/>
                <w:color w:val="auto"/>
                <w:kern w:val="0"/>
                <w:sz w:val="21"/>
                <w:szCs w:val="21"/>
                <w:highlight w:val="none"/>
                <w:lang w:val="en-US" w:eastAsia="zh-CN" w:bidi="ar-SA"/>
              </w:rPr>
              <w:t>本项目所用</w:t>
            </w:r>
            <w:r>
              <w:rPr>
                <w:rFonts w:hint="eastAsia" w:cs="Times New Roman"/>
                <w:color w:val="auto"/>
                <w:kern w:val="0"/>
                <w:sz w:val="21"/>
                <w:szCs w:val="21"/>
                <w:highlight w:val="none"/>
                <w:lang w:val="en-US" w:eastAsia="zh-CN" w:bidi="ar-SA"/>
              </w:rPr>
              <w:t>高固份油漆</w:t>
            </w:r>
            <w:r>
              <w:rPr>
                <w:rFonts w:hint="eastAsia" w:ascii="Times New Roman" w:hAnsi="Times New Roman" w:eastAsia="宋体" w:cs="Times New Roman"/>
                <w:color w:val="auto"/>
                <w:kern w:val="0"/>
                <w:sz w:val="21"/>
                <w:szCs w:val="21"/>
                <w:highlight w:val="none"/>
                <w:lang w:val="en-US" w:eastAsia="zh-CN" w:bidi="ar-SA"/>
              </w:rPr>
              <w:t>（醇酸树脂漆</w:t>
            </w:r>
            <w:r>
              <w:rPr>
                <w:rFonts w:hint="eastAsia" w:cs="Times New Roman"/>
                <w:color w:val="auto"/>
                <w:kern w:val="0"/>
                <w:sz w:val="21"/>
                <w:szCs w:val="21"/>
                <w:highlight w:val="none"/>
                <w:lang w:val="en-US" w:eastAsia="zh-CN" w:bidi="ar-SA"/>
              </w:rPr>
              <w:t>检测报告</w:t>
            </w:r>
            <w:r>
              <w:rPr>
                <w:rFonts w:hint="eastAsia" w:ascii="Times New Roman" w:hAnsi="Times New Roman" w:eastAsia="宋体" w:cs="Times New Roman"/>
                <w:color w:val="auto"/>
                <w:kern w:val="0"/>
                <w:sz w:val="21"/>
                <w:szCs w:val="21"/>
                <w:highlight w:val="none"/>
                <w:lang w:val="en-US" w:eastAsia="zh-CN" w:bidi="ar-SA"/>
              </w:rPr>
              <w:t>）</w:t>
            </w:r>
            <w:r>
              <w:rPr>
                <w:rFonts w:hint="eastAsia" w:cs="Times New Roman"/>
                <w:color w:val="auto"/>
                <w:kern w:val="0"/>
                <w:sz w:val="21"/>
                <w:szCs w:val="21"/>
                <w:highlight w:val="none"/>
                <w:lang w:val="en-US" w:eastAsia="zh-CN" w:bidi="ar-SA"/>
              </w:rPr>
              <w:t>，</w:t>
            </w:r>
            <w:r>
              <w:rPr>
                <w:rFonts w:hint="eastAsia" w:eastAsia="宋体" w:cs="Times New Roman"/>
                <w:color w:val="auto"/>
                <w:kern w:val="0"/>
                <w:sz w:val="21"/>
                <w:szCs w:val="21"/>
                <w:highlight w:val="none"/>
                <w:lang w:val="en-US" w:eastAsia="zh-CN" w:bidi="ar-SA"/>
              </w:rPr>
              <w:t>挥发性有机化合物</w:t>
            </w:r>
            <w:r>
              <w:rPr>
                <w:rFonts w:hint="eastAsia" w:cs="Times New Roman"/>
                <w:color w:val="auto"/>
                <w:kern w:val="0"/>
                <w:sz w:val="21"/>
                <w:szCs w:val="21"/>
                <w:highlight w:val="none"/>
                <w:lang w:val="en-US" w:eastAsia="zh-CN" w:bidi="ar-SA"/>
              </w:rPr>
              <w:t>（VOC）</w:t>
            </w:r>
            <w:r>
              <w:rPr>
                <w:rFonts w:hint="eastAsia" w:ascii="Times New Roman" w:hAnsi="Times New Roman" w:eastAsia="宋体" w:cs="Times New Roman"/>
                <w:color w:val="auto"/>
                <w:kern w:val="0"/>
                <w:sz w:val="21"/>
                <w:szCs w:val="21"/>
                <w:highlight w:val="none"/>
                <w:lang w:val="en-US" w:eastAsia="zh-CN" w:bidi="ar-SA"/>
              </w:rPr>
              <w:t>含量为</w:t>
            </w:r>
            <w:r>
              <w:rPr>
                <w:rFonts w:hint="eastAsia" w:cs="Times New Roman"/>
                <w:color w:val="auto"/>
                <w:kern w:val="0"/>
                <w:sz w:val="21"/>
                <w:szCs w:val="21"/>
                <w:highlight w:val="none"/>
                <w:lang w:val="en-US" w:eastAsia="zh-CN" w:bidi="ar-SA"/>
              </w:rPr>
              <w:t>59</w:t>
            </w:r>
            <w:r>
              <w:rPr>
                <w:rFonts w:hint="eastAsia" w:ascii="Times New Roman" w:hAnsi="Times New Roman" w:eastAsia="宋体" w:cs="Times New Roman"/>
                <w:color w:val="auto"/>
                <w:kern w:val="0"/>
                <w:sz w:val="21"/>
                <w:szCs w:val="21"/>
                <w:highlight w:val="none"/>
                <w:lang w:val="en-US" w:eastAsia="zh-CN" w:bidi="ar-SA"/>
              </w:rPr>
              <w:t>g/L</w:t>
            </w:r>
            <w:r>
              <w:rPr>
                <w:rFonts w:hint="eastAsia" w:eastAsia="宋体" w:cs="Times New Roman"/>
                <w:color w:val="auto"/>
                <w:kern w:val="0"/>
                <w:sz w:val="21"/>
                <w:szCs w:val="21"/>
                <w:highlight w:val="none"/>
                <w:lang w:val="en-US" w:eastAsia="zh-CN" w:bidi="ar-SA"/>
              </w:rPr>
              <w:t>，</w:t>
            </w:r>
            <w:r>
              <w:rPr>
                <w:rFonts w:hint="eastAsia" w:ascii="Times New Roman" w:hAnsi="Times New Roman" w:eastAsia="宋体" w:cs="Times New Roman"/>
                <w:color w:val="auto"/>
                <w:kern w:val="0"/>
                <w:sz w:val="21"/>
                <w:szCs w:val="21"/>
                <w:highlight w:val="none"/>
                <w:lang w:val="en-US" w:eastAsia="zh-CN" w:bidi="ar-SA"/>
              </w:rPr>
              <w:t>根据《低挥发性有机化合物含量涂料产品技术要求》（ GBT 38597-2020）</w:t>
            </w:r>
            <w:r>
              <w:rPr>
                <w:rFonts w:hint="eastAsia" w:cs="Times New Roman"/>
                <w:color w:val="auto"/>
                <w:kern w:val="0"/>
                <w:sz w:val="21"/>
                <w:szCs w:val="21"/>
                <w:highlight w:val="none"/>
                <w:lang w:val="en-US" w:eastAsia="zh-CN" w:bidi="ar-SA"/>
              </w:rPr>
              <w:t>表2溶剂型涂料中VOC含量的要求，工业防护涂料类型机械设备涂料（含零部件涂料），面漆限值为</w:t>
            </w:r>
            <w:r>
              <w:rPr>
                <w:rFonts w:hint="eastAsia" w:eastAsia="宋体" w:cs="Times New Roman"/>
                <w:color w:val="auto"/>
                <w:kern w:val="0"/>
                <w:sz w:val="21"/>
                <w:szCs w:val="21"/>
                <w:highlight w:val="none"/>
                <w:lang w:val="en-US" w:eastAsia="zh-CN" w:bidi="ar-SA"/>
              </w:rPr>
              <w:t>4</w:t>
            </w:r>
            <w:r>
              <w:rPr>
                <w:rFonts w:hint="eastAsia" w:cs="Times New Roman"/>
                <w:color w:val="auto"/>
                <w:kern w:val="0"/>
                <w:sz w:val="21"/>
                <w:szCs w:val="21"/>
                <w:highlight w:val="none"/>
                <w:lang w:val="en-US" w:eastAsia="zh-CN" w:bidi="ar-SA"/>
              </w:rPr>
              <w:t>80</w:t>
            </w:r>
            <w:r>
              <w:rPr>
                <w:rFonts w:hint="eastAsia" w:eastAsia="宋体" w:cs="Times New Roman"/>
                <w:color w:val="auto"/>
                <w:kern w:val="0"/>
                <w:sz w:val="21"/>
                <w:szCs w:val="21"/>
                <w:highlight w:val="none"/>
                <w:lang w:val="en-US" w:eastAsia="zh-CN" w:bidi="ar-SA"/>
              </w:rPr>
              <w:t>g/L，</w:t>
            </w:r>
            <w:r>
              <w:rPr>
                <w:rFonts w:hint="eastAsia" w:cs="Times New Roman"/>
                <w:color w:val="auto"/>
                <w:kern w:val="0"/>
                <w:sz w:val="21"/>
                <w:szCs w:val="21"/>
                <w:highlight w:val="none"/>
                <w:lang w:val="en-US" w:eastAsia="zh-CN" w:bidi="ar-SA"/>
              </w:rPr>
              <w:t>本项目使用油漆</w:t>
            </w:r>
            <w:r>
              <w:rPr>
                <w:rFonts w:hint="eastAsia" w:eastAsia="宋体" w:cs="Times New Roman"/>
                <w:color w:val="auto"/>
                <w:kern w:val="0"/>
                <w:sz w:val="21"/>
                <w:szCs w:val="21"/>
                <w:highlight w:val="none"/>
                <w:lang w:val="en-US" w:eastAsia="zh-CN" w:bidi="ar-SA"/>
              </w:rPr>
              <w:t>挥发性有机化合物</w:t>
            </w:r>
            <w:r>
              <w:rPr>
                <w:rFonts w:hint="eastAsia" w:cs="Times New Roman"/>
                <w:color w:val="auto"/>
                <w:kern w:val="0"/>
                <w:sz w:val="21"/>
                <w:szCs w:val="21"/>
                <w:highlight w:val="none"/>
                <w:lang w:val="en-US" w:eastAsia="zh-CN" w:bidi="ar-SA"/>
              </w:rPr>
              <w:t>（VOC）</w:t>
            </w:r>
            <w:r>
              <w:rPr>
                <w:rFonts w:hint="eastAsia" w:ascii="Times New Roman" w:hAnsi="Times New Roman" w:eastAsia="宋体" w:cs="Times New Roman"/>
                <w:color w:val="auto"/>
                <w:kern w:val="0"/>
                <w:sz w:val="21"/>
                <w:szCs w:val="21"/>
                <w:highlight w:val="none"/>
                <w:lang w:val="en-US" w:eastAsia="zh-CN" w:bidi="ar-SA"/>
              </w:rPr>
              <w:t>含量</w:t>
            </w:r>
            <w:r>
              <w:rPr>
                <w:rFonts w:hint="eastAsia" w:cs="Times New Roman"/>
                <w:color w:val="auto"/>
                <w:kern w:val="0"/>
                <w:sz w:val="21"/>
                <w:szCs w:val="21"/>
                <w:highlight w:val="none"/>
                <w:lang w:val="en-US" w:eastAsia="zh-CN" w:bidi="ar-SA"/>
              </w:rPr>
              <w:t>小于文件中限值，</w:t>
            </w:r>
            <w:r>
              <w:rPr>
                <w:rFonts w:hint="eastAsia" w:ascii="Times New Roman" w:hAnsi="Times New Roman" w:eastAsia="宋体" w:cs="Times New Roman"/>
                <w:color w:val="auto"/>
                <w:kern w:val="0"/>
                <w:sz w:val="21"/>
                <w:szCs w:val="21"/>
                <w:highlight w:val="none"/>
                <w:lang w:val="en-US" w:eastAsia="zh-CN" w:bidi="ar-SA"/>
              </w:rPr>
              <w:t>符合技术规范涂层要求</w:t>
            </w:r>
            <w:r>
              <w:rPr>
                <w:rFonts w:hint="eastAsia" w:cs="Times New Roman"/>
                <w:color w:val="auto"/>
                <w:kern w:val="0"/>
                <w:sz w:val="21"/>
                <w:szCs w:val="21"/>
                <w:highlight w:val="none"/>
                <w:lang w:val="en-US" w:eastAsia="zh-CN" w:bidi="ar-SA"/>
              </w:rPr>
              <w:t>，属于低VOCs漆</w:t>
            </w:r>
            <w:r>
              <w:rPr>
                <w:rFonts w:hint="eastAsia" w:ascii="Times New Roman" w:hAnsi="Times New Roman" w:eastAsia="宋体" w:cs="Times New Roman"/>
                <w:color w:val="auto"/>
                <w:kern w:val="0"/>
                <w:sz w:val="21"/>
                <w:szCs w:val="21"/>
                <w:highlight w:val="none"/>
                <w:lang w:val="en-US" w:eastAsia="zh-CN" w:bidi="ar-SA"/>
              </w:rPr>
              <w:t>。</w:t>
            </w:r>
            <w:r>
              <w:rPr>
                <w:rFonts w:hint="eastAsia" w:cs="Times New Roman"/>
                <w:color w:val="auto"/>
                <w:kern w:val="0"/>
                <w:sz w:val="21"/>
                <w:szCs w:val="21"/>
                <w:highlight w:val="none"/>
                <w:lang w:val="en-US" w:eastAsia="zh-CN" w:bidi="ar-SA"/>
              </w:rPr>
              <w:t>根据成分报告，醇酸树脂含量为50%-60%、200#溶剂油含量为8-12%、颜料含量为10-20%、其他成分（不含苯系物，不产生甲苯、二甲苯）。</w:t>
            </w:r>
          </w:p>
          <w:p>
            <w:pPr>
              <w:keepNext w:val="0"/>
              <w:keepLines w:val="0"/>
              <w:pageBreakBefore w:val="0"/>
              <w:widowControl w:val="0"/>
              <w:kinsoku/>
              <w:wordWrap/>
              <w:overflowPunct/>
              <w:topLinePunct w:val="0"/>
              <w:autoSpaceDE/>
              <w:autoSpaceDN/>
              <w:bidi w:val="0"/>
              <w:adjustRightInd/>
              <w:snapToGrid w:val="0"/>
              <w:spacing w:line="360" w:lineRule="auto"/>
              <w:ind w:firstLine="420" w:firstLineChars="200"/>
              <w:contextualSpacing/>
              <w:textAlignment w:val="auto"/>
              <w:rPr>
                <w:rFonts w:hint="eastAsia" w:ascii="Times New Roman" w:hAnsi="Times New Roman" w:eastAsia="宋体" w:cs="Times New Roman"/>
                <w:color w:val="auto"/>
                <w:kern w:val="0"/>
                <w:sz w:val="21"/>
                <w:szCs w:val="21"/>
                <w:highlight w:val="none"/>
                <w:lang w:val="en-US" w:eastAsia="zh-CN" w:bidi="ar-SA"/>
              </w:rPr>
            </w:pPr>
            <w:r>
              <w:rPr>
                <w:rFonts w:hint="eastAsia" w:ascii="Times New Roman" w:hAnsi="Times New Roman" w:eastAsia="宋体" w:cs="Times New Roman"/>
                <w:color w:val="auto"/>
                <w:kern w:val="0"/>
                <w:sz w:val="21"/>
                <w:szCs w:val="21"/>
                <w:highlight w:val="none"/>
                <w:lang w:val="en-US" w:eastAsia="zh-CN" w:bidi="ar-SA"/>
              </w:rPr>
              <w:t>水性漆</w:t>
            </w:r>
            <w:r>
              <w:rPr>
                <w:rFonts w:hint="eastAsia" w:cs="Times New Roman"/>
                <w:color w:val="auto"/>
                <w:kern w:val="0"/>
                <w:sz w:val="21"/>
                <w:szCs w:val="21"/>
                <w:highlight w:val="none"/>
                <w:lang w:val="en-US" w:eastAsia="zh-CN" w:bidi="ar-SA"/>
              </w:rPr>
              <w:t>（</w:t>
            </w:r>
            <w:r>
              <w:rPr>
                <w:rFonts w:hint="eastAsia" w:cs="Times New Roman" w:eastAsiaTheme="minorEastAsia"/>
                <w:color w:val="auto"/>
                <w:kern w:val="2"/>
                <w:sz w:val="21"/>
                <w:szCs w:val="21"/>
                <w:highlight w:val="none"/>
                <w:lang w:val="en-US" w:eastAsia="zh-CN" w:bidi="ar-SA"/>
              </w:rPr>
              <w:t>水性丙烯酸漆检测报告</w:t>
            </w:r>
            <w:r>
              <w:rPr>
                <w:rFonts w:hint="eastAsia" w:cs="Times New Roman"/>
                <w:color w:val="auto"/>
                <w:kern w:val="0"/>
                <w:sz w:val="21"/>
                <w:szCs w:val="21"/>
                <w:highlight w:val="none"/>
                <w:lang w:val="en-US" w:eastAsia="zh-CN" w:bidi="ar-SA"/>
              </w:rPr>
              <w:t>）</w:t>
            </w:r>
            <w:r>
              <w:rPr>
                <w:rFonts w:hint="eastAsia" w:ascii="Times New Roman" w:hAnsi="Times New Roman" w:eastAsia="宋体" w:cs="Times New Roman"/>
                <w:color w:val="auto"/>
                <w:kern w:val="0"/>
                <w:sz w:val="21"/>
                <w:szCs w:val="21"/>
                <w:highlight w:val="none"/>
                <w:lang w:val="en-US" w:eastAsia="zh-CN" w:bidi="ar-SA"/>
              </w:rPr>
              <w:t>主要成分为固体水性丙烯酸树脂、硫酸钡、钛白粉、红等，助剂、去离子水、丙烯酸乳液；</w:t>
            </w:r>
            <w:r>
              <w:rPr>
                <w:rFonts w:hint="eastAsia" w:eastAsia="宋体" w:cs="Times New Roman"/>
                <w:color w:val="auto"/>
                <w:kern w:val="0"/>
                <w:sz w:val="21"/>
                <w:szCs w:val="21"/>
                <w:highlight w:val="none"/>
                <w:lang w:val="en-US" w:eastAsia="zh-CN" w:bidi="ar-SA"/>
              </w:rPr>
              <w:t>挥发性有机化合物</w:t>
            </w:r>
            <w:r>
              <w:rPr>
                <w:rFonts w:hint="eastAsia" w:cs="Times New Roman"/>
                <w:color w:val="auto"/>
                <w:kern w:val="0"/>
                <w:sz w:val="21"/>
                <w:szCs w:val="21"/>
                <w:highlight w:val="none"/>
                <w:lang w:val="en-US" w:eastAsia="zh-CN" w:bidi="ar-SA"/>
              </w:rPr>
              <w:t>（VOC）</w:t>
            </w:r>
            <w:r>
              <w:rPr>
                <w:rFonts w:hint="eastAsia" w:ascii="Times New Roman" w:hAnsi="Times New Roman" w:eastAsia="宋体" w:cs="Times New Roman"/>
                <w:color w:val="auto"/>
                <w:kern w:val="0"/>
                <w:sz w:val="21"/>
                <w:szCs w:val="21"/>
                <w:highlight w:val="none"/>
                <w:lang w:val="en-US" w:eastAsia="zh-CN" w:bidi="ar-SA"/>
              </w:rPr>
              <w:t>含量</w:t>
            </w:r>
            <w:r>
              <w:rPr>
                <w:rFonts w:hint="eastAsia" w:ascii="Times New Roman" w:hAnsi="Times New Roman" w:cs="Times New Roman"/>
                <w:color w:val="auto"/>
                <w:kern w:val="0"/>
                <w:sz w:val="21"/>
                <w:szCs w:val="21"/>
                <w:highlight w:val="none"/>
                <w:lang w:val="en-US" w:eastAsia="zh-CN" w:bidi="ar-SA"/>
              </w:rPr>
              <w:t>为7g/L，</w:t>
            </w:r>
            <w:r>
              <w:rPr>
                <w:rFonts w:hint="eastAsia" w:ascii="Times New Roman" w:hAnsi="Times New Roman" w:eastAsia="宋体" w:cs="Times New Roman"/>
                <w:color w:val="auto"/>
                <w:kern w:val="0"/>
                <w:sz w:val="21"/>
                <w:szCs w:val="21"/>
                <w:highlight w:val="none"/>
                <w:lang w:val="en-US" w:eastAsia="zh-CN" w:bidi="ar-SA"/>
              </w:rPr>
              <w:t>根据《低挥发性有机化合物含量涂料产品技术要求》（ GBT 38597-2020）</w:t>
            </w:r>
            <w:r>
              <w:rPr>
                <w:rFonts w:hint="eastAsia" w:cs="Times New Roman"/>
                <w:color w:val="auto"/>
                <w:kern w:val="0"/>
                <w:sz w:val="21"/>
                <w:szCs w:val="21"/>
                <w:highlight w:val="none"/>
                <w:lang w:val="en-US" w:eastAsia="zh-CN" w:bidi="ar-SA"/>
              </w:rPr>
              <w:t>表1水性涂料中VOC含量的要求，工业防护涂料类型机械设备涂料（含零部件涂料），面漆限值为300</w:t>
            </w:r>
            <w:r>
              <w:rPr>
                <w:rFonts w:hint="eastAsia" w:eastAsia="宋体" w:cs="Times New Roman"/>
                <w:color w:val="auto"/>
                <w:kern w:val="0"/>
                <w:sz w:val="21"/>
                <w:szCs w:val="21"/>
                <w:highlight w:val="none"/>
                <w:lang w:val="en-US" w:eastAsia="zh-CN" w:bidi="ar-SA"/>
              </w:rPr>
              <w:t>g/L，</w:t>
            </w:r>
            <w:r>
              <w:rPr>
                <w:rFonts w:hint="eastAsia" w:cs="Times New Roman"/>
                <w:color w:val="auto"/>
                <w:kern w:val="0"/>
                <w:sz w:val="21"/>
                <w:szCs w:val="21"/>
                <w:highlight w:val="none"/>
                <w:lang w:val="en-US" w:eastAsia="zh-CN" w:bidi="ar-SA"/>
              </w:rPr>
              <w:t>本项目使用油漆</w:t>
            </w:r>
            <w:r>
              <w:rPr>
                <w:rFonts w:hint="eastAsia" w:eastAsia="宋体" w:cs="Times New Roman"/>
                <w:color w:val="auto"/>
                <w:kern w:val="0"/>
                <w:sz w:val="21"/>
                <w:szCs w:val="21"/>
                <w:highlight w:val="none"/>
                <w:lang w:val="en-US" w:eastAsia="zh-CN" w:bidi="ar-SA"/>
              </w:rPr>
              <w:t>挥发性有机化合物</w:t>
            </w:r>
            <w:r>
              <w:rPr>
                <w:rFonts w:hint="eastAsia" w:cs="Times New Roman"/>
                <w:color w:val="auto"/>
                <w:kern w:val="0"/>
                <w:sz w:val="21"/>
                <w:szCs w:val="21"/>
                <w:highlight w:val="none"/>
                <w:lang w:val="en-US" w:eastAsia="zh-CN" w:bidi="ar-SA"/>
              </w:rPr>
              <w:t>（VOC）</w:t>
            </w:r>
            <w:r>
              <w:rPr>
                <w:rFonts w:hint="eastAsia" w:ascii="Times New Roman" w:hAnsi="Times New Roman" w:eastAsia="宋体" w:cs="Times New Roman"/>
                <w:color w:val="auto"/>
                <w:kern w:val="0"/>
                <w:sz w:val="21"/>
                <w:szCs w:val="21"/>
                <w:highlight w:val="none"/>
                <w:lang w:val="en-US" w:eastAsia="zh-CN" w:bidi="ar-SA"/>
              </w:rPr>
              <w:t>含量</w:t>
            </w:r>
            <w:r>
              <w:rPr>
                <w:rFonts w:hint="eastAsia" w:cs="Times New Roman"/>
                <w:color w:val="auto"/>
                <w:kern w:val="0"/>
                <w:sz w:val="21"/>
                <w:szCs w:val="21"/>
                <w:highlight w:val="none"/>
                <w:lang w:val="en-US" w:eastAsia="zh-CN" w:bidi="ar-SA"/>
              </w:rPr>
              <w:t>小于文件中限值，</w:t>
            </w:r>
            <w:r>
              <w:rPr>
                <w:rFonts w:hint="eastAsia" w:ascii="Times New Roman" w:hAnsi="Times New Roman" w:eastAsia="宋体" w:cs="Times New Roman"/>
                <w:color w:val="auto"/>
                <w:kern w:val="0"/>
                <w:sz w:val="21"/>
                <w:szCs w:val="21"/>
                <w:highlight w:val="none"/>
                <w:lang w:val="en-US" w:eastAsia="zh-CN" w:bidi="ar-SA"/>
              </w:rPr>
              <w:t>符合技术规范涂层要求</w:t>
            </w:r>
            <w:r>
              <w:rPr>
                <w:rFonts w:hint="eastAsia" w:cs="Times New Roman"/>
                <w:color w:val="auto"/>
                <w:kern w:val="0"/>
                <w:sz w:val="21"/>
                <w:szCs w:val="21"/>
                <w:highlight w:val="none"/>
                <w:lang w:val="en-US" w:eastAsia="zh-CN" w:bidi="ar-SA"/>
              </w:rPr>
              <w:t>，属于低VOCs漆</w:t>
            </w:r>
            <w:r>
              <w:rPr>
                <w:rFonts w:hint="eastAsia" w:ascii="Times New Roman" w:hAnsi="Times New Roman" w:eastAsia="宋体" w:cs="Times New Roman"/>
                <w:color w:val="auto"/>
                <w:kern w:val="0"/>
                <w:sz w:val="21"/>
                <w:szCs w:val="21"/>
                <w:highlight w:val="none"/>
                <w:lang w:val="en-US" w:eastAsia="zh-CN" w:bidi="ar-SA"/>
              </w:rPr>
              <w:t>。</w:t>
            </w:r>
          </w:p>
          <w:p>
            <w:pPr>
              <w:keepNext w:val="0"/>
              <w:keepLines w:val="0"/>
              <w:pageBreakBefore w:val="0"/>
              <w:widowControl w:val="0"/>
              <w:kinsoku/>
              <w:wordWrap/>
              <w:overflowPunct/>
              <w:topLinePunct w:val="0"/>
              <w:autoSpaceDE/>
              <w:autoSpaceDN/>
              <w:bidi w:val="0"/>
              <w:adjustRightInd/>
              <w:snapToGrid w:val="0"/>
              <w:spacing w:line="360" w:lineRule="auto"/>
              <w:ind w:firstLine="420" w:firstLineChars="200"/>
              <w:contextualSpacing/>
              <w:textAlignment w:val="auto"/>
              <w:rPr>
                <w:rFonts w:hint="eastAsia" w:ascii="Times New Roman" w:hAnsi="Times New Roman" w:eastAsia="宋体" w:cs="Times New Roman"/>
                <w:color w:val="auto"/>
                <w:kern w:val="0"/>
                <w:sz w:val="21"/>
                <w:szCs w:val="21"/>
                <w:highlight w:val="none"/>
                <w:lang w:val="en-US" w:eastAsia="zh-CN" w:bidi="ar-SA"/>
              </w:rPr>
            </w:pPr>
            <w:r>
              <w:rPr>
                <w:rFonts w:hint="eastAsia" w:ascii="Times New Roman" w:hAnsi="Times New Roman" w:eastAsia="宋体" w:cs="Times New Roman"/>
                <w:color w:val="auto"/>
                <w:kern w:val="0"/>
                <w:sz w:val="21"/>
                <w:szCs w:val="21"/>
                <w:highlight w:val="none"/>
                <w:lang w:val="en-US" w:eastAsia="zh-CN" w:bidi="ar-SA"/>
              </w:rPr>
              <w:t>稀释剂主要成分为改性固化剂、石油</w:t>
            </w:r>
            <w:r>
              <w:rPr>
                <w:rFonts w:hint="eastAsia" w:cs="Times New Roman"/>
                <w:color w:val="auto"/>
                <w:kern w:val="0"/>
                <w:sz w:val="21"/>
                <w:szCs w:val="21"/>
                <w:highlight w:val="none"/>
                <w:lang w:val="en-US" w:eastAsia="zh-CN" w:bidi="ar-SA"/>
              </w:rPr>
              <w:t>（不含苯系物，不产生甲苯、二甲苯）</w:t>
            </w:r>
            <w:r>
              <w:rPr>
                <w:rFonts w:hint="eastAsia" w:eastAsia="宋体" w:cs="Times New Roman"/>
                <w:color w:val="auto"/>
                <w:kern w:val="0"/>
                <w:sz w:val="21"/>
                <w:szCs w:val="21"/>
                <w:highlight w:val="none"/>
                <w:lang w:val="en-US" w:eastAsia="zh-CN" w:bidi="ar-SA"/>
              </w:rPr>
              <w:t>。</w:t>
            </w:r>
          </w:p>
          <w:p>
            <w:pPr>
              <w:keepNext w:val="0"/>
              <w:keepLines w:val="0"/>
              <w:pageBreakBefore w:val="0"/>
              <w:widowControl w:val="0"/>
              <w:kinsoku/>
              <w:wordWrap/>
              <w:overflowPunct/>
              <w:topLinePunct w:val="0"/>
              <w:autoSpaceDE/>
              <w:autoSpaceDN/>
              <w:bidi w:val="0"/>
              <w:adjustRightInd/>
              <w:snapToGrid w:val="0"/>
              <w:spacing w:line="240" w:lineRule="auto"/>
              <w:contextualSpacing/>
              <w:jc w:val="center"/>
              <w:textAlignment w:val="auto"/>
              <w:rPr>
                <w:rFonts w:hint="default" w:cs="Times New Roman"/>
                <w:b/>
                <w:bCs/>
                <w:color w:val="auto"/>
                <w:sz w:val="21"/>
                <w:szCs w:val="21"/>
                <w:highlight w:val="none"/>
                <w:lang w:val="en-US" w:eastAsia="zh-CN"/>
              </w:rPr>
            </w:pPr>
            <w:r>
              <w:rPr>
                <w:rFonts w:hint="eastAsia" w:cs="Times New Roman"/>
                <w:b/>
                <w:bCs/>
                <w:color w:val="auto"/>
                <w:sz w:val="21"/>
                <w:szCs w:val="21"/>
                <w:highlight w:val="none"/>
                <w:lang w:val="en-US" w:eastAsia="zh-CN"/>
              </w:rPr>
              <w:t>表2-10  本项目使用漆与《低挥发性有机化合物含量涂料产品技术要求》文件中</w:t>
            </w:r>
          </w:p>
          <w:p>
            <w:pPr>
              <w:keepNext w:val="0"/>
              <w:keepLines w:val="0"/>
              <w:pageBreakBefore w:val="0"/>
              <w:widowControl w:val="0"/>
              <w:kinsoku/>
              <w:wordWrap/>
              <w:overflowPunct/>
              <w:topLinePunct w:val="0"/>
              <w:autoSpaceDE/>
              <w:autoSpaceDN/>
              <w:bidi w:val="0"/>
              <w:adjustRightInd/>
              <w:snapToGrid w:val="0"/>
              <w:spacing w:line="240" w:lineRule="auto"/>
              <w:contextualSpacing/>
              <w:jc w:val="center"/>
              <w:textAlignment w:val="auto"/>
              <w:rPr>
                <w:rFonts w:hint="default" w:ascii="Times New Roman" w:hAnsi="Times New Roman" w:eastAsia="宋体" w:cs="Times New Roman"/>
                <w:b/>
                <w:bCs/>
                <w:color w:val="auto"/>
                <w:sz w:val="21"/>
                <w:szCs w:val="21"/>
                <w:highlight w:val="none"/>
                <w:lang w:val="en-US" w:eastAsia="zh-CN"/>
              </w:rPr>
            </w:pPr>
            <w:r>
              <w:rPr>
                <w:rFonts w:hint="eastAsia" w:cs="Times New Roman"/>
                <w:b/>
                <w:bCs/>
                <w:color w:val="auto"/>
                <w:sz w:val="21"/>
                <w:szCs w:val="21"/>
                <w:highlight w:val="none"/>
                <w:lang w:val="en-US" w:eastAsia="zh-CN"/>
              </w:rPr>
              <w:t>VOC含量符合性分析一览表</w:t>
            </w:r>
          </w:p>
          <w:tbl>
            <w:tblPr>
              <w:tblStyle w:val="33"/>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593"/>
              <w:gridCol w:w="2344"/>
              <w:gridCol w:w="2411"/>
              <w:gridCol w:w="16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47" w:type="pct"/>
                  <w:vAlign w:val="center"/>
                </w:tcPr>
                <w:p>
                  <w:pPr>
                    <w:keepNext w:val="0"/>
                    <w:keepLines w:val="0"/>
                    <w:pageBreakBefore w:val="0"/>
                    <w:widowControl w:val="0"/>
                    <w:kinsoku/>
                    <w:wordWrap/>
                    <w:overflowPunct/>
                    <w:topLinePunct w:val="0"/>
                    <w:autoSpaceDE/>
                    <w:autoSpaceDN/>
                    <w:bidi w:val="0"/>
                    <w:adjustRightInd/>
                    <w:snapToGrid w:val="0"/>
                    <w:spacing w:line="240" w:lineRule="auto"/>
                    <w:contextualSpacing/>
                    <w:jc w:val="center"/>
                    <w:textAlignment w:val="auto"/>
                    <w:rPr>
                      <w:rFonts w:hint="default" w:ascii="Times New Roman" w:hAnsi="Times New Roman" w:eastAsia="宋体" w:cs="Times New Roman"/>
                      <w:color w:val="auto"/>
                      <w:sz w:val="21"/>
                      <w:szCs w:val="21"/>
                      <w:highlight w:val="none"/>
                      <w:vertAlign w:val="baseline"/>
                      <w:lang w:val="en-US" w:eastAsia="zh-CN"/>
                    </w:rPr>
                  </w:pPr>
                  <w:r>
                    <w:rPr>
                      <w:rFonts w:hint="eastAsia" w:cs="Times New Roman"/>
                      <w:color w:val="auto"/>
                      <w:sz w:val="21"/>
                      <w:szCs w:val="21"/>
                      <w:highlight w:val="none"/>
                      <w:vertAlign w:val="baseline"/>
                      <w:lang w:val="en-US" w:eastAsia="zh-CN"/>
                    </w:rPr>
                    <w:t>本项目使用漆类型</w:t>
                  </w:r>
                </w:p>
              </w:tc>
              <w:tc>
                <w:tcPr>
                  <w:tcW w:w="1308" w:type="pct"/>
                  <w:vAlign w:val="center"/>
                </w:tcPr>
                <w:p>
                  <w:pPr>
                    <w:keepNext w:val="0"/>
                    <w:keepLines w:val="0"/>
                    <w:pageBreakBefore w:val="0"/>
                    <w:widowControl w:val="0"/>
                    <w:kinsoku/>
                    <w:wordWrap/>
                    <w:overflowPunct/>
                    <w:topLinePunct w:val="0"/>
                    <w:autoSpaceDE/>
                    <w:autoSpaceDN/>
                    <w:bidi w:val="0"/>
                    <w:adjustRightInd/>
                    <w:snapToGrid w:val="0"/>
                    <w:spacing w:line="240" w:lineRule="auto"/>
                    <w:contextualSpacing/>
                    <w:jc w:val="center"/>
                    <w:textAlignment w:val="auto"/>
                    <w:rPr>
                      <w:rFonts w:hint="default" w:ascii="Times New Roman" w:hAnsi="Times New Roman" w:eastAsia="宋体" w:cs="Times New Roman"/>
                      <w:color w:val="auto"/>
                      <w:sz w:val="21"/>
                      <w:szCs w:val="21"/>
                      <w:highlight w:val="none"/>
                      <w:vertAlign w:val="baseline"/>
                      <w:lang w:val="en-US" w:eastAsia="zh-CN"/>
                    </w:rPr>
                  </w:pPr>
                  <w:r>
                    <w:rPr>
                      <w:rFonts w:hint="eastAsia" w:cs="Times New Roman"/>
                      <w:color w:val="auto"/>
                      <w:sz w:val="21"/>
                      <w:szCs w:val="21"/>
                      <w:highlight w:val="none"/>
                      <w:vertAlign w:val="baseline"/>
                      <w:lang w:val="en-US" w:eastAsia="zh-CN"/>
                    </w:rPr>
                    <w:t>检测报告中非甲烷总烃含量</w:t>
                  </w:r>
                </w:p>
              </w:tc>
              <w:tc>
                <w:tcPr>
                  <w:tcW w:w="1345" w:type="pct"/>
                  <w:vAlign w:val="center"/>
                </w:tcPr>
                <w:p>
                  <w:pPr>
                    <w:keepNext w:val="0"/>
                    <w:keepLines w:val="0"/>
                    <w:pageBreakBefore w:val="0"/>
                    <w:widowControl w:val="0"/>
                    <w:kinsoku/>
                    <w:wordWrap/>
                    <w:overflowPunct/>
                    <w:topLinePunct w:val="0"/>
                    <w:autoSpaceDE/>
                    <w:autoSpaceDN/>
                    <w:bidi w:val="0"/>
                    <w:adjustRightInd/>
                    <w:snapToGrid w:val="0"/>
                    <w:spacing w:line="240" w:lineRule="auto"/>
                    <w:contextualSpacing/>
                    <w:jc w:val="center"/>
                    <w:textAlignment w:val="auto"/>
                    <w:rPr>
                      <w:rFonts w:hint="default" w:ascii="Times New Roman" w:hAnsi="Times New Roman" w:eastAsia="宋体" w:cs="Times New Roman"/>
                      <w:color w:val="auto"/>
                      <w:sz w:val="21"/>
                      <w:szCs w:val="21"/>
                      <w:highlight w:val="none"/>
                      <w:vertAlign w:val="baseline"/>
                      <w:lang w:val="en-US" w:eastAsia="zh-CN"/>
                    </w:rPr>
                  </w:pPr>
                  <w:r>
                    <w:rPr>
                      <w:rFonts w:hint="eastAsia" w:cs="Times New Roman"/>
                      <w:color w:val="auto"/>
                      <w:sz w:val="21"/>
                      <w:szCs w:val="21"/>
                      <w:highlight w:val="none"/>
                      <w:vertAlign w:val="baseline"/>
                      <w:lang w:val="en-US" w:eastAsia="zh-CN"/>
                    </w:rPr>
                    <w:t>文件要求限制</w:t>
                  </w:r>
                </w:p>
              </w:tc>
              <w:tc>
                <w:tcPr>
                  <w:tcW w:w="897" w:type="pct"/>
                  <w:vAlign w:val="center"/>
                </w:tcPr>
                <w:p>
                  <w:pPr>
                    <w:keepNext w:val="0"/>
                    <w:keepLines w:val="0"/>
                    <w:pageBreakBefore w:val="0"/>
                    <w:widowControl w:val="0"/>
                    <w:kinsoku/>
                    <w:wordWrap/>
                    <w:overflowPunct/>
                    <w:topLinePunct w:val="0"/>
                    <w:autoSpaceDE/>
                    <w:autoSpaceDN/>
                    <w:bidi w:val="0"/>
                    <w:adjustRightInd/>
                    <w:snapToGrid w:val="0"/>
                    <w:spacing w:line="240" w:lineRule="auto"/>
                    <w:contextualSpacing/>
                    <w:jc w:val="center"/>
                    <w:textAlignment w:val="auto"/>
                    <w:rPr>
                      <w:rFonts w:hint="default" w:ascii="Times New Roman" w:hAnsi="Times New Roman" w:eastAsia="宋体" w:cs="Times New Roman"/>
                      <w:color w:val="auto"/>
                      <w:sz w:val="21"/>
                      <w:szCs w:val="21"/>
                      <w:highlight w:val="none"/>
                      <w:vertAlign w:val="baseline"/>
                      <w:lang w:val="en-US" w:eastAsia="zh-CN"/>
                    </w:rPr>
                  </w:pPr>
                  <w:r>
                    <w:rPr>
                      <w:rFonts w:hint="eastAsia" w:cs="Times New Roman"/>
                      <w:color w:val="auto"/>
                      <w:sz w:val="21"/>
                      <w:szCs w:val="21"/>
                      <w:highlight w:val="none"/>
                      <w:vertAlign w:val="baseline"/>
                      <w:lang w:val="en-US" w:eastAsia="zh-CN"/>
                    </w:rPr>
                    <w:t>符合性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47" w:type="pct"/>
                  <w:vAlign w:val="center"/>
                </w:tcPr>
                <w:p>
                  <w:pPr>
                    <w:keepNext w:val="0"/>
                    <w:keepLines w:val="0"/>
                    <w:pageBreakBefore w:val="0"/>
                    <w:widowControl w:val="0"/>
                    <w:kinsoku/>
                    <w:wordWrap/>
                    <w:overflowPunct/>
                    <w:topLinePunct w:val="0"/>
                    <w:autoSpaceDE/>
                    <w:autoSpaceDN/>
                    <w:bidi w:val="0"/>
                    <w:adjustRightInd/>
                    <w:snapToGrid w:val="0"/>
                    <w:spacing w:line="240" w:lineRule="auto"/>
                    <w:contextualSpacing/>
                    <w:jc w:val="center"/>
                    <w:textAlignment w:val="auto"/>
                    <w:rPr>
                      <w:rFonts w:hint="eastAsia" w:ascii="Times New Roman" w:hAnsi="Times New Roman" w:eastAsia="宋体" w:cs="Times New Roman"/>
                      <w:color w:val="auto"/>
                      <w:sz w:val="21"/>
                      <w:szCs w:val="21"/>
                      <w:highlight w:val="none"/>
                      <w:vertAlign w:val="baseline"/>
                      <w:lang w:val="en-US" w:eastAsia="zh-CN"/>
                    </w:rPr>
                  </w:pPr>
                  <w:r>
                    <w:rPr>
                      <w:rFonts w:hint="eastAsia" w:ascii="Times New Roman" w:hAnsi="Times New Roman" w:eastAsia="宋体" w:cs="Times New Roman"/>
                      <w:color w:val="auto"/>
                      <w:kern w:val="0"/>
                      <w:sz w:val="21"/>
                      <w:szCs w:val="21"/>
                      <w:highlight w:val="none"/>
                      <w:lang w:val="en-US" w:eastAsia="zh-CN" w:bidi="ar-SA"/>
                    </w:rPr>
                    <w:t>水性漆</w:t>
                  </w:r>
                  <w:r>
                    <w:rPr>
                      <w:rFonts w:hint="eastAsia" w:cs="Times New Roman"/>
                      <w:color w:val="auto"/>
                      <w:kern w:val="0"/>
                      <w:sz w:val="21"/>
                      <w:szCs w:val="21"/>
                      <w:highlight w:val="none"/>
                      <w:lang w:val="en-US" w:eastAsia="zh-CN" w:bidi="ar-SA"/>
                    </w:rPr>
                    <w:t>（</w:t>
                  </w:r>
                  <w:r>
                    <w:rPr>
                      <w:rFonts w:hint="eastAsia" w:cs="Times New Roman" w:eastAsiaTheme="minorEastAsia"/>
                      <w:color w:val="auto"/>
                      <w:kern w:val="2"/>
                      <w:sz w:val="21"/>
                      <w:szCs w:val="21"/>
                      <w:highlight w:val="none"/>
                      <w:lang w:val="en-US" w:eastAsia="zh-CN" w:bidi="ar-SA"/>
                    </w:rPr>
                    <w:t>水性丙烯酸漆）</w:t>
                  </w:r>
                </w:p>
              </w:tc>
              <w:tc>
                <w:tcPr>
                  <w:tcW w:w="1308" w:type="pct"/>
                  <w:vAlign w:val="center"/>
                </w:tcPr>
                <w:p>
                  <w:pPr>
                    <w:keepNext w:val="0"/>
                    <w:keepLines w:val="0"/>
                    <w:pageBreakBefore w:val="0"/>
                    <w:widowControl w:val="0"/>
                    <w:kinsoku/>
                    <w:wordWrap/>
                    <w:overflowPunct/>
                    <w:topLinePunct w:val="0"/>
                    <w:autoSpaceDE/>
                    <w:autoSpaceDN/>
                    <w:bidi w:val="0"/>
                    <w:adjustRightInd/>
                    <w:snapToGrid w:val="0"/>
                    <w:spacing w:line="240" w:lineRule="auto"/>
                    <w:contextualSpacing/>
                    <w:jc w:val="center"/>
                    <w:textAlignment w:val="auto"/>
                    <w:rPr>
                      <w:rFonts w:hint="default" w:ascii="Times New Roman" w:hAnsi="Times New Roman" w:eastAsia="宋体" w:cs="Times New Roman"/>
                      <w:color w:val="auto"/>
                      <w:sz w:val="21"/>
                      <w:szCs w:val="21"/>
                      <w:highlight w:val="none"/>
                      <w:vertAlign w:val="baseline"/>
                      <w:lang w:val="en-US" w:eastAsia="zh-CN"/>
                    </w:rPr>
                  </w:pPr>
                  <w:r>
                    <w:rPr>
                      <w:rFonts w:hint="eastAsia" w:cs="Times New Roman"/>
                      <w:color w:val="auto"/>
                      <w:sz w:val="21"/>
                      <w:szCs w:val="21"/>
                      <w:highlight w:val="none"/>
                      <w:vertAlign w:val="baseline"/>
                      <w:lang w:val="en-US" w:eastAsia="zh-CN"/>
                    </w:rPr>
                    <w:t>7g/L（面漆）</w:t>
                  </w:r>
                </w:p>
              </w:tc>
              <w:tc>
                <w:tcPr>
                  <w:tcW w:w="1345" w:type="pct"/>
                  <w:vAlign w:val="center"/>
                </w:tcPr>
                <w:p>
                  <w:pPr>
                    <w:keepNext w:val="0"/>
                    <w:keepLines w:val="0"/>
                    <w:pageBreakBefore w:val="0"/>
                    <w:widowControl w:val="0"/>
                    <w:kinsoku/>
                    <w:wordWrap/>
                    <w:overflowPunct/>
                    <w:topLinePunct w:val="0"/>
                    <w:autoSpaceDE/>
                    <w:autoSpaceDN/>
                    <w:bidi w:val="0"/>
                    <w:adjustRightInd/>
                    <w:snapToGrid w:val="0"/>
                    <w:spacing w:line="240" w:lineRule="auto"/>
                    <w:contextualSpacing/>
                    <w:jc w:val="center"/>
                    <w:textAlignment w:val="auto"/>
                    <w:rPr>
                      <w:rFonts w:hint="default" w:ascii="Times New Roman" w:hAnsi="Times New Roman" w:eastAsia="宋体" w:cs="Times New Roman"/>
                      <w:color w:val="auto"/>
                      <w:sz w:val="21"/>
                      <w:szCs w:val="21"/>
                      <w:highlight w:val="none"/>
                      <w:vertAlign w:val="baseline"/>
                      <w:lang w:val="en-US" w:eastAsia="zh-CN"/>
                    </w:rPr>
                  </w:pPr>
                  <w:r>
                    <w:rPr>
                      <w:rFonts w:hint="eastAsia" w:cs="Times New Roman"/>
                      <w:color w:val="auto"/>
                      <w:kern w:val="0"/>
                      <w:sz w:val="21"/>
                      <w:szCs w:val="21"/>
                      <w:highlight w:val="none"/>
                      <w:lang w:val="en-US" w:eastAsia="zh-CN" w:bidi="ar-SA"/>
                    </w:rPr>
                    <w:t>300</w:t>
                  </w:r>
                  <w:r>
                    <w:rPr>
                      <w:rFonts w:hint="eastAsia" w:eastAsia="宋体" w:cs="Times New Roman"/>
                      <w:color w:val="auto"/>
                      <w:kern w:val="0"/>
                      <w:sz w:val="21"/>
                      <w:szCs w:val="21"/>
                      <w:highlight w:val="none"/>
                      <w:lang w:val="en-US" w:eastAsia="zh-CN" w:bidi="ar-SA"/>
                    </w:rPr>
                    <w:t>g/L</w:t>
                  </w:r>
                  <w:r>
                    <w:rPr>
                      <w:rFonts w:hint="eastAsia" w:cs="Times New Roman"/>
                      <w:color w:val="auto"/>
                      <w:kern w:val="0"/>
                      <w:sz w:val="21"/>
                      <w:szCs w:val="21"/>
                      <w:highlight w:val="none"/>
                      <w:lang w:val="en-US" w:eastAsia="zh-CN" w:bidi="ar-SA"/>
                    </w:rPr>
                    <w:t>（面漆）</w:t>
                  </w:r>
                </w:p>
              </w:tc>
              <w:tc>
                <w:tcPr>
                  <w:tcW w:w="897" w:type="pct"/>
                  <w:vAlign w:val="center"/>
                </w:tcPr>
                <w:p>
                  <w:pPr>
                    <w:keepNext w:val="0"/>
                    <w:keepLines w:val="0"/>
                    <w:pageBreakBefore w:val="0"/>
                    <w:widowControl w:val="0"/>
                    <w:kinsoku/>
                    <w:wordWrap/>
                    <w:overflowPunct/>
                    <w:topLinePunct w:val="0"/>
                    <w:autoSpaceDE/>
                    <w:autoSpaceDN/>
                    <w:bidi w:val="0"/>
                    <w:adjustRightInd/>
                    <w:snapToGrid w:val="0"/>
                    <w:spacing w:line="240" w:lineRule="auto"/>
                    <w:contextualSpacing/>
                    <w:jc w:val="center"/>
                    <w:textAlignment w:val="auto"/>
                    <w:rPr>
                      <w:rFonts w:hint="default" w:ascii="Times New Roman" w:hAnsi="Times New Roman" w:eastAsia="宋体" w:cs="Times New Roman"/>
                      <w:color w:val="auto"/>
                      <w:sz w:val="21"/>
                      <w:szCs w:val="21"/>
                      <w:highlight w:val="none"/>
                      <w:vertAlign w:val="baseline"/>
                      <w:lang w:val="en-US" w:eastAsia="zh-CN"/>
                    </w:rPr>
                  </w:pPr>
                  <w:r>
                    <w:rPr>
                      <w:rFonts w:hint="eastAsia" w:cs="Times New Roman"/>
                      <w:color w:val="auto"/>
                      <w:sz w:val="21"/>
                      <w:szCs w:val="21"/>
                      <w:highlight w:val="none"/>
                      <w:vertAlign w:val="baseline"/>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47" w:type="pct"/>
                  <w:vAlign w:val="center"/>
                </w:tcPr>
                <w:p>
                  <w:pPr>
                    <w:keepNext w:val="0"/>
                    <w:keepLines w:val="0"/>
                    <w:pageBreakBefore w:val="0"/>
                    <w:widowControl w:val="0"/>
                    <w:kinsoku/>
                    <w:wordWrap/>
                    <w:overflowPunct/>
                    <w:topLinePunct w:val="0"/>
                    <w:autoSpaceDE/>
                    <w:autoSpaceDN/>
                    <w:bidi w:val="0"/>
                    <w:adjustRightInd/>
                    <w:snapToGrid w:val="0"/>
                    <w:spacing w:line="240" w:lineRule="auto"/>
                    <w:contextualSpacing/>
                    <w:jc w:val="center"/>
                    <w:textAlignment w:val="auto"/>
                    <w:rPr>
                      <w:rFonts w:hint="eastAsia" w:ascii="Times New Roman" w:hAnsi="Times New Roman" w:eastAsia="宋体" w:cs="Times New Roman"/>
                      <w:color w:val="auto"/>
                      <w:sz w:val="21"/>
                      <w:szCs w:val="21"/>
                      <w:highlight w:val="none"/>
                      <w:vertAlign w:val="baseline"/>
                      <w:lang w:val="en-US" w:eastAsia="zh-CN"/>
                    </w:rPr>
                  </w:pPr>
                  <w:r>
                    <w:rPr>
                      <w:rFonts w:hint="eastAsia" w:cs="Times New Roman"/>
                      <w:color w:val="auto"/>
                      <w:kern w:val="0"/>
                      <w:sz w:val="21"/>
                      <w:szCs w:val="21"/>
                      <w:highlight w:val="none"/>
                      <w:lang w:val="en-US" w:eastAsia="zh-CN" w:bidi="ar-SA"/>
                    </w:rPr>
                    <w:t>高固份油漆</w:t>
                  </w:r>
                  <w:r>
                    <w:rPr>
                      <w:rFonts w:hint="eastAsia" w:ascii="Times New Roman" w:hAnsi="Times New Roman" w:eastAsia="宋体" w:cs="Times New Roman"/>
                      <w:color w:val="auto"/>
                      <w:kern w:val="0"/>
                      <w:sz w:val="21"/>
                      <w:szCs w:val="21"/>
                      <w:highlight w:val="none"/>
                      <w:lang w:val="en-US" w:eastAsia="zh-CN" w:bidi="ar-SA"/>
                    </w:rPr>
                    <w:t>（醇酸树脂漆</w:t>
                  </w:r>
                  <w:r>
                    <w:rPr>
                      <w:rFonts w:hint="eastAsia" w:cs="Times New Roman"/>
                      <w:color w:val="auto"/>
                      <w:kern w:val="0"/>
                      <w:sz w:val="21"/>
                      <w:szCs w:val="21"/>
                      <w:highlight w:val="none"/>
                      <w:lang w:val="en-US" w:eastAsia="zh-CN" w:bidi="ar-SA"/>
                    </w:rPr>
                    <w:t>）</w:t>
                  </w:r>
                </w:p>
              </w:tc>
              <w:tc>
                <w:tcPr>
                  <w:tcW w:w="1308" w:type="pct"/>
                  <w:vAlign w:val="center"/>
                </w:tcPr>
                <w:p>
                  <w:pPr>
                    <w:keepNext w:val="0"/>
                    <w:keepLines w:val="0"/>
                    <w:pageBreakBefore w:val="0"/>
                    <w:widowControl w:val="0"/>
                    <w:kinsoku/>
                    <w:wordWrap/>
                    <w:overflowPunct/>
                    <w:topLinePunct w:val="0"/>
                    <w:autoSpaceDE/>
                    <w:autoSpaceDN/>
                    <w:bidi w:val="0"/>
                    <w:adjustRightInd/>
                    <w:snapToGrid w:val="0"/>
                    <w:spacing w:line="240" w:lineRule="auto"/>
                    <w:contextualSpacing/>
                    <w:jc w:val="center"/>
                    <w:textAlignment w:val="auto"/>
                    <w:rPr>
                      <w:rFonts w:hint="eastAsia" w:ascii="Times New Roman" w:hAnsi="Times New Roman" w:eastAsia="宋体" w:cs="Times New Roman"/>
                      <w:color w:val="auto"/>
                      <w:sz w:val="21"/>
                      <w:szCs w:val="21"/>
                      <w:highlight w:val="none"/>
                      <w:vertAlign w:val="baseline"/>
                      <w:lang w:val="en-US" w:eastAsia="zh-CN"/>
                    </w:rPr>
                  </w:pPr>
                  <w:r>
                    <w:rPr>
                      <w:rFonts w:hint="eastAsia" w:cs="Times New Roman"/>
                      <w:color w:val="auto"/>
                      <w:sz w:val="21"/>
                      <w:szCs w:val="21"/>
                      <w:highlight w:val="none"/>
                      <w:vertAlign w:val="baseline"/>
                      <w:lang w:val="en-US" w:eastAsia="zh-CN"/>
                    </w:rPr>
                    <w:t>59g/L（单组分、面漆）</w:t>
                  </w:r>
                </w:p>
              </w:tc>
              <w:tc>
                <w:tcPr>
                  <w:tcW w:w="1345" w:type="pct"/>
                  <w:vAlign w:val="center"/>
                </w:tcPr>
                <w:p>
                  <w:pPr>
                    <w:keepNext w:val="0"/>
                    <w:keepLines w:val="0"/>
                    <w:pageBreakBefore w:val="0"/>
                    <w:widowControl w:val="0"/>
                    <w:kinsoku/>
                    <w:wordWrap/>
                    <w:overflowPunct/>
                    <w:topLinePunct w:val="0"/>
                    <w:autoSpaceDE/>
                    <w:autoSpaceDN/>
                    <w:bidi w:val="0"/>
                    <w:adjustRightInd/>
                    <w:snapToGrid w:val="0"/>
                    <w:spacing w:line="240" w:lineRule="auto"/>
                    <w:contextualSpacing/>
                    <w:jc w:val="center"/>
                    <w:textAlignment w:val="auto"/>
                    <w:rPr>
                      <w:rFonts w:hint="eastAsia" w:ascii="Times New Roman" w:hAnsi="Times New Roman" w:eastAsia="宋体" w:cs="Times New Roman"/>
                      <w:color w:val="auto"/>
                      <w:sz w:val="21"/>
                      <w:szCs w:val="21"/>
                      <w:highlight w:val="none"/>
                      <w:vertAlign w:val="baseline"/>
                      <w:lang w:val="en-US" w:eastAsia="zh-CN"/>
                    </w:rPr>
                  </w:pPr>
                  <w:r>
                    <w:rPr>
                      <w:rFonts w:hint="eastAsia" w:cs="Times New Roman"/>
                      <w:color w:val="auto"/>
                      <w:sz w:val="21"/>
                      <w:szCs w:val="21"/>
                      <w:highlight w:val="none"/>
                      <w:vertAlign w:val="baseline"/>
                      <w:lang w:val="en-US" w:eastAsia="zh-CN"/>
                    </w:rPr>
                    <w:t>480</w:t>
                  </w:r>
                  <w:r>
                    <w:rPr>
                      <w:rFonts w:hint="eastAsia" w:eastAsia="宋体" w:cs="Times New Roman"/>
                      <w:color w:val="auto"/>
                      <w:kern w:val="0"/>
                      <w:sz w:val="21"/>
                      <w:szCs w:val="21"/>
                      <w:highlight w:val="none"/>
                      <w:lang w:val="en-US" w:eastAsia="zh-CN" w:bidi="ar-SA"/>
                    </w:rPr>
                    <w:t>g/L</w:t>
                  </w:r>
                  <w:r>
                    <w:rPr>
                      <w:rFonts w:hint="eastAsia" w:cs="Times New Roman"/>
                      <w:color w:val="auto"/>
                      <w:kern w:val="0"/>
                      <w:sz w:val="21"/>
                      <w:szCs w:val="21"/>
                      <w:highlight w:val="none"/>
                      <w:lang w:val="en-US" w:eastAsia="zh-CN" w:bidi="ar-SA"/>
                    </w:rPr>
                    <w:t>（单组分、面漆）</w:t>
                  </w:r>
                </w:p>
              </w:tc>
              <w:tc>
                <w:tcPr>
                  <w:tcW w:w="897" w:type="pct"/>
                  <w:vAlign w:val="center"/>
                </w:tcPr>
                <w:p>
                  <w:pPr>
                    <w:keepNext w:val="0"/>
                    <w:keepLines w:val="0"/>
                    <w:pageBreakBefore w:val="0"/>
                    <w:widowControl w:val="0"/>
                    <w:kinsoku/>
                    <w:wordWrap/>
                    <w:overflowPunct/>
                    <w:topLinePunct w:val="0"/>
                    <w:autoSpaceDE/>
                    <w:autoSpaceDN/>
                    <w:bidi w:val="0"/>
                    <w:adjustRightInd/>
                    <w:snapToGrid w:val="0"/>
                    <w:spacing w:line="240" w:lineRule="auto"/>
                    <w:contextualSpacing/>
                    <w:jc w:val="center"/>
                    <w:textAlignment w:val="auto"/>
                    <w:rPr>
                      <w:rFonts w:hint="default" w:ascii="Times New Roman" w:hAnsi="Times New Roman" w:eastAsia="宋体" w:cs="Times New Roman"/>
                      <w:color w:val="auto"/>
                      <w:sz w:val="21"/>
                      <w:szCs w:val="21"/>
                      <w:highlight w:val="none"/>
                      <w:vertAlign w:val="baseline"/>
                      <w:lang w:val="en-US" w:eastAsia="zh-CN"/>
                    </w:rPr>
                  </w:pPr>
                  <w:r>
                    <w:rPr>
                      <w:rFonts w:hint="eastAsia" w:cs="Times New Roman"/>
                      <w:color w:val="auto"/>
                      <w:sz w:val="21"/>
                      <w:szCs w:val="21"/>
                      <w:highlight w:val="none"/>
                      <w:vertAlign w:val="baseline"/>
                      <w:lang w:val="en-US" w:eastAsia="zh-CN"/>
                    </w:rPr>
                    <w:t>符合</w:t>
                  </w:r>
                </w:p>
              </w:tc>
            </w:tr>
          </w:tbl>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contextualSpacing/>
              <w:textAlignment w:val="auto"/>
              <w:rPr>
                <w:rFonts w:hint="default" w:ascii="Times New Roman" w:hAnsi="Times New Roman" w:eastAsia="宋体" w:cs="Times New Roman"/>
                <w:color w:val="auto"/>
                <w:highlight w:val="none"/>
                <w:lang w:val="en-US" w:eastAsia="zh-CN"/>
              </w:rPr>
            </w:pPr>
            <w:r>
              <w:rPr>
                <w:rFonts w:hint="eastAsia" w:cs="Times New Roman"/>
                <w:color w:val="auto"/>
                <w:highlight w:val="none"/>
                <w:lang w:val="en-US" w:eastAsia="zh-CN"/>
              </w:rPr>
              <w:t>由以上分析可知，本项目使用高固份油漆（醇酸树脂漆）、水性漆（水性丙烯酸漆）均为低VOCs漆，满足国家及地方政策要求。</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contextualSpacing/>
              <w:textAlignment w:val="auto"/>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本项目</w:t>
            </w:r>
            <w:r>
              <w:rPr>
                <w:rFonts w:hint="eastAsia" w:eastAsia="宋体" w:cs="Times New Roman"/>
                <w:color w:val="auto"/>
                <w:highlight w:val="none"/>
                <w:lang w:val="en-US" w:eastAsia="zh-CN"/>
              </w:rPr>
              <w:t>油漆</w:t>
            </w:r>
            <w:r>
              <w:rPr>
                <w:rFonts w:hint="default" w:ascii="Times New Roman" w:hAnsi="Times New Roman" w:eastAsia="宋体" w:cs="Times New Roman"/>
                <w:color w:val="auto"/>
                <w:highlight w:val="none"/>
                <w:lang w:val="en-US" w:eastAsia="zh-CN"/>
              </w:rPr>
              <w:t>物料平衡见</w:t>
            </w:r>
            <w:r>
              <w:rPr>
                <w:rFonts w:hint="eastAsia" w:ascii="Times New Roman" w:hAnsi="Times New Roman" w:eastAsia="宋体" w:cs="Times New Roman"/>
                <w:color w:val="auto"/>
                <w:highlight w:val="none"/>
                <w:lang w:val="en-US" w:eastAsia="zh-CN"/>
              </w:rPr>
              <w:t>下</w:t>
            </w:r>
            <w:r>
              <w:rPr>
                <w:rFonts w:hint="default" w:ascii="Times New Roman" w:hAnsi="Times New Roman" w:eastAsia="宋体" w:cs="Times New Roman"/>
                <w:color w:val="auto"/>
                <w:highlight w:val="none"/>
                <w:lang w:val="en-US" w:eastAsia="zh-CN"/>
              </w:rPr>
              <w:t>表</w:t>
            </w:r>
            <w:r>
              <w:rPr>
                <w:rFonts w:hint="eastAsia" w:ascii="Times New Roman" w:hAnsi="Times New Roman" w:eastAsia="宋体" w:cs="Times New Roman"/>
                <w:color w:val="auto"/>
                <w:highlight w:val="none"/>
                <w:lang w:val="en-US" w:eastAsia="zh-CN"/>
              </w:rPr>
              <w:t>。</w:t>
            </w:r>
          </w:p>
          <w:p>
            <w:pPr>
              <w:pStyle w:val="51"/>
              <w:keepNext/>
              <w:keepLines/>
              <w:pageBreakBefore w:val="0"/>
              <w:widowControl w:val="0"/>
              <w:kinsoku/>
              <w:wordWrap/>
              <w:overflowPunct/>
              <w:topLinePunct w:val="0"/>
              <w:autoSpaceDE w:val="0"/>
              <w:autoSpaceDN w:val="0"/>
              <w:bidi w:val="0"/>
              <w:adjustRightInd w:val="0"/>
              <w:snapToGrid/>
              <w:ind w:firstLine="0"/>
              <w:textAlignment w:val="auto"/>
              <w:rPr>
                <w:rFonts w:hint="default" w:ascii="Times New Roman" w:hAnsi="Times New Roman" w:eastAsia="宋体"/>
                <w:b/>
                <w:bCs/>
                <w:color w:val="auto"/>
                <w:sz w:val="24"/>
                <w:szCs w:val="21"/>
                <w:highlight w:val="none"/>
                <w:lang w:val="en-US" w:eastAsia="zh-CN"/>
              </w:rPr>
            </w:pPr>
            <w:r>
              <w:rPr>
                <w:rFonts w:hint="default" w:ascii="Times New Roman" w:hAnsi="Times New Roman" w:cs="Times New Roman"/>
                <w:color w:val="auto"/>
                <w:sz w:val="24"/>
                <w:szCs w:val="16"/>
                <w:highlight w:val="none"/>
              </w:rPr>
              <w:t>表</w:t>
            </w:r>
            <w:r>
              <w:rPr>
                <w:rFonts w:hint="eastAsia" w:cs="Times New Roman"/>
                <w:color w:val="auto"/>
                <w:sz w:val="24"/>
                <w:szCs w:val="16"/>
                <w:highlight w:val="none"/>
                <w:lang w:val="en-US" w:eastAsia="zh-CN"/>
              </w:rPr>
              <w:t>2-10</w:t>
            </w:r>
            <w:r>
              <w:rPr>
                <w:rFonts w:hint="default" w:ascii="Times New Roman" w:hAnsi="Times New Roman" w:cs="Times New Roman"/>
                <w:color w:val="auto"/>
                <w:sz w:val="24"/>
                <w:szCs w:val="16"/>
                <w:highlight w:val="none"/>
                <w:lang w:val="en-US" w:eastAsia="zh-CN"/>
              </w:rPr>
              <w:t xml:space="preserve"> </w:t>
            </w:r>
            <w:r>
              <w:rPr>
                <w:rFonts w:hint="eastAsia" w:ascii="Times New Roman" w:hAnsi="Times New Roman"/>
                <w:b/>
                <w:bCs/>
                <w:color w:val="auto"/>
                <w:sz w:val="24"/>
                <w:szCs w:val="21"/>
                <w:highlight w:val="none"/>
              </w:rPr>
              <w:t>本</w:t>
            </w:r>
            <w:r>
              <w:rPr>
                <w:rFonts w:ascii="Times New Roman" w:hAnsi="Times New Roman"/>
                <w:b/>
                <w:bCs/>
                <w:color w:val="auto"/>
                <w:sz w:val="24"/>
                <w:szCs w:val="21"/>
                <w:highlight w:val="none"/>
              </w:rPr>
              <w:t>工程</w:t>
            </w:r>
            <w:r>
              <w:rPr>
                <w:rFonts w:hint="eastAsia" w:ascii="Times New Roman" w:hAnsi="Times New Roman" w:cs="Times New Roman"/>
                <w:b/>
                <w:bCs/>
                <w:color w:val="auto"/>
                <w:sz w:val="24"/>
                <w:szCs w:val="21"/>
                <w:highlight w:val="none"/>
                <w:lang w:eastAsia="zh-CN"/>
              </w:rPr>
              <w:t>漆</w:t>
            </w:r>
            <w:r>
              <w:rPr>
                <w:rFonts w:hint="eastAsia" w:ascii="Times New Roman" w:hAnsi="Times New Roman"/>
                <w:b/>
                <w:bCs/>
                <w:color w:val="auto"/>
                <w:sz w:val="24"/>
                <w:szCs w:val="21"/>
                <w:highlight w:val="none"/>
              </w:rPr>
              <w:t>平衡一览表</w:t>
            </w:r>
            <w:r>
              <w:rPr>
                <w:rFonts w:hint="eastAsia"/>
                <w:b/>
                <w:bCs/>
                <w:color w:val="auto"/>
                <w:sz w:val="24"/>
                <w:szCs w:val="21"/>
                <w:highlight w:val="none"/>
                <w:lang w:val="en-US" w:eastAsia="zh-CN"/>
              </w:rPr>
              <w:t xml:space="preserve">   单位t/a</w:t>
            </w:r>
          </w:p>
          <w:tbl>
            <w:tblPr>
              <w:tblStyle w:val="3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11"/>
              <w:gridCol w:w="1337"/>
              <w:gridCol w:w="3123"/>
              <w:gridCol w:w="25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exact"/>
                <w:jc w:val="center"/>
              </w:trPr>
              <w:tc>
                <w:tcPr>
                  <w:tcW w:w="3243" w:type="dxa"/>
                  <w:gridSpan w:val="2"/>
                  <w:noWrap w:val="0"/>
                  <w:vAlign w:val="center"/>
                </w:tcPr>
                <w:p>
                  <w:pPr>
                    <w:pStyle w:val="2"/>
                    <w:spacing w:after="0" w:line="240" w:lineRule="auto"/>
                    <w:ind w:left="0" w:leftChars="0" w:firstLine="0" w:firstLineChars="0"/>
                    <w:jc w:val="center"/>
                    <w:rPr>
                      <w:rFonts w:hint="default" w:ascii="Times New Roman" w:hAnsi="Times New Roman" w:eastAsia="宋体" w:cs="Times New Roman"/>
                      <w:color w:val="auto"/>
                      <w:spacing w:val="0"/>
                      <w:position w:val="0"/>
                      <w:sz w:val="21"/>
                      <w:szCs w:val="21"/>
                      <w:highlight w:val="none"/>
                      <w:lang w:val="en-US" w:eastAsia="zh-CN"/>
                    </w:rPr>
                  </w:pPr>
                  <w:r>
                    <w:rPr>
                      <w:rFonts w:hint="default" w:ascii="Times New Roman" w:hAnsi="Times New Roman" w:eastAsia="宋体" w:cs="Times New Roman"/>
                      <w:color w:val="auto"/>
                      <w:spacing w:val="0"/>
                      <w:position w:val="0"/>
                      <w:sz w:val="21"/>
                      <w:szCs w:val="21"/>
                      <w:highlight w:val="none"/>
                      <w:lang w:val="en-US" w:eastAsia="zh-CN"/>
                    </w:rPr>
                    <w:t>输入项</w:t>
                  </w:r>
                </w:p>
              </w:tc>
              <w:tc>
                <w:tcPr>
                  <w:tcW w:w="5703" w:type="dxa"/>
                  <w:gridSpan w:val="2"/>
                  <w:noWrap w:val="0"/>
                  <w:vAlign w:val="center"/>
                </w:tcPr>
                <w:p>
                  <w:pPr>
                    <w:pStyle w:val="2"/>
                    <w:spacing w:after="0" w:line="240" w:lineRule="auto"/>
                    <w:ind w:left="0" w:leftChars="0" w:firstLine="0" w:firstLineChars="0"/>
                    <w:jc w:val="center"/>
                    <w:rPr>
                      <w:rFonts w:hint="default" w:ascii="Times New Roman" w:hAnsi="Times New Roman" w:eastAsia="宋体" w:cs="Times New Roman"/>
                      <w:color w:val="auto"/>
                      <w:spacing w:val="0"/>
                      <w:position w:val="0"/>
                      <w:sz w:val="21"/>
                      <w:szCs w:val="21"/>
                      <w:highlight w:val="none"/>
                      <w:lang w:val="en-US" w:eastAsia="zh-CN"/>
                    </w:rPr>
                  </w:pPr>
                  <w:r>
                    <w:rPr>
                      <w:rFonts w:hint="default" w:ascii="Times New Roman" w:hAnsi="Times New Roman" w:eastAsia="宋体" w:cs="Times New Roman"/>
                      <w:color w:val="auto"/>
                      <w:spacing w:val="0"/>
                      <w:position w:val="0"/>
                      <w:sz w:val="21"/>
                      <w:szCs w:val="21"/>
                      <w:highlight w:val="none"/>
                      <w:lang w:val="en-US" w:eastAsia="zh-CN"/>
                    </w:rPr>
                    <w:t>输出项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1908" w:type="dxa"/>
                  <w:noWrap w:val="0"/>
                  <w:vAlign w:val="center"/>
                </w:tcPr>
                <w:p>
                  <w:pPr>
                    <w:pStyle w:val="2"/>
                    <w:spacing w:after="0" w:line="240" w:lineRule="auto"/>
                    <w:ind w:left="0" w:leftChars="0" w:firstLine="0" w:firstLineChars="0"/>
                    <w:jc w:val="center"/>
                    <w:rPr>
                      <w:rFonts w:hint="default" w:ascii="Times New Roman" w:hAnsi="Times New Roman" w:eastAsia="宋体" w:cs="Times New Roman"/>
                      <w:color w:val="auto"/>
                      <w:spacing w:val="0"/>
                      <w:position w:val="0"/>
                      <w:sz w:val="21"/>
                      <w:szCs w:val="21"/>
                      <w:highlight w:val="none"/>
                      <w:lang w:val="en-US" w:eastAsia="zh-CN"/>
                    </w:rPr>
                  </w:pPr>
                  <w:r>
                    <w:rPr>
                      <w:rFonts w:hint="eastAsia" w:ascii="Times New Roman" w:hAnsi="Times New Roman" w:eastAsia="宋体" w:cs="Times New Roman"/>
                      <w:color w:val="auto"/>
                      <w:spacing w:val="0"/>
                      <w:position w:val="0"/>
                      <w:sz w:val="21"/>
                      <w:szCs w:val="21"/>
                      <w:highlight w:val="none"/>
                      <w:lang w:val="en-US" w:eastAsia="zh-CN"/>
                    </w:rPr>
                    <w:t>油漆</w:t>
                  </w:r>
                </w:p>
              </w:tc>
              <w:tc>
                <w:tcPr>
                  <w:tcW w:w="1335" w:type="dxa"/>
                  <w:noWrap w:val="0"/>
                  <w:vAlign w:val="center"/>
                </w:tcPr>
                <w:p>
                  <w:pPr>
                    <w:pStyle w:val="2"/>
                    <w:spacing w:after="0" w:line="240" w:lineRule="auto"/>
                    <w:ind w:left="0" w:leftChars="0" w:firstLine="0" w:firstLineChars="0"/>
                    <w:jc w:val="center"/>
                    <w:rPr>
                      <w:rFonts w:hint="default" w:ascii="Times New Roman" w:hAnsi="Times New Roman" w:eastAsia="宋体" w:cs="Times New Roman"/>
                      <w:color w:val="auto"/>
                      <w:spacing w:val="0"/>
                      <w:position w:val="0"/>
                      <w:sz w:val="21"/>
                      <w:szCs w:val="21"/>
                      <w:highlight w:val="none"/>
                      <w:lang w:val="en-US" w:eastAsia="zh-CN"/>
                    </w:rPr>
                  </w:pPr>
                  <w:r>
                    <w:rPr>
                      <w:rFonts w:hint="eastAsia" w:cs="Times New Roman"/>
                      <w:color w:val="auto"/>
                      <w:spacing w:val="0"/>
                      <w:position w:val="0"/>
                      <w:sz w:val="21"/>
                      <w:szCs w:val="21"/>
                      <w:highlight w:val="none"/>
                      <w:lang w:val="en-US" w:eastAsia="zh-CN"/>
                    </w:rPr>
                    <w:t>1.25</w:t>
                  </w:r>
                </w:p>
              </w:tc>
              <w:tc>
                <w:tcPr>
                  <w:tcW w:w="3118" w:type="dxa"/>
                  <w:noWrap w:val="0"/>
                  <w:vAlign w:val="center"/>
                </w:tcPr>
                <w:p>
                  <w:pPr>
                    <w:pStyle w:val="2"/>
                    <w:spacing w:after="0" w:line="240" w:lineRule="auto"/>
                    <w:ind w:left="0" w:leftChars="0" w:firstLine="0" w:firstLineChars="0"/>
                    <w:jc w:val="center"/>
                    <w:rPr>
                      <w:rFonts w:hint="default" w:ascii="Times New Roman" w:hAnsi="Times New Roman" w:eastAsia="宋体" w:cs="Times New Roman"/>
                      <w:color w:val="auto"/>
                      <w:spacing w:val="0"/>
                      <w:position w:val="0"/>
                      <w:sz w:val="21"/>
                      <w:szCs w:val="21"/>
                      <w:highlight w:val="none"/>
                      <w:lang w:val="en-US" w:eastAsia="zh-CN"/>
                    </w:rPr>
                  </w:pPr>
                  <w:r>
                    <w:rPr>
                      <w:rFonts w:hint="default" w:ascii="Times New Roman" w:hAnsi="Times New Roman" w:eastAsia="宋体" w:cs="Times New Roman"/>
                      <w:color w:val="auto"/>
                      <w:spacing w:val="0"/>
                      <w:position w:val="0"/>
                      <w:sz w:val="21"/>
                      <w:szCs w:val="21"/>
                      <w:highlight w:val="none"/>
                      <w:lang w:val="en-US" w:eastAsia="zh-CN"/>
                    </w:rPr>
                    <w:t>油漆（钢材附着）</w:t>
                  </w:r>
                </w:p>
              </w:tc>
              <w:tc>
                <w:tcPr>
                  <w:tcW w:w="2585" w:type="dxa"/>
                  <w:noWrap w:val="0"/>
                  <w:vAlign w:val="center"/>
                </w:tcPr>
                <w:p>
                  <w:pPr>
                    <w:pStyle w:val="2"/>
                    <w:spacing w:after="0" w:line="240" w:lineRule="auto"/>
                    <w:ind w:left="0" w:leftChars="0" w:firstLine="0" w:firstLineChars="0"/>
                    <w:jc w:val="center"/>
                    <w:rPr>
                      <w:rFonts w:hint="default" w:ascii="Times New Roman" w:hAnsi="Times New Roman" w:cs="Times New Roman"/>
                      <w:color w:val="auto"/>
                      <w:spacing w:val="0"/>
                      <w:position w:val="0"/>
                      <w:sz w:val="21"/>
                      <w:szCs w:val="21"/>
                      <w:highlight w:val="none"/>
                      <w:lang w:val="en-US" w:eastAsia="zh-CN"/>
                    </w:rPr>
                  </w:pPr>
                  <w:r>
                    <w:rPr>
                      <w:rFonts w:hint="eastAsia" w:cs="Times New Roman"/>
                      <w:color w:val="auto"/>
                      <w:spacing w:val="0"/>
                      <w:position w:val="0"/>
                      <w:sz w:val="21"/>
                      <w:szCs w:val="21"/>
                      <w:highlight w:val="none"/>
                      <w:lang w:val="en-US" w:eastAsia="zh-CN"/>
                    </w:rPr>
                    <w:t>0.717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6" w:hRule="exact"/>
                <w:jc w:val="center"/>
              </w:trPr>
              <w:tc>
                <w:tcPr>
                  <w:tcW w:w="1908" w:type="dxa"/>
                  <w:noWrap w:val="0"/>
                  <w:vAlign w:val="center"/>
                </w:tcPr>
                <w:p>
                  <w:pPr>
                    <w:pStyle w:val="2"/>
                    <w:spacing w:after="0" w:line="240" w:lineRule="auto"/>
                    <w:ind w:left="0" w:leftChars="0" w:firstLine="0" w:firstLineChars="0"/>
                    <w:jc w:val="center"/>
                    <w:rPr>
                      <w:rFonts w:hint="default" w:ascii="Times New Roman" w:hAnsi="Times New Roman" w:eastAsia="宋体" w:cs="Times New Roman"/>
                      <w:color w:val="auto"/>
                      <w:spacing w:val="0"/>
                      <w:position w:val="0"/>
                      <w:sz w:val="21"/>
                      <w:szCs w:val="21"/>
                      <w:highlight w:val="none"/>
                      <w:lang w:val="en-US" w:eastAsia="zh-CN"/>
                    </w:rPr>
                  </w:pPr>
                  <w:r>
                    <w:rPr>
                      <w:rFonts w:hint="default" w:ascii="Times New Roman" w:hAnsi="Times New Roman" w:eastAsia="宋体" w:cs="Times New Roman"/>
                      <w:color w:val="auto"/>
                      <w:spacing w:val="0"/>
                      <w:position w:val="0"/>
                      <w:sz w:val="21"/>
                      <w:szCs w:val="21"/>
                      <w:highlight w:val="none"/>
                      <w:lang w:val="en-US" w:eastAsia="zh-CN"/>
                    </w:rPr>
                    <w:t>稀释剂</w:t>
                  </w:r>
                </w:p>
              </w:tc>
              <w:tc>
                <w:tcPr>
                  <w:tcW w:w="1335" w:type="dxa"/>
                  <w:noWrap w:val="0"/>
                  <w:vAlign w:val="center"/>
                </w:tcPr>
                <w:p>
                  <w:pPr>
                    <w:pStyle w:val="2"/>
                    <w:spacing w:after="0" w:line="240" w:lineRule="auto"/>
                    <w:ind w:left="0" w:leftChars="0" w:firstLine="0" w:firstLineChars="0"/>
                    <w:jc w:val="center"/>
                    <w:rPr>
                      <w:rFonts w:hint="default" w:ascii="Times New Roman" w:hAnsi="Times New Roman" w:eastAsia="宋体" w:cs="Times New Roman"/>
                      <w:color w:val="auto"/>
                      <w:spacing w:val="0"/>
                      <w:position w:val="0"/>
                      <w:sz w:val="21"/>
                      <w:szCs w:val="21"/>
                      <w:highlight w:val="none"/>
                      <w:lang w:val="en-US" w:eastAsia="zh-CN"/>
                    </w:rPr>
                  </w:pPr>
                  <w:r>
                    <w:rPr>
                      <w:rFonts w:hint="eastAsia" w:ascii="Times New Roman" w:hAnsi="Times New Roman" w:eastAsia="宋体" w:cs="Times New Roman"/>
                      <w:color w:val="auto"/>
                      <w:spacing w:val="0"/>
                      <w:position w:val="0"/>
                      <w:sz w:val="21"/>
                      <w:szCs w:val="21"/>
                      <w:highlight w:val="none"/>
                      <w:lang w:val="en-US" w:eastAsia="zh-CN"/>
                    </w:rPr>
                    <w:t>0.</w:t>
                  </w:r>
                  <w:r>
                    <w:rPr>
                      <w:rFonts w:hint="eastAsia" w:cs="Times New Roman"/>
                      <w:color w:val="auto"/>
                      <w:spacing w:val="0"/>
                      <w:position w:val="0"/>
                      <w:sz w:val="21"/>
                      <w:szCs w:val="21"/>
                      <w:highlight w:val="none"/>
                      <w:lang w:val="en-US" w:eastAsia="zh-CN"/>
                    </w:rPr>
                    <w:t>05</w:t>
                  </w:r>
                </w:p>
              </w:tc>
              <w:tc>
                <w:tcPr>
                  <w:tcW w:w="3118" w:type="dxa"/>
                  <w:noWrap w:val="0"/>
                  <w:vAlign w:val="center"/>
                </w:tcPr>
                <w:p>
                  <w:pPr>
                    <w:pStyle w:val="2"/>
                    <w:spacing w:after="0" w:line="240" w:lineRule="auto"/>
                    <w:ind w:left="0" w:leftChars="0" w:firstLine="0" w:firstLineChars="0"/>
                    <w:jc w:val="center"/>
                    <w:rPr>
                      <w:rFonts w:hint="default" w:ascii="Times New Roman" w:hAnsi="Times New Roman" w:eastAsia="宋体" w:cs="Times New Roman"/>
                      <w:color w:val="auto"/>
                      <w:spacing w:val="0"/>
                      <w:position w:val="0"/>
                      <w:sz w:val="21"/>
                      <w:szCs w:val="21"/>
                      <w:highlight w:val="none"/>
                      <w:lang w:val="en-US" w:eastAsia="zh-CN"/>
                    </w:rPr>
                  </w:pPr>
                  <w:r>
                    <w:rPr>
                      <w:rFonts w:hint="default" w:ascii="Times New Roman" w:hAnsi="Times New Roman" w:eastAsia="宋体" w:cs="Times New Roman"/>
                      <w:color w:val="auto"/>
                      <w:spacing w:val="0"/>
                      <w:position w:val="0"/>
                      <w:sz w:val="21"/>
                      <w:szCs w:val="21"/>
                      <w:highlight w:val="none"/>
                      <w:lang w:val="en-US" w:eastAsia="zh-CN"/>
                    </w:rPr>
                    <w:t>漆渣</w:t>
                  </w:r>
                </w:p>
              </w:tc>
              <w:tc>
                <w:tcPr>
                  <w:tcW w:w="2585" w:type="dxa"/>
                  <w:noWrap w:val="0"/>
                  <w:vAlign w:val="center"/>
                </w:tcPr>
                <w:p>
                  <w:pPr>
                    <w:pStyle w:val="2"/>
                    <w:spacing w:after="0" w:line="240" w:lineRule="auto"/>
                    <w:ind w:left="0" w:leftChars="0" w:firstLine="0" w:firstLineChars="0"/>
                    <w:jc w:val="center"/>
                    <w:rPr>
                      <w:rFonts w:hint="default" w:ascii="Times New Roman" w:hAnsi="Times New Roman" w:cs="Times New Roman"/>
                      <w:color w:val="auto"/>
                      <w:spacing w:val="0"/>
                      <w:position w:val="0"/>
                      <w:sz w:val="21"/>
                      <w:szCs w:val="21"/>
                      <w:highlight w:val="none"/>
                      <w:lang w:val="en-US" w:eastAsia="zh-CN"/>
                    </w:rPr>
                  </w:pPr>
                  <w:r>
                    <w:rPr>
                      <w:rFonts w:hint="eastAsia" w:cs="Times New Roman"/>
                      <w:color w:val="auto"/>
                      <w:spacing w:val="0"/>
                      <w:position w:val="0"/>
                      <w:sz w:val="21"/>
                      <w:szCs w:val="21"/>
                      <w:highlight w:val="none"/>
                      <w:lang w:val="en-US" w:eastAsia="zh-CN"/>
                    </w:rPr>
                    <w:t>0.13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1908" w:type="dxa"/>
                  <w:noWrap w:val="0"/>
                  <w:vAlign w:val="center"/>
                </w:tcPr>
                <w:p>
                  <w:pPr>
                    <w:pStyle w:val="2"/>
                    <w:spacing w:after="0" w:line="240" w:lineRule="auto"/>
                    <w:ind w:left="0" w:leftChars="0" w:firstLine="0" w:firstLineChars="0"/>
                    <w:jc w:val="center"/>
                    <w:rPr>
                      <w:rFonts w:hint="default" w:ascii="Times New Roman" w:hAnsi="Times New Roman" w:eastAsia="宋体" w:cs="Times New Roman"/>
                      <w:color w:val="auto"/>
                      <w:spacing w:val="0"/>
                      <w:position w:val="0"/>
                      <w:sz w:val="21"/>
                      <w:szCs w:val="21"/>
                      <w:highlight w:val="none"/>
                      <w:lang w:val="en-US" w:eastAsia="zh-CN"/>
                    </w:rPr>
                  </w:pPr>
                </w:p>
              </w:tc>
              <w:tc>
                <w:tcPr>
                  <w:tcW w:w="1335" w:type="dxa"/>
                  <w:noWrap w:val="0"/>
                  <w:vAlign w:val="center"/>
                </w:tcPr>
                <w:p>
                  <w:pPr>
                    <w:pStyle w:val="2"/>
                    <w:spacing w:after="0" w:line="240" w:lineRule="auto"/>
                    <w:ind w:left="0" w:leftChars="0" w:firstLine="0" w:firstLineChars="0"/>
                    <w:jc w:val="center"/>
                    <w:rPr>
                      <w:rFonts w:hint="default" w:ascii="Times New Roman" w:hAnsi="Times New Roman" w:eastAsia="宋体" w:cs="Times New Roman"/>
                      <w:color w:val="auto"/>
                      <w:spacing w:val="0"/>
                      <w:position w:val="0"/>
                      <w:sz w:val="21"/>
                      <w:szCs w:val="21"/>
                      <w:highlight w:val="none"/>
                      <w:lang w:val="en-US" w:eastAsia="zh-CN"/>
                    </w:rPr>
                  </w:pPr>
                </w:p>
              </w:tc>
              <w:tc>
                <w:tcPr>
                  <w:tcW w:w="3118" w:type="dxa"/>
                  <w:noWrap w:val="0"/>
                  <w:vAlign w:val="center"/>
                </w:tcPr>
                <w:p>
                  <w:pPr>
                    <w:pStyle w:val="2"/>
                    <w:spacing w:after="0" w:line="240" w:lineRule="auto"/>
                    <w:ind w:left="0" w:leftChars="0" w:firstLine="0" w:firstLineChars="0"/>
                    <w:jc w:val="center"/>
                    <w:rPr>
                      <w:rFonts w:hint="default" w:ascii="Times New Roman" w:hAnsi="Times New Roman" w:eastAsia="宋体" w:cs="Times New Roman"/>
                      <w:color w:val="auto"/>
                      <w:spacing w:val="0"/>
                      <w:position w:val="0"/>
                      <w:sz w:val="21"/>
                      <w:szCs w:val="21"/>
                      <w:highlight w:val="none"/>
                      <w:lang w:val="en-US" w:eastAsia="zh-CN"/>
                    </w:rPr>
                  </w:pPr>
                  <w:r>
                    <w:rPr>
                      <w:rFonts w:hint="default" w:ascii="Times New Roman" w:hAnsi="Times New Roman" w:eastAsia="宋体" w:cs="Times New Roman"/>
                      <w:color w:val="auto"/>
                      <w:spacing w:val="0"/>
                      <w:position w:val="0"/>
                      <w:sz w:val="21"/>
                      <w:szCs w:val="21"/>
                      <w:highlight w:val="none"/>
                      <w:lang w:val="en-US" w:eastAsia="zh-CN"/>
                    </w:rPr>
                    <w:t>颗粒物（有组织排放）</w:t>
                  </w:r>
                </w:p>
              </w:tc>
              <w:tc>
                <w:tcPr>
                  <w:tcW w:w="2585" w:type="dxa"/>
                  <w:noWrap w:val="0"/>
                  <w:vAlign w:val="center"/>
                </w:tcPr>
                <w:p>
                  <w:pPr>
                    <w:pStyle w:val="2"/>
                    <w:spacing w:after="0" w:line="240" w:lineRule="auto"/>
                    <w:ind w:left="0" w:leftChars="0" w:firstLine="0" w:firstLineChars="0"/>
                    <w:jc w:val="center"/>
                    <w:rPr>
                      <w:rFonts w:hint="default" w:ascii="Times New Roman" w:hAnsi="Times New Roman" w:cs="Times New Roman"/>
                      <w:color w:val="auto"/>
                      <w:spacing w:val="0"/>
                      <w:position w:val="0"/>
                      <w:sz w:val="21"/>
                      <w:szCs w:val="21"/>
                      <w:highlight w:val="none"/>
                      <w:lang w:val="en-US" w:eastAsia="zh-CN"/>
                    </w:rPr>
                  </w:pPr>
                  <w:r>
                    <w:rPr>
                      <w:rFonts w:hint="eastAsia" w:cs="Times New Roman"/>
                      <w:color w:val="auto"/>
                      <w:spacing w:val="0"/>
                      <w:position w:val="0"/>
                      <w:sz w:val="21"/>
                      <w:szCs w:val="21"/>
                      <w:highlight w:val="none"/>
                      <w:lang w:val="en-US" w:eastAsia="zh-CN"/>
                    </w:rPr>
                    <w:t>0.09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1908" w:type="dxa"/>
                  <w:noWrap w:val="0"/>
                  <w:vAlign w:val="center"/>
                </w:tcPr>
                <w:p>
                  <w:pPr>
                    <w:pStyle w:val="2"/>
                    <w:spacing w:after="0" w:line="240" w:lineRule="auto"/>
                    <w:ind w:left="0" w:leftChars="0" w:firstLine="0" w:firstLineChars="0"/>
                    <w:jc w:val="center"/>
                    <w:rPr>
                      <w:rFonts w:hint="default" w:ascii="Times New Roman" w:hAnsi="Times New Roman" w:eastAsia="宋体" w:cs="Times New Roman"/>
                      <w:color w:val="auto"/>
                      <w:spacing w:val="0"/>
                      <w:position w:val="0"/>
                      <w:sz w:val="21"/>
                      <w:szCs w:val="21"/>
                      <w:highlight w:val="none"/>
                      <w:lang w:val="en-US" w:eastAsia="zh-CN"/>
                    </w:rPr>
                  </w:pPr>
                </w:p>
              </w:tc>
              <w:tc>
                <w:tcPr>
                  <w:tcW w:w="1335" w:type="dxa"/>
                  <w:noWrap w:val="0"/>
                  <w:vAlign w:val="center"/>
                </w:tcPr>
                <w:p>
                  <w:pPr>
                    <w:pStyle w:val="2"/>
                    <w:spacing w:after="0" w:line="240" w:lineRule="auto"/>
                    <w:ind w:left="0" w:leftChars="0" w:firstLine="0" w:firstLineChars="0"/>
                    <w:jc w:val="center"/>
                    <w:rPr>
                      <w:rFonts w:hint="default" w:ascii="Times New Roman" w:hAnsi="Times New Roman" w:eastAsia="宋体" w:cs="Times New Roman"/>
                      <w:color w:val="auto"/>
                      <w:spacing w:val="0"/>
                      <w:position w:val="0"/>
                      <w:sz w:val="21"/>
                      <w:szCs w:val="21"/>
                      <w:highlight w:val="none"/>
                      <w:lang w:val="en-US" w:eastAsia="zh-CN"/>
                    </w:rPr>
                  </w:pPr>
                </w:p>
              </w:tc>
              <w:tc>
                <w:tcPr>
                  <w:tcW w:w="3118" w:type="dxa"/>
                  <w:noWrap w:val="0"/>
                  <w:vAlign w:val="center"/>
                </w:tcPr>
                <w:p>
                  <w:pPr>
                    <w:pStyle w:val="2"/>
                    <w:spacing w:after="0" w:line="240" w:lineRule="auto"/>
                    <w:ind w:left="0" w:leftChars="0" w:firstLine="0" w:firstLineChars="0"/>
                    <w:jc w:val="center"/>
                    <w:rPr>
                      <w:rFonts w:hint="default" w:ascii="Times New Roman" w:hAnsi="Times New Roman" w:eastAsia="宋体" w:cs="Times New Roman"/>
                      <w:color w:val="auto"/>
                      <w:spacing w:val="0"/>
                      <w:position w:val="0"/>
                      <w:sz w:val="21"/>
                      <w:szCs w:val="21"/>
                      <w:highlight w:val="none"/>
                      <w:lang w:val="en-US" w:eastAsia="zh-CN"/>
                    </w:rPr>
                  </w:pPr>
                  <w:r>
                    <w:rPr>
                      <w:rFonts w:hint="default" w:ascii="Times New Roman" w:hAnsi="Times New Roman" w:eastAsia="宋体" w:cs="Times New Roman"/>
                      <w:color w:val="auto"/>
                      <w:spacing w:val="0"/>
                      <w:position w:val="0"/>
                      <w:sz w:val="21"/>
                      <w:szCs w:val="21"/>
                      <w:highlight w:val="none"/>
                      <w:lang w:val="en-US" w:eastAsia="zh-CN"/>
                    </w:rPr>
                    <w:t>颗粒物（无组织排放）</w:t>
                  </w:r>
                </w:p>
              </w:tc>
              <w:tc>
                <w:tcPr>
                  <w:tcW w:w="2585" w:type="dxa"/>
                  <w:noWrap w:val="0"/>
                  <w:vAlign w:val="center"/>
                </w:tcPr>
                <w:p>
                  <w:pPr>
                    <w:pStyle w:val="2"/>
                    <w:spacing w:after="0" w:line="240" w:lineRule="auto"/>
                    <w:ind w:left="0" w:leftChars="0" w:firstLine="0" w:firstLineChars="0"/>
                    <w:jc w:val="center"/>
                    <w:rPr>
                      <w:rFonts w:hint="default" w:ascii="Times New Roman" w:hAnsi="Times New Roman" w:cs="Times New Roman"/>
                      <w:color w:val="auto"/>
                      <w:spacing w:val="0"/>
                      <w:position w:val="0"/>
                      <w:sz w:val="21"/>
                      <w:szCs w:val="21"/>
                      <w:highlight w:val="none"/>
                      <w:lang w:val="en-US" w:eastAsia="zh-CN"/>
                    </w:rPr>
                  </w:pPr>
                  <w:r>
                    <w:rPr>
                      <w:rFonts w:hint="eastAsia" w:cs="Times New Roman"/>
                      <w:color w:val="auto"/>
                      <w:spacing w:val="0"/>
                      <w:position w:val="0"/>
                      <w:sz w:val="21"/>
                      <w:szCs w:val="21"/>
                      <w:highlight w:val="none"/>
                      <w:lang w:val="en-US" w:eastAsia="zh-CN"/>
                    </w:rPr>
                    <w:t>0.04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1908" w:type="dxa"/>
                  <w:noWrap w:val="0"/>
                  <w:vAlign w:val="center"/>
                </w:tcPr>
                <w:p>
                  <w:pPr>
                    <w:pStyle w:val="2"/>
                    <w:spacing w:after="0" w:line="240" w:lineRule="auto"/>
                    <w:ind w:left="0" w:leftChars="0" w:firstLine="0" w:firstLineChars="0"/>
                    <w:jc w:val="center"/>
                    <w:rPr>
                      <w:rFonts w:hint="default" w:ascii="Times New Roman" w:hAnsi="Times New Roman" w:eastAsia="宋体" w:cs="Times New Roman"/>
                      <w:color w:val="auto"/>
                      <w:spacing w:val="0"/>
                      <w:position w:val="0"/>
                      <w:sz w:val="21"/>
                      <w:szCs w:val="21"/>
                      <w:highlight w:val="none"/>
                      <w:lang w:val="en-US" w:eastAsia="zh-CN"/>
                    </w:rPr>
                  </w:pPr>
                </w:p>
              </w:tc>
              <w:tc>
                <w:tcPr>
                  <w:tcW w:w="1335" w:type="dxa"/>
                  <w:noWrap w:val="0"/>
                  <w:vAlign w:val="center"/>
                </w:tcPr>
                <w:p>
                  <w:pPr>
                    <w:pStyle w:val="2"/>
                    <w:spacing w:after="0" w:line="240" w:lineRule="auto"/>
                    <w:ind w:left="0" w:leftChars="0" w:firstLine="0" w:firstLineChars="0"/>
                    <w:jc w:val="center"/>
                    <w:rPr>
                      <w:rFonts w:hint="default" w:ascii="Times New Roman" w:hAnsi="Times New Roman" w:eastAsia="宋体" w:cs="Times New Roman"/>
                      <w:color w:val="auto"/>
                      <w:spacing w:val="0"/>
                      <w:position w:val="0"/>
                      <w:sz w:val="21"/>
                      <w:szCs w:val="21"/>
                      <w:highlight w:val="none"/>
                      <w:lang w:val="en-US" w:eastAsia="zh-CN"/>
                    </w:rPr>
                  </w:pPr>
                </w:p>
              </w:tc>
              <w:tc>
                <w:tcPr>
                  <w:tcW w:w="3118" w:type="dxa"/>
                  <w:noWrap w:val="0"/>
                  <w:vAlign w:val="center"/>
                </w:tcPr>
                <w:p>
                  <w:pPr>
                    <w:pStyle w:val="2"/>
                    <w:spacing w:after="0" w:line="240" w:lineRule="auto"/>
                    <w:ind w:left="0" w:leftChars="0" w:firstLine="0" w:firstLineChars="0"/>
                    <w:jc w:val="center"/>
                    <w:rPr>
                      <w:rFonts w:hint="default" w:ascii="Times New Roman" w:hAnsi="Times New Roman" w:eastAsia="宋体" w:cs="Times New Roman"/>
                      <w:color w:val="auto"/>
                      <w:spacing w:val="0"/>
                      <w:position w:val="0"/>
                      <w:sz w:val="21"/>
                      <w:szCs w:val="21"/>
                      <w:highlight w:val="none"/>
                      <w:lang w:val="en-US" w:eastAsia="zh-CN"/>
                    </w:rPr>
                  </w:pPr>
                  <w:r>
                    <w:rPr>
                      <w:rFonts w:hint="eastAsia" w:ascii="Times New Roman" w:hAnsi="Times New Roman" w:eastAsia="宋体" w:cs="Times New Roman"/>
                      <w:bCs/>
                      <w:color w:val="auto"/>
                      <w:sz w:val="21"/>
                      <w:szCs w:val="21"/>
                      <w:highlight w:val="none"/>
                      <w:lang w:val="en-US" w:eastAsia="zh-CN"/>
                    </w:rPr>
                    <w:t>吸附棉+二级活性炭吸附</w:t>
                  </w:r>
                </w:p>
              </w:tc>
              <w:tc>
                <w:tcPr>
                  <w:tcW w:w="2585" w:type="dxa"/>
                  <w:noWrap w:val="0"/>
                  <w:vAlign w:val="center"/>
                </w:tcPr>
                <w:p>
                  <w:pPr>
                    <w:pStyle w:val="2"/>
                    <w:spacing w:after="0" w:line="240" w:lineRule="auto"/>
                    <w:ind w:left="0" w:leftChars="0" w:firstLine="0" w:firstLineChars="0"/>
                    <w:jc w:val="center"/>
                    <w:rPr>
                      <w:rFonts w:hint="default" w:ascii="Times New Roman" w:hAnsi="Times New Roman" w:cs="Times New Roman"/>
                      <w:color w:val="auto"/>
                      <w:spacing w:val="0"/>
                      <w:position w:val="0"/>
                      <w:sz w:val="21"/>
                      <w:szCs w:val="21"/>
                      <w:highlight w:val="none"/>
                      <w:lang w:val="en-US" w:eastAsia="zh-CN"/>
                    </w:rPr>
                  </w:pPr>
                  <w:r>
                    <w:rPr>
                      <w:rFonts w:hint="eastAsia" w:cs="Times New Roman"/>
                      <w:color w:val="auto"/>
                      <w:spacing w:val="0"/>
                      <w:position w:val="0"/>
                      <w:sz w:val="21"/>
                      <w:szCs w:val="21"/>
                      <w:highlight w:val="none"/>
                      <w:lang w:val="en-US" w:eastAsia="zh-CN"/>
                    </w:rPr>
                    <w:t>0.217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1908" w:type="dxa"/>
                  <w:noWrap w:val="0"/>
                  <w:vAlign w:val="center"/>
                </w:tcPr>
                <w:p>
                  <w:pPr>
                    <w:pStyle w:val="2"/>
                    <w:spacing w:after="0" w:line="240" w:lineRule="auto"/>
                    <w:ind w:left="0" w:leftChars="0" w:firstLine="0" w:firstLineChars="0"/>
                    <w:jc w:val="center"/>
                    <w:rPr>
                      <w:rFonts w:hint="default" w:ascii="Times New Roman" w:hAnsi="Times New Roman" w:eastAsia="宋体" w:cs="Times New Roman"/>
                      <w:color w:val="auto"/>
                      <w:spacing w:val="0"/>
                      <w:position w:val="0"/>
                      <w:sz w:val="21"/>
                      <w:szCs w:val="21"/>
                      <w:highlight w:val="none"/>
                    </w:rPr>
                  </w:pPr>
                </w:p>
              </w:tc>
              <w:tc>
                <w:tcPr>
                  <w:tcW w:w="1335" w:type="dxa"/>
                  <w:noWrap w:val="0"/>
                  <w:vAlign w:val="center"/>
                </w:tcPr>
                <w:p>
                  <w:pPr>
                    <w:pStyle w:val="2"/>
                    <w:spacing w:after="0" w:line="240" w:lineRule="auto"/>
                    <w:ind w:left="0" w:leftChars="0" w:firstLine="0" w:firstLineChars="0"/>
                    <w:jc w:val="center"/>
                    <w:rPr>
                      <w:rFonts w:hint="default" w:ascii="Times New Roman" w:hAnsi="Times New Roman" w:eastAsia="宋体" w:cs="Times New Roman"/>
                      <w:color w:val="auto"/>
                      <w:spacing w:val="0"/>
                      <w:position w:val="0"/>
                      <w:sz w:val="21"/>
                      <w:szCs w:val="21"/>
                      <w:highlight w:val="none"/>
                    </w:rPr>
                  </w:pPr>
                </w:p>
              </w:tc>
              <w:tc>
                <w:tcPr>
                  <w:tcW w:w="3118" w:type="dxa"/>
                  <w:noWrap w:val="0"/>
                  <w:vAlign w:val="center"/>
                </w:tcPr>
                <w:p>
                  <w:pPr>
                    <w:spacing w:line="240" w:lineRule="auto"/>
                    <w:ind w:firstLine="0" w:firstLineChars="0"/>
                    <w:jc w:val="center"/>
                    <w:rPr>
                      <w:rFonts w:hint="default" w:ascii="Times New Roman" w:hAnsi="Times New Roman" w:eastAsia="宋体" w:cs="Times New Roman"/>
                      <w:color w:val="auto"/>
                      <w:spacing w:val="0"/>
                      <w:position w:val="0"/>
                      <w:sz w:val="21"/>
                      <w:szCs w:val="21"/>
                      <w:highlight w:val="none"/>
                    </w:rPr>
                  </w:pPr>
                  <w:r>
                    <w:rPr>
                      <w:rFonts w:hint="eastAsia" w:eastAsia="宋体" w:cs="Times New Roman"/>
                      <w:color w:val="auto"/>
                      <w:sz w:val="21"/>
                      <w:szCs w:val="21"/>
                      <w:highlight w:val="none"/>
                      <w:lang w:val="en-US" w:eastAsia="zh-CN"/>
                    </w:rPr>
                    <w:t>非甲烷总烃</w:t>
                  </w:r>
                  <w:r>
                    <w:rPr>
                      <w:rFonts w:hint="default" w:ascii="Times New Roman" w:hAnsi="Times New Roman" w:eastAsia="宋体" w:cs="Times New Roman"/>
                      <w:color w:val="auto"/>
                      <w:sz w:val="21"/>
                      <w:szCs w:val="21"/>
                      <w:highlight w:val="none"/>
                    </w:rPr>
                    <w:t>有组织排放</w:t>
                  </w:r>
                </w:p>
              </w:tc>
              <w:tc>
                <w:tcPr>
                  <w:tcW w:w="2585" w:type="dxa"/>
                  <w:noWrap w:val="0"/>
                  <w:vAlign w:val="center"/>
                </w:tcPr>
                <w:p>
                  <w:pPr>
                    <w:pStyle w:val="2"/>
                    <w:spacing w:after="0" w:line="240" w:lineRule="auto"/>
                    <w:ind w:left="0" w:leftChars="0" w:firstLine="0" w:firstLineChars="0"/>
                    <w:jc w:val="center"/>
                    <w:rPr>
                      <w:rFonts w:hint="default" w:ascii="Times New Roman" w:hAnsi="Times New Roman" w:cs="Times New Roman"/>
                      <w:color w:val="auto"/>
                      <w:spacing w:val="0"/>
                      <w:position w:val="0"/>
                      <w:sz w:val="21"/>
                      <w:szCs w:val="21"/>
                      <w:highlight w:val="none"/>
                      <w:lang w:val="en-US" w:eastAsia="zh-CN"/>
                    </w:rPr>
                  </w:pPr>
                  <w:r>
                    <w:rPr>
                      <w:rFonts w:hint="eastAsia" w:cs="Times New Roman"/>
                      <w:color w:val="auto"/>
                      <w:spacing w:val="0"/>
                      <w:position w:val="0"/>
                      <w:sz w:val="21"/>
                      <w:szCs w:val="21"/>
                      <w:highlight w:val="none"/>
                      <w:lang w:val="en-US" w:eastAsia="zh-CN"/>
                    </w:rPr>
                    <w:t>0.073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1908" w:type="dxa"/>
                  <w:noWrap w:val="0"/>
                  <w:vAlign w:val="center"/>
                </w:tcPr>
                <w:p>
                  <w:pPr>
                    <w:pStyle w:val="2"/>
                    <w:spacing w:after="0" w:line="240" w:lineRule="auto"/>
                    <w:ind w:left="0" w:leftChars="0" w:firstLine="0" w:firstLineChars="0"/>
                    <w:jc w:val="center"/>
                    <w:rPr>
                      <w:rFonts w:hint="default" w:ascii="Times New Roman" w:hAnsi="Times New Roman" w:eastAsia="宋体" w:cs="Times New Roman"/>
                      <w:color w:val="auto"/>
                      <w:spacing w:val="0"/>
                      <w:position w:val="0"/>
                      <w:sz w:val="21"/>
                      <w:szCs w:val="21"/>
                      <w:highlight w:val="none"/>
                    </w:rPr>
                  </w:pPr>
                </w:p>
              </w:tc>
              <w:tc>
                <w:tcPr>
                  <w:tcW w:w="1335" w:type="dxa"/>
                  <w:noWrap w:val="0"/>
                  <w:vAlign w:val="center"/>
                </w:tcPr>
                <w:p>
                  <w:pPr>
                    <w:pStyle w:val="2"/>
                    <w:spacing w:after="0" w:line="240" w:lineRule="auto"/>
                    <w:ind w:left="0" w:leftChars="0" w:firstLine="0" w:firstLineChars="0"/>
                    <w:jc w:val="center"/>
                    <w:rPr>
                      <w:rFonts w:hint="default" w:ascii="Times New Roman" w:hAnsi="Times New Roman" w:eastAsia="宋体" w:cs="Times New Roman"/>
                      <w:color w:val="auto"/>
                      <w:spacing w:val="0"/>
                      <w:position w:val="0"/>
                      <w:sz w:val="21"/>
                      <w:szCs w:val="21"/>
                      <w:highlight w:val="none"/>
                    </w:rPr>
                  </w:pPr>
                </w:p>
              </w:tc>
              <w:tc>
                <w:tcPr>
                  <w:tcW w:w="3118" w:type="dxa"/>
                  <w:noWrap w:val="0"/>
                  <w:vAlign w:val="center"/>
                </w:tcPr>
                <w:p>
                  <w:pPr>
                    <w:spacing w:line="240" w:lineRule="auto"/>
                    <w:ind w:firstLine="0" w:firstLineChars="0"/>
                    <w:jc w:val="center"/>
                    <w:rPr>
                      <w:rFonts w:hint="default" w:ascii="Times New Roman" w:hAnsi="Times New Roman" w:eastAsia="宋体" w:cs="Times New Roman"/>
                      <w:color w:val="auto"/>
                      <w:spacing w:val="0"/>
                      <w:position w:val="0"/>
                      <w:sz w:val="21"/>
                      <w:szCs w:val="21"/>
                      <w:highlight w:val="none"/>
                      <w:lang w:eastAsia="zh-CN"/>
                    </w:rPr>
                  </w:pPr>
                  <w:r>
                    <w:rPr>
                      <w:rFonts w:hint="eastAsia" w:eastAsia="宋体" w:cs="Times New Roman"/>
                      <w:color w:val="auto"/>
                      <w:sz w:val="21"/>
                      <w:szCs w:val="21"/>
                      <w:highlight w:val="none"/>
                      <w:lang w:val="en-US" w:eastAsia="zh-CN"/>
                    </w:rPr>
                    <w:t>非甲烷总烃</w:t>
                  </w:r>
                  <w:r>
                    <w:rPr>
                      <w:rFonts w:hint="default" w:ascii="Times New Roman" w:hAnsi="Times New Roman" w:eastAsia="宋体" w:cs="Times New Roman"/>
                      <w:color w:val="auto"/>
                      <w:sz w:val="21"/>
                      <w:szCs w:val="21"/>
                      <w:highlight w:val="none"/>
                      <w:lang w:eastAsia="zh-CN"/>
                    </w:rPr>
                    <w:t>无组织排放量</w:t>
                  </w:r>
                </w:p>
              </w:tc>
              <w:tc>
                <w:tcPr>
                  <w:tcW w:w="2585" w:type="dxa"/>
                  <w:noWrap w:val="0"/>
                  <w:vAlign w:val="center"/>
                </w:tcPr>
                <w:p>
                  <w:pPr>
                    <w:pStyle w:val="2"/>
                    <w:spacing w:after="0" w:line="240" w:lineRule="auto"/>
                    <w:ind w:left="0" w:leftChars="0" w:firstLine="0" w:firstLineChars="0"/>
                    <w:jc w:val="center"/>
                    <w:rPr>
                      <w:rFonts w:hint="default" w:ascii="Times New Roman" w:hAnsi="Times New Roman" w:cs="Times New Roman"/>
                      <w:color w:val="auto"/>
                      <w:spacing w:val="0"/>
                      <w:position w:val="0"/>
                      <w:sz w:val="21"/>
                      <w:szCs w:val="21"/>
                      <w:highlight w:val="none"/>
                      <w:lang w:val="en-US" w:eastAsia="zh-CN"/>
                    </w:rPr>
                  </w:pPr>
                  <w:r>
                    <w:rPr>
                      <w:rFonts w:hint="eastAsia" w:cs="Times New Roman"/>
                      <w:color w:val="auto"/>
                      <w:spacing w:val="0"/>
                      <w:position w:val="0"/>
                      <w:sz w:val="21"/>
                      <w:szCs w:val="21"/>
                      <w:highlight w:val="none"/>
                      <w:lang w:val="en-US" w:eastAsia="zh-CN"/>
                    </w:rPr>
                    <w:t>0.033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1908" w:type="dxa"/>
                  <w:noWrap w:val="0"/>
                  <w:vAlign w:val="center"/>
                </w:tcPr>
                <w:p>
                  <w:pPr>
                    <w:pStyle w:val="2"/>
                    <w:spacing w:after="0" w:line="240" w:lineRule="auto"/>
                    <w:ind w:left="0" w:leftChars="0" w:firstLine="0" w:firstLineChars="0"/>
                    <w:jc w:val="center"/>
                    <w:rPr>
                      <w:rFonts w:hint="default" w:ascii="Times New Roman" w:hAnsi="Times New Roman" w:eastAsia="宋体" w:cs="Times New Roman"/>
                      <w:color w:val="auto"/>
                      <w:spacing w:val="0"/>
                      <w:position w:val="0"/>
                      <w:sz w:val="21"/>
                      <w:szCs w:val="21"/>
                      <w:highlight w:val="none"/>
                    </w:rPr>
                  </w:pPr>
                  <w:r>
                    <w:rPr>
                      <w:rFonts w:hint="default" w:ascii="Times New Roman" w:hAnsi="Times New Roman" w:eastAsia="宋体" w:cs="Times New Roman"/>
                      <w:color w:val="auto"/>
                      <w:spacing w:val="0"/>
                      <w:position w:val="0"/>
                      <w:sz w:val="21"/>
                      <w:szCs w:val="21"/>
                      <w:highlight w:val="none"/>
                    </w:rPr>
                    <w:t>合计</w:t>
                  </w:r>
                </w:p>
              </w:tc>
              <w:tc>
                <w:tcPr>
                  <w:tcW w:w="1335" w:type="dxa"/>
                  <w:noWrap w:val="0"/>
                  <w:vAlign w:val="center"/>
                </w:tcPr>
                <w:p>
                  <w:pPr>
                    <w:pStyle w:val="2"/>
                    <w:spacing w:after="0" w:line="240" w:lineRule="auto"/>
                    <w:ind w:left="0" w:leftChars="0" w:firstLine="0" w:firstLineChars="0"/>
                    <w:jc w:val="center"/>
                    <w:rPr>
                      <w:rFonts w:hint="default" w:ascii="Times New Roman" w:hAnsi="Times New Roman" w:eastAsia="宋体" w:cs="Times New Roman"/>
                      <w:color w:val="auto"/>
                      <w:spacing w:val="0"/>
                      <w:position w:val="0"/>
                      <w:sz w:val="21"/>
                      <w:szCs w:val="21"/>
                      <w:highlight w:val="none"/>
                      <w:lang w:val="en-US" w:eastAsia="zh-CN"/>
                    </w:rPr>
                  </w:pPr>
                  <w:r>
                    <w:rPr>
                      <w:rFonts w:hint="eastAsia" w:cs="Times New Roman"/>
                      <w:color w:val="auto"/>
                      <w:spacing w:val="0"/>
                      <w:position w:val="0"/>
                      <w:sz w:val="21"/>
                      <w:szCs w:val="21"/>
                      <w:highlight w:val="none"/>
                      <w:lang w:val="en-US" w:eastAsia="zh-CN"/>
                    </w:rPr>
                    <w:t>1.3</w:t>
                  </w:r>
                </w:p>
              </w:tc>
              <w:tc>
                <w:tcPr>
                  <w:tcW w:w="3118" w:type="dxa"/>
                  <w:noWrap w:val="0"/>
                  <w:vAlign w:val="center"/>
                </w:tcPr>
                <w:p>
                  <w:pPr>
                    <w:pStyle w:val="2"/>
                    <w:spacing w:after="0" w:line="240" w:lineRule="auto"/>
                    <w:ind w:left="0" w:leftChars="0" w:firstLine="0" w:firstLineChars="0"/>
                    <w:jc w:val="center"/>
                    <w:rPr>
                      <w:rFonts w:hint="default" w:ascii="Times New Roman" w:hAnsi="Times New Roman" w:eastAsia="宋体" w:cs="Times New Roman"/>
                      <w:color w:val="auto"/>
                      <w:spacing w:val="0"/>
                      <w:position w:val="0"/>
                      <w:sz w:val="21"/>
                      <w:szCs w:val="21"/>
                      <w:highlight w:val="none"/>
                      <w:lang w:val="en-US" w:eastAsia="zh-CN"/>
                    </w:rPr>
                  </w:pPr>
                  <w:r>
                    <w:rPr>
                      <w:rFonts w:hint="default" w:ascii="Times New Roman" w:hAnsi="Times New Roman" w:eastAsia="宋体" w:cs="Times New Roman"/>
                      <w:color w:val="auto"/>
                      <w:spacing w:val="0"/>
                      <w:position w:val="0"/>
                      <w:sz w:val="21"/>
                      <w:szCs w:val="21"/>
                      <w:highlight w:val="none"/>
                      <w:lang w:val="en-US" w:eastAsia="zh-CN"/>
                    </w:rPr>
                    <w:t>合计</w:t>
                  </w:r>
                </w:p>
              </w:tc>
              <w:tc>
                <w:tcPr>
                  <w:tcW w:w="2585" w:type="dxa"/>
                  <w:noWrap w:val="0"/>
                  <w:vAlign w:val="center"/>
                </w:tcPr>
                <w:p>
                  <w:pPr>
                    <w:pStyle w:val="2"/>
                    <w:spacing w:after="0" w:line="240" w:lineRule="auto"/>
                    <w:ind w:left="0" w:leftChars="0" w:firstLine="0" w:firstLineChars="0"/>
                    <w:jc w:val="center"/>
                    <w:rPr>
                      <w:rFonts w:hint="default" w:ascii="Times New Roman" w:hAnsi="Times New Roman" w:eastAsia="宋体" w:cs="Times New Roman"/>
                      <w:color w:val="auto"/>
                      <w:spacing w:val="0"/>
                      <w:position w:val="0"/>
                      <w:sz w:val="21"/>
                      <w:szCs w:val="21"/>
                      <w:highlight w:val="none"/>
                      <w:lang w:val="en-US" w:eastAsia="zh-CN"/>
                    </w:rPr>
                  </w:pPr>
                  <w:r>
                    <w:rPr>
                      <w:rFonts w:hint="eastAsia" w:eastAsia="宋体" w:cs="Times New Roman"/>
                      <w:color w:val="auto"/>
                      <w:spacing w:val="0"/>
                      <w:position w:val="0"/>
                      <w:sz w:val="21"/>
                      <w:szCs w:val="21"/>
                      <w:highlight w:val="none"/>
                      <w:lang w:val="en-US" w:eastAsia="zh-CN"/>
                    </w:rPr>
                    <w:t>1.</w:t>
                  </w:r>
                  <w:r>
                    <w:rPr>
                      <w:rFonts w:hint="eastAsia" w:cs="Times New Roman"/>
                      <w:color w:val="auto"/>
                      <w:spacing w:val="0"/>
                      <w:position w:val="0"/>
                      <w:sz w:val="21"/>
                      <w:szCs w:val="21"/>
                      <w:highlight w:val="none"/>
                      <w:lang w:val="en-US" w:eastAsia="zh-CN"/>
                    </w:rPr>
                    <w:t>3</w:t>
                  </w:r>
                </w:p>
              </w:tc>
            </w:tr>
          </w:tbl>
          <w:p>
            <w:pPr>
              <w:pStyle w:val="11"/>
              <w:bidi w:val="0"/>
              <w:spacing w:line="240" w:lineRule="auto"/>
              <w:jc w:val="center"/>
              <w:rPr>
                <w:rFonts w:hint="eastAsia" w:cs="Times New Roman"/>
                <w:color w:val="auto"/>
                <w:highlight w:val="none"/>
                <w:lang w:val="en-US" w:eastAsia="zh-CN"/>
              </w:rPr>
            </w:pPr>
          </w:p>
          <w:p>
            <w:pPr>
              <w:pStyle w:val="11"/>
              <w:bidi w:val="0"/>
              <w:spacing w:line="240" w:lineRule="auto"/>
              <w:jc w:val="center"/>
              <w:rPr>
                <w:rFonts w:hint="default" w:ascii="Times New Roman" w:hAnsi="Times New Roman" w:cs="Times New Roman"/>
                <w:color w:val="auto"/>
                <w:highlight w:val="none"/>
                <w:lang w:val="en-US" w:eastAsia="zh-CN"/>
              </w:rPr>
            </w:pPr>
            <w:r>
              <w:rPr>
                <w:rFonts w:hint="eastAsia" w:cs="Times New Roman"/>
                <w:color w:val="auto"/>
                <w:highlight w:val="none"/>
                <w:lang w:val="en-US" w:eastAsia="zh-CN"/>
              </w:rPr>
              <w:t>表2-11  物料衡算一览表     单位t/a</w:t>
            </w:r>
          </w:p>
          <w:tbl>
            <w:tblPr>
              <w:tblStyle w:val="3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11"/>
              <w:gridCol w:w="1337"/>
              <w:gridCol w:w="3123"/>
              <w:gridCol w:w="25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3248" w:type="dxa"/>
                  <w:gridSpan w:val="2"/>
                  <w:noWrap w:val="0"/>
                  <w:vAlign w:val="center"/>
                </w:tcPr>
                <w:p>
                  <w:pPr>
                    <w:pStyle w:val="2"/>
                    <w:spacing w:after="0" w:line="240" w:lineRule="auto"/>
                    <w:ind w:left="0" w:leftChars="0" w:firstLine="0" w:firstLineChars="0"/>
                    <w:jc w:val="center"/>
                    <w:rPr>
                      <w:rFonts w:hint="default" w:ascii="Times New Roman" w:hAnsi="Times New Roman" w:eastAsia="宋体" w:cs="Times New Roman"/>
                      <w:color w:val="auto"/>
                      <w:spacing w:val="0"/>
                      <w:position w:val="0"/>
                      <w:sz w:val="21"/>
                      <w:szCs w:val="21"/>
                      <w:highlight w:val="none"/>
                      <w:lang w:val="en-US" w:eastAsia="zh-CN"/>
                    </w:rPr>
                  </w:pPr>
                  <w:r>
                    <w:rPr>
                      <w:rFonts w:hint="default" w:ascii="Times New Roman" w:hAnsi="Times New Roman" w:eastAsia="宋体" w:cs="Times New Roman"/>
                      <w:color w:val="auto"/>
                      <w:spacing w:val="0"/>
                      <w:position w:val="0"/>
                      <w:sz w:val="21"/>
                      <w:szCs w:val="21"/>
                      <w:highlight w:val="none"/>
                      <w:lang w:val="en-US" w:eastAsia="zh-CN"/>
                    </w:rPr>
                    <w:t>输入项</w:t>
                  </w:r>
                </w:p>
              </w:tc>
              <w:tc>
                <w:tcPr>
                  <w:tcW w:w="5712" w:type="dxa"/>
                  <w:gridSpan w:val="2"/>
                  <w:noWrap w:val="0"/>
                  <w:vAlign w:val="center"/>
                </w:tcPr>
                <w:p>
                  <w:pPr>
                    <w:pStyle w:val="2"/>
                    <w:spacing w:after="0" w:line="240" w:lineRule="auto"/>
                    <w:ind w:left="0" w:leftChars="0" w:firstLine="0" w:firstLineChars="0"/>
                    <w:jc w:val="center"/>
                    <w:rPr>
                      <w:rFonts w:hint="default" w:ascii="Times New Roman" w:hAnsi="Times New Roman" w:eastAsia="宋体" w:cs="Times New Roman"/>
                      <w:color w:val="auto"/>
                      <w:spacing w:val="0"/>
                      <w:position w:val="0"/>
                      <w:sz w:val="21"/>
                      <w:szCs w:val="21"/>
                      <w:highlight w:val="none"/>
                      <w:lang w:val="en-US" w:eastAsia="zh-CN"/>
                    </w:rPr>
                  </w:pPr>
                  <w:r>
                    <w:rPr>
                      <w:rFonts w:hint="default" w:ascii="Times New Roman" w:hAnsi="Times New Roman" w:eastAsia="宋体" w:cs="Times New Roman"/>
                      <w:color w:val="auto"/>
                      <w:spacing w:val="0"/>
                      <w:position w:val="0"/>
                      <w:sz w:val="21"/>
                      <w:szCs w:val="21"/>
                      <w:highlight w:val="none"/>
                      <w:lang w:val="en-US" w:eastAsia="zh-CN"/>
                    </w:rPr>
                    <w:t>输出项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1911" w:type="dxa"/>
                  <w:noWrap w:val="0"/>
                  <w:vAlign w:val="center"/>
                </w:tcPr>
                <w:p>
                  <w:pPr>
                    <w:spacing w:line="240" w:lineRule="auto"/>
                    <w:jc w:val="center"/>
                    <w:rPr>
                      <w:rFonts w:hint="default" w:ascii="Times New Roman" w:hAnsi="Times New Roman" w:eastAsia="宋体" w:cs="Times New Roman"/>
                      <w:color w:val="auto"/>
                      <w:spacing w:val="0"/>
                      <w:position w:val="0"/>
                      <w:sz w:val="21"/>
                      <w:szCs w:val="21"/>
                      <w:highlight w:val="none"/>
                      <w:lang w:val="en-US" w:eastAsia="zh-CN"/>
                    </w:rPr>
                  </w:pPr>
                  <w:r>
                    <w:rPr>
                      <w:rFonts w:hint="eastAsia" w:cs="Times New Roman" w:eastAsiaTheme="minorEastAsia"/>
                      <w:color w:val="auto"/>
                      <w:sz w:val="21"/>
                      <w:szCs w:val="21"/>
                      <w:highlight w:val="none"/>
                      <w:lang w:val="en-US" w:eastAsia="zh-CN"/>
                    </w:rPr>
                    <w:t>钢板</w:t>
                  </w:r>
                </w:p>
              </w:tc>
              <w:tc>
                <w:tcPr>
                  <w:tcW w:w="1337" w:type="dxa"/>
                  <w:noWrap w:val="0"/>
                  <w:vAlign w:val="center"/>
                </w:tcPr>
                <w:p>
                  <w:pPr>
                    <w:spacing w:line="240" w:lineRule="auto"/>
                    <w:jc w:val="center"/>
                    <w:rPr>
                      <w:rFonts w:hint="default" w:ascii="Times New Roman" w:hAnsi="Times New Roman" w:eastAsia="宋体" w:cs="Times New Roman"/>
                      <w:color w:val="auto"/>
                      <w:spacing w:val="0"/>
                      <w:position w:val="0"/>
                      <w:sz w:val="21"/>
                      <w:szCs w:val="21"/>
                      <w:highlight w:val="none"/>
                      <w:lang w:val="en-US" w:eastAsia="zh-CN"/>
                    </w:rPr>
                  </w:pPr>
                  <w:r>
                    <w:rPr>
                      <w:rFonts w:hint="eastAsia" w:cs="Times New Roman"/>
                      <w:color w:val="auto"/>
                      <w:sz w:val="21"/>
                      <w:szCs w:val="21"/>
                      <w:highlight w:val="none"/>
                      <w:lang w:val="en-US" w:eastAsia="zh-CN"/>
                    </w:rPr>
                    <w:t>43.117</w:t>
                  </w:r>
                </w:p>
              </w:tc>
              <w:tc>
                <w:tcPr>
                  <w:tcW w:w="3123" w:type="dxa"/>
                  <w:noWrap w:val="0"/>
                  <w:vAlign w:val="center"/>
                </w:tcPr>
                <w:p>
                  <w:pPr>
                    <w:pStyle w:val="2"/>
                    <w:spacing w:after="0" w:line="240" w:lineRule="auto"/>
                    <w:ind w:left="0" w:leftChars="0" w:firstLine="0" w:firstLineChars="0"/>
                    <w:jc w:val="center"/>
                    <w:rPr>
                      <w:rFonts w:hint="default" w:ascii="Times New Roman" w:hAnsi="Times New Roman" w:eastAsia="宋体" w:cs="Times New Roman"/>
                      <w:color w:val="auto"/>
                      <w:spacing w:val="0"/>
                      <w:position w:val="0"/>
                      <w:sz w:val="21"/>
                      <w:szCs w:val="21"/>
                      <w:highlight w:val="none"/>
                      <w:lang w:val="en-US" w:eastAsia="zh-CN"/>
                    </w:rPr>
                  </w:pPr>
                  <w:r>
                    <w:rPr>
                      <w:rFonts w:hint="default" w:ascii="Times New Roman" w:hAnsi="Times New Roman" w:eastAsia="宋体" w:cs="Times New Roman"/>
                      <w:color w:val="auto"/>
                      <w:spacing w:val="0"/>
                      <w:position w:val="0"/>
                      <w:sz w:val="21"/>
                      <w:szCs w:val="21"/>
                      <w:highlight w:val="none"/>
                      <w:lang w:val="en-US" w:eastAsia="zh-CN"/>
                    </w:rPr>
                    <w:t>低压铸造机</w:t>
                  </w:r>
                  <w:r>
                    <w:rPr>
                      <w:rFonts w:hint="eastAsia" w:ascii="Times New Roman" w:hAnsi="Times New Roman" w:cs="Times New Roman"/>
                      <w:color w:val="auto"/>
                      <w:spacing w:val="0"/>
                      <w:position w:val="0"/>
                      <w:sz w:val="21"/>
                      <w:szCs w:val="21"/>
                      <w:highlight w:val="none"/>
                      <w:lang w:val="en-US" w:eastAsia="zh-CN"/>
                    </w:rPr>
                    <w:t>（15t/台）</w:t>
                  </w:r>
                </w:p>
              </w:tc>
              <w:tc>
                <w:tcPr>
                  <w:tcW w:w="2589" w:type="dxa"/>
                  <w:noWrap w:val="0"/>
                  <w:vAlign w:val="center"/>
                </w:tcPr>
                <w:p>
                  <w:pPr>
                    <w:pStyle w:val="2"/>
                    <w:spacing w:after="0" w:line="240" w:lineRule="auto"/>
                    <w:ind w:left="0" w:leftChars="0" w:firstLine="0" w:firstLineChars="0"/>
                    <w:jc w:val="center"/>
                    <w:rPr>
                      <w:rFonts w:hint="default" w:ascii="Times New Roman" w:hAnsi="Times New Roman" w:cs="Times New Roman"/>
                      <w:color w:val="auto"/>
                      <w:spacing w:val="0"/>
                      <w:position w:val="0"/>
                      <w:sz w:val="21"/>
                      <w:szCs w:val="21"/>
                      <w:highlight w:val="none"/>
                      <w:lang w:val="en-US" w:eastAsia="zh-CN"/>
                    </w:rPr>
                  </w:pPr>
                  <w:r>
                    <w:rPr>
                      <w:rFonts w:hint="eastAsia" w:ascii="Times New Roman" w:hAnsi="Times New Roman" w:cs="Times New Roman"/>
                      <w:color w:val="auto"/>
                      <w:spacing w:val="0"/>
                      <w:position w:val="0"/>
                      <w:sz w:val="21"/>
                      <w:szCs w:val="21"/>
                      <w:highlight w:val="none"/>
                      <w:lang w:val="en-US" w:eastAsia="zh-CN"/>
                    </w:rPr>
                    <w:t>75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6" w:hRule="exact"/>
                <w:jc w:val="center"/>
              </w:trPr>
              <w:tc>
                <w:tcPr>
                  <w:tcW w:w="1911" w:type="dxa"/>
                  <w:noWrap w:val="0"/>
                  <w:vAlign w:val="center"/>
                </w:tcPr>
                <w:p>
                  <w:pPr>
                    <w:spacing w:line="240" w:lineRule="auto"/>
                    <w:jc w:val="center"/>
                    <w:rPr>
                      <w:rFonts w:hint="default" w:ascii="Times New Roman" w:hAnsi="Times New Roman" w:eastAsia="宋体" w:cs="Times New Roman"/>
                      <w:color w:val="auto"/>
                      <w:spacing w:val="0"/>
                      <w:position w:val="0"/>
                      <w:sz w:val="21"/>
                      <w:szCs w:val="21"/>
                      <w:highlight w:val="none"/>
                      <w:lang w:val="en-US" w:eastAsia="zh-CN"/>
                    </w:rPr>
                  </w:pPr>
                  <w:r>
                    <w:rPr>
                      <w:rFonts w:hint="eastAsia" w:cs="Times New Roman" w:eastAsiaTheme="minorEastAsia"/>
                      <w:color w:val="auto"/>
                      <w:sz w:val="21"/>
                      <w:szCs w:val="21"/>
                      <w:highlight w:val="none"/>
                      <w:lang w:val="en-US" w:eastAsia="zh-CN"/>
                    </w:rPr>
                    <w:t>圆钢</w:t>
                  </w:r>
                </w:p>
              </w:tc>
              <w:tc>
                <w:tcPr>
                  <w:tcW w:w="1337" w:type="dxa"/>
                  <w:noWrap w:val="0"/>
                  <w:vAlign w:val="center"/>
                </w:tcPr>
                <w:p>
                  <w:pPr>
                    <w:spacing w:line="240" w:lineRule="auto"/>
                    <w:jc w:val="center"/>
                    <w:rPr>
                      <w:rFonts w:hint="default" w:ascii="Times New Roman" w:hAnsi="Times New Roman" w:eastAsia="宋体" w:cs="Times New Roman"/>
                      <w:color w:val="auto"/>
                      <w:spacing w:val="0"/>
                      <w:position w:val="0"/>
                      <w:sz w:val="21"/>
                      <w:szCs w:val="21"/>
                      <w:highlight w:val="none"/>
                      <w:lang w:val="en-US" w:eastAsia="zh-CN"/>
                    </w:rPr>
                  </w:pPr>
                  <w:r>
                    <w:rPr>
                      <w:rFonts w:hint="eastAsia" w:cs="Times New Roman"/>
                      <w:color w:val="auto"/>
                      <w:sz w:val="21"/>
                      <w:szCs w:val="21"/>
                      <w:highlight w:val="none"/>
                      <w:lang w:val="en-US" w:eastAsia="zh-CN"/>
                    </w:rPr>
                    <w:t>10</w:t>
                  </w:r>
                </w:p>
              </w:tc>
              <w:tc>
                <w:tcPr>
                  <w:tcW w:w="3123" w:type="dxa"/>
                  <w:noWrap w:val="0"/>
                  <w:vAlign w:val="center"/>
                </w:tcPr>
                <w:p>
                  <w:pPr>
                    <w:pStyle w:val="2"/>
                    <w:spacing w:after="0" w:line="240" w:lineRule="auto"/>
                    <w:ind w:left="0" w:leftChars="0" w:firstLine="0" w:firstLineChars="0"/>
                    <w:jc w:val="center"/>
                    <w:rPr>
                      <w:rFonts w:hint="default" w:ascii="Times New Roman" w:hAnsi="Times New Roman" w:eastAsia="宋体" w:cs="Times New Roman"/>
                      <w:color w:val="auto"/>
                      <w:spacing w:val="0"/>
                      <w:position w:val="0"/>
                      <w:sz w:val="21"/>
                      <w:szCs w:val="21"/>
                      <w:highlight w:val="none"/>
                      <w:lang w:val="en-US" w:eastAsia="zh-CN"/>
                    </w:rPr>
                  </w:pPr>
                  <w:r>
                    <w:rPr>
                      <w:rFonts w:hint="eastAsia" w:ascii="Times New Roman" w:hAnsi="Times New Roman" w:cs="Times New Roman"/>
                      <w:color w:val="auto"/>
                      <w:spacing w:val="0"/>
                      <w:position w:val="0"/>
                      <w:sz w:val="21"/>
                      <w:szCs w:val="21"/>
                      <w:highlight w:val="none"/>
                      <w:lang w:val="en-US" w:eastAsia="zh-CN"/>
                    </w:rPr>
                    <w:t>废边角料、</w:t>
                  </w:r>
                  <w:r>
                    <w:rPr>
                      <w:rFonts w:hint="eastAsia" w:cs="Times New Roman"/>
                      <w:color w:val="auto"/>
                      <w:spacing w:val="0"/>
                      <w:position w:val="0"/>
                      <w:sz w:val="21"/>
                      <w:szCs w:val="21"/>
                      <w:highlight w:val="none"/>
                      <w:lang w:val="en-US" w:eastAsia="zh-CN"/>
                    </w:rPr>
                    <w:t>金属屑</w:t>
                  </w:r>
                  <w:r>
                    <w:rPr>
                      <w:rFonts w:hint="eastAsia" w:ascii="Times New Roman" w:hAnsi="Times New Roman" w:cs="Times New Roman"/>
                      <w:color w:val="auto"/>
                      <w:spacing w:val="0"/>
                      <w:position w:val="0"/>
                      <w:sz w:val="21"/>
                      <w:szCs w:val="21"/>
                      <w:highlight w:val="none"/>
                      <w:lang w:val="en-US" w:eastAsia="zh-CN"/>
                    </w:rPr>
                    <w:t>、废焊头</w:t>
                  </w:r>
                </w:p>
              </w:tc>
              <w:tc>
                <w:tcPr>
                  <w:tcW w:w="2589" w:type="dxa"/>
                  <w:noWrap w:val="0"/>
                  <w:vAlign w:val="center"/>
                </w:tcPr>
                <w:p>
                  <w:pPr>
                    <w:pStyle w:val="2"/>
                    <w:spacing w:after="0" w:line="240" w:lineRule="auto"/>
                    <w:ind w:left="0" w:leftChars="0" w:firstLine="0" w:firstLineChars="0"/>
                    <w:jc w:val="center"/>
                    <w:rPr>
                      <w:rFonts w:hint="default" w:ascii="Times New Roman" w:hAnsi="Times New Roman" w:cs="Times New Roman"/>
                      <w:color w:val="auto"/>
                      <w:spacing w:val="0"/>
                      <w:position w:val="0"/>
                      <w:sz w:val="21"/>
                      <w:szCs w:val="21"/>
                      <w:highlight w:val="none"/>
                      <w:lang w:val="en-US" w:eastAsia="zh-CN"/>
                    </w:rPr>
                  </w:pPr>
                  <w:r>
                    <w:rPr>
                      <w:rFonts w:hint="eastAsia" w:ascii="Times New Roman" w:hAnsi="Times New Roman" w:cs="Times New Roman"/>
                      <w:color w:val="auto"/>
                      <w:spacing w:val="0"/>
                      <w:position w:val="0"/>
                      <w:sz w:val="21"/>
                      <w:szCs w:val="21"/>
                      <w:highlight w:val="none"/>
                      <w:lang w:val="en-US" w:eastAsia="zh-CN"/>
                    </w:rPr>
                    <w:t>0.0</w:t>
                  </w:r>
                  <w:r>
                    <w:rPr>
                      <w:rFonts w:hint="eastAsia" w:cs="Times New Roman"/>
                      <w:color w:val="auto"/>
                      <w:spacing w:val="0"/>
                      <w:position w:val="0"/>
                      <w:sz w:val="21"/>
                      <w:szCs w:val="21"/>
                      <w:highlight w:val="none"/>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1911" w:type="dxa"/>
                  <w:noWrap w:val="0"/>
                  <w:vAlign w:val="center"/>
                </w:tcPr>
                <w:p>
                  <w:pPr>
                    <w:spacing w:line="240" w:lineRule="auto"/>
                    <w:jc w:val="center"/>
                    <w:rPr>
                      <w:rFonts w:hint="default" w:ascii="Times New Roman" w:hAnsi="Times New Roman" w:eastAsia="宋体" w:cs="Times New Roman"/>
                      <w:color w:val="auto"/>
                      <w:spacing w:val="0"/>
                      <w:position w:val="0"/>
                      <w:sz w:val="21"/>
                      <w:szCs w:val="21"/>
                      <w:highlight w:val="none"/>
                      <w:lang w:val="en-US" w:eastAsia="zh-CN"/>
                    </w:rPr>
                  </w:pPr>
                  <w:r>
                    <w:rPr>
                      <w:rFonts w:hint="eastAsia" w:cs="Times New Roman" w:eastAsiaTheme="minorEastAsia"/>
                      <w:color w:val="auto"/>
                      <w:sz w:val="21"/>
                      <w:szCs w:val="21"/>
                      <w:highlight w:val="none"/>
                      <w:lang w:val="en-US" w:eastAsia="zh-CN"/>
                    </w:rPr>
                    <w:t>焊管</w:t>
                  </w:r>
                </w:p>
              </w:tc>
              <w:tc>
                <w:tcPr>
                  <w:tcW w:w="1337" w:type="dxa"/>
                  <w:noWrap w:val="0"/>
                  <w:vAlign w:val="center"/>
                </w:tcPr>
                <w:p>
                  <w:pPr>
                    <w:spacing w:line="240" w:lineRule="auto"/>
                    <w:jc w:val="center"/>
                    <w:rPr>
                      <w:rFonts w:hint="default" w:ascii="Times New Roman" w:hAnsi="Times New Roman" w:eastAsia="宋体" w:cs="Times New Roman"/>
                      <w:color w:val="auto"/>
                      <w:spacing w:val="0"/>
                      <w:position w:val="0"/>
                      <w:sz w:val="21"/>
                      <w:szCs w:val="21"/>
                      <w:highlight w:val="none"/>
                      <w:lang w:val="en-US" w:eastAsia="zh-CN"/>
                    </w:rPr>
                  </w:pPr>
                  <w:r>
                    <w:rPr>
                      <w:rFonts w:hint="eastAsia" w:cs="Times New Roman"/>
                      <w:color w:val="auto"/>
                      <w:sz w:val="21"/>
                      <w:szCs w:val="21"/>
                      <w:highlight w:val="none"/>
                      <w:lang w:val="en-US" w:eastAsia="zh-CN"/>
                    </w:rPr>
                    <w:t>10</w:t>
                  </w:r>
                </w:p>
              </w:tc>
              <w:tc>
                <w:tcPr>
                  <w:tcW w:w="3123" w:type="dxa"/>
                  <w:noWrap w:val="0"/>
                  <w:vAlign w:val="center"/>
                </w:tcPr>
                <w:p>
                  <w:pPr>
                    <w:pStyle w:val="2"/>
                    <w:spacing w:after="0" w:line="240" w:lineRule="auto"/>
                    <w:ind w:left="0" w:leftChars="0" w:firstLine="0" w:firstLineChars="0"/>
                    <w:jc w:val="center"/>
                    <w:rPr>
                      <w:rFonts w:hint="default" w:ascii="Times New Roman" w:hAnsi="Times New Roman" w:eastAsia="宋体" w:cs="Times New Roman"/>
                      <w:color w:val="auto"/>
                      <w:spacing w:val="0"/>
                      <w:kern w:val="0"/>
                      <w:position w:val="0"/>
                      <w:sz w:val="21"/>
                      <w:szCs w:val="21"/>
                      <w:highlight w:val="none"/>
                      <w:lang w:val="en-US" w:eastAsia="zh-CN" w:bidi="ar-SA"/>
                    </w:rPr>
                  </w:pPr>
                  <w:r>
                    <w:rPr>
                      <w:rFonts w:hint="eastAsia" w:ascii="Times New Roman" w:hAnsi="Times New Roman" w:cs="Times New Roman"/>
                      <w:color w:val="auto"/>
                      <w:spacing w:val="0"/>
                      <w:position w:val="0"/>
                      <w:sz w:val="21"/>
                      <w:szCs w:val="21"/>
                      <w:highlight w:val="none"/>
                      <w:lang w:val="en-US" w:eastAsia="zh-CN"/>
                    </w:rPr>
                    <w:t>无组织颗粒物</w:t>
                  </w:r>
                </w:p>
              </w:tc>
              <w:tc>
                <w:tcPr>
                  <w:tcW w:w="2589" w:type="dxa"/>
                  <w:noWrap w:val="0"/>
                  <w:vAlign w:val="center"/>
                </w:tcPr>
                <w:p>
                  <w:pPr>
                    <w:pStyle w:val="2"/>
                    <w:spacing w:after="0" w:line="240" w:lineRule="auto"/>
                    <w:ind w:left="0" w:leftChars="0" w:firstLine="0" w:firstLineChars="0"/>
                    <w:jc w:val="center"/>
                    <w:rPr>
                      <w:rFonts w:hint="default" w:ascii="Times New Roman" w:hAnsi="Times New Roman" w:eastAsia="宋体" w:cs="Times New Roman"/>
                      <w:color w:val="auto"/>
                      <w:spacing w:val="0"/>
                      <w:kern w:val="0"/>
                      <w:position w:val="0"/>
                      <w:sz w:val="21"/>
                      <w:szCs w:val="21"/>
                      <w:highlight w:val="none"/>
                      <w:lang w:val="en-US" w:eastAsia="zh-CN" w:bidi="ar-SA"/>
                    </w:rPr>
                  </w:pPr>
                  <w:r>
                    <w:rPr>
                      <w:rFonts w:hint="eastAsia" w:cs="Times New Roman"/>
                      <w:color w:val="auto"/>
                      <w:spacing w:val="0"/>
                      <w:position w:val="0"/>
                      <w:sz w:val="21"/>
                      <w:szCs w:val="21"/>
                      <w:highlight w:val="none"/>
                      <w:lang w:val="en-US" w:eastAsia="zh-CN"/>
                    </w:rPr>
                    <w:t>0.033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1911" w:type="dxa"/>
                  <w:noWrap w:val="0"/>
                  <w:vAlign w:val="center"/>
                </w:tcPr>
                <w:p>
                  <w:pPr>
                    <w:spacing w:line="240" w:lineRule="auto"/>
                    <w:jc w:val="center"/>
                    <w:rPr>
                      <w:rFonts w:hint="default" w:ascii="Times New Roman" w:hAnsi="Times New Roman" w:eastAsia="宋体" w:cs="Times New Roman"/>
                      <w:color w:val="auto"/>
                      <w:spacing w:val="0"/>
                      <w:position w:val="0"/>
                      <w:sz w:val="21"/>
                      <w:szCs w:val="21"/>
                      <w:highlight w:val="none"/>
                      <w:lang w:val="en-US" w:eastAsia="zh-CN"/>
                    </w:rPr>
                  </w:pPr>
                  <w:r>
                    <w:rPr>
                      <w:rFonts w:hint="eastAsia" w:cs="Times New Roman" w:eastAsiaTheme="minorEastAsia"/>
                      <w:color w:val="auto"/>
                      <w:kern w:val="2"/>
                      <w:sz w:val="21"/>
                      <w:szCs w:val="21"/>
                      <w:highlight w:val="none"/>
                      <w:lang w:val="en-US" w:eastAsia="zh-CN" w:bidi="ar-SA"/>
                    </w:rPr>
                    <w:t>方管</w:t>
                  </w:r>
                </w:p>
              </w:tc>
              <w:tc>
                <w:tcPr>
                  <w:tcW w:w="1337" w:type="dxa"/>
                  <w:noWrap w:val="0"/>
                  <w:vAlign w:val="center"/>
                </w:tcPr>
                <w:p>
                  <w:pPr>
                    <w:spacing w:line="240" w:lineRule="auto"/>
                    <w:jc w:val="center"/>
                    <w:rPr>
                      <w:rFonts w:hint="default" w:ascii="Times New Roman" w:hAnsi="Times New Roman" w:eastAsia="宋体" w:cs="Times New Roman"/>
                      <w:color w:val="auto"/>
                      <w:spacing w:val="0"/>
                      <w:position w:val="0"/>
                      <w:sz w:val="21"/>
                      <w:szCs w:val="21"/>
                      <w:highlight w:val="none"/>
                      <w:lang w:val="en-US" w:eastAsia="zh-CN"/>
                    </w:rPr>
                  </w:pPr>
                  <w:r>
                    <w:rPr>
                      <w:rFonts w:hint="eastAsia" w:cs="Times New Roman"/>
                      <w:color w:val="auto"/>
                      <w:sz w:val="21"/>
                      <w:szCs w:val="21"/>
                      <w:highlight w:val="none"/>
                      <w:lang w:val="en-US" w:eastAsia="zh-CN"/>
                    </w:rPr>
                    <w:t>7</w:t>
                  </w:r>
                </w:p>
              </w:tc>
              <w:tc>
                <w:tcPr>
                  <w:tcW w:w="3123" w:type="dxa"/>
                  <w:noWrap w:val="0"/>
                  <w:vAlign w:val="center"/>
                </w:tcPr>
                <w:p>
                  <w:pPr>
                    <w:pStyle w:val="2"/>
                    <w:spacing w:after="0" w:line="240" w:lineRule="auto"/>
                    <w:ind w:left="0" w:leftChars="0" w:firstLine="0" w:firstLineChars="0"/>
                    <w:jc w:val="center"/>
                    <w:rPr>
                      <w:rFonts w:hint="default" w:ascii="Times New Roman" w:hAnsi="Times New Roman" w:eastAsia="宋体" w:cs="Times New Roman"/>
                      <w:color w:val="auto"/>
                      <w:spacing w:val="0"/>
                      <w:kern w:val="0"/>
                      <w:position w:val="0"/>
                      <w:sz w:val="21"/>
                      <w:szCs w:val="21"/>
                      <w:highlight w:val="none"/>
                      <w:lang w:val="en-US" w:eastAsia="zh-CN" w:bidi="ar-SA"/>
                    </w:rPr>
                  </w:pPr>
                  <w:r>
                    <w:rPr>
                      <w:rFonts w:hint="eastAsia" w:ascii="Times New Roman" w:hAnsi="Times New Roman" w:cs="Times New Roman"/>
                      <w:color w:val="auto"/>
                      <w:spacing w:val="0"/>
                      <w:position w:val="0"/>
                      <w:sz w:val="21"/>
                      <w:szCs w:val="21"/>
                      <w:highlight w:val="none"/>
                      <w:lang w:val="en-US" w:eastAsia="zh-CN"/>
                    </w:rPr>
                    <w:t>除尘灰</w:t>
                  </w:r>
                </w:p>
              </w:tc>
              <w:tc>
                <w:tcPr>
                  <w:tcW w:w="2589" w:type="dxa"/>
                  <w:noWrap w:val="0"/>
                  <w:vAlign w:val="center"/>
                </w:tcPr>
                <w:p>
                  <w:pPr>
                    <w:pStyle w:val="2"/>
                    <w:spacing w:after="0" w:line="240" w:lineRule="auto"/>
                    <w:ind w:left="0" w:leftChars="0" w:firstLine="0" w:firstLineChars="0"/>
                    <w:jc w:val="center"/>
                    <w:rPr>
                      <w:rFonts w:hint="default" w:ascii="Times New Roman" w:hAnsi="Times New Roman" w:eastAsia="宋体" w:cs="Times New Roman"/>
                      <w:color w:val="auto"/>
                      <w:spacing w:val="0"/>
                      <w:kern w:val="0"/>
                      <w:position w:val="0"/>
                      <w:sz w:val="21"/>
                      <w:szCs w:val="21"/>
                      <w:highlight w:val="none"/>
                      <w:lang w:val="en-US" w:eastAsia="zh-CN" w:bidi="ar-SA"/>
                    </w:rPr>
                  </w:pPr>
                  <w:r>
                    <w:rPr>
                      <w:rFonts w:hint="eastAsia" w:ascii="Times New Roman" w:hAnsi="Times New Roman" w:cs="Times New Roman"/>
                      <w:color w:val="auto"/>
                      <w:spacing w:val="0"/>
                      <w:position w:val="0"/>
                      <w:sz w:val="21"/>
                      <w:szCs w:val="21"/>
                      <w:highlight w:val="none"/>
                      <w:lang w:val="en-US" w:eastAsia="zh-CN"/>
                    </w:rPr>
                    <w:t>0.034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1911" w:type="dxa"/>
                  <w:noWrap w:val="0"/>
                  <w:vAlign w:val="center"/>
                </w:tcPr>
                <w:p>
                  <w:pPr>
                    <w:spacing w:line="240" w:lineRule="auto"/>
                    <w:jc w:val="center"/>
                    <w:rPr>
                      <w:rFonts w:hint="default" w:ascii="Times New Roman" w:hAnsi="Times New Roman" w:eastAsia="宋体" w:cs="Times New Roman"/>
                      <w:color w:val="auto"/>
                      <w:spacing w:val="0"/>
                      <w:position w:val="0"/>
                      <w:sz w:val="21"/>
                      <w:szCs w:val="21"/>
                      <w:highlight w:val="none"/>
                      <w:lang w:val="en-US" w:eastAsia="zh-CN"/>
                    </w:rPr>
                  </w:pPr>
                  <w:r>
                    <w:rPr>
                      <w:rFonts w:hint="eastAsia" w:ascii="Times New Roman" w:hAnsi="Times New Roman" w:cs="Times New Roman"/>
                      <w:color w:val="auto"/>
                      <w:spacing w:val="0"/>
                      <w:position w:val="0"/>
                      <w:sz w:val="21"/>
                      <w:szCs w:val="21"/>
                      <w:highlight w:val="none"/>
                      <w:lang w:val="en-US" w:eastAsia="zh-CN"/>
                    </w:rPr>
                    <w:t>焊条</w:t>
                  </w:r>
                </w:p>
              </w:tc>
              <w:tc>
                <w:tcPr>
                  <w:tcW w:w="1337" w:type="dxa"/>
                  <w:noWrap w:val="0"/>
                  <w:vAlign w:val="center"/>
                </w:tcPr>
                <w:p>
                  <w:pPr>
                    <w:pStyle w:val="2"/>
                    <w:spacing w:after="0" w:line="240" w:lineRule="auto"/>
                    <w:ind w:left="0" w:leftChars="0" w:firstLine="0" w:firstLineChars="0"/>
                    <w:jc w:val="center"/>
                    <w:rPr>
                      <w:rFonts w:hint="default" w:ascii="Times New Roman" w:hAnsi="Times New Roman" w:eastAsia="宋体" w:cs="Times New Roman"/>
                      <w:color w:val="auto"/>
                      <w:spacing w:val="0"/>
                      <w:position w:val="0"/>
                      <w:sz w:val="21"/>
                      <w:szCs w:val="21"/>
                      <w:highlight w:val="none"/>
                      <w:lang w:val="en-US" w:eastAsia="zh-CN"/>
                    </w:rPr>
                  </w:pPr>
                  <w:r>
                    <w:rPr>
                      <w:rFonts w:hint="eastAsia" w:ascii="Times New Roman" w:hAnsi="Times New Roman" w:cs="Times New Roman"/>
                      <w:color w:val="auto"/>
                      <w:spacing w:val="0"/>
                      <w:position w:val="0"/>
                      <w:sz w:val="21"/>
                      <w:szCs w:val="21"/>
                      <w:highlight w:val="none"/>
                      <w:lang w:val="en-US" w:eastAsia="zh-CN"/>
                    </w:rPr>
                    <w:t>3</w:t>
                  </w:r>
                </w:p>
              </w:tc>
              <w:tc>
                <w:tcPr>
                  <w:tcW w:w="3123" w:type="dxa"/>
                  <w:noWrap w:val="0"/>
                  <w:vAlign w:val="center"/>
                </w:tcPr>
                <w:p>
                  <w:pPr>
                    <w:pStyle w:val="2"/>
                    <w:spacing w:after="0" w:line="240" w:lineRule="auto"/>
                    <w:ind w:left="0" w:leftChars="0" w:firstLine="0" w:firstLineChars="0"/>
                    <w:jc w:val="center"/>
                    <w:rPr>
                      <w:rFonts w:hint="default" w:ascii="Times New Roman" w:hAnsi="Times New Roman" w:eastAsia="宋体" w:cs="Times New Roman"/>
                      <w:color w:val="auto"/>
                      <w:spacing w:val="0"/>
                      <w:kern w:val="0"/>
                      <w:position w:val="0"/>
                      <w:sz w:val="21"/>
                      <w:szCs w:val="21"/>
                      <w:highlight w:val="none"/>
                      <w:lang w:val="en-US" w:eastAsia="zh-CN" w:bidi="ar-SA"/>
                    </w:rPr>
                  </w:pPr>
                </w:p>
              </w:tc>
              <w:tc>
                <w:tcPr>
                  <w:tcW w:w="2589" w:type="dxa"/>
                  <w:noWrap w:val="0"/>
                  <w:vAlign w:val="center"/>
                </w:tcPr>
                <w:p>
                  <w:pPr>
                    <w:pStyle w:val="2"/>
                    <w:spacing w:after="0" w:line="240" w:lineRule="auto"/>
                    <w:ind w:left="0" w:leftChars="0" w:firstLine="0" w:firstLineChars="0"/>
                    <w:jc w:val="center"/>
                    <w:rPr>
                      <w:rFonts w:hint="default" w:ascii="Times New Roman" w:hAnsi="Times New Roman" w:eastAsia="宋体" w:cs="Times New Roman"/>
                      <w:color w:val="auto"/>
                      <w:spacing w:val="0"/>
                      <w:kern w:val="0"/>
                      <w:position w:val="0"/>
                      <w:sz w:val="21"/>
                      <w:szCs w:val="21"/>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1911" w:type="dxa"/>
                  <w:noWrap w:val="0"/>
                  <w:vAlign w:val="center"/>
                </w:tcPr>
                <w:p>
                  <w:pPr>
                    <w:spacing w:line="240" w:lineRule="auto"/>
                    <w:jc w:val="center"/>
                    <w:rPr>
                      <w:rFonts w:hint="default" w:ascii="Times New Roman" w:hAnsi="Times New Roman" w:eastAsia="宋体" w:cs="Times New Roman"/>
                      <w:color w:val="auto"/>
                      <w:spacing w:val="0"/>
                      <w:position w:val="0"/>
                      <w:sz w:val="21"/>
                      <w:szCs w:val="21"/>
                      <w:highlight w:val="none"/>
                    </w:rPr>
                  </w:pPr>
                  <w:r>
                    <w:rPr>
                      <w:rFonts w:hint="eastAsia" w:cs="Times New Roman" w:eastAsiaTheme="minorEastAsia"/>
                      <w:color w:val="auto"/>
                      <w:kern w:val="2"/>
                      <w:sz w:val="21"/>
                      <w:szCs w:val="21"/>
                      <w:highlight w:val="none"/>
                      <w:lang w:val="en-US" w:eastAsia="zh-CN" w:bidi="ar-SA"/>
                    </w:rPr>
                    <w:t>角钢</w:t>
                  </w:r>
                </w:p>
              </w:tc>
              <w:tc>
                <w:tcPr>
                  <w:tcW w:w="1337" w:type="dxa"/>
                  <w:noWrap w:val="0"/>
                  <w:vAlign w:val="center"/>
                </w:tcPr>
                <w:p>
                  <w:pPr>
                    <w:pStyle w:val="2"/>
                    <w:spacing w:after="0" w:line="240" w:lineRule="auto"/>
                    <w:ind w:left="0" w:leftChars="0" w:firstLine="0" w:firstLineChars="0"/>
                    <w:jc w:val="center"/>
                    <w:rPr>
                      <w:rFonts w:hint="eastAsia" w:ascii="Times New Roman" w:hAnsi="Times New Roman" w:eastAsia="宋体" w:cs="Times New Roman"/>
                      <w:color w:val="auto"/>
                      <w:spacing w:val="0"/>
                      <w:position w:val="0"/>
                      <w:sz w:val="21"/>
                      <w:szCs w:val="21"/>
                      <w:highlight w:val="none"/>
                      <w:lang w:val="en-US" w:eastAsia="zh-CN"/>
                    </w:rPr>
                  </w:pPr>
                  <w:r>
                    <w:rPr>
                      <w:rFonts w:hint="eastAsia" w:ascii="Times New Roman" w:hAnsi="Times New Roman" w:cs="Times New Roman"/>
                      <w:color w:val="auto"/>
                      <w:spacing w:val="0"/>
                      <w:position w:val="0"/>
                      <w:sz w:val="21"/>
                      <w:szCs w:val="21"/>
                      <w:highlight w:val="none"/>
                      <w:lang w:val="en-US" w:eastAsia="zh-CN"/>
                    </w:rPr>
                    <w:t>1</w:t>
                  </w:r>
                </w:p>
              </w:tc>
              <w:tc>
                <w:tcPr>
                  <w:tcW w:w="3123" w:type="dxa"/>
                  <w:noWrap w:val="0"/>
                  <w:vAlign w:val="center"/>
                </w:tcPr>
                <w:p>
                  <w:pPr>
                    <w:spacing w:line="240" w:lineRule="auto"/>
                    <w:ind w:firstLine="0" w:firstLineChars="0"/>
                    <w:jc w:val="center"/>
                    <w:rPr>
                      <w:rFonts w:hint="default" w:ascii="Times New Roman" w:hAnsi="Times New Roman" w:eastAsia="宋体" w:cs="Times New Roman"/>
                      <w:color w:val="auto"/>
                      <w:spacing w:val="0"/>
                      <w:position w:val="0"/>
                      <w:sz w:val="21"/>
                      <w:szCs w:val="21"/>
                      <w:highlight w:val="none"/>
                    </w:rPr>
                  </w:pPr>
                </w:p>
              </w:tc>
              <w:tc>
                <w:tcPr>
                  <w:tcW w:w="2589" w:type="dxa"/>
                  <w:noWrap w:val="0"/>
                  <w:vAlign w:val="center"/>
                </w:tcPr>
                <w:p>
                  <w:pPr>
                    <w:pStyle w:val="2"/>
                    <w:spacing w:after="0" w:line="240" w:lineRule="auto"/>
                    <w:ind w:left="0" w:leftChars="0" w:firstLine="0" w:firstLineChars="0"/>
                    <w:jc w:val="center"/>
                    <w:rPr>
                      <w:rFonts w:hint="default" w:ascii="Times New Roman" w:hAnsi="Times New Roman" w:cs="Times New Roman"/>
                      <w:color w:val="auto"/>
                      <w:spacing w:val="0"/>
                      <w:position w:val="0"/>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5" w:hRule="exact"/>
                <w:jc w:val="center"/>
              </w:trPr>
              <w:tc>
                <w:tcPr>
                  <w:tcW w:w="1911" w:type="dxa"/>
                  <w:noWrap w:val="0"/>
                  <w:vAlign w:val="center"/>
                </w:tcPr>
                <w:p>
                  <w:pPr>
                    <w:spacing w:line="240" w:lineRule="auto"/>
                    <w:jc w:val="center"/>
                    <w:rPr>
                      <w:rFonts w:hint="default" w:cs="Times New Roman" w:eastAsiaTheme="minorEastAsia"/>
                      <w:color w:val="auto"/>
                      <w:kern w:val="2"/>
                      <w:sz w:val="21"/>
                      <w:szCs w:val="21"/>
                      <w:highlight w:val="none"/>
                      <w:lang w:val="en-US" w:eastAsia="zh-CN" w:bidi="ar-SA"/>
                    </w:rPr>
                  </w:pPr>
                  <w:r>
                    <w:rPr>
                      <w:rFonts w:hint="eastAsia" w:cs="Times New Roman" w:eastAsiaTheme="minorEastAsia"/>
                      <w:color w:val="auto"/>
                      <w:kern w:val="2"/>
                      <w:sz w:val="21"/>
                      <w:szCs w:val="21"/>
                      <w:highlight w:val="none"/>
                      <w:lang w:val="en-US" w:eastAsia="zh-CN" w:bidi="ar-SA"/>
                    </w:rPr>
                    <w:t>槽钢</w:t>
                  </w:r>
                </w:p>
              </w:tc>
              <w:tc>
                <w:tcPr>
                  <w:tcW w:w="1337" w:type="dxa"/>
                  <w:noWrap w:val="0"/>
                  <w:vAlign w:val="center"/>
                </w:tcPr>
                <w:p>
                  <w:pPr>
                    <w:pStyle w:val="2"/>
                    <w:spacing w:after="0" w:line="240" w:lineRule="auto"/>
                    <w:ind w:left="0" w:leftChars="0" w:firstLine="0" w:firstLineChars="0"/>
                    <w:jc w:val="center"/>
                    <w:rPr>
                      <w:rFonts w:hint="default" w:ascii="Times New Roman" w:hAnsi="Times New Roman" w:cs="Times New Roman"/>
                      <w:color w:val="auto"/>
                      <w:spacing w:val="0"/>
                      <w:position w:val="0"/>
                      <w:sz w:val="21"/>
                      <w:szCs w:val="21"/>
                      <w:highlight w:val="none"/>
                      <w:lang w:val="en-US" w:eastAsia="zh-CN"/>
                    </w:rPr>
                  </w:pPr>
                  <w:r>
                    <w:rPr>
                      <w:rFonts w:hint="eastAsia" w:ascii="Times New Roman" w:hAnsi="Times New Roman" w:cs="Times New Roman"/>
                      <w:color w:val="auto"/>
                      <w:spacing w:val="0"/>
                      <w:position w:val="0"/>
                      <w:sz w:val="21"/>
                      <w:szCs w:val="21"/>
                      <w:highlight w:val="none"/>
                      <w:lang w:val="en-US" w:eastAsia="zh-CN"/>
                    </w:rPr>
                    <w:t>1</w:t>
                  </w:r>
                </w:p>
              </w:tc>
              <w:tc>
                <w:tcPr>
                  <w:tcW w:w="3123" w:type="dxa"/>
                  <w:noWrap w:val="0"/>
                  <w:vAlign w:val="center"/>
                </w:tcPr>
                <w:p>
                  <w:pPr>
                    <w:spacing w:line="240" w:lineRule="auto"/>
                    <w:ind w:firstLine="0" w:firstLineChars="0"/>
                    <w:jc w:val="center"/>
                    <w:rPr>
                      <w:rFonts w:hint="default" w:ascii="Times New Roman" w:hAnsi="Times New Roman" w:eastAsia="宋体" w:cs="Times New Roman"/>
                      <w:color w:val="auto"/>
                      <w:spacing w:val="0"/>
                      <w:position w:val="0"/>
                      <w:sz w:val="21"/>
                      <w:szCs w:val="21"/>
                      <w:highlight w:val="none"/>
                    </w:rPr>
                  </w:pPr>
                </w:p>
              </w:tc>
              <w:tc>
                <w:tcPr>
                  <w:tcW w:w="2589" w:type="dxa"/>
                  <w:noWrap w:val="0"/>
                  <w:vAlign w:val="center"/>
                </w:tcPr>
                <w:p>
                  <w:pPr>
                    <w:pStyle w:val="2"/>
                    <w:spacing w:after="0" w:line="240" w:lineRule="auto"/>
                    <w:ind w:left="0" w:leftChars="0" w:firstLine="0" w:firstLineChars="0"/>
                    <w:jc w:val="center"/>
                    <w:rPr>
                      <w:rFonts w:hint="default" w:ascii="Times New Roman" w:hAnsi="Times New Roman" w:cs="Times New Roman"/>
                      <w:color w:val="auto"/>
                      <w:spacing w:val="0"/>
                      <w:position w:val="0"/>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1911" w:type="dxa"/>
                  <w:noWrap w:val="0"/>
                  <w:vAlign w:val="center"/>
                </w:tcPr>
                <w:p>
                  <w:pPr>
                    <w:pStyle w:val="2"/>
                    <w:spacing w:after="0" w:line="240" w:lineRule="auto"/>
                    <w:ind w:left="0" w:leftChars="0" w:firstLine="0" w:firstLineChars="0"/>
                    <w:jc w:val="center"/>
                    <w:rPr>
                      <w:rFonts w:hint="default" w:ascii="Times New Roman" w:hAnsi="Times New Roman" w:eastAsia="宋体" w:cs="Times New Roman"/>
                      <w:color w:val="auto"/>
                      <w:spacing w:val="0"/>
                      <w:position w:val="0"/>
                      <w:sz w:val="21"/>
                      <w:szCs w:val="21"/>
                      <w:highlight w:val="none"/>
                    </w:rPr>
                  </w:pPr>
                  <w:r>
                    <w:rPr>
                      <w:rFonts w:hint="default" w:ascii="Times New Roman" w:hAnsi="Times New Roman" w:eastAsia="宋体" w:cs="Times New Roman"/>
                      <w:color w:val="auto"/>
                      <w:spacing w:val="0"/>
                      <w:position w:val="0"/>
                      <w:sz w:val="21"/>
                      <w:szCs w:val="21"/>
                      <w:highlight w:val="none"/>
                    </w:rPr>
                    <w:t>合计</w:t>
                  </w:r>
                </w:p>
              </w:tc>
              <w:tc>
                <w:tcPr>
                  <w:tcW w:w="1337" w:type="dxa"/>
                  <w:noWrap w:val="0"/>
                  <w:vAlign w:val="center"/>
                </w:tcPr>
                <w:p>
                  <w:pPr>
                    <w:pStyle w:val="2"/>
                    <w:spacing w:after="0" w:line="240" w:lineRule="auto"/>
                    <w:ind w:left="0" w:leftChars="0" w:firstLine="0" w:firstLineChars="0"/>
                    <w:jc w:val="center"/>
                    <w:rPr>
                      <w:rFonts w:hint="default" w:ascii="Times New Roman" w:hAnsi="Times New Roman" w:eastAsia="宋体" w:cs="Times New Roman"/>
                      <w:color w:val="auto"/>
                      <w:spacing w:val="0"/>
                      <w:position w:val="0"/>
                      <w:sz w:val="21"/>
                      <w:szCs w:val="21"/>
                      <w:highlight w:val="none"/>
                      <w:lang w:val="en-US" w:eastAsia="zh-CN"/>
                    </w:rPr>
                  </w:pPr>
                  <w:r>
                    <w:rPr>
                      <w:rFonts w:hint="eastAsia" w:ascii="Times New Roman" w:hAnsi="Times New Roman" w:cs="Times New Roman"/>
                      <w:color w:val="auto"/>
                      <w:spacing w:val="0"/>
                      <w:position w:val="0"/>
                      <w:sz w:val="21"/>
                      <w:szCs w:val="21"/>
                      <w:highlight w:val="none"/>
                      <w:lang w:val="en-US" w:eastAsia="zh-CN"/>
                    </w:rPr>
                    <w:t>75.</w:t>
                  </w:r>
                  <w:r>
                    <w:rPr>
                      <w:rFonts w:hint="eastAsia" w:cs="Times New Roman"/>
                      <w:color w:val="auto"/>
                      <w:spacing w:val="0"/>
                      <w:position w:val="0"/>
                      <w:sz w:val="21"/>
                      <w:szCs w:val="21"/>
                      <w:highlight w:val="none"/>
                      <w:lang w:val="en-US" w:eastAsia="zh-CN"/>
                    </w:rPr>
                    <w:t>117</w:t>
                  </w:r>
                </w:p>
              </w:tc>
              <w:tc>
                <w:tcPr>
                  <w:tcW w:w="3123" w:type="dxa"/>
                  <w:noWrap w:val="0"/>
                  <w:vAlign w:val="center"/>
                </w:tcPr>
                <w:p>
                  <w:pPr>
                    <w:pStyle w:val="2"/>
                    <w:spacing w:after="0" w:line="240" w:lineRule="auto"/>
                    <w:ind w:left="0" w:leftChars="0" w:firstLine="0" w:firstLineChars="0"/>
                    <w:jc w:val="center"/>
                    <w:rPr>
                      <w:rFonts w:hint="default" w:ascii="Times New Roman" w:hAnsi="Times New Roman" w:eastAsia="宋体" w:cs="Times New Roman"/>
                      <w:color w:val="auto"/>
                      <w:spacing w:val="0"/>
                      <w:position w:val="0"/>
                      <w:sz w:val="21"/>
                      <w:szCs w:val="21"/>
                      <w:highlight w:val="none"/>
                      <w:lang w:val="en-US" w:eastAsia="zh-CN"/>
                    </w:rPr>
                  </w:pPr>
                  <w:r>
                    <w:rPr>
                      <w:rFonts w:hint="default" w:ascii="Times New Roman" w:hAnsi="Times New Roman" w:eastAsia="宋体" w:cs="Times New Roman"/>
                      <w:color w:val="auto"/>
                      <w:spacing w:val="0"/>
                      <w:position w:val="0"/>
                      <w:sz w:val="21"/>
                      <w:szCs w:val="21"/>
                      <w:highlight w:val="none"/>
                      <w:lang w:val="en-US" w:eastAsia="zh-CN"/>
                    </w:rPr>
                    <w:t>合计</w:t>
                  </w:r>
                </w:p>
              </w:tc>
              <w:tc>
                <w:tcPr>
                  <w:tcW w:w="2589" w:type="dxa"/>
                  <w:noWrap w:val="0"/>
                  <w:vAlign w:val="center"/>
                </w:tcPr>
                <w:p>
                  <w:pPr>
                    <w:pStyle w:val="2"/>
                    <w:spacing w:after="0" w:line="240" w:lineRule="auto"/>
                    <w:ind w:left="0" w:leftChars="0" w:firstLine="0" w:firstLineChars="0"/>
                    <w:jc w:val="center"/>
                    <w:rPr>
                      <w:rFonts w:hint="default" w:ascii="Times New Roman" w:hAnsi="Times New Roman" w:eastAsia="宋体" w:cs="Times New Roman"/>
                      <w:color w:val="auto"/>
                      <w:spacing w:val="0"/>
                      <w:position w:val="0"/>
                      <w:sz w:val="21"/>
                      <w:szCs w:val="21"/>
                      <w:highlight w:val="none"/>
                      <w:lang w:val="en-US" w:eastAsia="zh-CN"/>
                    </w:rPr>
                  </w:pPr>
                  <w:r>
                    <w:rPr>
                      <w:rFonts w:hint="eastAsia" w:ascii="Times New Roman" w:hAnsi="Times New Roman" w:cs="Times New Roman"/>
                      <w:color w:val="auto"/>
                      <w:spacing w:val="0"/>
                      <w:position w:val="0"/>
                      <w:sz w:val="21"/>
                      <w:szCs w:val="21"/>
                      <w:highlight w:val="none"/>
                      <w:lang w:val="en-US" w:eastAsia="zh-CN"/>
                    </w:rPr>
                    <w:t>75.</w:t>
                  </w:r>
                  <w:r>
                    <w:rPr>
                      <w:rFonts w:hint="eastAsia" w:cs="Times New Roman"/>
                      <w:color w:val="auto"/>
                      <w:spacing w:val="0"/>
                      <w:position w:val="0"/>
                      <w:sz w:val="21"/>
                      <w:szCs w:val="21"/>
                      <w:highlight w:val="none"/>
                      <w:lang w:val="en-US" w:eastAsia="zh-CN"/>
                    </w:rPr>
                    <w:t>117</w:t>
                  </w:r>
                </w:p>
              </w:tc>
            </w:tr>
          </w:tbl>
          <w:p>
            <w:pPr>
              <w:pStyle w:val="11"/>
              <w:bidi w:val="0"/>
              <w:rPr>
                <w:rFonts w:hint="eastAsia"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3.6能源消耗情况</w:t>
            </w:r>
          </w:p>
          <w:p>
            <w:pPr>
              <w:pStyle w:val="10"/>
              <w:bidi w:val="0"/>
              <w:ind w:firstLine="480" w:firstLineChars="200"/>
              <w:rPr>
                <w:rFonts w:hint="default" w:ascii="Times New Roman" w:hAnsi="Times New Roman" w:cs="Times New Roman"/>
                <w:b w:val="0"/>
                <w:bCs w:val="0"/>
                <w:color w:val="auto"/>
                <w:sz w:val="24"/>
                <w:szCs w:val="28"/>
                <w:highlight w:val="none"/>
                <w:lang w:val="en-US" w:eastAsia="zh-CN"/>
              </w:rPr>
            </w:pPr>
            <w:r>
              <w:rPr>
                <w:rFonts w:hint="eastAsia" w:ascii="Times New Roman" w:hAnsi="Times New Roman" w:cs="Times New Roman"/>
                <w:b w:val="0"/>
                <w:bCs w:val="0"/>
                <w:color w:val="auto"/>
                <w:sz w:val="24"/>
                <w:szCs w:val="28"/>
                <w:highlight w:val="none"/>
                <w:lang w:val="en-US" w:eastAsia="zh-CN"/>
              </w:rPr>
              <w:t>3.6.1</w:t>
            </w:r>
            <w:r>
              <w:rPr>
                <w:rFonts w:hint="default" w:ascii="Times New Roman" w:hAnsi="Times New Roman" w:cs="Times New Roman"/>
                <w:b w:val="0"/>
                <w:bCs w:val="0"/>
                <w:color w:val="auto"/>
                <w:sz w:val="24"/>
                <w:szCs w:val="28"/>
                <w:highlight w:val="none"/>
                <w:lang w:val="en-US" w:eastAsia="zh-CN"/>
              </w:rPr>
              <w:t xml:space="preserve"> 给排水</w:t>
            </w:r>
          </w:p>
          <w:p>
            <w:pPr>
              <w:pStyle w:val="10"/>
              <w:bidi w:val="0"/>
              <w:ind w:firstLine="480" w:firstLineChars="200"/>
              <w:rPr>
                <w:rFonts w:hint="default" w:ascii="Times New Roman" w:hAnsi="Times New Roman" w:cs="Times New Roman"/>
                <w:b w:val="0"/>
                <w:bCs w:val="0"/>
                <w:color w:val="auto"/>
                <w:sz w:val="24"/>
                <w:szCs w:val="28"/>
                <w:highlight w:val="none"/>
                <w:lang w:val="en-US" w:eastAsia="zh-CN"/>
              </w:rPr>
            </w:pPr>
            <w:r>
              <w:rPr>
                <w:rFonts w:hint="default" w:ascii="Times New Roman" w:hAnsi="Times New Roman" w:cs="Times New Roman"/>
                <w:b w:val="0"/>
                <w:bCs w:val="0"/>
                <w:color w:val="auto"/>
                <w:sz w:val="24"/>
                <w:szCs w:val="28"/>
                <w:highlight w:val="none"/>
                <w:lang w:val="en-US" w:eastAsia="zh-CN"/>
              </w:rPr>
              <w:t>本次</w:t>
            </w:r>
            <w:r>
              <w:rPr>
                <w:rFonts w:hint="eastAsia" w:cs="Times New Roman"/>
                <w:b w:val="0"/>
                <w:bCs w:val="0"/>
                <w:color w:val="auto"/>
                <w:sz w:val="24"/>
                <w:szCs w:val="28"/>
                <w:highlight w:val="none"/>
                <w:lang w:val="en-US" w:eastAsia="zh-CN"/>
              </w:rPr>
              <w:t>技改</w:t>
            </w:r>
            <w:r>
              <w:rPr>
                <w:rFonts w:hint="default" w:ascii="Times New Roman" w:hAnsi="Times New Roman" w:cs="Times New Roman"/>
                <w:b w:val="0"/>
                <w:bCs w:val="0"/>
                <w:color w:val="auto"/>
                <w:sz w:val="24"/>
                <w:szCs w:val="28"/>
                <w:highlight w:val="none"/>
                <w:lang w:val="en-US" w:eastAsia="zh-CN"/>
              </w:rPr>
              <w:t>项目生活用水无变化，</w:t>
            </w:r>
            <w:r>
              <w:rPr>
                <w:rFonts w:hint="eastAsia" w:cs="Times New Roman"/>
                <w:b w:val="0"/>
                <w:bCs w:val="0"/>
                <w:color w:val="auto"/>
                <w:sz w:val="24"/>
                <w:szCs w:val="28"/>
                <w:highlight w:val="none"/>
                <w:lang w:val="en-US" w:eastAsia="zh-CN"/>
              </w:rPr>
              <w:t>生产不新增用水</w:t>
            </w:r>
            <w:r>
              <w:rPr>
                <w:rFonts w:hint="default" w:ascii="Times New Roman" w:hAnsi="Times New Roman" w:cs="Times New Roman"/>
                <w:b w:val="0"/>
                <w:bCs w:val="0"/>
                <w:color w:val="auto"/>
                <w:sz w:val="24"/>
                <w:szCs w:val="28"/>
                <w:highlight w:val="none"/>
                <w:lang w:val="en-US" w:eastAsia="zh-CN"/>
              </w:rPr>
              <w:t>。</w:t>
            </w:r>
          </w:p>
          <w:p>
            <w:pPr>
              <w:pStyle w:val="10"/>
              <w:bidi w:val="0"/>
              <w:jc w:val="center"/>
              <w:rPr>
                <w:rFonts w:hint="eastAsia" w:cs="Times New Roman"/>
                <w:b w:val="0"/>
                <w:bCs w:val="0"/>
                <w:color w:val="auto"/>
                <w:sz w:val="24"/>
                <w:szCs w:val="28"/>
                <w:highlight w:val="none"/>
                <w:lang w:val="en-US" w:eastAsia="zh-CN"/>
              </w:rPr>
            </w:pPr>
            <w:r>
              <w:rPr>
                <w:rFonts w:hint="eastAsia" w:cs="Times New Roman"/>
                <w:b w:val="0"/>
                <w:bCs w:val="0"/>
                <w:color w:val="auto"/>
                <w:sz w:val="24"/>
                <w:szCs w:val="28"/>
                <w:highlight w:val="none"/>
                <w:lang w:val="en-US" w:eastAsia="zh-CN"/>
              </w:rPr>
              <w:drawing>
                <wp:inline distT="0" distB="0" distL="114300" distR="114300">
                  <wp:extent cx="5156200" cy="2566670"/>
                  <wp:effectExtent l="0" t="0" r="6350" b="5080"/>
                  <wp:docPr id="5" name="图片 5" descr="未命名文件(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未命名文件(26)"/>
                          <pic:cNvPicPr>
                            <a:picLocks noChangeAspect="1"/>
                          </pic:cNvPicPr>
                        </pic:nvPicPr>
                        <pic:blipFill>
                          <a:blip r:embed="rId13"/>
                          <a:stretch>
                            <a:fillRect/>
                          </a:stretch>
                        </pic:blipFill>
                        <pic:spPr>
                          <a:xfrm>
                            <a:off x="0" y="0"/>
                            <a:ext cx="5156200" cy="2566670"/>
                          </a:xfrm>
                          <a:prstGeom prst="rect">
                            <a:avLst/>
                          </a:prstGeom>
                        </pic:spPr>
                      </pic:pic>
                    </a:graphicData>
                  </a:graphic>
                </wp:inline>
              </w:drawing>
            </w:r>
          </w:p>
          <w:p>
            <w:pPr>
              <w:pStyle w:val="51"/>
              <w:bidi w:val="0"/>
              <w:rPr>
                <w:rFonts w:hint="default" w:ascii="Times New Roman" w:hAnsi="Times New Roman" w:eastAsia="宋体" w:cs="Times New Roman"/>
                <w:b/>
                <w:color w:val="auto"/>
                <w:kern w:val="21"/>
                <w:sz w:val="24"/>
                <w:szCs w:val="20"/>
                <w:highlight w:val="none"/>
                <w:lang w:val="en-US" w:eastAsia="zh-CN" w:bidi="ar-SA"/>
              </w:rPr>
            </w:pPr>
            <w:r>
              <w:rPr>
                <w:rFonts w:hint="eastAsia" w:ascii="Times New Roman" w:hAnsi="Times New Roman" w:eastAsia="宋体" w:cs="Times New Roman"/>
                <w:b/>
                <w:color w:val="auto"/>
                <w:kern w:val="21"/>
                <w:sz w:val="24"/>
                <w:szCs w:val="20"/>
                <w:highlight w:val="none"/>
                <w:lang w:val="en-US" w:eastAsia="zh-CN" w:bidi="ar-SA"/>
              </w:rPr>
              <w:t xml:space="preserve">图2-3  </w:t>
            </w:r>
            <w:r>
              <w:rPr>
                <w:rFonts w:hint="eastAsia" w:cs="Times New Roman"/>
                <w:b/>
                <w:color w:val="auto"/>
                <w:kern w:val="21"/>
                <w:sz w:val="24"/>
                <w:szCs w:val="20"/>
                <w:highlight w:val="none"/>
                <w:lang w:val="en-US" w:eastAsia="zh-CN" w:bidi="ar-SA"/>
              </w:rPr>
              <w:t>技改完成后</w:t>
            </w:r>
            <w:r>
              <w:rPr>
                <w:rFonts w:hint="eastAsia" w:ascii="Times New Roman" w:hAnsi="Times New Roman" w:eastAsia="宋体" w:cs="Times New Roman"/>
                <w:b/>
                <w:color w:val="auto"/>
                <w:kern w:val="21"/>
                <w:sz w:val="24"/>
                <w:szCs w:val="20"/>
                <w:highlight w:val="none"/>
                <w:lang w:val="en-US" w:eastAsia="zh-CN" w:bidi="ar-SA"/>
              </w:rPr>
              <w:t>全厂水平衡图  单位：m³/d</w:t>
            </w:r>
            <w:r>
              <w:rPr>
                <w:rFonts w:hint="eastAsia" w:cs="Times New Roman"/>
                <w:b/>
                <w:color w:val="auto"/>
                <w:kern w:val="21"/>
                <w:sz w:val="24"/>
                <w:szCs w:val="20"/>
                <w:highlight w:val="none"/>
                <w:lang w:val="en-US" w:eastAsia="zh-CN" w:bidi="ar-SA"/>
              </w:rPr>
              <w:t xml:space="preserve"> </w:t>
            </w:r>
          </w:p>
          <w:p>
            <w:pPr>
              <w:pStyle w:val="10"/>
              <w:bidi w:val="0"/>
              <w:ind w:firstLine="480" w:firstLineChars="200"/>
              <w:rPr>
                <w:rFonts w:hint="default" w:ascii="Times New Roman" w:hAnsi="Times New Roman" w:cs="Times New Roman"/>
                <w:b w:val="0"/>
                <w:bCs w:val="0"/>
                <w:color w:val="auto"/>
                <w:sz w:val="24"/>
                <w:szCs w:val="28"/>
                <w:highlight w:val="none"/>
                <w:lang w:val="en-US" w:eastAsia="zh-CN"/>
              </w:rPr>
            </w:pPr>
            <w:r>
              <w:rPr>
                <w:rFonts w:hint="eastAsia" w:ascii="Times New Roman" w:hAnsi="Times New Roman" w:cs="Times New Roman"/>
                <w:b w:val="0"/>
                <w:bCs w:val="0"/>
                <w:color w:val="auto"/>
                <w:sz w:val="24"/>
                <w:szCs w:val="28"/>
                <w:highlight w:val="none"/>
                <w:lang w:val="en-US" w:eastAsia="zh-CN"/>
              </w:rPr>
              <w:t>3.6.2</w:t>
            </w:r>
            <w:r>
              <w:rPr>
                <w:rFonts w:hint="default" w:ascii="Times New Roman" w:hAnsi="Times New Roman" w:cs="Times New Roman"/>
                <w:b w:val="0"/>
                <w:bCs w:val="0"/>
                <w:color w:val="auto"/>
                <w:sz w:val="24"/>
                <w:szCs w:val="28"/>
                <w:highlight w:val="none"/>
                <w:lang w:val="en-US" w:eastAsia="zh-CN"/>
              </w:rPr>
              <w:t>供电</w:t>
            </w:r>
          </w:p>
          <w:p>
            <w:pPr>
              <w:pStyle w:val="10"/>
              <w:bidi w:val="0"/>
              <w:ind w:firstLine="480" w:firstLineChars="200"/>
              <w:rPr>
                <w:rFonts w:hint="eastAsia" w:ascii="Times New Roman" w:hAnsi="Times New Roman" w:cs="Times New Roman"/>
                <w:b w:val="0"/>
                <w:bCs w:val="0"/>
                <w:color w:val="auto"/>
                <w:sz w:val="24"/>
                <w:szCs w:val="28"/>
                <w:highlight w:val="none"/>
                <w:lang w:val="en-US" w:eastAsia="zh-CN"/>
              </w:rPr>
            </w:pPr>
            <w:r>
              <w:rPr>
                <w:rFonts w:hint="default" w:ascii="Times New Roman" w:hAnsi="Times New Roman" w:cs="Times New Roman"/>
                <w:b w:val="0"/>
                <w:bCs w:val="0"/>
                <w:color w:val="auto"/>
                <w:sz w:val="24"/>
                <w:szCs w:val="28"/>
                <w:highlight w:val="none"/>
                <w:lang w:val="en-US" w:eastAsia="zh-CN"/>
              </w:rPr>
              <w:t>本项目用电由</w:t>
            </w:r>
            <w:r>
              <w:rPr>
                <w:rFonts w:hint="eastAsia" w:cs="Times New Roman"/>
                <w:b w:val="0"/>
                <w:bCs w:val="0"/>
                <w:color w:val="auto"/>
                <w:sz w:val="24"/>
                <w:szCs w:val="28"/>
                <w:highlight w:val="none"/>
                <w:lang w:val="en-US" w:eastAsia="zh-CN"/>
              </w:rPr>
              <w:t>抚宁区</w:t>
            </w:r>
            <w:r>
              <w:rPr>
                <w:rFonts w:hint="default" w:ascii="Times New Roman" w:hAnsi="Times New Roman" w:cs="Times New Roman"/>
                <w:b w:val="0"/>
                <w:bCs w:val="0"/>
                <w:color w:val="auto"/>
                <w:sz w:val="24"/>
                <w:szCs w:val="28"/>
                <w:highlight w:val="none"/>
                <w:lang w:val="en-US" w:eastAsia="zh-CN"/>
              </w:rPr>
              <w:t>下庄乡电网提供</w:t>
            </w:r>
            <w:r>
              <w:rPr>
                <w:rFonts w:hint="eastAsia" w:ascii="Times New Roman" w:hAnsi="Times New Roman" w:cs="Times New Roman"/>
                <w:b w:val="0"/>
                <w:bCs w:val="0"/>
                <w:color w:val="auto"/>
                <w:sz w:val="24"/>
                <w:szCs w:val="28"/>
                <w:highlight w:val="none"/>
                <w:lang w:val="en-US" w:eastAsia="zh-CN"/>
              </w:rPr>
              <w:t>，</w:t>
            </w:r>
            <w:r>
              <w:rPr>
                <w:rFonts w:hint="eastAsia" w:cs="Times New Roman"/>
                <w:b w:val="0"/>
                <w:bCs w:val="0"/>
                <w:color w:val="auto"/>
                <w:sz w:val="24"/>
                <w:szCs w:val="28"/>
                <w:highlight w:val="none"/>
                <w:lang w:val="en-US" w:eastAsia="zh-CN"/>
              </w:rPr>
              <w:t>技改</w:t>
            </w:r>
            <w:r>
              <w:rPr>
                <w:rFonts w:hint="default" w:ascii="Times New Roman" w:hAnsi="Times New Roman" w:cs="Times New Roman"/>
                <w:b w:val="0"/>
                <w:bCs w:val="0"/>
                <w:color w:val="auto"/>
                <w:sz w:val="24"/>
                <w:szCs w:val="28"/>
                <w:highlight w:val="none"/>
                <w:lang w:val="en-US" w:eastAsia="zh-CN"/>
              </w:rPr>
              <w:t>项目新增年用电量为</w:t>
            </w:r>
            <w:r>
              <w:rPr>
                <w:rFonts w:hint="eastAsia" w:cs="Times New Roman"/>
                <w:b w:val="0"/>
                <w:bCs w:val="0"/>
                <w:color w:val="auto"/>
                <w:sz w:val="24"/>
                <w:szCs w:val="28"/>
                <w:highlight w:val="none"/>
                <w:lang w:val="en-US" w:eastAsia="zh-CN"/>
              </w:rPr>
              <w:t>2000</w:t>
            </w:r>
            <w:r>
              <w:rPr>
                <w:rFonts w:hint="default" w:ascii="Times New Roman" w:hAnsi="Times New Roman" w:cs="Times New Roman"/>
                <w:b w:val="0"/>
                <w:bCs w:val="0"/>
                <w:color w:val="auto"/>
                <w:sz w:val="24"/>
                <w:szCs w:val="28"/>
                <w:highlight w:val="none"/>
                <w:lang w:val="en-US" w:eastAsia="zh-CN"/>
              </w:rPr>
              <w:t>kwh，</w:t>
            </w:r>
            <w:r>
              <w:rPr>
                <w:rFonts w:hint="eastAsia" w:cs="Times New Roman"/>
                <w:b w:val="0"/>
                <w:bCs w:val="0"/>
                <w:color w:val="auto"/>
                <w:sz w:val="24"/>
                <w:szCs w:val="28"/>
                <w:highlight w:val="none"/>
                <w:lang w:val="en-US" w:eastAsia="zh-CN"/>
              </w:rPr>
              <w:t>项目建成后全厂</w:t>
            </w:r>
            <w:r>
              <w:rPr>
                <w:rFonts w:hint="default" w:ascii="Times New Roman" w:hAnsi="Times New Roman" w:cs="Times New Roman"/>
                <w:b w:val="0"/>
                <w:bCs w:val="0"/>
                <w:color w:val="auto"/>
                <w:sz w:val="24"/>
                <w:szCs w:val="28"/>
                <w:highlight w:val="none"/>
                <w:lang w:val="en-US" w:eastAsia="zh-CN"/>
              </w:rPr>
              <w:t>总用电量为</w:t>
            </w:r>
            <w:r>
              <w:rPr>
                <w:rFonts w:hint="eastAsia" w:cs="Times New Roman"/>
                <w:b w:val="0"/>
                <w:bCs w:val="0"/>
                <w:color w:val="auto"/>
                <w:sz w:val="24"/>
                <w:szCs w:val="28"/>
                <w:highlight w:val="none"/>
                <w:lang w:val="en-US" w:eastAsia="zh-CN"/>
              </w:rPr>
              <w:t>12000</w:t>
            </w:r>
            <w:r>
              <w:rPr>
                <w:rFonts w:hint="default" w:ascii="Times New Roman" w:hAnsi="Times New Roman" w:cs="Times New Roman"/>
                <w:b w:val="0"/>
                <w:bCs w:val="0"/>
                <w:color w:val="auto"/>
                <w:sz w:val="24"/>
                <w:szCs w:val="28"/>
                <w:highlight w:val="none"/>
                <w:lang w:val="en-US" w:eastAsia="zh-CN"/>
              </w:rPr>
              <w:t>kwh，</w:t>
            </w:r>
            <w:r>
              <w:rPr>
                <w:rFonts w:hint="eastAsia" w:cs="Times New Roman"/>
                <w:b w:val="0"/>
                <w:bCs w:val="0"/>
                <w:color w:val="auto"/>
                <w:sz w:val="24"/>
                <w:szCs w:val="28"/>
                <w:highlight w:val="none"/>
                <w:lang w:val="en-US" w:eastAsia="zh-CN"/>
              </w:rPr>
              <w:t>现有市政供电可</w:t>
            </w:r>
            <w:r>
              <w:rPr>
                <w:rFonts w:hint="default" w:ascii="Times New Roman" w:hAnsi="Times New Roman" w:cs="Times New Roman"/>
                <w:b w:val="0"/>
                <w:bCs w:val="0"/>
                <w:color w:val="auto"/>
                <w:sz w:val="24"/>
                <w:szCs w:val="28"/>
                <w:highlight w:val="none"/>
                <w:lang w:val="en-US" w:eastAsia="zh-CN"/>
              </w:rPr>
              <w:t>满足用电需求</w:t>
            </w:r>
            <w:r>
              <w:rPr>
                <w:rFonts w:hint="eastAsia" w:ascii="Times New Roman" w:hAnsi="Times New Roman" w:cs="Times New Roman"/>
                <w:b w:val="0"/>
                <w:bCs w:val="0"/>
                <w:color w:val="auto"/>
                <w:sz w:val="24"/>
                <w:szCs w:val="28"/>
                <w:highlight w:val="none"/>
                <w:lang w:val="en-US" w:eastAsia="zh-CN"/>
              </w:rPr>
              <w:t>。</w:t>
            </w:r>
          </w:p>
          <w:p>
            <w:pPr>
              <w:pStyle w:val="10"/>
              <w:bidi w:val="0"/>
              <w:ind w:firstLine="480" w:firstLineChars="200"/>
              <w:rPr>
                <w:rFonts w:hint="default" w:ascii="Times New Roman" w:hAnsi="Times New Roman" w:cs="Times New Roman"/>
                <w:b w:val="0"/>
                <w:bCs w:val="0"/>
                <w:color w:val="auto"/>
                <w:sz w:val="24"/>
                <w:szCs w:val="28"/>
                <w:highlight w:val="none"/>
                <w:lang w:val="en-US" w:eastAsia="zh-CN"/>
              </w:rPr>
            </w:pPr>
            <w:r>
              <w:rPr>
                <w:rFonts w:hint="eastAsia" w:ascii="Times New Roman" w:hAnsi="Times New Roman" w:cs="Times New Roman"/>
                <w:b w:val="0"/>
                <w:bCs w:val="0"/>
                <w:color w:val="auto"/>
                <w:sz w:val="24"/>
                <w:szCs w:val="28"/>
                <w:highlight w:val="none"/>
                <w:lang w:val="en-US" w:eastAsia="zh-CN"/>
              </w:rPr>
              <w:t>3.6.3</w:t>
            </w:r>
            <w:r>
              <w:rPr>
                <w:rFonts w:hint="default" w:ascii="Times New Roman" w:hAnsi="Times New Roman" w:cs="Times New Roman"/>
                <w:b w:val="0"/>
                <w:bCs w:val="0"/>
                <w:color w:val="auto"/>
                <w:sz w:val="24"/>
                <w:szCs w:val="28"/>
                <w:highlight w:val="none"/>
                <w:lang w:val="en-US" w:eastAsia="zh-CN"/>
              </w:rPr>
              <w:t>供热</w:t>
            </w:r>
          </w:p>
          <w:p>
            <w:pPr>
              <w:pStyle w:val="10"/>
              <w:bidi w:val="0"/>
              <w:ind w:firstLine="480" w:firstLineChars="200"/>
              <w:rPr>
                <w:rFonts w:hint="default" w:ascii="Times New Roman" w:hAnsi="Times New Roman" w:cs="Times New Roman"/>
                <w:color w:val="auto"/>
                <w:highlight w:val="none"/>
                <w:lang w:val="en-US" w:eastAsia="zh-CN"/>
              </w:rPr>
            </w:pPr>
            <w:r>
              <w:rPr>
                <w:rFonts w:hint="default" w:ascii="Times New Roman" w:hAnsi="Times New Roman" w:cs="Times New Roman"/>
                <w:b w:val="0"/>
                <w:bCs w:val="0"/>
                <w:color w:val="auto"/>
                <w:sz w:val="24"/>
                <w:szCs w:val="28"/>
                <w:highlight w:val="none"/>
                <w:lang w:val="en-US" w:eastAsia="zh-CN"/>
              </w:rPr>
              <w:t>冬季办公室</w:t>
            </w:r>
            <w:r>
              <w:rPr>
                <w:rFonts w:hint="eastAsia" w:cs="Times New Roman"/>
                <w:b w:val="0"/>
                <w:bCs w:val="0"/>
                <w:color w:val="auto"/>
                <w:sz w:val="24"/>
                <w:szCs w:val="28"/>
                <w:highlight w:val="none"/>
                <w:lang w:val="en-US" w:eastAsia="zh-CN"/>
              </w:rPr>
              <w:t>采用空调供热</w:t>
            </w:r>
            <w:r>
              <w:rPr>
                <w:rFonts w:hint="default" w:ascii="Times New Roman" w:hAnsi="Times New Roman" w:cs="Times New Roman"/>
                <w:b w:val="0"/>
                <w:bCs w:val="0"/>
                <w:color w:val="auto"/>
                <w:sz w:val="24"/>
                <w:szCs w:val="28"/>
                <w:highlight w:val="none"/>
                <w:lang w:val="en-US" w:eastAsia="zh-CN"/>
              </w:rPr>
              <w:t>，</w:t>
            </w:r>
            <w:r>
              <w:rPr>
                <w:rFonts w:hint="eastAsia" w:cs="Times New Roman"/>
                <w:b w:val="0"/>
                <w:bCs w:val="0"/>
                <w:color w:val="auto"/>
                <w:sz w:val="24"/>
                <w:szCs w:val="28"/>
                <w:highlight w:val="none"/>
                <w:lang w:val="en-US" w:eastAsia="zh-CN"/>
              </w:rPr>
              <w:t>生产车间不设取暖。</w:t>
            </w:r>
          </w:p>
        </w:tc>
      </w:tr>
    </w:tbl>
    <w:p>
      <w:pPr>
        <w:pStyle w:val="11"/>
        <w:bidi w:val="0"/>
        <w:rPr>
          <w:rFonts w:hint="default" w:ascii="Times New Roman" w:hAnsi="Times New Roman" w:cs="Times New Roman"/>
          <w:color w:val="auto"/>
          <w:highlight w:val="none"/>
          <w:vertAlign w:val="baseline"/>
        </w:rPr>
        <w:sectPr>
          <w:pgSz w:w="11905" w:h="16838"/>
          <w:pgMar w:top="1440" w:right="1587" w:bottom="1440" w:left="1587" w:header="851" w:footer="850" w:gutter="0"/>
          <w:pgBorders>
            <w:top w:val="none" w:sz="0" w:space="0"/>
            <w:left w:val="none" w:sz="0" w:space="0"/>
            <w:bottom w:val="none" w:sz="0" w:space="0"/>
            <w:right w:val="none" w:sz="0" w:space="0"/>
          </w:pgBorders>
          <w:pgNumType w:fmt="decimal"/>
          <w:cols w:space="0" w:num="1"/>
          <w:rtlGutter w:val="0"/>
          <w:docGrid w:linePitch="312" w:charSpace="0"/>
        </w:sectPr>
      </w:pPr>
    </w:p>
    <w:tbl>
      <w:tblPr>
        <w:tblStyle w:val="33"/>
        <w:tblW w:w="907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85"/>
        <w:gridCol w:w="85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56" w:hRule="atLeast"/>
          <w:jc w:val="center"/>
        </w:trPr>
        <w:tc>
          <w:tcPr>
            <w:tcW w:w="485" w:type="dxa"/>
            <w:noWrap w:val="0"/>
            <w:vAlign w:val="center"/>
          </w:tcPr>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工艺流程和产排污环节</w:t>
            </w:r>
          </w:p>
        </w:tc>
        <w:tc>
          <w:tcPr>
            <w:tcW w:w="8586" w:type="dxa"/>
            <w:noWrap w:val="0"/>
            <w:vAlign w:val="center"/>
          </w:tcPr>
          <w:p>
            <w:pPr>
              <w:pStyle w:val="50"/>
              <w:bidi w:val="0"/>
              <w:rPr>
                <w:rFonts w:hint="default" w:ascii="Times New Roman" w:hAnsi="Times New Roman" w:cs="Times New Roman"/>
                <w:b/>
                <w:bCs/>
                <w:color w:val="auto"/>
                <w:highlight w:val="none"/>
                <w:lang w:val="en-US" w:eastAsia="zh-CN"/>
              </w:rPr>
            </w:pPr>
            <w:r>
              <w:rPr>
                <w:rFonts w:hint="eastAsia" w:ascii="Times New Roman" w:hAnsi="Times New Roman" w:cs="Times New Roman"/>
                <w:b/>
                <w:bCs/>
                <w:color w:val="auto"/>
                <w:highlight w:val="none"/>
                <w:lang w:val="en-US" w:eastAsia="zh-CN"/>
              </w:rPr>
              <w:t>1、施工期工艺流程：</w:t>
            </w:r>
          </w:p>
          <w:p>
            <w:pPr>
              <w:pStyle w:val="50"/>
              <w:bidi w:val="0"/>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本项目在现有车间内新建彩钢喷漆房1座，无需土建工程，仅为喷漆房安装以及设备调试，施工期较短，施工影响随施工期结束而结束。</w:t>
            </w:r>
          </w:p>
          <w:p>
            <w:pPr>
              <w:pStyle w:val="50"/>
              <w:bidi w:val="0"/>
              <w:ind w:left="0" w:leftChars="0" w:firstLine="482" w:firstLineChars="200"/>
              <w:rPr>
                <w:rFonts w:hint="default" w:ascii="Times New Roman" w:hAnsi="Times New Roman" w:cs="Times New Roman"/>
                <w:b/>
                <w:bCs/>
                <w:color w:val="auto"/>
                <w:highlight w:val="none"/>
                <w:lang w:val="en-US" w:eastAsia="zh-CN"/>
              </w:rPr>
            </w:pPr>
            <w:r>
              <w:rPr>
                <w:rFonts w:hint="default" w:ascii="Times New Roman" w:hAnsi="Times New Roman" w:cs="Times New Roman"/>
                <w:b/>
                <w:bCs/>
                <w:color w:val="auto"/>
                <w:highlight w:val="none"/>
                <w:lang w:val="en-US" w:eastAsia="zh-CN"/>
              </w:rPr>
              <w:t>2、运营期工艺流程：</w:t>
            </w:r>
          </w:p>
          <w:p>
            <w:pPr>
              <w:pStyle w:val="50"/>
              <w:bidi w:val="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主要工艺环节说明：</w:t>
            </w:r>
          </w:p>
          <w:p>
            <w:pPr>
              <w:pStyle w:val="50"/>
              <w:bidi w:val="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本次技改项目新增喷漆工艺，其余不变。</w:t>
            </w:r>
          </w:p>
          <w:p>
            <w:pPr>
              <w:pStyle w:val="50"/>
              <w:bidi w:val="0"/>
              <w:ind w:left="0" w:leftChars="0" w:firstLine="0" w:firstLineChars="0"/>
              <w:jc w:val="center"/>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drawing>
                <wp:inline distT="0" distB="0" distL="114300" distR="114300">
                  <wp:extent cx="5312410" cy="1806575"/>
                  <wp:effectExtent l="0" t="0" r="2540" b="3175"/>
                  <wp:docPr id="9" name="图片 9" descr="联安机械工艺流程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联安机械工艺流程图"/>
                          <pic:cNvPicPr>
                            <a:picLocks noChangeAspect="1"/>
                          </pic:cNvPicPr>
                        </pic:nvPicPr>
                        <pic:blipFill>
                          <a:blip r:embed="rId15"/>
                          <a:stretch>
                            <a:fillRect/>
                          </a:stretch>
                        </pic:blipFill>
                        <pic:spPr>
                          <a:xfrm>
                            <a:off x="0" y="0"/>
                            <a:ext cx="5312410" cy="1806575"/>
                          </a:xfrm>
                          <a:prstGeom prst="rect">
                            <a:avLst/>
                          </a:prstGeom>
                        </pic:spPr>
                      </pic:pic>
                    </a:graphicData>
                  </a:graphic>
                </wp:inline>
              </w:drawing>
            </w:r>
          </w:p>
          <w:p>
            <w:pPr>
              <w:pStyle w:val="51"/>
              <w:bidi w:val="0"/>
              <w:rPr>
                <w:rFonts w:hint="default" w:ascii="Times New Roman" w:hAnsi="Times New Roman" w:eastAsia="宋体" w:cs="Times New Roman"/>
                <w:b/>
                <w:color w:val="auto"/>
                <w:kern w:val="21"/>
                <w:sz w:val="24"/>
                <w:szCs w:val="20"/>
                <w:highlight w:val="none"/>
                <w:lang w:val="en-US" w:eastAsia="zh-CN" w:bidi="ar-SA"/>
              </w:rPr>
            </w:pPr>
            <w:r>
              <w:rPr>
                <w:rFonts w:hint="default" w:ascii="Times New Roman" w:hAnsi="Times New Roman" w:eastAsia="宋体" w:cs="Times New Roman"/>
                <w:b/>
                <w:color w:val="auto"/>
                <w:kern w:val="21"/>
                <w:sz w:val="24"/>
                <w:szCs w:val="20"/>
                <w:highlight w:val="none"/>
                <w:lang w:val="en-US" w:eastAsia="zh-CN" w:bidi="ar-SA"/>
              </w:rPr>
              <w:t xml:space="preserve">图2-4 工艺流程及排污节点图 </w:t>
            </w:r>
            <w:r>
              <w:rPr>
                <w:rFonts w:hint="default" w:ascii="Times New Roman" w:hAnsi="Times New Roman" w:cs="Times New Roman"/>
                <w:b/>
                <w:color w:val="auto"/>
                <w:kern w:val="21"/>
                <w:sz w:val="24"/>
                <w:szCs w:val="20"/>
                <w:highlight w:val="none"/>
                <w:lang w:val="en-US" w:eastAsia="zh-CN" w:bidi="ar-SA"/>
              </w:rPr>
              <w:t>（</w:t>
            </w:r>
            <w:r>
              <w:rPr>
                <w:rFonts w:hint="default" w:ascii="Times New Roman" w:hAnsi="Times New Roman" w:eastAsia="宋体" w:cs="Times New Roman"/>
                <w:b/>
                <w:color w:val="auto"/>
                <w:kern w:val="21"/>
                <w:sz w:val="24"/>
                <w:szCs w:val="20"/>
                <w:highlight w:val="none"/>
                <w:lang w:val="en-US" w:eastAsia="zh-CN" w:bidi="ar-SA"/>
              </w:rPr>
              <w:t>虚线框内为本次</w:t>
            </w:r>
            <w:r>
              <w:rPr>
                <w:rFonts w:hint="default" w:ascii="Times New Roman" w:hAnsi="Times New Roman" w:cs="Times New Roman"/>
                <w:color w:val="auto"/>
                <w:sz w:val="24"/>
                <w:szCs w:val="16"/>
                <w:highlight w:val="none"/>
                <w:lang w:val="en-US" w:eastAsia="zh-CN"/>
              </w:rPr>
              <w:t>技改</w:t>
            </w:r>
            <w:r>
              <w:rPr>
                <w:rFonts w:hint="default" w:ascii="Times New Roman" w:hAnsi="Times New Roman" w:cs="Times New Roman"/>
                <w:b/>
                <w:color w:val="auto"/>
                <w:kern w:val="21"/>
                <w:sz w:val="24"/>
                <w:szCs w:val="20"/>
                <w:highlight w:val="none"/>
                <w:lang w:val="en-US" w:eastAsia="zh-CN" w:bidi="ar-SA"/>
              </w:rPr>
              <w:t>新增工序）</w:t>
            </w:r>
          </w:p>
          <w:p>
            <w:pPr>
              <w:pStyle w:val="51"/>
              <w:pageBreakBefore w:val="0"/>
              <w:widowControl w:val="0"/>
              <w:kinsoku/>
              <w:wordWrap/>
              <w:overflowPunct/>
              <w:topLinePunct w:val="0"/>
              <w:bidi w:val="0"/>
              <w:adjustRightInd w:val="0"/>
              <w:snapToGrid/>
              <w:spacing w:line="360" w:lineRule="auto"/>
              <w:ind w:left="0" w:firstLine="480" w:firstLineChars="200"/>
              <w:jc w:val="both"/>
              <w:textAlignment w:val="auto"/>
              <w:rPr>
                <w:rFonts w:hint="default" w:ascii="Times New Roman" w:hAnsi="Times New Roman" w:cs="Times New Roman"/>
                <w:color w:val="auto"/>
                <w:sz w:val="28"/>
                <w:szCs w:val="18"/>
                <w:highlight w:val="none"/>
                <w:lang w:eastAsia="zh-CN"/>
              </w:rPr>
            </w:pPr>
            <w:r>
              <w:rPr>
                <w:rFonts w:hint="default" w:ascii="Times New Roman" w:hAnsi="Times New Roman" w:cs="Times New Roman"/>
                <w:color w:val="auto"/>
                <w:sz w:val="24"/>
                <w:szCs w:val="16"/>
                <w:highlight w:val="none"/>
                <w:lang w:val="en-US" w:eastAsia="zh-CN"/>
              </w:rPr>
              <w:t>3、</w:t>
            </w:r>
            <w:r>
              <w:rPr>
                <w:rFonts w:hint="default" w:ascii="Times New Roman" w:hAnsi="Times New Roman" w:cs="Times New Roman"/>
                <w:color w:val="auto"/>
                <w:sz w:val="24"/>
                <w:szCs w:val="16"/>
                <w:highlight w:val="none"/>
                <w:lang w:eastAsia="zh-CN"/>
              </w:rPr>
              <w:t>工艺简</w:t>
            </w:r>
            <w:r>
              <w:rPr>
                <w:rFonts w:hint="default" w:ascii="Times New Roman" w:hAnsi="Times New Roman" w:cs="Times New Roman"/>
                <w:color w:val="auto"/>
                <w:sz w:val="24"/>
                <w:szCs w:val="24"/>
                <w:highlight w:val="none"/>
                <w:lang w:eastAsia="zh-CN"/>
              </w:rPr>
              <w:t>介：</w:t>
            </w:r>
          </w:p>
          <w:p>
            <w:pPr>
              <w:pStyle w:val="50"/>
              <w:pageBreakBefore w:val="0"/>
              <w:widowControl w:val="0"/>
              <w:kinsoku/>
              <w:wordWrap/>
              <w:overflowPunct/>
              <w:topLinePunct w:val="0"/>
              <w:bidi w:val="0"/>
              <w:adjustRightInd w:val="0"/>
              <w:snapToGrid/>
              <w:spacing w:line="360" w:lineRule="auto"/>
              <w:ind w:left="0" w:firstLine="480" w:firstLineChars="200"/>
              <w:jc w:val="both"/>
              <w:textAlignment w:val="auto"/>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（1）切割（外委）</w:t>
            </w:r>
          </w:p>
          <w:p>
            <w:pPr>
              <w:pStyle w:val="50"/>
              <w:bidi w:val="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购入原料需要进行切割，由于场地限制，切割工艺委托邻厂秦皇岛优益重工科技有限公司代做。切割完成后由代做公司负责运至本公司生产车间内。</w:t>
            </w:r>
          </w:p>
          <w:p>
            <w:pPr>
              <w:pStyle w:val="50"/>
              <w:bidi w:val="0"/>
              <w:rPr>
                <w:rFonts w:hint="default" w:ascii="Times New Roman" w:hAnsi="Times New Roman" w:cs="Times New Roman"/>
                <w:b/>
                <w:bCs/>
                <w:color w:val="auto"/>
                <w:highlight w:val="none"/>
                <w:lang w:val="en-US" w:eastAsia="zh-CN"/>
              </w:rPr>
            </w:pPr>
            <w:r>
              <w:rPr>
                <w:rFonts w:hint="default" w:ascii="Times New Roman" w:hAnsi="Times New Roman" w:cs="Times New Roman"/>
                <w:b/>
                <w:bCs/>
                <w:color w:val="auto"/>
                <w:highlight w:val="none"/>
                <w:lang w:val="en-US" w:eastAsia="zh-CN"/>
              </w:rPr>
              <w:t>本工序由其他公司代做，工序产生的污染物不在本环评评价范围内。</w:t>
            </w:r>
          </w:p>
          <w:p>
            <w:pPr>
              <w:pStyle w:val="50"/>
              <w:bidi w:val="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（2）钻孔</w:t>
            </w:r>
          </w:p>
          <w:p>
            <w:pPr>
              <w:pStyle w:val="50"/>
              <w:bidi w:val="0"/>
              <w:rPr>
                <w:rFonts w:hint="default" w:ascii="Times New Roman" w:hAnsi="Times New Roman" w:eastAsia="宋体" w:cs="Times New Roman"/>
                <w:color w:val="auto"/>
                <w:highlight w:val="none"/>
                <w:lang w:val="en-US" w:eastAsia="zh-CN"/>
              </w:rPr>
            </w:pPr>
            <w:r>
              <w:rPr>
                <w:rFonts w:hint="default" w:ascii="Times New Roman" w:hAnsi="Times New Roman" w:cs="Times New Roman"/>
                <w:color w:val="auto"/>
                <w:highlight w:val="none"/>
                <w:lang w:val="en-US" w:eastAsia="zh-CN"/>
              </w:rPr>
              <w:t>将切割好的原材料按照规格的要求进行打孔</w:t>
            </w:r>
            <w:r>
              <w:rPr>
                <w:rFonts w:hint="eastAsia" w:ascii="Times New Roman" w:hAnsi="Times New Roman" w:cs="Times New Roman"/>
                <w:color w:val="auto"/>
                <w:highlight w:val="none"/>
                <w:lang w:val="en-US" w:eastAsia="zh-CN"/>
              </w:rPr>
              <w:t>，打孔过程中乳化液、润滑油会飞溅到原材料上，使用抹布进行擦拭</w:t>
            </w:r>
            <w:r>
              <w:rPr>
                <w:rFonts w:hint="default" w:ascii="Times New Roman" w:hAnsi="Times New Roman" w:cs="Times New Roman"/>
                <w:color w:val="auto"/>
                <w:highlight w:val="none"/>
                <w:lang w:val="en-US" w:eastAsia="zh-CN"/>
              </w:rPr>
              <w:t>。</w:t>
            </w:r>
            <w:r>
              <w:rPr>
                <w:rFonts w:hint="eastAsia" w:ascii="Times New Roman" w:hAnsi="Times New Roman" w:cs="Times New Roman"/>
                <w:color w:val="auto"/>
                <w:highlight w:val="none"/>
                <w:lang w:val="en-US" w:eastAsia="zh-CN"/>
              </w:rPr>
              <w:t>本项目钻孔过程中金属屑可能沾染乳化液，本项目设置过滤系统，将含乳化液的金属屑收集后放到过滤系统中，乳化液由下方收集口进入回收桶中循环使用，金属屑外售。</w:t>
            </w:r>
          </w:p>
          <w:p>
            <w:pPr>
              <w:pStyle w:val="50"/>
              <w:bidi w:val="0"/>
              <w:rPr>
                <w:rFonts w:hint="default" w:ascii="Times New Roman" w:hAnsi="Times New Roman" w:eastAsia="宋体" w:cs="Times New Roman"/>
                <w:b/>
                <w:bCs/>
                <w:color w:val="auto"/>
                <w:highlight w:val="none"/>
                <w:lang w:val="en-US" w:eastAsia="zh-CN"/>
              </w:rPr>
            </w:pPr>
            <w:r>
              <w:rPr>
                <w:rFonts w:hint="default" w:ascii="Times New Roman" w:hAnsi="Times New Roman" w:cs="Times New Roman"/>
                <w:b/>
                <w:bCs/>
                <w:color w:val="auto"/>
                <w:highlight w:val="none"/>
                <w:lang w:val="en-US" w:eastAsia="zh-CN"/>
              </w:rPr>
              <w:t>本工序污染物主要为设备产生的噪声、金属屑、</w:t>
            </w:r>
            <w:r>
              <w:rPr>
                <w:rFonts w:hint="eastAsia" w:ascii="Times New Roman" w:hAnsi="Times New Roman" w:cs="Times New Roman"/>
                <w:b/>
                <w:bCs/>
                <w:color w:val="auto"/>
                <w:highlight w:val="none"/>
                <w:lang w:val="en-US" w:eastAsia="zh-CN"/>
              </w:rPr>
              <w:t>废抹布</w:t>
            </w:r>
            <w:r>
              <w:rPr>
                <w:rFonts w:hint="default" w:ascii="Times New Roman" w:hAnsi="Times New Roman" w:cs="Times New Roman"/>
                <w:b/>
                <w:bCs/>
                <w:color w:val="auto"/>
                <w:highlight w:val="none"/>
                <w:lang w:val="en-US" w:eastAsia="zh-CN"/>
              </w:rPr>
              <w:t>。</w:t>
            </w:r>
          </w:p>
          <w:p>
            <w:pPr>
              <w:pStyle w:val="50"/>
              <w:bidi w:val="0"/>
              <w:rPr>
                <w:rFonts w:hint="default" w:ascii="Times New Roman" w:hAnsi="Times New Roman" w:eastAsia="宋体" w:cs="Times New Roman"/>
                <w:color w:val="auto"/>
                <w:highlight w:val="none"/>
                <w:lang w:val="en-US" w:eastAsia="zh-CN"/>
              </w:rPr>
            </w:pPr>
            <w:r>
              <w:rPr>
                <w:rFonts w:hint="default" w:ascii="Times New Roman" w:hAnsi="Times New Roman" w:cs="Times New Roman"/>
                <w:color w:val="auto"/>
                <w:highlight w:val="none"/>
                <w:lang w:eastAsia="zh-CN"/>
              </w:rPr>
              <w:t>（</w:t>
            </w:r>
            <w:r>
              <w:rPr>
                <w:rFonts w:hint="default" w:ascii="Times New Roman" w:hAnsi="Times New Roman" w:cs="Times New Roman"/>
                <w:color w:val="auto"/>
                <w:highlight w:val="none"/>
                <w:lang w:val="en-US" w:eastAsia="zh-CN"/>
              </w:rPr>
              <w:t>3</w:t>
            </w:r>
            <w:r>
              <w:rPr>
                <w:rFonts w:hint="default" w:ascii="Times New Roman" w:hAnsi="Times New Roman" w:cs="Times New Roman"/>
                <w:color w:val="auto"/>
                <w:highlight w:val="none"/>
                <w:lang w:eastAsia="zh-CN"/>
              </w:rPr>
              <w:t>）</w:t>
            </w:r>
            <w:r>
              <w:rPr>
                <w:rFonts w:hint="default" w:ascii="Times New Roman" w:hAnsi="Times New Roman" w:cs="Times New Roman"/>
                <w:color w:val="auto"/>
                <w:highlight w:val="none"/>
                <w:lang w:val="en-US" w:eastAsia="zh-CN"/>
              </w:rPr>
              <w:t>焊接</w:t>
            </w:r>
          </w:p>
          <w:p>
            <w:pPr>
              <w:pStyle w:val="50"/>
              <w:bidi w:val="0"/>
              <w:rPr>
                <w:rFonts w:hint="default" w:ascii="Times New Roman" w:hAnsi="Times New Roman" w:eastAsia="宋体" w:cs="Times New Roman"/>
                <w:color w:val="auto"/>
                <w:highlight w:val="none"/>
                <w:lang w:val="en-US" w:eastAsia="zh-CN"/>
              </w:rPr>
            </w:pPr>
            <w:r>
              <w:rPr>
                <w:rFonts w:hint="default" w:ascii="Times New Roman" w:hAnsi="Times New Roman" w:cs="Times New Roman"/>
                <w:color w:val="auto"/>
                <w:highlight w:val="none"/>
                <w:lang w:val="en-US" w:eastAsia="zh-CN"/>
              </w:rPr>
              <w:t>将钻孔完成后的原料按照规格进行焊接，形成产品的基本框架。</w:t>
            </w:r>
          </w:p>
          <w:p>
            <w:pPr>
              <w:pStyle w:val="50"/>
              <w:bidi w:val="0"/>
              <w:rPr>
                <w:rFonts w:hint="default" w:ascii="Times New Roman" w:hAnsi="Times New Roman" w:eastAsia="宋体" w:cs="Times New Roman"/>
                <w:b/>
                <w:bCs/>
                <w:color w:val="auto"/>
                <w:highlight w:val="none"/>
                <w:lang w:val="en-US" w:eastAsia="zh-CN"/>
              </w:rPr>
            </w:pPr>
            <w:r>
              <w:rPr>
                <w:rFonts w:hint="default" w:ascii="Times New Roman" w:hAnsi="Times New Roman" w:cs="Times New Roman"/>
                <w:b/>
                <w:bCs/>
                <w:color w:val="auto"/>
                <w:highlight w:val="none"/>
                <w:lang w:val="en-US" w:eastAsia="zh-CN"/>
              </w:rPr>
              <w:t>本工序污染物主要为焊接噪声、焊接产生的废气以及废焊头。</w:t>
            </w:r>
          </w:p>
          <w:p>
            <w:pPr>
              <w:pStyle w:val="50"/>
              <w:bidi w:val="0"/>
              <w:rPr>
                <w:rFonts w:hint="default" w:ascii="Times New Roman" w:hAnsi="Times New Roman" w:eastAsia="宋体" w:cs="Times New Roman"/>
                <w:color w:val="auto"/>
                <w:highlight w:val="none"/>
                <w:lang w:val="en-US" w:eastAsia="zh-CN"/>
              </w:rPr>
            </w:pPr>
            <w:r>
              <w:rPr>
                <w:rFonts w:hint="default" w:ascii="Times New Roman" w:hAnsi="Times New Roman" w:cs="Times New Roman"/>
                <w:color w:val="auto"/>
                <w:highlight w:val="none"/>
                <w:lang w:eastAsia="zh-CN"/>
              </w:rPr>
              <w:t>（</w:t>
            </w:r>
            <w:r>
              <w:rPr>
                <w:rFonts w:hint="default" w:ascii="Times New Roman" w:hAnsi="Times New Roman" w:cs="Times New Roman"/>
                <w:color w:val="auto"/>
                <w:highlight w:val="none"/>
                <w:lang w:val="en-US" w:eastAsia="zh-CN"/>
              </w:rPr>
              <w:t>4</w:t>
            </w:r>
            <w:r>
              <w:rPr>
                <w:rFonts w:hint="default" w:ascii="Times New Roman" w:hAnsi="Times New Roman" w:cs="Times New Roman"/>
                <w:color w:val="auto"/>
                <w:highlight w:val="none"/>
                <w:lang w:eastAsia="zh-CN"/>
              </w:rPr>
              <w:t>）</w:t>
            </w:r>
            <w:r>
              <w:rPr>
                <w:rFonts w:hint="default" w:ascii="Times New Roman" w:hAnsi="Times New Roman" w:cs="Times New Roman"/>
                <w:color w:val="auto"/>
                <w:highlight w:val="none"/>
                <w:lang w:val="en-US" w:eastAsia="zh-CN"/>
              </w:rPr>
              <w:t>喷漆</w:t>
            </w:r>
          </w:p>
          <w:p>
            <w:pPr>
              <w:pStyle w:val="50"/>
              <w:bidi w:val="0"/>
              <w:rPr>
                <w:rFonts w:hint="default" w:ascii="Times New Roman" w:hAnsi="Times New Roman" w:cs="Times New Roman"/>
                <w:color w:val="auto"/>
                <w:highlight w:val="none"/>
                <w:lang w:val="en-US" w:eastAsia="zh-CN"/>
              </w:rPr>
            </w:pPr>
            <w:r>
              <w:rPr>
                <w:rFonts w:hint="default" w:ascii="Times New Roman" w:hAnsi="Times New Roman" w:eastAsia="宋体" w:cs="Times New Roman"/>
                <w:b w:val="0"/>
                <w:bCs/>
                <w:color w:val="auto"/>
                <w:kern w:val="2"/>
                <w:sz w:val="24"/>
                <w:szCs w:val="21"/>
                <w:highlight w:val="none"/>
                <w:lang w:val="en-US" w:eastAsia="zh-CN" w:bidi="ar-SA"/>
              </w:rPr>
              <w:t>调漆：在密闭喷漆房内手工调漆，调漆</w:t>
            </w:r>
            <w:r>
              <w:rPr>
                <w:rFonts w:hint="default" w:ascii="Times New Roman" w:hAnsi="Times New Roman" w:cs="Times New Roman"/>
                <w:b w:val="0"/>
                <w:bCs/>
                <w:color w:val="auto"/>
                <w:kern w:val="2"/>
                <w:sz w:val="24"/>
                <w:szCs w:val="21"/>
                <w:highlight w:val="none"/>
                <w:lang w:val="en-US" w:eastAsia="zh-CN" w:bidi="ar-SA"/>
              </w:rPr>
              <w:t>工序仅为</w:t>
            </w:r>
            <w:r>
              <w:rPr>
                <w:rFonts w:hint="eastAsia" w:ascii="Times New Roman" w:hAnsi="Times New Roman" w:cs="Times New Roman"/>
                <w:b w:val="0"/>
                <w:bCs/>
                <w:color w:val="auto"/>
                <w:kern w:val="2"/>
                <w:sz w:val="24"/>
                <w:szCs w:val="21"/>
                <w:highlight w:val="none"/>
                <w:lang w:val="en-US" w:eastAsia="zh-CN" w:bidi="ar-SA"/>
              </w:rPr>
              <w:t>高固份油漆</w:t>
            </w:r>
            <w:r>
              <w:rPr>
                <w:rFonts w:hint="default" w:ascii="Times New Roman" w:hAnsi="Times New Roman" w:eastAsia="宋体" w:cs="Times New Roman"/>
                <w:b w:val="0"/>
                <w:bCs/>
                <w:color w:val="auto"/>
                <w:kern w:val="2"/>
                <w:sz w:val="24"/>
                <w:szCs w:val="21"/>
                <w:highlight w:val="none"/>
                <w:lang w:val="en-US" w:eastAsia="zh-CN" w:bidi="ar-SA"/>
              </w:rPr>
              <w:t>及稀释剂进行混合。调漆时间</w:t>
            </w:r>
            <w:r>
              <w:rPr>
                <w:rFonts w:hint="eastAsia" w:ascii="Times New Roman" w:hAnsi="Times New Roman" w:cs="Times New Roman"/>
                <w:b w:val="0"/>
                <w:bCs/>
                <w:color w:val="auto"/>
                <w:kern w:val="2"/>
                <w:sz w:val="24"/>
                <w:szCs w:val="21"/>
                <w:highlight w:val="none"/>
                <w:lang w:val="en-US" w:eastAsia="zh-CN" w:bidi="ar-SA"/>
              </w:rPr>
              <w:t>按照</w:t>
            </w:r>
            <w:r>
              <w:rPr>
                <w:rFonts w:hint="default" w:ascii="Times New Roman" w:hAnsi="Times New Roman" w:eastAsia="宋体" w:cs="Times New Roman"/>
                <w:b w:val="0"/>
                <w:bCs/>
                <w:color w:val="auto"/>
                <w:kern w:val="2"/>
                <w:sz w:val="24"/>
                <w:szCs w:val="21"/>
                <w:highlight w:val="none"/>
                <w:lang w:val="en-US" w:eastAsia="zh-CN" w:bidi="ar-SA"/>
              </w:rPr>
              <w:t>每天</w:t>
            </w:r>
            <w:r>
              <w:rPr>
                <w:rFonts w:hint="eastAsia" w:ascii="Times New Roman" w:hAnsi="Times New Roman" w:cs="Times New Roman"/>
                <w:b w:val="0"/>
                <w:bCs/>
                <w:color w:val="auto"/>
                <w:kern w:val="2"/>
                <w:sz w:val="24"/>
                <w:szCs w:val="21"/>
                <w:highlight w:val="none"/>
                <w:lang w:val="en-US" w:eastAsia="zh-CN" w:bidi="ar-SA"/>
              </w:rPr>
              <w:t>10</w:t>
            </w:r>
            <w:r>
              <w:rPr>
                <w:rFonts w:hint="default" w:ascii="Times New Roman" w:hAnsi="Times New Roman" w:eastAsia="宋体" w:cs="Times New Roman"/>
                <w:b w:val="0"/>
                <w:bCs/>
                <w:color w:val="auto"/>
                <w:kern w:val="2"/>
                <w:sz w:val="24"/>
                <w:szCs w:val="21"/>
                <w:highlight w:val="none"/>
                <w:lang w:val="en-US" w:eastAsia="zh-CN" w:bidi="ar-SA"/>
              </w:rPr>
              <w:t>min</w:t>
            </w:r>
            <w:r>
              <w:rPr>
                <w:rFonts w:hint="eastAsia" w:ascii="Times New Roman" w:hAnsi="Times New Roman" w:cs="Times New Roman"/>
                <w:b w:val="0"/>
                <w:bCs/>
                <w:color w:val="auto"/>
                <w:kern w:val="2"/>
                <w:sz w:val="24"/>
                <w:szCs w:val="21"/>
                <w:highlight w:val="none"/>
                <w:lang w:val="en-US" w:eastAsia="zh-CN" w:bidi="ar-SA"/>
              </w:rPr>
              <w:t>进行计算</w:t>
            </w:r>
            <w:r>
              <w:rPr>
                <w:rFonts w:hint="default" w:ascii="Times New Roman" w:hAnsi="Times New Roman" w:eastAsia="宋体" w:cs="Times New Roman"/>
                <w:b w:val="0"/>
                <w:bCs/>
                <w:color w:val="auto"/>
                <w:kern w:val="2"/>
                <w:sz w:val="24"/>
                <w:szCs w:val="21"/>
                <w:highlight w:val="none"/>
                <w:lang w:val="en-US" w:eastAsia="zh-CN" w:bidi="ar-SA"/>
              </w:rPr>
              <w:t>。</w:t>
            </w:r>
          </w:p>
          <w:p>
            <w:pPr>
              <w:pStyle w:val="50"/>
              <w:bidi w:val="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喷漆：在微负压密闭的喷漆房内进行，人工使用喷枪对基本框架及元件进行喷漆，</w:t>
            </w:r>
            <w:r>
              <w:rPr>
                <w:rFonts w:hint="default" w:ascii="Times New Roman" w:hAnsi="Times New Roman" w:eastAsia="宋体" w:cs="Times New Roman"/>
                <w:b w:val="0"/>
                <w:bCs/>
                <w:color w:val="auto"/>
                <w:kern w:val="2"/>
                <w:sz w:val="24"/>
                <w:szCs w:val="21"/>
                <w:highlight w:val="none"/>
                <w:lang w:val="en-US" w:eastAsia="zh-CN" w:bidi="ar-SA"/>
              </w:rPr>
              <w:t>喷漆时间每天最多</w:t>
            </w:r>
            <w:r>
              <w:rPr>
                <w:rFonts w:hint="eastAsia" w:ascii="Times New Roman" w:hAnsi="Times New Roman" w:cs="Times New Roman"/>
                <w:b w:val="0"/>
                <w:bCs/>
                <w:color w:val="auto"/>
                <w:kern w:val="2"/>
                <w:sz w:val="24"/>
                <w:szCs w:val="21"/>
                <w:highlight w:val="none"/>
                <w:lang w:val="en-US" w:eastAsia="zh-CN" w:bidi="ar-SA"/>
              </w:rPr>
              <w:t>1</w:t>
            </w:r>
            <w:r>
              <w:rPr>
                <w:rFonts w:hint="default" w:ascii="Times New Roman" w:hAnsi="Times New Roman" w:eastAsia="宋体" w:cs="Times New Roman"/>
                <w:b w:val="0"/>
                <w:bCs/>
                <w:color w:val="auto"/>
                <w:kern w:val="2"/>
                <w:sz w:val="24"/>
                <w:szCs w:val="21"/>
                <w:highlight w:val="none"/>
                <w:lang w:val="en-US" w:eastAsia="zh-CN" w:bidi="ar-SA"/>
              </w:rPr>
              <w:t>h，产生的漆渣、废漆桶暂存于危废间内，定期交由有资质单位进行处置。</w:t>
            </w:r>
          </w:p>
          <w:p>
            <w:pPr>
              <w:adjustRightInd w:val="0"/>
              <w:snapToGrid w:val="0"/>
              <w:spacing w:line="360" w:lineRule="auto"/>
              <w:ind w:firstLine="480"/>
              <w:rPr>
                <w:rFonts w:hint="default" w:ascii="Times New Roman" w:hAnsi="Times New Roman" w:eastAsia="宋体" w:cs="Times New Roman"/>
                <w:b w:val="0"/>
                <w:bCs/>
                <w:color w:val="auto"/>
                <w:kern w:val="2"/>
                <w:sz w:val="24"/>
                <w:szCs w:val="21"/>
                <w:highlight w:val="none"/>
                <w:lang w:val="en-US" w:eastAsia="zh-CN" w:bidi="ar-SA"/>
              </w:rPr>
            </w:pPr>
            <w:r>
              <w:rPr>
                <w:rFonts w:hint="default" w:ascii="Times New Roman" w:hAnsi="Times New Roman" w:eastAsia="宋体" w:cs="Times New Roman"/>
                <w:b w:val="0"/>
                <w:bCs/>
                <w:color w:val="auto"/>
                <w:kern w:val="2"/>
                <w:sz w:val="24"/>
                <w:szCs w:val="21"/>
                <w:highlight w:val="none"/>
                <w:lang w:val="en-US" w:eastAsia="zh-CN" w:bidi="ar-SA"/>
              </w:rPr>
              <w:t>晾干：喷漆结束后在喷漆房内晾干，</w:t>
            </w:r>
            <w:r>
              <w:rPr>
                <w:rFonts w:hint="default" w:ascii="Times New Roman" w:hAnsi="Times New Roman" w:cs="Times New Roman"/>
                <w:b w:val="0"/>
                <w:bCs/>
                <w:color w:val="auto"/>
                <w:kern w:val="2"/>
                <w:sz w:val="24"/>
                <w:szCs w:val="21"/>
                <w:highlight w:val="none"/>
                <w:lang w:val="en-US" w:eastAsia="zh-CN" w:bidi="ar-SA"/>
              </w:rPr>
              <w:t>为自然晾干，不涉及加热，</w:t>
            </w:r>
            <w:r>
              <w:rPr>
                <w:rFonts w:hint="default" w:ascii="Times New Roman" w:hAnsi="Times New Roman" w:eastAsia="宋体" w:cs="Times New Roman"/>
                <w:b w:val="0"/>
                <w:bCs/>
                <w:color w:val="auto"/>
                <w:kern w:val="2"/>
                <w:sz w:val="24"/>
                <w:szCs w:val="21"/>
                <w:highlight w:val="none"/>
                <w:lang w:val="en-US" w:eastAsia="zh-CN" w:bidi="ar-SA"/>
              </w:rPr>
              <w:t>晾干时间为每天</w:t>
            </w:r>
            <w:r>
              <w:rPr>
                <w:rFonts w:hint="eastAsia" w:cs="Times New Roman"/>
                <w:b w:val="0"/>
                <w:bCs/>
                <w:color w:val="auto"/>
                <w:kern w:val="2"/>
                <w:sz w:val="24"/>
                <w:szCs w:val="21"/>
                <w:highlight w:val="none"/>
                <w:lang w:val="en-US" w:eastAsia="zh-CN" w:bidi="ar-SA"/>
              </w:rPr>
              <w:t>2</w:t>
            </w:r>
            <w:r>
              <w:rPr>
                <w:rFonts w:hint="default" w:ascii="Times New Roman" w:hAnsi="Times New Roman" w:eastAsia="宋体" w:cs="Times New Roman"/>
                <w:b w:val="0"/>
                <w:bCs/>
                <w:color w:val="auto"/>
                <w:kern w:val="2"/>
                <w:sz w:val="24"/>
                <w:szCs w:val="21"/>
                <w:highlight w:val="none"/>
                <w:lang w:val="en-US" w:eastAsia="zh-CN" w:bidi="ar-SA"/>
              </w:rPr>
              <w:t>h</w:t>
            </w:r>
            <w:r>
              <w:rPr>
                <w:rFonts w:hint="eastAsia" w:cs="Times New Roman"/>
                <w:b w:val="0"/>
                <w:bCs/>
                <w:color w:val="auto"/>
                <w:kern w:val="2"/>
                <w:sz w:val="24"/>
                <w:szCs w:val="21"/>
                <w:highlight w:val="none"/>
                <w:lang w:val="en-US" w:eastAsia="zh-CN" w:bidi="ar-SA"/>
              </w:rPr>
              <w:t>50min</w:t>
            </w:r>
            <w:r>
              <w:rPr>
                <w:rFonts w:hint="default" w:ascii="Times New Roman" w:hAnsi="Times New Roman" w:eastAsia="宋体" w:cs="Times New Roman"/>
                <w:b w:val="0"/>
                <w:bCs/>
                <w:color w:val="auto"/>
                <w:kern w:val="2"/>
                <w:sz w:val="24"/>
                <w:szCs w:val="21"/>
                <w:highlight w:val="none"/>
                <w:lang w:val="en-US" w:eastAsia="zh-CN" w:bidi="ar-SA"/>
              </w:rPr>
              <w:t>。</w:t>
            </w:r>
          </w:p>
          <w:p>
            <w:pPr>
              <w:adjustRightInd w:val="0"/>
              <w:snapToGrid w:val="0"/>
              <w:spacing w:line="360" w:lineRule="auto"/>
              <w:ind w:firstLine="480"/>
              <w:rPr>
                <w:rFonts w:hint="default" w:ascii="Times New Roman" w:hAnsi="Times New Roman" w:eastAsia="宋体" w:cs="Times New Roman"/>
                <w:b w:val="0"/>
                <w:bCs/>
                <w:color w:val="auto"/>
                <w:kern w:val="2"/>
                <w:sz w:val="24"/>
                <w:szCs w:val="21"/>
                <w:highlight w:val="none"/>
                <w:lang w:val="en-US" w:eastAsia="zh-CN" w:bidi="ar-SA"/>
              </w:rPr>
            </w:pPr>
            <w:r>
              <w:rPr>
                <w:rFonts w:hint="default" w:ascii="Times New Roman" w:hAnsi="Times New Roman" w:cs="Times New Roman"/>
                <w:b w:val="0"/>
                <w:bCs/>
                <w:color w:val="auto"/>
                <w:kern w:val="2"/>
                <w:sz w:val="24"/>
                <w:szCs w:val="21"/>
                <w:highlight w:val="none"/>
                <w:lang w:val="en-US" w:eastAsia="zh-CN" w:bidi="ar-SA"/>
              </w:rPr>
              <w:t>本项目喷漆房为微负压密封设计，喷漆房内产生的废气经下方风口进入</w:t>
            </w:r>
            <w:r>
              <w:rPr>
                <w:rFonts w:hint="default" w:ascii="Times New Roman" w:hAnsi="Times New Roman" w:eastAsia="宋体" w:cs="Times New Roman"/>
                <w:b w:val="0"/>
                <w:bCs/>
                <w:color w:val="auto"/>
                <w:kern w:val="2"/>
                <w:sz w:val="24"/>
                <w:szCs w:val="21"/>
                <w:highlight w:val="none"/>
                <w:lang w:val="en-US" w:eastAsia="zh-CN" w:bidi="ar-SA"/>
              </w:rPr>
              <w:t>干式过滤器</w:t>
            </w:r>
            <w:r>
              <w:rPr>
                <w:rFonts w:hint="default" w:ascii="Times New Roman" w:hAnsi="Times New Roman" w:cs="Times New Roman"/>
                <w:b w:val="0"/>
                <w:bCs/>
                <w:color w:val="auto"/>
                <w:kern w:val="2"/>
                <w:sz w:val="24"/>
                <w:szCs w:val="21"/>
                <w:highlight w:val="none"/>
                <w:lang w:val="en-US" w:eastAsia="zh-CN" w:bidi="ar-SA"/>
              </w:rPr>
              <w:t>+</w:t>
            </w:r>
            <w:r>
              <w:rPr>
                <w:rFonts w:hint="default" w:ascii="Times New Roman" w:hAnsi="Times New Roman" w:eastAsia="宋体" w:cs="Times New Roman"/>
                <w:b w:val="0"/>
                <w:bCs/>
                <w:color w:val="auto"/>
                <w:kern w:val="2"/>
                <w:sz w:val="24"/>
                <w:szCs w:val="21"/>
                <w:highlight w:val="none"/>
                <w:lang w:val="en-US" w:eastAsia="zh-CN" w:bidi="ar-SA"/>
              </w:rPr>
              <w:t>二级活性炭</w:t>
            </w:r>
            <w:r>
              <w:rPr>
                <w:rFonts w:hint="default" w:ascii="Times New Roman" w:hAnsi="Times New Roman" w:cs="Times New Roman"/>
                <w:b w:val="0"/>
                <w:bCs/>
                <w:color w:val="auto"/>
                <w:kern w:val="2"/>
                <w:sz w:val="24"/>
                <w:szCs w:val="21"/>
                <w:highlight w:val="none"/>
                <w:lang w:val="en-US" w:eastAsia="zh-CN" w:bidi="ar-SA"/>
              </w:rPr>
              <w:t>治理后</w:t>
            </w:r>
            <w:r>
              <w:rPr>
                <w:rFonts w:hint="default" w:ascii="Times New Roman" w:hAnsi="Times New Roman" w:eastAsia="宋体" w:cs="Times New Roman"/>
                <w:b w:val="0"/>
                <w:bCs/>
                <w:color w:val="auto"/>
                <w:kern w:val="2"/>
                <w:sz w:val="24"/>
                <w:szCs w:val="21"/>
                <w:highlight w:val="none"/>
                <w:lang w:val="en-US" w:eastAsia="zh-CN" w:bidi="ar-SA"/>
              </w:rPr>
              <w:t>由1根15m高排气筒排放。</w:t>
            </w:r>
          </w:p>
          <w:p>
            <w:pPr>
              <w:pStyle w:val="50"/>
              <w:bidi w:val="0"/>
              <w:rPr>
                <w:rFonts w:hint="default" w:ascii="Times New Roman" w:hAnsi="Times New Roman" w:eastAsia="宋体" w:cs="Times New Roman"/>
                <w:b/>
                <w:bCs/>
                <w:color w:val="auto"/>
                <w:highlight w:val="none"/>
                <w:lang w:val="en-US" w:eastAsia="zh-CN"/>
              </w:rPr>
            </w:pPr>
            <w:r>
              <w:rPr>
                <w:rFonts w:hint="default" w:ascii="Times New Roman" w:hAnsi="Times New Roman" w:cs="Times New Roman"/>
                <w:b/>
                <w:bCs/>
                <w:color w:val="auto"/>
                <w:highlight w:val="none"/>
                <w:lang w:val="en-US" w:eastAsia="zh-CN"/>
              </w:rPr>
              <w:t>本工序污染物主要为喷漆废气、噪声以及废漆桶、漆渣、稀释剂桶、废气治理设施产生的固体废物。</w:t>
            </w:r>
          </w:p>
          <w:p>
            <w:pPr>
              <w:pStyle w:val="50"/>
              <w:bidi w:val="0"/>
              <w:rPr>
                <w:rFonts w:hint="default" w:ascii="Times New Roman" w:hAnsi="Times New Roman" w:eastAsia="宋体" w:cs="Times New Roman"/>
                <w:color w:val="auto"/>
                <w:highlight w:val="none"/>
                <w:lang w:val="en-US" w:eastAsia="zh-CN"/>
              </w:rPr>
            </w:pPr>
            <w:r>
              <w:rPr>
                <w:rFonts w:hint="default" w:ascii="Times New Roman" w:hAnsi="Times New Roman" w:cs="Times New Roman"/>
                <w:color w:val="auto"/>
                <w:highlight w:val="none"/>
                <w:lang w:eastAsia="zh-CN"/>
              </w:rPr>
              <w:t>（</w:t>
            </w:r>
            <w:r>
              <w:rPr>
                <w:rFonts w:hint="default" w:ascii="Times New Roman" w:hAnsi="Times New Roman" w:cs="Times New Roman"/>
                <w:color w:val="auto"/>
                <w:highlight w:val="none"/>
                <w:lang w:val="en-US" w:eastAsia="zh-CN"/>
              </w:rPr>
              <w:t>5</w:t>
            </w:r>
            <w:r>
              <w:rPr>
                <w:rFonts w:hint="default" w:ascii="Times New Roman" w:hAnsi="Times New Roman" w:cs="Times New Roman"/>
                <w:color w:val="auto"/>
                <w:highlight w:val="none"/>
                <w:lang w:eastAsia="zh-CN"/>
              </w:rPr>
              <w:t>）</w:t>
            </w:r>
            <w:r>
              <w:rPr>
                <w:rFonts w:hint="default" w:ascii="Times New Roman" w:hAnsi="Times New Roman" w:cs="Times New Roman"/>
                <w:color w:val="auto"/>
                <w:highlight w:val="none"/>
                <w:lang w:val="en-US" w:eastAsia="zh-CN"/>
              </w:rPr>
              <w:t>组装</w:t>
            </w:r>
          </w:p>
          <w:p>
            <w:pPr>
              <w:pStyle w:val="50"/>
              <w:bidi w:val="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将喷漆完成后的基本框架和直接外购的标准件、电器件进行组装后，即为成品。本项目排污节点详见下表详。</w:t>
            </w:r>
          </w:p>
          <w:p>
            <w:pPr>
              <w:pStyle w:val="50"/>
              <w:keepNext w:val="0"/>
              <w:keepLines w:val="0"/>
              <w:pageBreakBefore w:val="0"/>
              <w:widowControl w:val="0"/>
              <w:kinsoku/>
              <w:wordWrap/>
              <w:overflowPunct/>
              <w:topLinePunct w:val="0"/>
              <w:autoSpaceDE/>
              <w:autoSpaceDN/>
              <w:bidi w:val="0"/>
              <w:adjustRightInd w:val="0"/>
              <w:snapToGrid/>
              <w:spacing w:line="240" w:lineRule="auto"/>
              <w:ind w:left="0" w:leftChars="0" w:firstLine="0" w:firstLineChars="0"/>
              <w:jc w:val="center"/>
              <w:textAlignment w:val="auto"/>
              <w:rPr>
                <w:rFonts w:hint="default" w:ascii="Times New Roman" w:hAnsi="Times New Roman" w:cs="Times New Roman"/>
                <w:b/>
                <w:bCs/>
                <w:color w:val="auto"/>
                <w:sz w:val="24"/>
                <w:szCs w:val="24"/>
                <w:highlight w:val="none"/>
                <w:lang w:val="en-US" w:eastAsia="zh-CN"/>
              </w:rPr>
            </w:pPr>
            <w:r>
              <w:rPr>
                <w:rFonts w:hint="eastAsia" w:ascii="Times New Roman" w:hAnsi="Times New Roman" w:cs="Times New Roman"/>
                <w:b/>
                <w:bCs/>
                <w:color w:val="auto"/>
                <w:sz w:val="24"/>
                <w:szCs w:val="24"/>
                <w:highlight w:val="none"/>
                <w:lang w:val="en-US" w:eastAsia="zh-CN"/>
              </w:rPr>
              <w:t>表2-12   技改项目排污节点一览表</w:t>
            </w:r>
          </w:p>
          <w:tbl>
            <w:tblPr>
              <w:tblStyle w:val="32"/>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10"/>
              <w:gridCol w:w="601"/>
              <w:gridCol w:w="1132"/>
              <w:gridCol w:w="2099"/>
              <w:gridCol w:w="411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45"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Times New Roman" w:hAnsi="Times New Roman"/>
                      <w:color w:val="auto"/>
                      <w:sz w:val="21"/>
                      <w:szCs w:val="21"/>
                      <w:highlight w:val="none"/>
                    </w:rPr>
                  </w:pPr>
                  <w:r>
                    <w:rPr>
                      <w:rFonts w:ascii="Times New Roman" w:hAnsi="Times New Roman"/>
                      <w:color w:val="auto"/>
                      <w:sz w:val="21"/>
                      <w:szCs w:val="21"/>
                      <w:highlight w:val="none"/>
                    </w:rPr>
                    <w:t>类别</w:t>
                  </w:r>
                </w:p>
              </w:tc>
              <w:tc>
                <w:tcPr>
                  <w:tcW w:w="1036" w:type="pct"/>
                  <w:gridSpan w:val="2"/>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olor w:val="auto"/>
                      <w:sz w:val="21"/>
                      <w:szCs w:val="21"/>
                      <w:highlight w:val="none"/>
                      <w:lang w:val="en-US" w:eastAsia="zh-CN"/>
                    </w:rPr>
                  </w:pPr>
                  <w:r>
                    <w:rPr>
                      <w:rFonts w:hint="eastAsia" w:ascii="Times New Roman" w:hAnsi="Times New Roman"/>
                      <w:color w:val="auto"/>
                      <w:sz w:val="21"/>
                      <w:szCs w:val="21"/>
                      <w:highlight w:val="none"/>
                      <w:lang w:val="en-US" w:eastAsia="zh-CN"/>
                    </w:rPr>
                    <w:t>工序</w:t>
                  </w:r>
                </w:p>
              </w:tc>
              <w:tc>
                <w:tcPr>
                  <w:tcW w:w="1255"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Times New Roman" w:hAnsi="Times New Roman"/>
                      <w:color w:val="auto"/>
                      <w:sz w:val="21"/>
                      <w:szCs w:val="21"/>
                      <w:highlight w:val="none"/>
                    </w:rPr>
                  </w:pPr>
                  <w:r>
                    <w:rPr>
                      <w:rFonts w:ascii="Times New Roman" w:hAnsi="Times New Roman"/>
                      <w:color w:val="auto"/>
                      <w:sz w:val="21"/>
                      <w:szCs w:val="21"/>
                      <w:highlight w:val="none"/>
                    </w:rPr>
                    <w:t>污染物</w:t>
                  </w:r>
                </w:p>
              </w:tc>
              <w:tc>
                <w:tcPr>
                  <w:tcW w:w="2462"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Times New Roman" w:hAnsi="Times New Roman"/>
                      <w:color w:val="auto"/>
                      <w:sz w:val="21"/>
                      <w:szCs w:val="21"/>
                      <w:highlight w:val="none"/>
                    </w:rPr>
                  </w:pPr>
                  <w:r>
                    <w:rPr>
                      <w:rFonts w:ascii="Times New Roman" w:hAnsi="Times New Roman"/>
                      <w:color w:val="auto"/>
                      <w:sz w:val="21"/>
                      <w:szCs w:val="21"/>
                      <w:highlight w:val="none"/>
                    </w:rPr>
                    <w:t>治理措施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 w:hRule="atLeast"/>
                <w:jc w:val="center"/>
              </w:trPr>
              <w:tc>
                <w:tcPr>
                  <w:tcW w:w="245" w:type="pct"/>
                  <w:vMerge w:val="restar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olor w:val="auto"/>
                      <w:sz w:val="21"/>
                      <w:szCs w:val="21"/>
                      <w:highlight w:val="none"/>
                    </w:rPr>
                  </w:pPr>
                  <w:r>
                    <w:rPr>
                      <w:rFonts w:hint="eastAsia" w:ascii="Times New Roman" w:hAnsi="Times New Roman"/>
                      <w:color w:val="auto"/>
                      <w:sz w:val="21"/>
                      <w:szCs w:val="21"/>
                      <w:highlight w:val="none"/>
                    </w:rPr>
                    <w:t>废气</w:t>
                  </w:r>
                </w:p>
              </w:tc>
              <w:tc>
                <w:tcPr>
                  <w:tcW w:w="1036" w:type="pct"/>
                  <w:gridSpan w:val="2"/>
                  <w:noWrap w:val="0"/>
                  <w:vAlign w:val="center"/>
                </w:tcPr>
                <w:p>
                  <w:pPr>
                    <w:pStyle w:val="81"/>
                    <w:keepNext w:val="0"/>
                    <w:keepLines w:val="0"/>
                    <w:pageBreakBefore w:val="0"/>
                    <w:widowControl w:val="0"/>
                    <w:kinsoku/>
                    <w:wordWrap/>
                    <w:overflowPunct/>
                    <w:topLinePunct w:val="0"/>
                    <w:autoSpaceDE/>
                    <w:autoSpaceDN/>
                    <w:bidi w:val="0"/>
                    <w:adjustRightInd w:val="0"/>
                    <w:snapToGrid w:val="0"/>
                    <w:spacing w:beforeLines="0" w:afterLines="0" w:line="240" w:lineRule="auto"/>
                    <w:textAlignment w:val="auto"/>
                    <w:rPr>
                      <w:rFonts w:hint="eastAsia" w:ascii="Times New Roman" w:hAnsi="Times New Roman" w:eastAsia="宋体"/>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调漆、晾干</w:t>
                  </w:r>
                </w:p>
              </w:tc>
              <w:tc>
                <w:tcPr>
                  <w:tcW w:w="1255" w:type="pct"/>
                  <w:noWrap w:val="0"/>
                  <w:vAlign w:val="center"/>
                </w:tcPr>
                <w:p>
                  <w:pPr>
                    <w:pStyle w:val="81"/>
                    <w:keepNext w:val="0"/>
                    <w:keepLines w:val="0"/>
                    <w:pageBreakBefore w:val="0"/>
                    <w:widowControl w:val="0"/>
                    <w:kinsoku/>
                    <w:wordWrap/>
                    <w:overflowPunct/>
                    <w:topLinePunct w:val="0"/>
                    <w:autoSpaceDE/>
                    <w:autoSpaceDN/>
                    <w:bidi w:val="0"/>
                    <w:adjustRightInd w:val="0"/>
                    <w:snapToGrid w:val="0"/>
                    <w:spacing w:beforeLines="0" w:afterLines="0" w:line="240" w:lineRule="auto"/>
                    <w:textAlignment w:val="auto"/>
                    <w:rPr>
                      <w:rFonts w:hint="default" w:ascii="Times New Roman" w:hAnsi="Times New Roman" w:eastAsia="宋体"/>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非甲烷总烃</w:t>
                  </w:r>
                </w:p>
              </w:tc>
              <w:tc>
                <w:tcPr>
                  <w:tcW w:w="2462" w:type="pct"/>
                  <w:vMerge w:val="restar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olor w:val="auto"/>
                      <w:sz w:val="21"/>
                      <w:szCs w:val="21"/>
                      <w:highlight w:val="none"/>
                      <w:lang w:val="en-US" w:eastAsia="zh-CN"/>
                    </w:rPr>
                  </w:pPr>
                  <w:r>
                    <w:rPr>
                      <w:rFonts w:hint="eastAsia" w:ascii="Times New Roman" w:hAnsi="Times New Roman"/>
                      <w:color w:val="auto"/>
                      <w:sz w:val="21"/>
                      <w:szCs w:val="21"/>
                      <w:highlight w:val="none"/>
                      <w:lang w:val="en-US" w:eastAsia="zh-CN"/>
                    </w:rPr>
                    <w:t>在</w:t>
                  </w:r>
                  <w:r>
                    <w:rPr>
                      <w:rFonts w:hint="eastAsia"/>
                      <w:color w:val="auto"/>
                      <w:sz w:val="21"/>
                      <w:szCs w:val="21"/>
                      <w:highlight w:val="none"/>
                      <w:lang w:val="en-US" w:eastAsia="zh-CN"/>
                    </w:rPr>
                    <w:t>微负压</w:t>
                  </w:r>
                  <w:r>
                    <w:rPr>
                      <w:rFonts w:hint="eastAsia" w:ascii="Times New Roman" w:hAnsi="Times New Roman"/>
                      <w:color w:val="auto"/>
                      <w:sz w:val="21"/>
                      <w:szCs w:val="21"/>
                      <w:highlight w:val="none"/>
                      <w:lang w:val="en-US" w:eastAsia="zh-CN"/>
                    </w:rPr>
                    <w:t>密闭喷漆房中进行，有机废气经</w:t>
                  </w:r>
                  <w:r>
                    <w:rPr>
                      <w:rFonts w:hint="eastAsia"/>
                      <w:color w:val="auto"/>
                      <w:sz w:val="21"/>
                      <w:szCs w:val="21"/>
                      <w:highlight w:val="none"/>
                      <w:lang w:val="en-US" w:eastAsia="zh-CN"/>
                    </w:rPr>
                    <w:t>干式过滤器+2级活性炭治理后</w:t>
                  </w:r>
                  <w:r>
                    <w:rPr>
                      <w:rFonts w:hint="eastAsia" w:ascii="Times New Roman" w:hAnsi="Times New Roman"/>
                      <w:color w:val="auto"/>
                      <w:sz w:val="21"/>
                      <w:szCs w:val="21"/>
                      <w:highlight w:val="none"/>
                      <w:lang w:val="en-US" w:eastAsia="zh-CN"/>
                    </w:rPr>
                    <w:t>经1根15m高排气筒排放</w:t>
                  </w:r>
                  <w:r>
                    <w:rPr>
                      <w:rFonts w:hint="eastAsia"/>
                      <w:color w:val="auto"/>
                      <w:sz w:val="21"/>
                      <w:szCs w:val="21"/>
                      <w:highlight w:val="none"/>
                      <w:lang w:val="en-US" w:eastAsia="zh-CN"/>
                    </w:rPr>
                    <w:t>（DA001）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 w:hRule="atLeast"/>
                <w:jc w:val="center"/>
              </w:trPr>
              <w:tc>
                <w:tcPr>
                  <w:tcW w:w="245" w:type="pct"/>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olor w:val="auto"/>
                      <w:sz w:val="21"/>
                      <w:szCs w:val="21"/>
                      <w:highlight w:val="none"/>
                    </w:rPr>
                  </w:pPr>
                </w:p>
              </w:tc>
              <w:tc>
                <w:tcPr>
                  <w:tcW w:w="1036" w:type="pct"/>
                  <w:gridSpan w:val="2"/>
                  <w:noWrap w:val="0"/>
                  <w:vAlign w:val="center"/>
                </w:tcPr>
                <w:p>
                  <w:pPr>
                    <w:pStyle w:val="81"/>
                    <w:keepNext w:val="0"/>
                    <w:keepLines w:val="0"/>
                    <w:pageBreakBefore w:val="0"/>
                    <w:widowControl w:val="0"/>
                    <w:kinsoku/>
                    <w:wordWrap/>
                    <w:overflowPunct/>
                    <w:topLinePunct w:val="0"/>
                    <w:autoSpaceDE/>
                    <w:autoSpaceDN/>
                    <w:bidi w:val="0"/>
                    <w:adjustRightInd w:val="0"/>
                    <w:snapToGrid w:val="0"/>
                    <w:spacing w:beforeLines="0" w:afterLines="0" w:line="240" w:lineRule="auto"/>
                    <w:textAlignment w:val="auto"/>
                    <w:rPr>
                      <w:rFonts w:hint="eastAsia" w:ascii="Times New Roman" w:hAnsi="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喷漆</w:t>
                  </w:r>
                </w:p>
              </w:tc>
              <w:tc>
                <w:tcPr>
                  <w:tcW w:w="1255" w:type="pct"/>
                  <w:noWrap w:val="0"/>
                  <w:vAlign w:val="center"/>
                </w:tcPr>
                <w:p>
                  <w:pPr>
                    <w:pStyle w:val="81"/>
                    <w:keepNext w:val="0"/>
                    <w:keepLines w:val="0"/>
                    <w:pageBreakBefore w:val="0"/>
                    <w:widowControl w:val="0"/>
                    <w:kinsoku/>
                    <w:wordWrap/>
                    <w:overflowPunct/>
                    <w:topLinePunct w:val="0"/>
                    <w:autoSpaceDE/>
                    <w:autoSpaceDN/>
                    <w:bidi w:val="0"/>
                    <w:adjustRightInd w:val="0"/>
                    <w:snapToGrid w:val="0"/>
                    <w:spacing w:beforeLines="0" w:afterLines="0" w:line="240" w:lineRule="auto"/>
                    <w:textAlignment w:val="auto"/>
                    <w:rPr>
                      <w:rFonts w:hint="eastAsia" w:ascii="Times New Roman" w:hAnsi="Times New Roman" w:eastAsia="宋体"/>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非甲烷总烃、颗粒物</w:t>
                  </w:r>
                </w:p>
              </w:tc>
              <w:tc>
                <w:tcPr>
                  <w:tcW w:w="2462" w:type="pct"/>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olor w:val="auto"/>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6" w:hRule="atLeast"/>
                <w:jc w:val="center"/>
              </w:trPr>
              <w:tc>
                <w:tcPr>
                  <w:tcW w:w="245" w:type="pct"/>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olor w:val="auto"/>
                      <w:sz w:val="21"/>
                      <w:szCs w:val="21"/>
                      <w:highlight w:val="none"/>
                    </w:rPr>
                  </w:pPr>
                </w:p>
              </w:tc>
              <w:tc>
                <w:tcPr>
                  <w:tcW w:w="1036" w:type="pct"/>
                  <w:gridSpan w:val="2"/>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olor w:val="auto"/>
                      <w:sz w:val="21"/>
                      <w:szCs w:val="21"/>
                      <w:highlight w:val="none"/>
                      <w:lang w:val="en-US" w:eastAsia="zh-CN"/>
                    </w:rPr>
                  </w:pPr>
                  <w:r>
                    <w:rPr>
                      <w:rFonts w:hint="eastAsia" w:ascii="Times New Roman" w:hAnsi="Times New Roman"/>
                      <w:color w:val="auto"/>
                      <w:sz w:val="21"/>
                      <w:szCs w:val="21"/>
                      <w:highlight w:val="none"/>
                      <w:lang w:val="en-US" w:eastAsia="zh-CN"/>
                    </w:rPr>
                    <w:t>焊接</w:t>
                  </w:r>
                </w:p>
              </w:tc>
              <w:tc>
                <w:tcPr>
                  <w:tcW w:w="1255"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olor w:val="auto"/>
                      <w:sz w:val="21"/>
                      <w:szCs w:val="21"/>
                      <w:highlight w:val="none"/>
                      <w:lang w:val="en-US" w:eastAsia="zh-CN"/>
                    </w:rPr>
                  </w:pPr>
                  <w:r>
                    <w:rPr>
                      <w:rFonts w:hint="eastAsia" w:ascii="Times New Roman" w:hAnsi="Times New Roman"/>
                      <w:color w:val="auto"/>
                      <w:sz w:val="21"/>
                      <w:szCs w:val="21"/>
                      <w:highlight w:val="none"/>
                      <w:lang w:val="en-US" w:eastAsia="zh-CN"/>
                    </w:rPr>
                    <w:t>焊接废气</w:t>
                  </w:r>
                </w:p>
              </w:tc>
              <w:tc>
                <w:tcPr>
                  <w:tcW w:w="2462"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olor w:val="auto"/>
                      <w:sz w:val="21"/>
                      <w:szCs w:val="21"/>
                      <w:highlight w:val="none"/>
                      <w:lang w:val="en-US" w:eastAsia="zh-CN"/>
                    </w:rPr>
                  </w:pPr>
                  <w:r>
                    <w:rPr>
                      <w:rFonts w:hint="eastAsia" w:ascii="Times New Roman" w:hAnsi="Times New Roman"/>
                      <w:color w:val="auto"/>
                      <w:sz w:val="21"/>
                      <w:szCs w:val="21"/>
                      <w:highlight w:val="none"/>
                      <w:lang w:val="en-US" w:eastAsia="zh-CN"/>
                    </w:rPr>
                    <w:t>焊接产生的废气利用现有</w:t>
                  </w:r>
                  <w:r>
                    <w:rPr>
                      <w:rFonts w:hint="eastAsia"/>
                      <w:color w:val="auto"/>
                      <w:sz w:val="21"/>
                      <w:szCs w:val="21"/>
                      <w:highlight w:val="none"/>
                      <w:lang w:val="en-US" w:eastAsia="zh-CN"/>
                    </w:rPr>
                    <w:t>2台</w:t>
                  </w:r>
                  <w:r>
                    <w:rPr>
                      <w:rFonts w:hint="eastAsia" w:ascii="Times New Roman" w:hAnsi="Times New Roman"/>
                      <w:color w:val="auto"/>
                      <w:sz w:val="21"/>
                      <w:szCs w:val="21"/>
                      <w:highlight w:val="none"/>
                      <w:lang w:val="en-US" w:eastAsia="zh-CN"/>
                    </w:rPr>
                    <w:t>移动式焊烟净化器处理后车间内无组织排放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9" w:hRule="atLeast"/>
                <w:jc w:val="center"/>
              </w:trPr>
              <w:tc>
                <w:tcPr>
                  <w:tcW w:w="245"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Times New Roman" w:hAnsi="Times New Roman"/>
                      <w:color w:val="auto"/>
                      <w:sz w:val="21"/>
                      <w:szCs w:val="21"/>
                      <w:highlight w:val="none"/>
                    </w:rPr>
                  </w:pPr>
                  <w:r>
                    <w:rPr>
                      <w:rFonts w:ascii="Times New Roman" w:hAnsi="Times New Roman"/>
                      <w:color w:val="auto"/>
                      <w:sz w:val="21"/>
                      <w:szCs w:val="21"/>
                      <w:highlight w:val="none"/>
                    </w:rPr>
                    <w:t>噪声</w:t>
                  </w:r>
                </w:p>
              </w:tc>
              <w:tc>
                <w:tcPr>
                  <w:tcW w:w="1036" w:type="pct"/>
                  <w:gridSpan w:val="2"/>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color w:val="auto"/>
                      <w:kern w:val="0"/>
                      <w:sz w:val="21"/>
                      <w:szCs w:val="21"/>
                      <w:highlight w:val="none"/>
                      <w:lang w:val="en-US" w:eastAsia="zh-CN"/>
                    </w:rPr>
                  </w:pPr>
                  <w:r>
                    <w:rPr>
                      <w:rFonts w:hint="eastAsia"/>
                      <w:color w:val="auto"/>
                      <w:kern w:val="0"/>
                      <w:sz w:val="21"/>
                      <w:szCs w:val="21"/>
                      <w:highlight w:val="none"/>
                      <w:lang w:val="en-US" w:eastAsia="zh-CN"/>
                    </w:rPr>
                    <w:t>车床、焊机、风机等</w:t>
                  </w:r>
                </w:p>
              </w:tc>
              <w:tc>
                <w:tcPr>
                  <w:tcW w:w="1255"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Times New Roman" w:hAnsi="Times New Roman"/>
                      <w:color w:val="auto"/>
                      <w:sz w:val="21"/>
                      <w:szCs w:val="21"/>
                      <w:highlight w:val="none"/>
                    </w:rPr>
                  </w:pPr>
                  <w:r>
                    <w:rPr>
                      <w:rFonts w:ascii="Times New Roman" w:hAnsi="Times New Roman"/>
                      <w:color w:val="auto"/>
                      <w:sz w:val="21"/>
                      <w:szCs w:val="21"/>
                      <w:highlight w:val="none"/>
                    </w:rPr>
                    <w:t>L</w:t>
                  </w:r>
                  <w:r>
                    <w:rPr>
                      <w:rFonts w:ascii="Times New Roman" w:hAnsi="Times New Roman"/>
                      <w:color w:val="auto"/>
                      <w:sz w:val="21"/>
                      <w:szCs w:val="21"/>
                      <w:highlight w:val="none"/>
                      <w:vertAlign w:val="subscript"/>
                    </w:rPr>
                    <w:t>eq</w:t>
                  </w:r>
                </w:p>
              </w:tc>
              <w:tc>
                <w:tcPr>
                  <w:tcW w:w="2462"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Times New Roman" w:hAnsi="Times New Roman"/>
                      <w:color w:val="auto"/>
                      <w:sz w:val="21"/>
                      <w:szCs w:val="21"/>
                      <w:highlight w:val="none"/>
                    </w:rPr>
                  </w:pPr>
                  <w:r>
                    <w:rPr>
                      <w:rFonts w:ascii="Times New Roman" w:hAnsi="Times New Roman"/>
                      <w:color w:val="auto"/>
                      <w:sz w:val="21"/>
                      <w:szCs w:val="21"/>
                      <w:highlight w:val="none"/>
                    </w:rPr>
                    <w:t>减震基础+厂房隔声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45" w:type="pct"/>
                  <w:vMerge w:val="restar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Times New Roman" w:hAnsi="Times New Roman"/>
                      <w:color w:val="auto"/>
                      <w:sz w:val="21"/>
                      <w:szCs w:val="21"/>
                      <w:highlight w:val="none"/>
                    </w:rPr>
                  </w:pPr>
                  <w:r>
                    <w:rPr>
                      <w:rFonts w:ascii="Times New Roman" w:hAnsi="Times New Roman"/>
                      <w:color w:val="auto"/>
                      <w:sz w:val="21"/>
                      <w:szCs w:val="21"/>
                      <w:highlight w:val="none"/>
                    </w:rPr>
                    <w:t>固体废物</w:t>
                  </w:r>
                </w:p>
              </w:tc>
              <w:tc>
                <w:tcPr>
                  <w:tcW w:w="359" w:type="pct"/>
                  <w:vMerge w:val="restar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olor w:val="auto"/>
                      <w:sz w:val="21"/>
                      <w:szCs w:val="21"/>
                      <w:highlight w:val="none"/>
                      <w:lang w:val="en-US" w:eastAsia="zh-CN"/>
                    </w:rPr>
                  </w:pPr>
                  <w:r>
                    <w:rPr>
                      <w:rFonts w:hint="eastAsia" w:ascii="Times New Roman" w:hAnsi="Times New Roman"/>
                      <w:color w:val="auto"/>
                      <w:sz w:val="21"/>
                      <w:szCs w:val="21"/>
                      <w:highlight w:val="none"/>
                      <w:lang w:val="en-US" w:eastAsia="zh-CN"/>
                    </w:rPr>
                    <w:t>一般固体废物</w:t>
                  </w:r>
                </w:p>
              </w:tc>
              <w:tc>
                <w:tcPr>
                  <w:tcW w:w="677"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olor w:val="auto"/>
                      <w:sz w:val="21"/>
                      <w:szCs w:val="21"/>
                      <w:highlight w:val="none"/>
                      <w:lang w:val="en-US" w:eastAsia="zh-CN"/>
                    </w:rPr>
                  </w:pPr>
                  <w:r>
                    <w:rPr>
                      <w:rFonts w:hint="eastAsia" w:ascii="Times New Roman" w:hAnsi="Times New Roman"/>
                      <w:color w:val="auto"/>
                      <w:sz w:val="21"/>
                      <w:szCs w:val="21"/>
                      <w:highlight w:val="none"/>
                      <w:lang w:val="en-US" w:eastAsia="zh-CN"/>
                    </w:rPr>
                    <w:t>焊接、钻孔</w:t>
                  </w:r>
                  <w:r>
                    <w:rPr>
                      <w:rFonts w:hint="eastAsia"/>
                      <w:color w:val="auto"/>
                      <w:sz w:val="21"/>
                      <w:szCs w:val="21"/>
                      <w:highlight w:val="none"/>
                      <w:lang w:val="en-US" w:eastAsia="zh-CN"/>
                    </w:rPr>
                    <w:t>、除尘</w:t>
                  </w:r>
                </w:p>
              </w:tc>
              <w:tc>
                <w:tcPr>
                  <w:tcW w:w="1255"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olor w:val="auto"/>
                      <w:sz w:val="21"/>
                      <w:szCs w:val="21"/>
                      <w:highlight w:val="none"/>
                      <w:lang w:val="en-US"/>
                    </w:rPr>
                  </w:pPr>
                  <w:r>
                    <w:rPr>
                      <w:rFonts w:hint="eastAsia" w:ascii="Times New Roman" w:hAnsi="Times New Roman"/>
                      <w:color w:val="auto"/>
                      <w:sz w:val="21"/>
                      <w:szCs w:val="21"/>
                      <w:highlight w:val="none"/>
                      <w:lang w:val="en-US" w:eastAsia="zh-CN"/>
                    </w:rPr>
                    <w:t>废焊头、金属屑、边角料</w:t>
                  </w:r>
                  <w:r>
                    <w:rPr>
                      <w:rFonts w:hint="eastAsia"/>
                      <w:color w:val="auto"/>
                      <w:sz w:val="21"/>
                      <w:szCs w:val="21"/>
                      <w:highlight w:val="none"/>
                      <w:lang w:val="en-US" w:eastAsia="zh-CN"/>
                    </w:rPr>
                    <w:t>、除尘灰</w:t>
                  </w:r>
                </w:p>
              </w:tc>
              <w:tc>
                <w:tcPr>
                  <w:tcW w:w="2462"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olor w:val="auto"/>
                      <w:sz w:val="21"/>
                      <w:szCs w:val="21"/>
                      <w:highlight w:val="none"/>
                      <w:lang w:val="en-US"/>
                    </w:rPr>
                  </w:pPr>
                  <w:r>
                    <w:rPr>
                      <w:rFonts w:hint="eastAsia"/>
                      <w:color w:val="auto"/>
                      <w:sz w:val="21"/>
                      <w:szCs w:val="21"/>
                      <w:highlight w:val="none"/>
                      <w:lang w:val="en-US" w:eastAsia="zh-CN"/>
                    </w:rPr>
                    <w:t>收集后外售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45" w:type="pct"/>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Times New Roman" w:hAnsi="Times New Roman"/>
                      <w:color w:val="auto"/>
                      <w:sz w:val="21"/>
                      <w:szCs w:val="21"/>
                      <w:highlight w:val="none"/>
                    </w:rPr>
                  </w:pPr>
                </w:p>
              </w:tc>
              <w:tc>
                <w:tcPr>
                  <w:tcW w:w="359" w:type="pct"/>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olor w:val="auto"/>
                      <w:sz w:val="21"/>
                      <w:szCs w:val="21"/>
                      <w:highlight w:val="none"/>
                      <w:lang w:val="en-US" w:eastAsia="zh-CN"/>
                    </w:rPr>
                  </w:pPr>
                </w:p>
              </w:tc>
              <w:tc>
                <w:tcPr>
                  <w:tcW w:w="677"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olor w:val="auto"/>
                      <w:sz w:val="21"/>
                      <w:szCs w:val="21"/>
                      <w:highlight w:val="none"/>
                      <w:lang w:val="en-US" w:eastAsia="zh-CN"/>
                    </w:rPr>
                  </w:pPr>
                  <w:r>
                    <w:rPr>
                      <w:rFonts w:hint="eastAsia" w:ascii="Times New Roman" w:hAnsi="Times New Roman"/>
                      <w:color w:val="auto"/>
                      <w:sz w:val="21"/>
                      <w:szCs w:val="21"/>
                      <w:highlight w:val="none"/>
                      <w:lang w:val="en-US" w:eastAsia="zh-CN"/>
                    </w:rPr>
                    <w:t>钻孔</w:t>
                  </w:r>
                </w:p>
              </w:tc>
              <w:tc>
                <w:tcPr>
                  <w:tcW w:w="1255"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olor w:val="auto"/>
                      <w:sz w:val="21"/>
                      <w:szCs w:val="21"/>
                      <w:highlight w:val="none"/>
                      <w:lang w:val="en-US" w:eastAsia="zh-CN"/>
                    </w:rPr>
                  </w:pPr>
                  <w:r>
                    <w:rPr>
                      <w:rFonts w:hint="eastAsia"/>
                      <w:color w:val="auto"/>
                      <w:sz w:val="21"/>
                      <w:szCs w:val="21"/>
                      <w:highlight w:val="none"/>
                      <w:lang w:val="en-US" w:eastAsia="zh-CN"/>
                    </w:rPr>
                    <w:t>废抹布</w:t>
                  </w:r>
                </w:p>
              </w:tc>
              <w:tc>
                <w:tcPr>
                  <w:tcW w:w="2462"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olor w:val="auto"/>
                      <w:sz w:val="21"/>
                      <w:szCs w:val="21"/>
                      <w:highlight w:val="none"/>
                      <w:lang w:val="en-US" w:eastAsia="zh-CN"/>
                    </w:rPr>
                  </w:pPr>
                  <w:r>
                    <w:rPr>
                      <w:rFonts w:hint="eastAsia" w:ascii="Times New Roman" w:hAnsi="Times New Roman" w:eastAsia="宋体"/>
                      <w:color w:val="auto"/>
                      <w:sz w:val="21"/>
                      <w:szCs w:val="21"/>
                      <w:highlight w:val="none"/>
                      <w:lang w:val="en-US" w:eastAsia="zh-CN"/>
                    </w:rPr>
                    <w:t>根据《国家危险废物名录》附录：危险废物豁免清单中的要求，废弃含油抹布的危险废物类别/代码为900-041-49，混入生活垃圾，全过程不按危险废物管理。故本项目含油废抹布与生活垃圾一起交由环卫部门处置。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45" w:type="pct"/>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Times New Roman" w:hAnsi="Times New Roman"/>
                      <w:color w:val="auto"/>
                      <w:sz w:val="21"/>
                      <w:szCs w:val="21"/>
                      <w:highlight w:val="none"/>
                    </w:rPr>
                  </w:pPr>
                </w:p>
              </w:tc>
              <w:tc>
                <w:tcPr>
                  <w:tcW w:w="359" w:type="pct"/>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Times New Roman" w:hAnsi="Times New Roman"/>
                      <w:color w:val="auto"/>
                      <w:sz w:val="21"/>
                      <w:szCs w:val="21"/>
                      <w:highlight w:val="none"/>
                    </w:rPr>
                  </w:pPr>
                </w:p>
              </w:tc>
              <w:tc>
                <w:tcPr>
                  <w:tcW w:w="677"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Times New Roman" w:hAnsi="Times New Roman"/>
                      <w:color w:val="auto"/>
                      <w:sz w:val="21"/>
                      <w:szCs w:val="21"/>
                      <w:highlight w:val="none"/>
                    </w:rPr>
                  </w:pPr>
                  <w:r>
                    <w:rPr>
                      <w:rFonts w:ascii="Times New Roman" w:hAnsi="Times New Roman"/>
                      <w:color w:val="auto"/>
                      <w:sz w:val="21"/>
                      <w:szCs w:val="21"/>
                      <w:highlight w:val="none"/>
                    </w:rPr>
                    <w:t>职工生活</w:t>
                  </w:r>
                </w:p>
              </w:tc>
              <w:tc>
                <w:tcPr>
                  <w:tcW w:w="1255"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Times New Roman" w:hAnsi="Times New Roman"/>
                      <w:color w:val="auto"/>
                      <w:sz w:val="21"/>
                      <w:szCs w:val="21"/>
                      <w:highlight w:val="none"/>
                    </w:rPr>
                  </w:pPr>
                  <w:r>
                    <w:rPr>
                      <w:rFonts w:ascii="Times New Roman" w:hAnsi="Times New Roman"/>
                      <w:color w:val="auto"/>
                      <w:sz w:val="21"/>
                      <w:szCs w:val="21"/>
                      <w:highlight w:val="none"/>
                    </w:rPr>
                    <w:t>生活垃圾</w:t>
                  </w:r>
                </w:p>
              </w:tc>
              <w:tc>
                <w:tcPr>
                  <w:tcW w:w="2462"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Times New Roman" w:hAnsi="Times New Roman"/>
                      <w:color w:val="auto"/>
                      <w:sz w:val="21"/>
                      <w:szCs w:val="21"/>
                      <w:highlight w:val="none"/>
                    </w:rPr>
                  </w:pPr>
                  <w:r>
                    <w:rPr>
                      <w:rFonts w:ascii="Times New Roman" w:hAnsi="Times New Roman"/>
                      <w:color w:val="auto"/>
                      <w:sz w:val="21"/>
                      <w:szCs w:val="21"/>
                      <w:highlight w:val="none"/>
                    </w:rPr>
                    <w:t>收集后交环卫部门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1" w:hRule="atLeast"/>
                <w:jc w:val="center"/>
              </w:trPr>
              <w:tc>
                <w:tcPr>
                  <w:tcW w:w="245" w:type="pct"/>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Times New Roman" w:hAnsi="Times New Roman"/>
                      <w:color w:val="auto"/>
                      <w:sz w:val="21"/>
                      <w:szCs w:val="21"/>
                      <w:highlight w:val="none"/>
                    </w:rPr>
                  </w:pPr>
                </w:p>
              </w:tc>
              <w:tc>
                <w:tcPr>
                  <w:tcW w:w="359" w:type="pct"/>
                  <w:vMerge w:val="restar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olor w:val="auto"/>
                      <w:sz w:val="21"/>
                      <w:szCs w:val="21"/>
                      <w:highlight w:val="none"/>
                      <w:lang w:val="en-US" w:eastAsia="zh-CN"/>
                    </w:rPr>
                  </w:pPr>
                  <w:r>
                    <w:rPr>
                      <w:rFonts w:hint="eastAsia" w:ascii="Times New Roman" w:hAnsi="Times New Roman"/>
                      <w:color w:val="auto"/>
                      <w:sz w:val="21"/>
                      <w:szCs w:val="21"/>
                      <w:highlight w:val="none"/>
                      <w:lang w:val="en-US" w:eastAsia="zh-CN"/>
                    </w:rPr>
                    <w:t>危险废物</w:t>
                  </w:r>
                </w:p>
              </w:tc>
              <w:tc>
                <w:tcPr>
                  <w:tcW w:w="677"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olor w:val="auto"/>
                      <w:sz w:val="21"/>
                      <w:szCs w:val="21"/>
                      <w:highlight w:val="none"/>
                      <w:lang w:val="en-US" w:eastAsia="zh-CN"/>
                    </w:rPr>
                  </w:pPr>
                  <w:r>
                    <w:rPr>
                      <w:rFonts w:hint="eastAsia" w:ascii="Times New Roman" w:hAnsi="Times New Roman"/>
                      <w:color w:val="auto"/>
                      <w:sz w:val="21"/>
                      <w:szCs w:val="21"/>
                      <w:highlight w:val="none"/>
                      <w:lang w:val="en-US" w:eastAsia="zh-CN"/>
                    </w:rPr>
                    <w:t>喷漆</w:t>
                  </w:r>
                </w:p>
              </w:tc>
              <w:tc>
                <w:tcPr>
                  <w:tcW w:w="1255"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olor w:val="auto"/>
                      <w:sz w:val="21"/>
                      <w:szCs w:val="21"/>
                      <w:highlight w:val="none"/>
                      <w:lang w:val="en-US" w:eastAsia="zh-CN"/>
                    </w:rPr>
                  </w:pPr>
                  <w:r>
                    <w:rPr>
                      <w:rFonts w:hint="eastAsia" w:ascii="Times New Roman" w:hAnsi="Times New Roman"/>
                      <w:color w:val="auto"/>
                      <w:sz w:val="21"/>
                      <w:szCs w:val="21"/>
                      <w:highlight w:val="none"/>
                      <w:lang w:val="en-US" w:eastAsia="zh-CN"/>
                    </w:rPr>
                    <w:t>废活性炭、废过滤棉、废漆桶</w:t>
                  </w:r>
                  <w:r>
                    <w:rPr>
                      <w:rFonts w:hint="eastAsia"/>
                      <w:color w:val="auto"/>
                      <w:sz w:val="21"/>
                      <w:szCs w:val="21"/>
                      <w:highlight w:val="none"/>
                      <w:lang w:val="en-US" w:eastAsia="zh-CN"/>
                    </w:rPr>
                    <w:t>、漆渣、废稀料桶</w:t>
                  </w:r>
                </w:p>
              </w:tc>
              <w:tc>
                <w:tcPr>
                  <w:tcW w:w="2462" w:type="pct"/>
                  <w:vMerge w:val="restar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Times New Roman" w:hAnsi="Times New Roman"/>
                      <w:color w:val="auto"/>
                      <w:sz w:val="21"/>
                      <w:szCs w:val="21"/>
                      <w:highlight w:val="none"/>
                    </w:rPr>
                  </w:pPr>
                  <w:r>
                    <w:rPr>
                      <w:rFonts w:ascii="Times New Roman" w:hAnsi="Times New Roman"/>
                      <w:color w:val="auto"/>
                      <w:sz w:val="21"/>
                      <w:szCs w:val="21"/>
                      <w:highlight w:val="none"/>
                    </w:rPr>
                    <w:t>暂存</w:t>
                  </w:r>
                  <w:r>
                    <w:rPr>
                      <w:rFonts w:hint="eastAsia" w:ascii="Times New Roman" w:hAnsi="Times New Roman"/>
                      <w:color w:val="auto"/>
                      <w:sz w:val="21"/>
                      <w:szCs w:val="21"/>
                      <w:highlight w:val="none"/>
                      <w:lang w:val="en-US" w:eastAsia="zh-CN"/>
                    </w:rPr>
                    <w:t>现有</w:t>
                  </w:r>
                  <w:r>
                    <w:rPr>
                      <w:rFonts w:ascii="Times New Roman" w:hAnsi="Times New Roman"/>
                      <w:color w:val="auto"/>
                      <w:sz w:val="21"/>
                      <w:szCs w:val="21"/>
                      <w:highlight w:val="none"/>
                    </w:rPr>
                    <w:t>危废间内，定期交资质单位进行处理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jc w:val="center"/>
              </w:trPr>
              <w:tc>
                <w:tcPr>
                  <w:tcW w:w="245" w:type="pct"/>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Times New Roman" w:hAnsi="Times New Roman"/>
                      <w:color w:val="auto"/>
                      <w:sz w:val="21"/>
                      <w:szCs w:val="21"/>
                      <w:highlight w:val="none"/>
                    </w:rPr>
                  </w:pPr>
                </w:p>
              </w:tc>
              <w:tc>
                <w:tcPr>
                  <w:tcW w:w="359" w:type="pct"/>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color w:val="auto"/>
                      <w:sz w:val="21"/>
                      <w:szCs w:val="21"/>
                      <w:highlight w:val="none"/>
                      <w:lang w:val="en-US" w:eastAsia="zh-CN"/>
                    </w:rPr>
                  </w:pPr>
                </w:p>
              </w:tc>
              <w:tc>
                <w:tcPr>
                  <w:tcW w:w="677"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olor w:val="auto"/>
                      <w:sz w:val="21"/>
                      <w:szCs w:val="21"/>
                      <w:highlight w:val="none"/>
                      <w:lang w:val="en-US" w:eastAsia="zh-CN"/>
                    </w:rPr>
                  </w:pPr>
                  <w:r>
                    <w:rPr>
                      <w:rFonts w:hint="eastAsia"/>
                      <w:color w:val="auto"/>
                      <w:sz w:val="21"/>
                      <w:szCs w:val="21"/>
                      <w:highlight w:val="none"/>
                      <w:lang w:val="en-US" w:eastAsia="zh-CN"/>
                    </w:rPr>
                    <w:t>生产工序</w:t>
                  </w:r>
                </w:p>
              </w:tc>
              <w:tc>
                <w:tcPr>
                  <w:tcW w:w="1255"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olor w:val="auto"/>
                      <w:sz w:val="21"/>
                      <w:szCs w:val="21"/>
                      <w:highlight w:val="none"/>
                      <w:lang w:val="en-US" w:eastAsia="zh-CN"/>
                    </w:rPr>
                  </w:pPr>
                  <w:r>
                    <w:rPr>
                      <w:rFonts w:hint="eastAsia" w:ascii="Times New Roman" w:hAnsi="Times New Roman"/>
                      <w:color w:val="auto"/>
                      <w:sz w:val="21"/>
                      <w:szCs w:val="21"/>
                      <w:highlight w:val="none"/>
                      <w:lang w:val="en-US" w:eastAsia="zh-CN"/>
                    </w:rPr>
                    <w:t>废液压油、废润滑油</w:t>
                  </w:r>
                  <w:r>
                    <w:rPr>
                      <w:rFonts w:hint="eastAsia"/>
                      <w:color w:val="auto"/>
                      <w:sz w:val="21"/>
                      <w:szCs w:val="21"/>
                      <w:highlight w:val="none"/>
                      <w:lang w:val="en-US" w:eastAsia="zh-CN"/>
                    </w:rPr>
                    <w:t>、</w:t>
                  </w:r>
                  <w:r>
                    <w:rPr>
                      <w:rFonts w:hint="eastAsia" w:ascii="Times New Roman" w:hAnsi="Times New Roman"/>
                      <w:color w:val="auto"/>
                      <w:sz w:val="21"/>
                      <w:szCs w:val="21"/>
                      <w:highlight w:val="none"/>
                      <w:lang w:val="en-US" w:eastAsia="zh-CN"/>
                    </w:rPr>
                    <w:t>废机油及废油桶</w:t>
                  </w:r>
                </w:p>
              </w:tc>
              <w:tc>
                <w:tcPr>
                  <w:tcW w:w="2462" w:type="pct"/>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Times New Roman" w:hAnsi="Times New Roman"/>
                      <w:color w:val="auto"/>
                      <w:sz w:val="21"/>
                      <w:szCs w:val="21"/>
                      <w:highlight w:val="none"/>
                    </w:rPr>
                  </w:pPr>
                </w:p>
              </w:tc>
            </w:tr>
          </w:tbl>
          <w:p>
            <w:pPr>
              <w:pStyle w:val="50"/>
              <w:bidi w:val="0"/>
              <w:ind w:left="0" w:leftChars="0" w:firstLine="0" w:firstLineChars="0"/>
              <w:rPr>
                <w:rFonts w:hint="default" w:ascii="Times New Roman" w:hAnsi="Times New Roman" w:cs="Times New Roman"/>
                <w:color w:val="auto"/>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85" w:type="dxa"/>
            <w:noWrap w:val="0"/>
            <w:vAlign w:val="center"/>
          </w:tcPr>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与项目有关的原有环境污染问题</w:t>
            </w:r>
          </w:p>
        </w:tc>
        <w:tc>
          <w:tcPr>
            <w:tcW w:w="8586" w:type="dxa"/>
            <w:noWrap w:val="0"/>
            <w:vAlign w:val="center"/>
          </w:tcPr>
          <w:p>
            <w:pPr>
              <w:pStyle w:val="10"/>
              <w:bidi w:val="0"/>
              <w:rPr>
                <w:rFonts w:hint="default" w:ascii="Times New Roman" w:hAnsi="Times New Roman" w:cs="Times New Roman"/>
                <w:color w:val="auto"/>
                <w:sz w:val="24"/>
                <w:szCs w:val="28"/>
                <w:highlight w:val="none"/>
                <w:lang w:val="en-US" w:eastAsia="zh-CN"/>
              </w:rPr>
            </w:pPr>
            <w:r>
              <w:rPr>
                <w:rFonts w:hint="default" w:ascii="Times New Roman" w:hAnsi="Times New Roman" w:cs="Times New Roman"/>
                <w:color w:val="auto"/>
                <w:sz w:val="24"/>
                <w:szCs w:val="28"/>
                <w:highlight w:val="none"/>
                <w:lang w:val="en-US" w:eastAsia="zh-CN"/>
              </w:rPr>
              <w:t>1 企业已有的环保手续</w:t>
            </w:r>
          </w:p>
          <w:p>
            <w:pPr>
              <w:pStyle w:val="16"/>
              <w:spacing w:line="360" w:lineRule="auto"/>
              <w:ind w:firstLine="480" w:firstLineChars="200"/>
              <w:jc w:val="both"/>
              <w:rPr>
                <w:rFonts w:hint="default" w:ascii="Times New Roman" w:hAnsi="Times New Roman" w:eastAsia="宋体" w:cs="Times New Roman"/>
                <w:color w:val="auto"/>
                <w:szCs w:val="21"/>
                <w:highlight w:val="none"/>
                <w:lang w:val="en-US" w:eastAsia="zh-CN"/>
              </w:rPr>
            </w:pPr>
            <w:r>
              <w:rPr>
                <w:rFonts w:hint="eastAsia" w:ascii="Times New Roman" w:hAnsi="Times New Roman" w:cs="Times New Roman"/>
                <w:color w:val="auto"/>
                <w:highlight w:val="none"/>
                <w:lang w:val="en-US" w:eastAsia="zh-CN"/>
              </w:rPr>
              <w:t>秦皇岛联安机械科技有限公司</w:t>
            </w:r>
            <w:r>
              <w:rPr>
                <w:rFonts w:hint="eastAsia"/>
                <w:color w:val="auto"/>
                <w:highlight w:val="none"/>
                <w:lang w:val="en-US" w:eastAsia="zh-CN"/>
              </w:rPr>
              <w:t>2</w:t>
            </w:r>
            <w:r>
              <w:rPr>
                <w:color w:val="auto"/>
                <w:highlight w:val="none"/>
                <w:lang w:val="en-US" w:eastAsia="zh-CN"/>
              </w:rPr>
              <w:t>0</w:t>
            </w:r>
            <w:r>
              <w:rPr>
                <w:rFonts w:hint="eastAsia"/>
                <w:color w:val="auto"/>
                <w:highlight w:val="none"/>
                <w:lang w:val="en-US" w:eastAsia="zh-CN"/>
              </w:rPr>
              <w:t>19年5月</w:t>
            </w:r>
            <w:r>
              <w:rPr>
                <w:rFonts w:hint="eastAsia" w:ascii="Times New Roman" w:hAnsi="Times New Roman" w:cs="Times New Roman"/>
                <w:color w:val="auto"/>
                <w:highlight w:val="none"/>
                <w:lang w:val="en-US" w:eastAsia="zh-CN"/>
              </w:rPr>
              <w:t>委托河北润宏环保科技有限公司编制完成了《秦皇岛联安机械科技有限公司关于特种机械设备项目环境影响报告表》，并于2019年6月6日通过秦皇岛市生态环境局抚宁区分局审批，审批文号为：抚环审表[2019]-6-3号；</w:t>
            </w:r>
            <w:r>
              <w:rPr>
                <w:rFonts w:hint="eastAsia"/>
                <w:color w:val="auto"/>
                <w:highlight w:val="none"/>
                <w:lang w:val="en-US" w:eastAsia="zh-CN"/>
              </w:rPr>
              <w:t>2021年4月23日该单位取得固定污染源排污登记回执，其证书编号为91130300666598838H001Y，有效期限至2</w:t>
            </w:r>
            <w:r>
              <w:rPr>
                <w:color w:val="auto"/>
                <w:highlight w:val="none"/>
                <w:lang w:val="en-US" w:eastAsia="zh-CN"/>
              </w:rPr>
              <w:t>02</w:t>
            </w:r>
            <w:r>
              <w:rPr>
                <w:rFonts w:hint="eastAsia"/>
                <w:color w:val="auto"/>
                <w:highlight w:val="none"/>
                <w:lang w:val="en-US" w:eastAsia="zh-CN"/>
              </w:rPr>
              <w:t>6年4月22日；2021年6月编制《</w:t>
            </w:r>
            <w:r>
              <w:rPr>
                <w:rFonts w:hint="eastAsia" w:ascii="Times New Roman" w:hAnsi="Times New Roman" w:cs="Times New Roman"/>
                <w:color w:val="auto"/>
                <w:highlight w:val="none"/>
                <w:lang w:val="en-US" w:eastAsia="zh-CN"/>
              </w:rPr>
              <w:t>秦皇岛联安机械科技有限公司</w:t>
            </w:r>
            <w:r>
              <w:rPr>
                <w:rFonts w:hint="eastAsia"/>
                <w:color w:val="auto"/>
                <w:highlight w:val="none"/>
                <w:lang w:val="en-US" w:eastAsia="zh-CN"/>
              </w:rPr>
              <w:t>环境突发事件应急预案》，并于2020年6月17日在秦皇岛市生态环境局抚宁区分局进行备案，备案编号：130323-2021-018-L。2021年6月21日完成环保验收。</w:t>
            </w:r>
            <w:r>
              <w:rPr>
                <w:rFonts w:hint="eastAsia" w:ascii="Times New Roman" w:hAnsi="Times New Roman" w:eastAsia="宋体" w:cs="Times New Roman"/>
                <w:color w:val="auto"/>
                <w:szCs w:val="21"/>
                <w:highlight w:val="none"/>
                <w:lang w:val="en-US" w:eastAsia="zh-CN"/>
              </w:rPr>
              <w:t>现有环评手续详见下表。</w:t>
            </w:r>
          </w:p>
          <w:p>
            <w:pPr>
              <w:keepNext w:val="0"/>
              <w:keepLines w:val="0"/>
              <w:pageBreakBefore w:val="0"/>
              <w:kinsoku/>
              <w:wordWrap/>
              <w:overflowPunct/>
              <w:topLinePunct w:val="0"/>
              <w:autoSpaceDE/>
              <w:autoSpaceDN/>
              <w:bidi w:val="0"/>
              <w:adjustRightInd w:val="0"/>
              <w:snapToGrid w:val="0"/>
              <w:spacing w:line="240" w:lineRule="auto"/>
              <w:ind w:left="0" w:leftChars="0" w:firstLine="0" w:firstLineChars="0"/>
              <w:jc w:val="center"/>
              <w:textAlignment w:val="auto"/>
              <w:rPr>
                <w:rFonts w:hint="default" w:ascii="Times New Roman" w:hAnsi="Times New Roman" w:eastAsia="宋体" w:cs="Times New Roman"/>
                <w:b/>
                <w:bCs/>
                <w:color w:val="auto"/>
                <w:sz w:val="24"/>
                <w:szCs w:val="21"/>
                <w:highlight w:val="none"/>
                <w:lang w:val="en-US" w:eastAsia="zh-CN"/>
              </w:rPr>
            </w:pPr>
            <w:r>
              <w:rPr>
                <w:rFonts w:hint="eastAsia" w:ascii="Times New Roman" w:hAnsi="Times New Roman" w:eastAsia="宋体" w:cs="Times New Roman"/>
                <w:b/>
                <w:bCs/>
                <w:color w:val="auto"/>
                <w:sz w:val="24"/>
                <w:szCs w:val="21"/>
                <w:highlight w:val="none"/>
                <w:lang w:val="en-US" w:eastAsia="zh-CN"/>
              </w:rPr>
              <w:t>表2-1</w:t>
            </w:r>
            <w:r>
              <w:rPr>
                <w:rFonts w:hint="eastAsia" w:cs="Times New Roman"/>
                <w:b/>
                <w:bCs/>
                <w:color w:val="auto"/>
                <w:sz w:val="24"/>
                <w:szCs w:val="21"/>
                <w:highlight w:val="none"/>
                <w:lang w:val="en-US" w:eastAsia="zh-CN"/>
              </w:rPr>
              <w:t>3</w:t>
            </w:r>
            <w:r>
              <w:rPr>
                <w:rFonts w:hint="eastAsia" w:ascii="Times New Roman" w:hAnsi="Times New Roman" w:eastAsia="宋体" w:cs="Times New Roman"/>
                <w:b/>
                <w:bCs/>
                <w:color w:val="auto"/>
                <w:sz w:val="24"/>
                <w:szCs w:val="21"/>
                <w:highlight w:val="none"/>
                <w:lang w:val="en-US" w:eastAsia="zh-CN"/>
              </w:rPr>
              <w:t xml:space="preserve">  现有环保相关手续一览表</w:t>
            </w:r>
          </w:p>
          <w:tbl>
            <w:tblPr>
              <w:tblStyle w:val="33"/>
              <w:tblpPr w:leftFromText="180" w:rightFromText="180" w:vertAnchor="text" w:tblpXSpec="center" w:tblpY="1"/>
              <w:tblOverlap w:val="never"/>
              <w:tblW w:w="4998" w:type="pct"/>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56"/>
              <w:gridCol w:w="1838"/>
              <w:gridCol w:w="1487"/>
              <w:gridCol w:w="1089"/>
              <w:gridCol w:w="1258"/>
              <w:gridCol w:w="112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trPr>
              <w:tc>
                <w:tcPr>
                  <w:tcW w:w="931" w:type="pct"/>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szCs w:val="21"/>
                      <w:highlight w:val="none"/>
                      <w:vertAlign w:val="baseline"/>
                      <w:lang w:val="en-US" w:eastAsia="zh-CN"/>
                    </w:rPr>
                  </w:pPr>
                  <w:r>
                    <w:rPr>
                      <w:rFonts w:hint="eastAsia" w:ascii="Times New Roman" w:hAnsi="Times New Roman" w:eastAsia="宋体" w:cs="Times New Roman"/>
                      <w:color w:val="auto"/>
                      <w:sz w:val="21"/>
                      <w:szCs w:val="21"/>
                      <w:highlight w:val="none"/>
                      <w:vertAlign w:val="baseline"/>
                      <w:lang w:val="en-US" w:eastAsia="zh-CN"/>
                    </w:rPr>
                    <w:t>项目名称</w:t>
                  </w:r>
                </w:p>
              </w:tc>
              <w:tc>
                <w:tcPr>
                  <w:tcW w:w="1099" w:type="pct"/>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szCs w:val="21"/>
                      <w:highlight w:val="none"/>
                      <w:vertAlign w:val="baseline"/>
                      <w:lang w:val="en-US" w:eastAsia="zh-CN"/>
                    </w:rPr>
                  </w:pPr>
                  <w:r>
                    <w:rPr>
                      <w:rFonts w:hint="eastAsia" w:ascii="Times New Roman" w:hAnsi="Times New Roman" w:eastAsia="宋体" w:cs="Times New Roman"/>
                      <w:color w:val="auto"/>
                      <w:sz w:val="21"/>
                      <w:szCs w:val="21"/>
                      <w:highlight w:val="none"/>
                      <w:vertAlign w:val="baseline"/>
                      <w:lang w:val="en-US" w:eastAsia="zh-CN"/>
                    </w:rPr>
                    <w:t>环评批复单位</w:t>
                  </w:r>
                </w:p>
              </w:tc>
              <w:tc>
                <w:tcPr>
                  <w:tcW w:w="889" w:type="pct"/>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szCs w:val="21"/>
                      <w:highlight w:val="none"/>
                      <w:vertAlign w:val="baseline"/>
                      <w:lang w:val="en-US" w:eastAsia="zh-CN"/>
                    </w:rPr>
                  </w:pPr>
                  <w:r>
                    <w:rPr>
                      <w:rFonts w:hint="eastAsia" w:ascii="Times New Roman" w:hAnsi="Times New Roman" w:eastAsia="宋体" w:cs="Times New Roman"/>
                      <w:color w:val="auto"/>
                      <w:sz w:val="21"/>
                      <w:szCs w:val="21"/>
                      <w:highlight w:val="none"/>
                      <w:vertAlign w:val="baseline"/>
                      <w:lang w:val="en-US" w:eastAsia="zh-CN"/>
                    </w:rPr>
                    <w:t>环评批复日期</w:t>
                  </w:r>
                </w:p>
              </w:tc>
              <w:tc>
                <w:tcPr>
                  <w:tcW w:w="651" w:type="pct"/>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szCs w:val="21"/>
                      <w:highlight w:val="none"/>
                      <w:vertAlign w:val="baseline"/>
                      <w:lang w:val="en-US" w:eastAsia="zh-CN"/>
                    </w:rPr>
                  </w:pPr>
                  <w:r>
                    <w:rPr>
                      <w:rFonts w:hint="eastAsia" w:ascii="Times New Roman" w:hAnsi="Times New Roman" w:eastAsia="宋体" w:cs="Times New Roman"/>
                      <w:color w:val="auto"/>
                      <w:sz w:val="21"/>
                      <w:szCs w:val="21"/>
                      <w:highlight w:val="none"/>
                      <w:vertAlign w:val="baseline"/>
                      <w:lang w:val="en-US" w:eastAsia="zh-CN"/>
                    </w:rPr>
                    <w:t>批准文号</w:t>
                  </w:r>
                </w:p>
              </w:tc>
              <w:tc>
                <w:tcPr>
                  <w:tcW w:w="752" w:type="pct"/>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szCs w:val="21"/>
                      <w:highlight w:val="none"/>
                      <w:vertAlign w:val="baseline"/>
                      <w:lang w:val="en-US" w:eastAsia="zh-CN"/>
                    </w:rPr>
                  </w:pPr>
                  <w:r>
                    <w:rPr>
                      <w:rFonts w:hint="eastAsia" w:ascii="Times New Roman" w:hAnsi="Times New Roman" w:eastAsia="宋体" w:cs="Times New Roman"/>
                      <w:color w:val="auto"/>
                      <w:sz w:val="21"/>
                      <w:szCs w:val="21"/>
                      <w:highlight w:val="none"/>
                      <w:vertAlign w:val="baseline"/>
                      <w:lang w:val="en-US" w:eastAsia="zh-CN"/>
                    </w:rPr>
                    <w:t>验收日期</w:t>
                  </w:r>
                </w:p>
              </w:tc>
              <w:tc>
                <w:tcPr>
                  <w:tcW w:w="675" w:type="pct"/>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szCs w:val="21"/>
                      <w:highlight w:val="none"/>
                      <w:vertAlign w:val="baseline"/>
                      <w:lang w:val="en-US" w:eastAsia="zh-CN"/>
                    </w:rPr>
                  </w:pPr>
                  <w:r>
                    <w:rPr>
                      <w:rFonts w:hint="eastAsia" w:ascii="Times New Roman" w:hAnsi="Times New Roman" w:eastAsia="宋体" w:cs="Times New Roman"/>
                      <w:color w:val="auto"/>
                      <w:sz w:val="21"/>
                      <w:szCs w:val="21"/>
                      <w:highlight w:val="none"/>
                      <w:vertAlign w:val="baseline"/>
                      <w:lang w:val="en-US" w:eastAsia="zh-CN"/>
                    </w:rPr>
                    <w:t>验收文号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31" w:type="pct"/>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szCs w:val="21"/>
                      <w:highlight w:val="none"/>
                      <w:vertAlign w:val="baseline"/>
                      <w:lang w:val="en-US" w:eastAsia="zh-CN"/>
                    </w:rPr>
                  </w:pPr>
                  <w:r>
                    <w:rPr>
                      <w:rFonts w:hint="eastAsia" w:ascii="Times New Roman" w:hAnsi="Times New Roman" w:eastAsia="宋体" w:cs="Times New Roman"/>
                      <w:color w:val="auto"/>
                      <w:sz w:val="21"/>
                      <w:szCs w:val="21"/>
                      <w:highlight w:val="none"/>
                      <w:vertAlign w:val="baseline"/>
                      <w:lang w:val="en-US" w:eastAsia="zh-CN"/>
                    </w:rPr>
                    <w:t>秦皇岛市联安机械科技有限公司特种机械设备项目</w:t>
                  </w:r>
                </w:p>
              </w:tc>
              <w:tc>
                <w:tcPr>
                  <w:tcW w:w="1099" w:type="pct"/>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color w:val="auto"/>
                      <w:sz w:val="21"/>
                      <w:szCs w:val="21"/>
                      <w:highlight w:val="none"/>
                    </w:rPr>
                  </w:pPr>
                  <w:r>
                    <w:rPr>
                      <w:rFonts w:hint="eastAsia"/>
                      <w:color w:val="auto"/>
                      <w:sz w:val="21"/>
                      <w:szCs w:val="21"/>
                      <w:highlight w:val="none"/>
                      <w:lang w:val="en-US" w:eastAsia="zh-CN"/>
                    </w:rPr>
                    <w:t>秦皇岛市生态环境局抚宁区分局</w:t>
                  </w:r>
                </w:p>
              </w:tc>
              <w:tc>
                <w:tcPr>
                  <w:tcW w:w="889" w:type="pct"/>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sz w:val="21"/>
                      <w:szCs w:val="21"/>
                      <w:highlight w:val="none"/>
                      <w:vertAlign w:val="baseline"/>
                      <w:lang w:val="en-US" w:eastAsia="zh-CN"/>
                    </w:rPr>
                  </w:pPr>
                  <w:r>
                    <w:rPr>
                      <w:rFonts w:hint="eastAsia"/>
                      <w:color w:val="auto"/>
                      <w:sz w:val="21"/>
                      <w:szCs w:val="21"/>
                      <w:highlight w:val="none"/>
                      <w:lang w:val="en-US" w:eastAsia="zh-CN"/>
                    </w:rPr>
                    <w:t>2019</w:t>
                  </w:r>
                  <w:r>
                    <w:rPr>
                      <w:color w:val="auto"/>
                      <w:sz w:val="21"/>
                      <w:szCs w:val="21"/>
                      <w:highlight w:val="none"/>
                    </w:rPr>
                    <w:t>年</w:t>
                  </w:r>
                  <w:r>
                    <w:rPr>
                      <w:rFonts w:hint="eastAsia"/>
                      <w:color w:val="auto"/>
                      <w:sz w:val="21"/>
                      <w:szCs w:val="21"/>
                      <w:highlight w:val="none"/>
                      <w:lang w:val="en-US" w:eastAsia="zh-CN"/>
                    </w:rPr>
                    <w:t>6</w:t>
                  </w:r>
                  <w:r>
                    <w:rPr>
                      <w:color w:val="auto"/>
                      <w:sz w:val="21"/>
                      <w:szCs w:val="21"/>
                      <w:highlight w:val="none"/>
                    </w:rPr>
                    <w:t>月</w:t>
                  </w:r>
                  <w:r>
                    <w:rPr>
                      <w:rFonts w:hint="eastAsia"/>
                      <w:color w:val="auto"/>
                      <w:sz w:val="21"/>
                      <w:szCs w:val="21"/>
                      <w:highlight w:val="none"/>
                      <w:lang w:val="en-US" w:eastAsia="zh-CN"/>
                    </w:rPr>
                    <w:t>6</w:t>
                  </w:r>
                  <w:r>
                    <w:rPr>
                      <w:color w:val="auto"/>
                      <w:sz w:val="21"/>
                      <w:szCs w:val="21"/>
                      <w:highlight w:val="none"/>
                    </w:rPr>
                    <w:t>日</w:t>
                  </w:r>
                </w:p>
              </w:tc>
              <w:tc>
                <w:tcPr>
                  <w:tcW w:w="651" w:type="pct"/>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szCs w:val="21"/>
                      <w:highlight w:val="none"/>
                      <w:vertAlign w:val="baseline"/>
                      <w:lang w:val="en-US" w:eastAsia="zh-CN"/>
                    </w:rPr>
                  </w:pPr>
                  <w:r>
                    <w:rPr>
                      <w:rFonts w:hint="default" w:ascii="Times New Roman" w:hAnsi="Times New Roman" w:eastAsia="宋体" w:cs="Times New Roman"/>
                      <w:color w:val="auto"/>
                      <w:sz w:val="21"/>
                      <w:szCs w:val="21"/>
                      <w:highlight w:val="none"/>
                      <w:vertAlign w:val="baseline"/>
                      <w:lang w:val="en-US" w:eastAsia="zh-CN"/>
                    </w:rPr>
                    <w:t>抚环审表[2019]-6-3号</w:t>
                  </w:r>
                </w:p>
              </w:tc>
              <w:tc>
                <w:tcPr>
                  <w:tcW w:w="752" w:type="pct"/>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szCs w:val="21"/>
                      <w:highlight w:val="none"/>
                      <w:vertAlign w:val="baseline"/>
                      <w:lang w:val="en-US" w:eastAsia="zh-CN"/>
                    </w:rPr>
                  </w:pPr>
                  <w:r>
                    <w:rPr>
                      <w:rFonts w:hint="eastAsia" w:cs="Times New Roman"/>
                      <w:color w:val="auto"/>
                      <w:sz w:val="21"/>
                      <w:szCs w:val="21"/>
                      <w:highlight w:val="none"/>
                      <w:vertAlign w:val="baseline"/>
                      <w:lang w:val="en-US" w:eastAsia="zh-CN"/>
                    </w:rPr>
                    <w:t>2021</w:t>
                  </w:r>
                  <w:r>
                    <w:rPr>
                      <w:rFonts w:hint="eastAsia" w:ascii="Times New Roman" w:hAnsi="Times New Roman" w:eastAsia="宋体" w:cs="Times New Roman"/>
                      <w:color w:val="auto"/>
                      <w:sz w:val="21"/>
                      <w:szCs w:val="21"/>
                      <w:highlight w:val="none"/>
                      <w:vertAlign w:val="baseline"/>
                      <w:lang w:val="en-US" w:eastAsia="zh-CN"/>
                    </w:rPr>
                    <w:t>年</w:t>
                  </w:r>
                  <w:r>
                    <w:rPr>
                      <w:rFonts w:hint="eastAsia" w:cs="Times New Roman"/>
                      <w:color w:val="auto"/>
                      <w:sz w:val="21"/>
                      <w:szCs w:val="21"/>
                      <w:highlight w:val="none"/>
                      <w:vertAlign w:val="baseline"/>
                      <w:lang w:val="en-US" w:eastAsia="zh-CN"/>
                    </w:rPr>
                    <w:t>6</w:t>
                  </w:r>
                  <w:r>
                    <w:rPr>
                      <w:rFonts w:hint="eastAsia" w:ascii="Times New Roman" w:hAnsi="Times New Roman" w:eastAsia="宋体" w:cs="Times New Roman"/>
                      <w:color w:val="auto"/>
                      <w:sz w:val="21"/>
                      <w:szCs w:val="21"/>
                      <w:highlight w:val="none"/>
                      <w:vertAlign w:val="baseline"/>
                      <w:lang w:val="en-US" w:eastAsia="zh-CN"/>
                    </w:rPr>
                    <w:t>月21日</w:t>
                  </w:r>
                </w:p>
              </w:tc>
              <w:tc>
                <w:tcPr>
                  <w:tcW w:w="675" w:type="pct"/>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szCs w:val="21"/>
                      <w:highlight w:val="none"/>
                      <w:vertAlign w:val="baseline"/>
                      <w:lang w:val="en-US" w:eastAsia="zh-CN"/>
                    </w:rPr>
                  </w:pPr>
                  <w:r>
                    <w:rPr>
                      <w:rFonts w:hint="eastAsia" w:ascii="Times New Roman" w:hAnsi="Times New Roman" w:eastAsia="宋体" w:cs="Times New Roman"/>
                      <w:color w:val="auto"/>
                      <w:sz w:val="21"/>
                      <w:szCs w:val="21"/>
                      <w:highlight w:val="none"/>
                      <w:vertAlign w:val="baseline"/>
                      <w:lang w:val="en-US" w:eastAsia="zh-CN"/>
                    </w:rPr>
                    <w:t>/</w:t>
                  </w:r>
                </w:p>
              </w:tc>
            </w:tr>
          </w:tbl>
          <w:p>
            <w:pPr>
              <w:pStyle w:val="10"/>
              <w:bidi w:val="0"/>
              <w:rPr>
                <w:rFonts w:hint="default" w:ascii="Times New Roman" w:hAnsi="Times New Roman" w:cs="Times New Roman"/>
                <w:color w:val="auto"/>
                <w:sz w:val="24"/>
                <w:szCs w:val="28"/>
                <w:highlight w:val="none"/>
                <w:lang w:val="en-US" w:eastAsia="zh-CN"/>
              </w:rPr>
            </w:pPr>
            <w:r>
              <w:rPr>
                <w:rFonts w:hint="eastAsia" w:cs="Times New Roman"/>
                <w:color w:val="auto"/>
                <w:sz w:val="24"/>
                <w:szCs w:val="28"/>
                <w:highlight w:val="none"/>
                <w:lang w:val="en-US" w:eastAsia="zh-CN"/>
              </w:rPr>
              <w:t>2、</w:t>
            </w:r>
            <w:r>
              <w:rPr>
                <w:rFonts w:hint="default" w:ascii="Times New Roman" w:hAnsi="Times New Roman" w:cs="Times New Roman"/>
                <w:color w:val="auto"/>
                <w:sz w:val="24"/>
                <w:szCs w:val="28"/>
                <w:highlight w:val="none"/>
                <w:lang w:val="en-US" w:eastAsia="zh-CN"/>
              </w:rPr>
              <w:t>企业主要污染物排放情况</w:t>
            </w:r>
          </w:p>
          <w:p>
            <w:pPr>
              <w:pStyle w:val="50"/>
              <w:bidi w:val="0"/>
              <w:ind w:left="0" w:leftChars="0" w:firstLine="480" w:firstLineChars="200"/>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根据企业</w:t>
            </w:r>
            <w:r>
              <w:rPr>
                <w:rFonts w:hint="eastAsia" w:ascii="Times New Roman" w:hAnsi="Times New Roman" w:cs="Times New Roman"/>
                <w:color w:val="auto"/>
                <w:highlight w:val="none"/>
                <w:lang w:val="en-US" w:eastAsia="zh-CN"/>
              </w:rPr>
              <w:t>2021</w:t>
            </w:r>
            <w:r>
              <w:rPr>
                <w:rFonts w:hint="default" w:ascii="Times New Roman" w:hAnsi="Times New Roman" w:eastAsia="宋体" w:cs="Times New Roman"/>
                <w:color w:val="auto"/>
                <w:highlight w:val="none"/>
                <w:lang w:val="en-US" w:eastAsia="zh-CN"/>
              </w:rPr>
              <w:t>年</w:t>
            </w:r>
            <w:r>
              <w:rPr>
                <w:rFonts w:hint="eastAsia" w:ascii="Times New Roman" w:hAnsi="Times New Roman" w:cs="Times New Roman"/>
                <w:color w:val="auto"/>
                <w:highlight w:val="none"/>
                <w:lang w:val="en-US" w:eastAsia="zh-CN"/>
              </w:rPr>
              <w:t>4月对秦皇岛联安机械科技有限公司关于特种机械设备项目的环境保护设施进行验收检测可知现有项目污染物排放情况，见下表。</w:t>
            </w:r>
          </w:p>
          <w:p>
            <w:pPr>
              <w:pStyle w:val="51"/>
              <w:bidi w:val="0"/>
              <w:rPr>
                <w:rFonts w:hint="default" w:ascii="Times New Roman" w:hAnsi="Times New Roman" w:eastAsia="宋体" w:cs="Times New Roman"/>
                <w:b/>
                <w:color w:val="auto"/>
                <w:kern w:val="21"/>
                <w:sz w:val="24"/>
                <w:szCs w:val="20"/>
                <w:highlight w:val="none"/>
                <w:lang w:val="en-US" w:eastAsia="zh-CN" w:bidi="ar-SA"/>
              </w:rPr>
            </w:pPr>
            <w:r>
              <w:rPr>
                <w:rFonts w:hint="default" w:ascii="Times New Roman" w:hAnsi="Times New Roman" w:eastAsia="宋体" w:cs="Times New Roman"/>
                <w:b/>
                <w:color w:val="auto"/>
                <w:kern w:val="21"/>
                <w:sz w:val="24"/>
                <w:szCs w:val="20"/>
                <w:highlight w:val="none"/>
                <w:lang w:val="en-US" w:eastAsia="zh-CN" w:bidi="ar-SA"/>
              </w:rPr>
              <w:t>表</w:t>
            </w:r>
            <w:r>
              <w:rPr>
                <w:rFonts w:hint="eastAsia" w:ascii="Times New Roman" w:hAnsi="Times New Roman" w:eastAsia="宋体" w:cs="Times New Roman"/>
                <w:b/>
                <w:color w:val="auto"/>
                <w:kern w:val="21"/>
                <w:sz w:val="24"/>
                <w:szCs w:val="20"/>
                <w:highlight w:val="none"/>
                <w:lang w:val="en-US" w:eastAsia="zh-CN" w:bidi="ar-SA"/>
              </w:rPr>
              <w:t>2-1</w:t>
            </w:r>
            <w:r>
              <w:rPr>
                <w:rFonts w:hint="eastAsia" w:cs="Times New Roman"/>
                <w:b/>
                <w:color w:val="auto"/>
                <w:kern w:val="21"/>
                <w:sz w:val="24"/>
                <w:szCs w:val="20"/>
                <w:highlight w:val="none"/>
                <w:lang w:val="en-US" w:eastAsia="zh-CN" w:bidi="ar-SA"/>
              </w:rPr>
              <w:t>4</w:t>
            </w:r>
            <w:r>
              <w:rPr>
                <w:rFonts w:hint="eastAsia" w:ascii="Times New Roman" w:hAnsi="Times New Roman" w:eastAsia="宋体" w:cs="Times New Roman"/>
                <w:b/>
                <w:color w:val="auto"/>
                <w:kern w:val="21"/>
                <w:sz w:val="24"/>
                <w:szCs w:val="20"/>
                <w:highlight w:val="none"/>
                <w:lang w:val="en-US" w:eastAsia="zh-CN" w:bidi="ar-SA"/>
              </w:rPr>
              <w:t xml:space="preserve">  </w:t>
            </w:r>
            <w:r>
              <w:rPr>
                <w:rFonts w:hint="default" w:ascii="Times New Roman" w:hAnsi="Times New Roman" w:eastAsia="宋体" w:cs="Times New Roman"/>
                <w:b/>
                <w:color w:val="auto"/>
                <w:kern w:val="21"/>
                <w:sz w:val="24"/>
                <w:szCs w:val="20"/>
                <w:highlight w:val="none"/>
                <w:lang w:val="en-US" w:eastAsia="zh-CN" w:bidi="ar-SA"/>
              </w:rPr>
              <w:t>现有污染物排放情况</w:t>
            </w:r>
          </w:p>
          <w:tbl>
            <w:tblPr>
              <w:tblStyle w:val="32"/>
              <w:tblW w:w="4991"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28" w:type="dxa"/>
                <w:bottom w:w="0" w:type="dxa"/>
                <w:right w:w="28" w:type="dxa"/>
              </w:tblCellMar>
            </w:tblPr>
            <w:tblGrid>
              <w:gridCol w:w="614"/>
              <w:gridCol w:w="1429"/>
              <w:gridCol w:w="2184"/>
              <w:gridCol w:w="2932"/>
              <w:gridCol w:w="118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340" w:hRule="atLeast"/>
                <w:jc w:val="center"/>
              </w:trPr>
              <w:tc>
                <w:tcPr>
                  <w:tcW w:w="368" w:type="pct"/>
                  <w:tcBorders>
                    <w:tl2br w:val="nil"/>
                    <w:tr2bl w:val="nil"/>
                  </w:tcBorders>
                  <w:noWrap w:val="0"/>
                  <w:vAlign w:val="center"/>
                </w:tcPr>
                <w:p>
                  <w:pPr>
                    <w:numPr>
                      <w:ilvl w:val="0"/>
                      <w:numId w:val="0"/>
                    </w:numPr>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内容类型</w:t>
                  </w:r>
                </w:p>
              </w:tc>
              <w:tc>
                <w:tcPr>
                  <w:tcW w:w="856" w:type="pct"/>
                  <w:tcBorders>
                    <w:tl2br w:val="nil"/>
                    <w:tr2bl w:val="nil"/>
                  </w:tcBorders>
                  <w:noWrap w:val="0"/>
                  <w:vAlign w:val="center"/>
                </w:tcPr>
                <w:p>
                  <w:pPr>
                    <w:numPr>
                      <w:ilvl w:val="0"/>
                      <w:numId w:val="0"/>
                    </w:numPr>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排放源（编号）</w:t>
                  </w:r>
                </w:p>
              </w:tc>
              <w:tc>
                <w:tcPr>
                  <w:tcW w:w="1309" w:type="pct"/>
                  <w:tcBorders>
                    <w:tl2br w:val="nil"/>
                    <w:tr2bl w:val="nil"/>
                  </w:tcBorders>
                  <w:noWrap w:val="0"/>
                  <w:vAlign w:val="center"/>
                </w:tcPr>
                <w:p>
                  <w:pPr>
                    <w:numPr>
                      <w:ilvl w:val="0"/>
                      <w:numId w:val="0"/>
                    </w:numPr>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污染物名称</w:t>
                  </w:r>
                </w:p>
              </w:tc>
              <w:tc>
                <w:tcPr>
                  <w:tcW w:w="1758" w:type="pct"/>
                  <w:tcBorders>
                    <w:tl2br w:val="nil"/>
                    <w:tr2bl w:val="nil"/>
                  </w:tcBorders>
                  <w:noWrap w:val="0"/>
                  <w:vAlign w:val="center"/>
                </w:tcPr>
                <w:p>
                  <w:pPr>
                    <w:numPr>
                      <w:ilvl w:val="0"/>
                      <w:numId w:val="0"/>
                    </w:numPr>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排放浓度及排放量(单位)</w:t>
                  </w:r>
                </w:p>
              </w:tc>
              <w:tc>
                <w:tcPr>
                  <w:tcW w:w="707" w:type="pct"/>
                  <w:tcBorders>
                    <w:tl2br w:val="nil"/>
                    <w:tr2bl w:val="nil"/>
                  </w:tcBorders>
                  <w:noWrap w:val="0"/>
                  <w:vAlign w:val="center"/>
                </w:tcPr>
                <w:p>
                  <w:pPr>
                    <w:numPr>
                      <w:ilvl w:val="0"/>
                      <w:numId w:val="0"/>
                    </w:numPr>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达标情况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cantSplit/>
                <w:trHeight w:val="340" w:hRule="atLeast"/>
                <w:jc w:val="center"/>
              </w:trPr>
              <w:tc>
                <w:tcPr>
                  <w:tcW w:w="368" w:type="pct"/>
                  <w:tcBorders>
                    <w:tl2br w:val="nil"/>
                    <w:tr2bl w:val="nil"/>
                  </w:tcBorders>
                  <w:noWrap w:val="0"/>
                  <w:vAlign w:val="center"/>
                </w:tcPr>
                <w:p>
                  <w:pPr>
                    <w:numPr>
                      <w:ilvl w:val="0"/>
                      <w:numId w:val="0"/>
                    </w:numPr>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废弃</w:t>
                  </w:r>
                </w:p>
              </w:tc>
              <w:tc>
                <w:tcPr>
                  <w:tcW w:w="856" w:type="pct"/>
                  <w:tcBorders>
                    <w:tl2br w:val="nil"/>
                    <w:tr2bl w:val="nil"/>
                  </w:tcBorders>
                  <w:noWrap w:val="0"/>
                  <w:vAlign w:val="center"/>
                </w:tcPr>
                <w:p>
                  <w:pPr>
                    <w:numPr>
                      <w:ilvl w:val="0"/>
                      <w:numId w:val="0"/>
                    </w:numPr>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焊接</w:t>
                  </w:r>
                </w:p>
              </w:tc>
              <w:tc>
                <w:tcPr>
                  <w:tcW w:w="1309" w:type="pct"/>
                  <w:tcBorders>
                    <w:tl2br w:val="nil"/>
                    <w:tr2bl w:val="nil"/>
                  </w:tcBorders>
                  <w:noWrap w:val="0"/>
                  <w:vAlign w:val="center"/>
                </w:tcPr>
                <w:p>
                  <w:pPr>
                    <w:numPr>
                      <w:ilvl w:val="0"/>
                      <w:numId w:val="0"/>
                    </w:numPr>
                    <w:spacing w:line="240" w:lineRule="auto"/>
                    <w:jc w:val="center"/>
                    <w:rPr>
                      <w:rFonts w:hint="default"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颗粒物</w:t>
                  </w:r>
                </w:p>
              </w:tc>
              <w:tc>
                <w:tcPr>
                  <w:tcW w:w="1758" w:type="pct"/>
                  <w:tcBorders>
                    <w:tl2br w:val="nil"/>
                    <w:tr2bl w:val="nil"/>
                  </w:tcBorders>
                  <w:noWrap w:val="0"/>
                  <w:vAlign w:val="center"/>
                </w:tcPr>
                <w:p>
                  <w:pPr>
                    <w:numPr>
                      <w:ilvl w:val="0"/>
                      <w:numId w:val="0"/>
                    </w:numPr>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无组织</w:t>
                  </w:r>
                  <w:r>
                    <w:rPr>
                      <w:rFonts w:hint="eastAsia" w:eastAsia="宋体" w:cs="Times New Roman"/>
                      <w:b w:val="0"/>
                      <w:bCs w:val="0"/>
                      <w:color w:val="auto"/>
                      <w:sz w:val="21"/>
                      <w:szCs w:val="21"/>
                      <w:highlight w:val="none"/>
                      <w:vertAlign w:val="baseline"/>
                      <w:lang w:val="en-US" w:eastAsia="zh-CN"/>
                    </w:rPr>
                    <w:t>：0.</w:t>
                  </w:r>
                  <w:r>
                    <w:rPr>
                      <w:rFonts w:hint="eastAsia" w:cs="Times New Roman"/>
                      <w:b w:val="0"/>
                      <w:bCs w:val="0"/>
                      <w:color w:val="auto"/>
                      <w:sz w:val="21"/>
                      <w:szCs w:val="21"/>
                      <w:highlight w:val="none"/>
                      <w:vertAlign w:val="baseline"/>
                      <w:lang w:val="en-US" w:eastAsia="zh-CN"/>
                    </w:rPr>
                    <w:t>284</w:t>
                  </w:r>
                  <w:r>
                    <w:rPr>
                      <w:rFonts w:hint="default" w:ascii="Times New Roman" w:hAnsi="Times New Roman" w:eastAsia="宋体" w:cs="Times New Roman"/>
                      <w:b w:val="0"/>
                      <w:bCs w:val="0"/>
                      <w:color w:val="auto"/>
                      <w:sz w:val="21"/>
                      <w:szCs w:val="21"/>
                      <w:highlight w:val="none"/>
                      <w:vertAlign w:val="baseline"/>
                      <w:lang w:val="en-US" w:eastAsia="zh-CN"/>
                    </w:rPr>
                    <w:t>mg/</w:t>
                  </w:r>
                  <w:r>
                    <w:rPr>
                      <w:rFonts w:hint="eastAsia" w:cs="Times New Roman"/>
                      <w:b w:val="0"/>
                      <w:bCs w:val="0"/>
                      <w:color w:val="auto"/>
                      <w:sz w:val="21"/>
                      <w:szCs w:val="21"/>
                      <w:highlight w:val="none"/>
                      <w:vertAlign w:val="baseline"/>
                      <w:lang w:val="en-US" w:eastAsia="zh-CN"/>
                    </w:rPr>
                    <w:t>m³</w:t>
                  </w:r>
                </w:p>
              </w:tc>
              <w:tc>
                <w:tcPr>
                  <w:tcW w:w="707" w:type="pct"/>
                  <w:tcBorders>
                    <w:tl2br w:val="nil"/>
                    <w:tr2bl w:val="nil"/>
                  </w:tcBorders>
                  <w:noWrap w:val="0"/>
                  <w:vAlign w:val="center"/>
                </w:tcPr>
                <w:p>
                  <w:pPr>
                    <w:numPr>
                      <w:ilvl w:val="0"/>
                      <w:numId w:val="0"/>
                    </w:numPr>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达标排放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cantSplit/>
                <w:trHeight w:val="340" w:hRule="atLeast"/>
                <w:jc w:val="center"/>
              </w:trPr>
              <w:tc>
                <w:tcPr>
                  <w:tcW w:w="368" w:type="pct"/>
                  <w:tcBorders>
                    <w:top w:val="single" w:color="auto" w:sz="4" w:space="0"/>
                    <w:tl2br w:val="nil"/>
                    <w:tr2bl w:val="nil"/>
                  </w:tcBorders>
                  <w:noWrap w:val="0"/>
                  <w:vAlign w:val="center"/>
                </w:tcPr>
                <w:p>
                  <w:pPr>
                    <w:numPr>
                      <w:ilvl w:val="0"/>
                      <w:numId w:val="0"/>
                    </w:numPr>
                    <w:spacing w:line="240" w:lineRule="auto"/>
                    <w:jc w:val="center"/>
                    <w:rPr>
                      <w:rFonts w:hint="eastAsia"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水污染物</w:t>
                  </w:r>
                </w:p>
              </w:tc>
              <w:tc>
                <w:tcPr>
                  <w:tcW w:w="856" w:type="pct"/>
                  <w:tcBorders>
                    <w:top w:val="single" w:color="auto" w:sz="4" w:space="0"/>
                    <w:tl2br w:val="nil"/>
                    <w:tr2bl w:val="nil"/>
                  </w:tcBorders>
                  <w:noWrap w:val="0"/>
                  <w:vAlign w:val="center"/>
                </w:tcPr>
                <w:p>
                  <w:pPr>
                    <w:numPr>
                      <w:ilvl w:val="0"/>
                      <w:numId w:val="0"/>
                    </w:numPr>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生活污水</w:t>
                  </w:r>
                </w:p>
              </w:tc>
              <w:tc>
                <w:tcPr>
                  <w:tcW w:w="1309" w:type="pct"/>
                  <w:tcBorders>
                    <w:tl2br w:val="nil"/>
                    <w:tr2bl w:val="nil"/>
                  </w:tcBorders>
                  <w:noWrap w:val="0"/>
                  <w:vAlign w:val="center"/>
                </w:tcPr>
                <w:p>
                  <w:pPr>
                    <w:numPr>
                      <w:ilvl w:val="0"/>
                      <w:numId w:val="0"/>
                    </w:numPr>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生活污水</w:t>
                  </w:r>
                </w:p>
              </w:tc>
              <w:tc>
                <w:tcPr>
                  <w:tcW w:w="1758" w:type="pct"/>
                  <w:tcBorders>
                    <w:tl2br w:val="nil"/>
                    <w:tr2bl w:val="nil"/>
                  </w:tcBorders>
                  <w:noWrap w:val="0"/>
                  <w:vAlign w:val="center"/>
                </w:tcPr>
                <w:p>
                  <w:pPr>
                    <w:numPr>
                      <w:ilvl w:val="0"/>
                      <w:numId w:val="0"/>
                    </w:numPr>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eastAsia" w:ascii="Times New Roman" w:hAnsi="Times New Roman" w:cs="Times New Roman"/>
                      <w:b w:val="0"/>
                      <w:bCs w:val="0"/>
                      <w:color w:val="auto"/>
                      <w:sz w:val="21"/>
                      <w:szCs w:val="21"/>
                      <w:highlight w:val="none"/>
                      <w:vertAlign w:val="baseline"/>
                      <w:lang w:val="en-US" w:eastAsia="zh-CN"/>
                    </w:rPr>
                    <w:t>厂区内设置</w:t>
                  </w:r>
                  <w:r>
                    <w:rPr>
                      <w:rFonts w:hint="eastAsia" w:cs="Times New Roman"/>
                      <w:b w:val="0"/>
                      <w:bCs w:val="0"/>
                      <w:color w:val="auto"/>
                      <w:sz w:val="21"/>
                      <w:szCs w:val="21"/>
                      <w:highlight w:val="none"/>
                      <w:vertAlign w:val="baseline"/>
                      <w:lang w:val="en-US" w:eastAsia="zh-CN"/>
                    </w:rPr>
                    <w:t>化粪池</w:t>
                  </w:r>
                  <w:r>
                    <w:rPr>
                      <w:rFonts w:hint="eastAsia" w:ascii="Times New Roman" w:hAnsi="Times New Roman" w:cs="Times New Roman"/>
                      <w:b w:val="0"/>
                      <w:bCs w:val="0"/>
                      <w:color w:val="auto"/>
                      <w:sz w:val="21"/>
                      <w:szCs w:val="21"/>
                      <w:highlight w:val="none"/>
                      <w:vertAlign w:val="baseline"/>
                      <w:lang w:val="en-US" w:eastAsia="zh-CN"/>
                    </w:rPr>
                    <w:t>，定期清掏</w:t>
                  </w:r>
                </w:p>
              </w:tc>
              <w:tc>
                <w:tcPr>
                  <w:tcW w:w="707" w:type="pct"/>
                  <w:tcBorders>
                    <w:tl2br w:val="nil"/>
                    <w:tr2bl w:val="nil"/>
                  </w:tcBorders>
                  <w:noWrap w:val="0"/>
                  <w:vAlign w:val="center"/>
                </w:tcPr>
                <w:p>
                  <w:pPr>
                    <w:numPr>
                      <w:ilvl w:val="0"/>
                      <w:numId w:val="0"/>
                    </w:numPr>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不外排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cantSplit/>
                <w:trHeight w:val="318" w:hRule="atLeast"/>
                <w:jc w:val="center"/>
              </w:trPr>
              <w:tc>
                <w:tcPr>
                  <w:tcW w:w="368" w:type="pct"/>
                  <w:vMerge w:val="restart"/>
                  <w:tcBorders>
                    <w:tl2br w:val="nil"/>
                    <w:tr2bl w:val="nil"/>
                  </w:tcBorders>
                  <w:noWrap w:val="0"/>
                  <w:vAlign w:val="center"/>
                </w:tcPr>
                <w:p>
                  <w:pPr>
                    <w:numPr>
                      <w:ilvl w:val="0"/>
                      <w:numId w:val="0"/>
                    </w:numPr>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固体废物</w:t>
                  </w:r>
                </w:p>
              </w:tc>
              <w:tc>
                <w:tcPr>
                  <w:tcW w:w="856" w:type="pct"/>
                  <w:vMerge w:val="restart"/>
                  <w:tcBorders>
                    <w:tl2br w:val="nil"/>
                    <w:tr2bl w:val="nil"/>
                  </w:tcBorders>
                  <w:noWrap w:val="0"/>
                  <w:vAlign w:val="center"/>
                </w:tcPr>
                <w:p>
                  <w:pPr>
                    <w:numPr>
                      <w:ilvl w:val="0"/>
                      <w:numId w:val="0"/>
                    </w:numPr>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一般工业固体废物</w:t>
                  </w:r>
                </w:p>
              </w:tc>
              <w:tc>
                <w:tcPr>
                  <w:tcW w:w="1309" w:type="pct"/>
                  <w:tcBorders>
                    <w:bottom w:val="single" w:color="auto" w:sz="4" w:space="0"/>
                    <w:tl2br w:val="nil"/>
                    <w:tr2bl w:val="nil"/>
                  </w:tcBorders>
                  <w:noWrap w:val="0"/>
                  <w:vAlign w:val="center"/>
                </w:tcPr>
                <w:p>
                  <w:pPr>
                    <w:numPr>
                      <w:ilvl w:val="0"/>
                      <w:numId w:val="0"/>
                    </w:numPr>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eastAsia" w:ascii="Times New Roman" w:hAnsi="Times New Roman" w:eastAsia="宋体" w:cs="Times New Roman"/>
                      <w:b w:val="0"/>
                      <w:bCs w:val="0"/>
                      <w:color w:val="auto"/>
                      <w:sz w:val="21"/>
                      <w:szCs w:val="21"/>
                      <w:highlight w:val="none"/>
                      <w:vertAlign w:val="baseline"/>
                      <w:lang w:val="en-US" w:eastAsia="zh-CN"/>
                    </w:rPr>
                    <w:t>边角料</w:t>
                  </w:r>
                  <w:r>
                    <w:rPr>
                      <w:rFonts w:hint="eastAsia" w:cs="Times New Roman"/>
                      <w:b w:val="0"/>
                      <w:bCs w:val="0"/>
                      <w:color w:val="auto"/>
                      <w:sz w:val="21"/>
                      <w:szCs w:val="21"/>
                      <w:highlight w:val="none"/>
                      <w:vertAlign w:val="baseline"/>
                      <w:lang w:val="en-US" w:eastAsia="zh-CN"/>
                    </w:rPr>
                    <w:t>、废焊头、金属屑、粉尘</w:t>
                  </w:r>
                </w:p>
              </w:tc>
              <w:tc>
                <w:tcPr>
                  <w:tcW w:w="1758" w:type="pct"/>
                  <w:tcBorders>
                    <w:bottom w:val="single" w:color="auto" w:sz="4" w:space="0"/>
                    <w:tl2br w:val="nil"/>
                    <w:tr2bl w:val="nil"/>
                  </w:tcBorders>
                  <w:noWrap w:val="0"/>
                  <w:vAlign w:val="center"/>
                </w:tcPr>
                <w:p>
                  <w:pPr>
                    <w:numPr>
                      <w:ilvl w:val="0"/>
                      <w:numId w:val="0"/>
                    </w:numPr>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收集后统一外售</w:t>
                  </w:r>
                </w:p>
              </w:tc>
              <w:tc>
                <w:tcPr>
                  <w:tcW w:w="707" w:type="pct"/>
                  <w:vMerge w:val="restart"/>
                  <w:tcBorders>
                    <w:tl2br w:val="nil"/>
                    <w:tr2bl w:val="nil"/>
                  </w:tcBorders>
                  <w:noWrap w:val="0"/>
                  <w:vAlign w:val="center"/>
                </w:tcPr>
                <w:p>
                  <w:pPr>
                    <w:numPr>
                      <w:ilvl w:val="0"/>
                      <w:numId w:val="0"/>
                    </w:numPr>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合理处置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cantSplit/>
                <w:trHeight w:val="241" w:hRule="atLeast"/>
                <w:jc w:val="center"/>
              </w:trPr>
              <w:tc>
                <w:tcPr>
                  <w:tcW w:w="368" w:type="pct"/>
                  <w:vMerge w:val="continue"/>
                  <w:tcBorders>
                    <w:tl2br w:val="nil"/>
                    <w:tr2bl w:val="nil"/>
                  </w:tcBorders>
                  <w:noWrap w:val="0"/>
                  <w:vAlign w:val="center"/>
                </w:tcPr>
                <w:p>
                  <w:pPr>
                    <w:numPr>
                      <w:ilvl w:val="0"/>
                      <w:numId w:val="0"/>
                    </w:numPr>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p>
              </w:tc>
              <w:tc>
                <w:tcPr>
                  <w:tcW w:w="856" w:type="pct"/>
                  <w:vMerge w:val="continue"/>
                  <w:tcBorders>
                    <w:tl2br w:val="nil"/>
                    <w:tr2bl w:val="nil"/>
                  </w:tcBorders>
                  <w:noWrap w:val="0"/>
                  <w:vAlign w:val="center"/>
                </w:tcPr>
                <w:p>
                  <w:pPr>
                    <w:numPr>
                      <w:ilvl w:val="0"/>
                      <w:numId w:val="0"/>
                    </w:numPr>
                    <w:spacing w:line="240" w:lineRule="auto"/>
                    <w:jc w:val="center"/>
                    <w:rPr>
                      <w:rFonts w:hint="eastAsia" w:cs="Times New Roman"/>
                      <w:b w:val="0"/>
                      <w:bCs w:val="0"/>
                      <w:color w:val="auto"/>
                      <w:sz w:val="21"/>
                      <w:szCs w:val="21"/>
                      <w:highlight w:val="none"/>
                      <w:vertAlign w:val="baseline"/>
                      <w:lang w:val="en-US" w:eastAsia="zh-CN"/>
                    </w:rPr>
                  </w:pPr>
                </w:p>
              </w:tc>
              <w:tc>
                <w:tcPr>
                  <w:tcW w:w="1309" w:type="pct"/>
                  <w:tcBorders>
                    <w:top w:val="single" w:color="auto" w:sz="4" w:space="0"/>
                    <w:tl2br w:val="nil"/>
                    <w:tr2bl w:val="nil"/>
                  </w:tcBorders>
                  <w:noWrap w:val="0"/>
                  <w:vAlign w:val="center"/>
                </w:tcPr>
                <w:p>
                  <w:pPr>
                    <w:numPr>
                      <w:ilvl w:val="0"/>
                      <w:numId w:val="0"/>
                    </w:numPr>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生活垃圾、含油抹布</w:t>
                  </w:r>
                </w:p>
              </w:tc>
              <w:tc>
                <w:tcPr>
                  <w:tcW w:w="1758" w:type="pct"/>
                  <w:tcBorders>
                    <w:top w:val="single" w:color="auto" w:sz="4" w:space="0"/>
                    <w:tl2br w:val="nil"/>
                    <w:tr2bl w:val="nil"/>
                  </w:tcBorders>
                  <w:noWrap w:val="0"/>
                  <w:vAlign w:val="center"/>
                </w:tcPr>
                <w:p>
                  <w:pPr>
                    <w:numPr>
                      <w:ilvl w:val="0"/>
                      <w:numId w:val="0"/>
                    </w:numPr>
                    <w:spacing w:line="240" w:lineRule="auto"/>
                    <w:jc w:val="center"/>
                    <w:rPr>
                      <w:rFonts w:hint="default"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交由环卫部门统一收集处置</w:t>
                  </w:r>
                </w:p>
              </w:tc>
              <w:tc>
                <w:tcPr>
                  <w:tcW w:w="707" w:type="pct"/>
                  <w:vMerge w:val="continue"/>
                  <w:tcBorders>
                    <w:tl2br w:val="nil"/>
                    <w:tr2bl w:val="nil"/>
                  </w:tcBorders>
                  <w:noWrap w:val="0"/>
                  <w:vAlign w:val="center"/>
                </w:tcPr>
                <w:p>
                  <w:pPr>
                    <w:numPr>
                      <w:ilvl w:val="0"/>
                      <w:numId w:val="0"/>
                    </w:numPr>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cantSplit/>
                <w:trHeight w:val="0" w:hRule="atLeast"/>
                <w:jc w:val="center"/>
              </w:trPr>
              <w:tc>
                <w:tcPr>
                  <w:tcW w:w="368" w:type="pct"/>
                  <w:vMerge w:val="continue"/>
                  <w:tcBorders>
                    <w:bottom w:val="single" w:color="auto" w:sz="4" w:space="0"/>
                    <w:tl2br w:val="nil"/>
                    <w:tr2bl w:val="nil"/>
                  </w:tcBorders>
                  <w:noWrap w:val="0"/>
                  <w:vAlign w:val="center"/>
                </w:tcPr>
                <w:p>
                  <w:pPr>
                    <w:numPr>
                      <w:ilvl w:val="0"/>
                      <w:numId w:val="0"/>
                    </w:numPr>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p>
              </w:tc>
              <w:tc>
                <w:tcPr>
                  <w:tcW w:w="856" w:type="pct"/>
                  <w:tcBorders>
                    <w:bottom w:val="single" w:color="auto" w:sz="4" w:space="0"/>
                    <w:tl2br w:val="nil"/>
                    <w:tr2bl w:val="nil"/>
                  </w:tcBorders>
                  <w:noWrap w:val="0"/>
                  <w:vAlign w:val="center"/>
                </w:tcPr>
                <w:p>
                  <w:pPr>
                    <w:numPr>
                      <w:ilvl w:val="0"/>
                      <w:numId w:val="0"/>
                    </w:numPr>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eastAsia" w:eastAsia="宋体" w:cs="Times New Roman"/>
                      <w:b w:val="0"/>
                      <w:bCs w:val="0"/>
                      <w:color w:val="auto"/>
                      <w:sz w:val="21"/>
                      <w:szCs w:val="21"/>
                      <w:highlight w:val="none"/>
                      <w:vertAlign w:val="baseline"/>
                      <w:lang w:val="en-US" w:eastAsia="zh-CN"/>
                    </w:rPr>
                    <w:t>危险废物</w:t>
                  </w:r>
                </w:p>
              </w:tc>
              <w:tc>
                <w:tcPr>
                  <w:tcW w:w="1309" w:type="pct"/>
                  <w:tcBorders>
                    <w:bottom w:val="single" w:color="auto" w:sz="4" w:space="0"/>
                    <w:tl2br w:val="nil"/>
                    <w:tr2bl w:val="nil"/>
                  </w:tcBorders>
                  <w:noWrap w:val="0"/>
                  <w:vAlign w:val="center"/>
                </w:tcPr>
                <w:p>
                  <w:pPr>
                    <w:numPr>
                      <w:ilvl w:val="0"/>
                      <w:numId w:val="0"/>
                    </w:numPr>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废润滑油、废机油、废液压油</w:t>
                  </w:r>
                </w:p>
              </w:tc>
              <w:tc>
                <w:tcPr>
                  <w:tcW w:w="1758" w:type="pct"/>
                  <w:tcBorders>
                    <w:bottom w:val="single" w:color="auto" w:sz="4" w:space="0"/>
                    <w:tl2br w:val="nil"/>
                    <w:tr2bl w:val="nil"/>
                  </w:tcBorders>
                  <w:noWrap w:val="0"/>
                  <w:vAlign w:val="center"/>
                </w:tcPr>
                <w:p>
                  <w:pPr>
                    <w:numPr>
                      <w:ilvl w:val="0"/>
                      <w:numId w:val="0"/>
                    </w:numPr>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eastAsia" w:eastAsia="宋体" w:cs="Times New Roman"/>
                      <w:b w:val="0"/>
                      <w:bCs w:val="0"/>
                      <w:color w:val="auto"/>
                      <w:sz w:val="21"/>
                      <w:szCs w:val="21"/>
                      <w:highlight w:val="none"/>
                      <w:vertAlign w:val="baseline"/>
                      <w:lang w:val="en-US" w:eastAsia="zh-CN"/>
                    </w:rPr>
                    <w:t>暂存危废间定期交由有资质单位运输处理</w:t>
                  </w:r>
                </w:p>
              </w:tc>
              <w:tc>
                <w:tcPr>
                  <w:tcW w:w="707" w:type="pct"/>
                  <w:vMerge w:val="continue"/>
                  <w:tcBorders>
                    <w:bottom w:val="single" w:color="auto" w:sz="4" w:space="0"/>
                    <w:tl2br w:val="nil"/>
                    <w:tr2bl w:val="nil"/>
                  </w:tcBorders>
                  <w:noWrap w:val="0"/>
                  <w:vAlign w:val="center"/>
                </w:tcPr>
                <w:p>
                  <w:pPr>
                    <w:numPr>
                      <w:ilvl w:val="0"/>
                      <w:numId w:val="0"/>
                    </w:numPr>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cantSplit/>
                <w:trHeight w:val="340" w:hRule="atLeast"/>
                <w:jc w:val="center"/>
              </w:trPr>
              <w:tc>
                <w:tcPr>
                  <w:tcW w:w="368" w:type="pct"/>
                  <w:tcBorders>
                    <w:tl2br w:val="nil"/>
                    <w:tr2bl w:val="nil"/>
                  </w:tcBorders>
                  <w:noWrap w:val="0"/>
                  <w:vAlign w:val="center"/>
                </w:tcPr>
                <w:p>
                  <w:pPr>
                    <w:numPr>
                      <w:ilvl w:val="0"/>
                      <w:numId w:val="0"/>
                    </w:numPr>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噪声</w:t>
                  </w:r>
                </w:p>
              </w:tc>
              <w:tc>
                <w:tcPr>
                  <w:tcW w:w="4631" w:type="pct"/>
                  <w:gridSpan w:val="4"/>
                  <w:tcBorders>
                    <w:tl2br w:val="nil"/>
                    <w:tr2bl w:val="nil"/>
                  </w:tcBorders>
                  <w:noWrap w:val="0"/>
                  <w:vAlign w:val="center"/>
                </w:tcPr>
                <w:p>
                  <w:pPr>
                    <w:numPr>
                      <w:ilvl w:val="0"/>
                      <w:numId w:val="0"/>
                    </w:numPr>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eastAsia="宋体" w:cs="Times New Roman"/>
                      <w:b w:val="0"/>
                      <w:bCs w:val="0"/>
                      <w:color w:val="auto"/>
                      <w:sz w:val="21"/>
                      <w:szCs w:val="21"/>
                      <w:highlight w:val="none"/>
                      <w:vertAlign w:val="baseline"/>
                      <w:lang w:val="en-US" w:eastAsia="zh-CN"/>
                    </w:rPr>
                    <w:t>项目噪声源为各生产设备运行时产生的噪声，厂界昼间噪声最大值为</w:t>
                  </w:r>
                  <w:r>
                    <w:rPr>
                      <w:rFonts w:hint="eastAsia" w:cs="Times New Roman"/>
                      <w:b w:val="0"/>
                      <w:bCs w:val="0"/>
                      <w:color w:val="auto"/>
                      <w:sz w:val="21"/>
                      <w:szCs w:val="21"/>
                      <w:highlight w:val="none"/>
                      <w:vertAlign w:val="baseline"/>
                      <w:lang w:val="en-US" w:eastAsia="zh-CN"/>
                    </w:rPr>
                    <w:t>58.7</w:t>
                  </w:r>
                  <w:r>
                    <w:rPr>
                      <w:rFonts w:hint="default" w:ascii="Times New Roman" w:hAnsi="Times New Roman" w:eastAsia="宋体" w:cs="Times New Roman"/>
                      <w:b w:val="0"/>
                      <w:bCs w:val="0"/>
                      <w:color w:val="auto"/>
                      <w:sz w:val="21"/>
                      <w:szCs w:val="21"/>
                      <w:highlight w:val="none"/>
                      <w:vertAlign w:val="baseline"/>
                      <w:lang w:val="en-US" w:eastAsia="zh-CN"/>
                    </w:rPr>
                    <w:t>dB(A)，符合《工业企业厂界环境噪声排放标准》（GB12348-2008）表1中</w:t>
                  </w:r>
                  <w:r>
                    <w:rPr>
                      <w:rFonts w:hint="eastAsia" w:cs="Times New Roman"/>
                      <w:b w:val="0"/>
                      <w:bCs w:val="0"/>
                      <w:color w:val="auto"/>
                      <w:sz w:val="21"/>
                      <w:szCs w:val="21"/>
                      <w:highlight w:val="none"/>
                      <w:vertAlign w:val="baseline"/>
                      <w:lang w:val="en-US" w:eastAsia="zh-CN"/>
                    </w:rPr>
                    <w:t>3</w:t>
                  </w:r>
                  <w:r>
                    <w:rPr>
                      <w:rFonts w:hint="default" w:ascii="Times New Roman" w:hAnsi="Times New Roman" w:eastAsia="宋体" w:cs="Times New Roman"/>
                      <w:b w:val="0"/>
                      <w:bCs w:val="0"/>
                      <w:color w:val="auto"/>
                      <w:sz w:val="21"/>
                      <w:szCs w:val="21"/>
                      <w:highlight w:val="none"/>
                      <w:vertAlign w:val="baseline"/>
                      <w:lang w:val="en-US" w:eastAsia="zh-CN"/>
                    </w:rPr>
                    <w:t>类标准</w:t>
                  </w:r>
                  <w:r>
                    <w:rPr>
                      <w:rFonts w:hint="eastAsia" w:cs="Times New Roman"/>
                      <w:b w:val="0"/>
                      <w:bCs w:val="0"/>
                      <w:color w:val="auto"/>
                      <w:sz w:val="21"/>
                      <w:szCs w:val="21"/>
                      <w:highlight w:val="none"/>
                      <w:vertAlign w:val="baseline"/>
                      <w:lang w:val="en-US" w:eastAsia="zh-CN"/>
                    </w:rPr>
                    <w:t>,即昼间≤65dB（A）（本项目夜间不生产）</w:t>
                  </w:r>
                  <w:r>
                    <w:rPr>
                      <w:rFonts w:hint="default" w:ascii="Times New Roman" w:hAnsi="Times New Roman" w:eastAsia="宋体" w:cs="Times New Roman"/>
                      <w:b w:val="0"/>
                      <w:bCs w:val="0"/>
                      <w:color w:val="auto"/>
                      <w:sz w:val="21"/>
                      <w:szCs w:val="21"/>
                      <w:highlight w:val="none"/>
                      <w:vertAlign w:val="baseline"/>
                      <w:lang w:val="en-US" w:eastAsia="zh-CN"/>
                    </w:rPr>
                    <w:t>。</w:t>
                  </w:r>
                </w:p>
              </w:tc>
            </w:tr>
          </w:tbl>
          <w:p>
            <w:pPr>
              <w:pStyle w:val="10"/>
              <w:bidi w:val="0"/>
              <w:rPr>
                <w:rFonts w:hint="default" w:ascii="Times New Roman" w:hAnsi="Times New Roman" w:cs="Times New Roman"/>
                <w:color w:val="auto"/>
                <w:sz w:val="24"/>
                <w:szCs w:val="28"/>
                <w:highlight w:val="none"/>
                <w:lang w:val="en-US" w:eastAsia="zh-CN"/>
              </w:rPr>
            </w:pPr>
            <w:r>
              <w:rPr>
                <w:rFonts w:hint="default" w:ascii="Times New Roman" w:hAnsi="Times New Roman" w:cs="Times New Roman"/>
                <w:color w:val="auto"/>
                <w:sz w:val="24"/>
                <w:szCs w:val="28"/>
                <w:highlight w:val="none"/>
                <w:lang w:val="en-US" w:eastAsia="zh-CN"/>
              </w:rPr>
              <w:t xml:space="preserve">3 </w:t>
            </w:r>
            <w:r>
              <w:rPr>
                <w:rFonts w:hint="eastAsia" w:cs="Times New Roman"/>
                <w:color w:val="auto"/>
                <w:sz w:val="24"/>
                <w:szCs w:val="28"/>
                <w:highlight w:val="none"/>
                <w:lang w:val="en-US" w:eastAsia="zh-CN"/>
              </w:rPr>
              <w:t>现有</w:t>
            </w:r>
            <w:r>
              <w:rPr>
                <w:rFonts w:hint="default" w:ascii="Times New Roman" w:hAnsi="Times New Roman" w:cs="Times New Roman"/>
                <w:color w:val="auto"/>
                <w:sz w:val="24"/>
                <w:szCs w:val="28"/>
                <w:highlight w:val="none"/>
                <w:lang w:val="en-US" w:eastAsia="zh-CN"/>
              </w:rPr>
              <w:t>工程存在的问题</w:t>
            </w:r>
          </w:p>
          <w:p>
            <w:pPr>
              <w:pStyle w:val="50"/>
              <w:numPr>
                <w:ilvl w:val="0"/>
                <w:numId w:val="0"/>
              </w:numPr>
              <w:bidi w:val="0"/>
              <w:ind w:leftChars="0"/>
              <w:rPr>
                <w:rFonts w:hint="default" w:ascii="Times New Roman" w:hAnsi="Times New Roman" w:cs="Times New Roman"/>
                <w:b w:val="0"/>
                <w:bCs w:val="0"/>
                <w:color w:val="auto"/>
                <w:highlight w:val="none"/>
                <w:lang w:val="en-US" w:eastAsia="zh-CN"/>
              </w:rPr>
            </w:pPr>
            <w:r>
              <w:rPr>
                <w:rFonts w:hint="eastAsia" w:ascii="Times New Roman" w:hAnsi="Times New Roman" w:cs="Times New Roman"/>
                <w:b w:val="0"/>
                <w:bCs w:val="0"/>
                <w:color w:val="auto"/>
                <w:kern w:val="2"/>
                <w:sz w:val="24"/>
                <w:szCs w:val="24"/>
                <w:highlight w:val="none"/>
                <w:lang w:val="en-US" w:eastAsia="zh-CN" w:bidi="ar-SA"/>
              </w:rPr>
              <w:t>（1）</w:t>
            </w:r>
            <w:r>
              <w:rPr>
                <w:rFonts w:hint="default" w:ascii="Times New Roman" w:hAnsi="Times New Roman" w:cs="Times New Roman"/>
                <w:b w:val="0"/>
                <w:bCs w:val="0"/>
                <w:color w:val="auto"/>
                <w:kern w:val="2"/>
                <w:sz w:val="24"/>
                <w:szCs w:val="24"/>
                <w:highlight w:val="none"/>
                <w:lang w:val="en-US" w:eastAsia="zh-CN" w:bidi="ar-SA"/>
              </w:rPr>
              <w:t>存在问题</w:t>
            </w:r>
            <w:r>
              <w:rPr>
                <w:rFonts w:hint="eastAsia" w:ascii="Times New Roman" w:hAnsi="Times New Roman" w:cs="Times New Roman"/>
                <w:b w:val="0"/>
                <w:bCs w:val="0"/>
                <w:color w:val="auto"/>
                <w:kern w:val="2"/>
                <w:sz w:val="24"/>
                <w:szCs w:val="24"/>
                <w:highlight w:val="none"/>
                <w:lang w:val="en-US" w:eastAsia="zh-CN" w:bidi="ar-SA"/>
              </w:rPr>
              <w:t>：</w:t>
            </w:r>
            <w:r>
              <w:rPr>
                <w:rFonts w:hint="eastAsia" w:cs="Times New Roman"/>
                <w:b w:val="0"/>
                <w:bCs w:val="0"/>
                <w:color w:val="auto"/>
                <w:highlight w:val="none"/>
                <w:lang w:val="en-US" w:eastAsia="zh-CN"/>
              </w:rPr>
              <w:t>现有环评固体废物中含油金属屑处置未写明</w:t>
            </w:r>
            <w:r>
              <w:rPr>
                <w:rFonts w:hint="default" w:ascii="Times New Roman" w:hAnsi="Times New Roman" w:cs="Times New Roman"/>
                <w:b w:val="0"/>
                <w:bCs w:val="0"/>
                <w:color w:val="auto"/>
                <w:highlight w:val="none"/>
                <w:lang w:val="en-US" w:eastAsia="zh-CN"/>
              </w:rPr>
              <w:t>。</w:t>
            </w:r>
          </w:p>
          <w:p>
            <w:pPr>
              <w:pStyle w:val="11"/>
              <w:bidi w:val="0"/>
              <w:rPr>
                <w:rFonts w:hint="default" w:ascii="Times New Roman" w:hAnsi="Times New Roman" w:cs="Times New Roman"/>
                <w:color w:val="auto"/>
                <w:highlight w:val="none"/>
                <w:lang w:val="en-US" w:eastAsia="zh-CN"/>
              </w:rPr>
            </w:pPr>
            <w:r>
              <w:rPr>
                <w:rFonts w:hint="eastAsia" w:cs="Times New Roman"/>
                <w:b w:val="0"/>
                <w:bCs w:val="0"/>
                <w:color w:val="auto"/>
                <w:highlight w:val="none"/>
                <w:lang w:val="en-US" w:eastAsia="zh-CN"/>
              </w:rPr>
              <w:t>（2）</w:t>
            </w:r>
            <w:r>
              <w:rPr>
                <w:rFonts w:hint="default" w:ascii="Times New Roman" w:hAnsi="Times New Roman" w:cs="Times New Roman"/>
                <w:b w:val="0"/>
                <w:bCs w:val="0"/>
                <w:color w:val="auto"/>
                <w:highlight w:val="none"/>
                <w:lang w:val="en-US" w:eastAsia="zh-CN"/>
              </w:rPr>
              <w:t>解决方式</w:t>
            </w:r>
            <w:r>
              <w:rPr>
                <w:rFonts w:hint="eastAsia" w:cs="Times New Roman"/>
                <w:b w:val="0"/>
                <w:bCs w:val="0"/>
                <w:color w:val="auto"/>
                <w:highlight w:val="none"/>
                <w:lang w:val="en-US" w:eastAsia="zh-CN"/>
              </w:rPr>
              <w:t>：根据现场踏勘，本项目含乳化液金属屑经过滤系统进行过滤，乳化液收集后回用生产，过滤后的金属屑外售，处置合理</w:t>
            </w:r>
            <w:r>
              <w:rPr>
                <w:rFonts w:hint="default" w:ascii="Times New Roman" w:hAnsi="Times New Roman" w:cs="Times New Roman"/>
                <w:b w:val="0"/>
                <w:bCs w:val="0"/>
                <w:color w:val="auto"/>
                <w:highlight w:val="none"/>
                <w:lang w:val="en-US" w:eastAsia="zh-CN"/>
              </w:rPr>
              <w:t>。</w:t>
            </w:r>
            <w:r>
              <w:rPr>
                <w:rFonts w:hint="eastAsia" w:cs="Times New Roman"/>
                <w:b w:val="0"/>
                <w:bCs w:val="0"/>
                <w:color w:val="auto"/>
                <w:highlight w:val="none"/>
                <w:lang w:val="en-US" w:eastAsia="zh-CN"/>
              </w:rPr>
              <w:t>本环评要求，外售金属屑要保证无润滑油滴落的状态才可出售。</w:t>
            </w:r>
          </w:p>
        </w:tc>
      </w:tr>
    </w:tbl>
    <w:p>
      <w:pPr>
        <w:rPr>
          <w:rFonts w:hint="default" w:ascii="Times New Roman" w:hAnsi="Times New Roman" w:cs="Times New Roman"/>
          <w:color w:val="auto"/>
          <w:highlight w:val="none"/>
        </w:rPr>
        <w:sectPr>
          <w:pgSz w:w="11905" w:h="16838"/>
          <w:pgMar w:top="1440" w:right="1587" w:bottom="1440" w:left="1587" w:header="851" w:footer="850" w:gutter="0"/>
          <w:pgBorders>
            <w:top w:val="none" w:sz="0" w:space="0"/>
            <w:left w:val="none" w:sz="0" w:space="0"/>
            <w:bottom w:val="none" w:sz="0" w:space="0"/>
            <w:right w:val="none" w:sz="0" w:space="0"/>
          </w:pgBorders>
          <w:pgNumType w:fmt="decimal"/>
          <w:cols w:space="0" w:num="1"/>
          <w:rtlGutter w:val="0"/>
          <w:docGrid w:linePitch="312" w:charSpace="0"/>
        </w:sectPr>
      </w:pPr>
    </w:p>
    <w:p>
      <w:pPr>
        <w:pStyle w:val="10"/>
        <w:bidi w:val="0"/>
        <w:spacing w:line="240" w:lineRule="auto"/>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三、区域环境质量现状、环境保护目标及评价标准</w:t>
      </w:r>
    </w:p>
    <w:tbl>
      <w:tblPr>
        <w:tblStyle w:val="32"/>
        <w:tblW w:w="907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487"/>
        <w:gridCol w:w="8584"/>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87" w:type="dxa"/>
            <w:noWrap w:val="0"/>
            <w:vAlign w:val="center"/>
          </w:tcPr>
          <w:p>
            <w:pPr>
              <w:pStyle w:val="11"/>
              <w:bidi w:val="0"/>
              <w:spacing w:line="240" w:lineRule="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区域</w:t>
            </w:r>
          </w:p>
          <w:p>
            <w:pPr>
              <w:pStyle w:val="11"/>
              <w:bidi w:val="0"/>
              <w:spacing w:line="240" w:lineRule="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环境</w:t>
            </w:r>
          </w:p>
          <w:p>
            <w:pPr>
              <w:pStyle w:val="11"/>
              <w:bidi w:val="0"/>
              <w:spacing w:line="240" w:lineRule="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质量</w:t>
            </w:r>
          </w:p>
          <w:p>
            <w:pPr>
              <w:pStyle w:val="11"/>
              <w:bidi w:val="0"/>
              <w:spacing w:line="240" w:lineRule="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现状</w:t>
            </w:r>
          </w:p>
        </w:tc>
        <w:tc>
          <w:tcPr>
            <w:tcW w:w="8584" w:type="dxa"/>
            <w:noWrap w:val="0"/>
            <w:vAlign w:val="center"/>
          </w:tcPr>
          <w:p>
            <w:pPr>
              <w:pStyle w:val="10"/>
              <w:bidi w:val="0"/>
              <w:rPr>
                <w:rFonts w:hint="default"/>
                <w:color w:val="auto"/>
                <w:sz w:val="24"/>
                <w:szCs w:val="28"/>
                <w:highlight w:val="none"/>
                <w:lang w:val="en-US" w:eastAsia="zh-CN"/>
              </w:rPr>
            </w:pPr>
            <w:r>
              <w:rPr>
                <w:rFonts w:hint="default"/>
                <w:color w:val="auto"/>
                <w:sz w:val="24"/>
                <w:szCs w:val="28"/>
                <w:highlight w:val="none"/>
                <w:lang w:val="en-US" w:eastAsia="zh-CN"/>
              </w:rPr>
              <w:t>1 环境空气质量现状</w:t>
            </w:r>
          </w:p>
          <w:p>
            <w:pPr>
              <w:spacing w:line="360" w:lineRule="auto"/>
              <w:ind w:firstLine="480" w:firstLineChars="200"/>
              <w:rPr>
                <w:rFonts w:hint="default" w:eastAsia="宋体"/>
                <w:color w:val="auto"/>
                <w:highlight w:val="none"/>
                <w:lang w:val="en-US" w:eastAsia="zh-CN"/>
              </w:rPr>
            </w:pPr>
            <w:r>
              <w:rPr>
                <w:rFonts w:hint="eastAsia"/>
                <w:color w:val="auto"/>
                <w:highlight w:val="none"/>
                <w:lang w:val="en-US" w:eastAsia="zh-CN"/>
              </w:rPr>
              <w:t>1.1基本污染物现状</w:t>
            </w:r>
          </w:p>
          <w:p>
            <w:pPr>
              <w:spacing w:line="360" w:lineRule="auto"/>
              <w:ind w:firstLine="480" w:firstLineChars="200"/>
              <w:rPr>
                <w:rFonts w:hint="default"/>
                <w:color w:val="auto"/>
                <w:highlight w:val="none"/>
              </w:rPr>
            </w:pPr>
            <w:r>
              <w:rPr>
                <w:color w:val="auto"/>
                <w:highlight w:val="none"/>
              </w:rPr>
              <w:t>根据</w:t>
            </w:r>
            <w:r>
              <w:rPr>
                <w:rFonts w:hint="eastAsia"/>
                <w:color w:val="auto"/>
                <w:highlight w:val="none"/>
                <w:lang w:val="en-US" w:eastAsia="zh-CN"/>
              </w:rPr>
              <w:t>秦皇岛市大气污染防治工作领导小组办公室2023年1月20日发布的《关于2022年12月份环境空气质量情况的通报》附件2，本项目所在区域</w:t>
            </w:r>
            <w:r>
              <w:rPr>
                <w:rFonts w:hint="default"/>
                <w:color w:val="auto"/>
                <w:highlight w:val="none"/>
              </w:rPr>
              <w:t>环境空气质量情况见下表。</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b/>
                <w:bCs/>
                <w:color w:val="auto"/>
                <w:sz w:val="24"/>
                <w:szCs w:val="24"/>
                <w:highlight w:val="none"/>
                <w:lang w:val="en-US" w:eastAsia="zh-CN"/>
              </w:rPr>
            </w:pPr>
            <w:r>
              <w:rPr>
                <w:rFonts w:hint="default"/>
                <w:b/>
                <w:bCs/>
                <w:color w:val="auto"/>
                <w:sz w:val="24"/>
                <w:szCs w:val="24"/>
                <w:highlight w:val="none"/>
                <w:lang w:val="en-US" w:eastAsia="zh-CN"/>
              </w:rPr>
              <w:t xml:space="preserve">表3-1  </w:t>
            </w:r>
            <w:r>
              <w:rPr>
                <w:rFonts w:hint="eastAsia"/>
                <w:b/>
                <w:bCs/>
                <w:color w:val="auto"/>
                <w:sz w:val="24"/>
                <w:szCs w:val="24"/>
                <w:highlight w:val="none"/>
                <w:lang w:val="en-US" w:eastAsia="zh-CN"/>
              </w:rPr>
              <w:t>抚宁区</w:t>
            </w:r>
            <w:r>
              <w:rPr>
                <w:rFonts w:hint="default"/>
                <w:b/>
                <w:bCs/>
                <w:color w:val="auto"/>
                <w:sz w:val="24"/>
                <w:szCs w:val="24"/>
                <w:highlight w:val="none"/>
                <w:lang w:val="en-US" w:eastAsia="zh-CN"/>
              </w:rPr>
              <w:t>环境空气质量情况</w:t>
            </w:r>
          </w:p>
          <w:tbl>
            <w:tblPr>
              <w:tblStyle w:val="32"/>
              <w:tblpPr w:leftFromText="180" w:rightFromText="180" w:vertAnchor="text" w:tblpXSpec="center" w:tblpY="1"/>
              <w:tblOverlap w:val="never"/>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87"/>
              <w:gridCol w:w="1070"/>
              <w:gridCol w:w="1199"/>
              <w:gridCol w:w="1199"/>
              <w:gridCol w:w="1075"/>
              <w:gridCol w:w="15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1368"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olor w:val="auto"/>
                      <w:sz w:val="21"/>
                      <w:szCs w:val="21"/>
                      <w:highlight w:val="none"/>
                    </w:rPr>
                  </w:pPr>
                  <w:r>
                    <w:rPr>
                      <w:rFonts w:hint="default"/>
                      <w:color w:val="auto"/>
                      <w:sz w:val="21"/>
                      <w:szCs w:val="21"/>
                      <w:highlight w:val="none"/>
                    </w:rPr>
                    <w:t>项目</w:t>
                  </w:r>
                </w:p>
              </w:tc>
              <w:tc>
                <w:tcPr>
                  <w:tcW w:w="640"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olor w:val="auto"/>
                      <w:sz w:val="21"/>
                      <w:szCs w:val="21"/>
                      <w:highlight w:val="none"/>
                    </w:rPr>
                  </w:pPr>
                  <w:r>
                    <w:rPr>
                      <w:rFonts w:hint="default"/>
                      <w:color w:val="auto"/>
                      <w:sz w:val="21"/>
                      <w:szCs w:val="21"/>
                      <w:highlight w:val="none"/>
                    </w:rPr>
                    <w:t>因子</w:t>
                  </w:r>
                </w:p>
              </w:tc>
              <w:tc>
                <w:tcPr>
                  <w:tcW w:w="717"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olor w:val="auto"/>
                      <w:sz w:val="21"/>
                      <w:szCs w:val="21"/>
                      <w:highlight w:val="none"/>
                    </w:rPr>
                  </w:pPr>
                  <w:r>
                    <w:rPr>
                      <w:rFonts w:hint="default"/>
                      <w:color w:val="auto"/>
                      <w:sz w:val="21"/>
                      <w:szCs w:val="21"/>
                      <w:highlight w:val="none"/>
                    </w:rPr>
                    <w:t>数据</w:t>
                  </w:r>
                </w:p>
              </w:tc>
              <w:tc>
                <w:tcPr>
                  <w:tcW w:w="717"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olor w:val="auto"/>
                      <w:sz w:val="21"/>
                      <w:szCs w:val="21"/>
                      <w:highlight w:val="none"/>
                    </w:rPr>
                  </w:pPr>
                  <w:r>
                    <w:rPr>
                      <w:rFonts w:hint="default"/>
                      <w:color w:val="auto"/>
                      <w:sz w:val="21"/>
                      <w:szCs w:val="21"/>
                      <w:highlight w:val="none"/>
                    </w:rPr>
                    <w:t>标准值</w:t>
                  </w:r>
                </w:p>
              </w:tc>
              <w:tc>
                <w:tcPr>
                  <w:tcW w:w="643"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olor w:val="auto"/>
                      <w:sz w:val="21"/>
                      <w:szCs w:val="21"/>
                      <w:highlight w:val="none"/>
                    </w:rPr>
                  </w:pPr>
                  <w:r>
                    <w:rPr>
                      <w:rFonts w:hint="default"/>
                      <w:color w:val="auto"/>
                      <w:sz w:val="21"/>
                      <w:szCs w:val="21"/>
                      <w:highlight w:val="none"/>
                    </w:rPr>
                    <w:t>单位</w:t>
                  </w:r>
                </w:p>
              </w:tc>
              <w:tc>
                <w:tcPr>
                  <w:tcW w:w="912"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olor w:val="auto"/>
                      <w:sz w:val="21"/>
                      <w:szCs w:val="21"/>
                      <w:highlight w:val="none"/>
                    </w:rPr>
                  </w:pPr>
                  <w:r>
                    <w:rPr>
                      <w:rFonts w:hint="default"/>
                      <w:color w:val="auto"/>
                      <w:sz w:val="21"/>
                      <w:szCs w:val="21"/>
                      <w:highlight w:val="none"/>
                    </w:rPr>
                    <w:t>达标情况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1368"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olor w:val="auto"/>
                      <w:sz w:val="21"/>
                      <w:szCs w:val="21"/>
                      <w:highlight w:val="none"/>
                    </w:rPr>
                  </w:pPr>
                  <w:r>
                    <w:rPr>
                      <w:rFonts w:hint="default"/>
                      <w:color w:val="auto"/>
                      <w:sz w:val="21"/>
                      <w:szCs w:val="21"/>
                      <w:highlight w:val="none"/>
                    </w:rPr>
                    <w:t>年平均-98per</w:t>
                  </w:r>
                </w:p>
              </w:tc>
              <w:tc>
                <w:tcPr>
                  <w:tcW w:w="640"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olor w:val="auto"/>
                      <w:sz w:val="21"/>
                      <w:szCs w:val="21"/>
                      <w:highlight w:val="none"/>
                    </w:rPr>
                  </w:pPr>
                  <w:r>
                    <w:rPr>
                      <w:rFonts w:hint="default"/>
                      <w:color w:val="auto"/>
                      <w:sz w:val="21"/>
                      <w:szCs w:val="21"/>
                      <w:highlight w:val="none"/>
                    </w:rPr>
                    <w:t>SO</w:t>
                  </w:r>
                  <w:r>
                    <w:rPr>
                      <w:rFonts w:hint="default"/>
                      <w:color w:val="auto"/>
                      <w:sz w:val="21"/>
                      <w:szCs w:val="21"/>
                      <w:highlight w:val="none"/>
                      <w:vertAlign w:val="subscript"/>
                    </w:rPr>
                    <w:t>2</w:t>
                  </w:r>
                </w:p>
              </w:tc>
              <w:tc>
                <w:tcPr>
                  <w:tcW w:w="717"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olor w:val="auto"/>
                      <w:sz w:val="21"/>
                      <w:szCs w:val="21"/>
                      <w:highlight w:val="none"/>
                      <w:lang w:val="en-US" w:eastAsia="zh-CN"/>
                    </w:rPr>
                  </w:pPr>
                  <w:r>
                    <w:rPr>
                      <w:rFonts w:hint="eastAsia"/>
                      <w:color w:val="auto"/>
                      <w:sz w:val="21"/>
                      <w:szCs w:val="21"/>
                      <w:highlight w:val="none"/>
                      <w:lang w:val="en-US" w:eastAsia="zh-CN"/>
                    </w:rPr>
                    <w:t>12</w:t>
                  </w:r>
                </w:p>
              </w:tc>
              <w:tc>
                <w:tcPr>
                  <w:tcW w:w="717"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olor w:val="auto"/>
                      <w:sz w:val="21"/>
                      <w:szCs w:val="21"/>
                      <w:highlight w:val="none"/>
                    </w:rPr>
                  </w:pPr>
                  <w:r>
                    <w:rPr>
                      <w:rFonts w:hint="default"/>
                      <w:color w:val="auto"/>
                      <w:sz w:val="21"/>
                      <w:szCs w:val="21"/>
                      <w:highlight w:val="none"/>
                    </w:rPr>
                    <w:t>60</w:t>
                  </w:r>
                </w:p>
              </w:tc>
              <w:tc>
                <w:tcPr>
                  <w:tcW w:w="643"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olor w:val="auto"/>
                      <w:sz w:val="21"/>
                      <w:szCs w:val="21"/>
                      <w:highlight w:val="none"/>
                    </w:rPr>
                  </w:pPr>
                  <w:r>
                    <w:rPr>
                      <w:rFonts w:hint="default"/>
                      <w:color w:val="auto"/>
                      <w:sz w:val="21"/>
                      <w:szCs w:val="21"/>
                      <w:highlight w:val="none"/>
                    </w:rPr>
                    <w:t>μg/m</w:t>
                  </w:r>
                  <w:r>
                    <w:rPr>
                      <w:rFonts w:hint="default"/>
                      <w:color w:val="auto"/>
                      <w:sz w:val="21"/>
                      <w:szCs w:val="21"/>
                      <w:highlight w:val="none"/>
                      <w:vertAlign w:val="superscript"/>
                    </w:rPr>
                    <w:t>3</w:t>
                  </w:r>
                </w:p>
              </w:tc>
              <w:tc>
                <w:tcPr>
                  <w:tcW w:w="912"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olor w:val="auto"/>
                      <w:sz w:val="21"/>
                      <w:szCs w:val="21"/>
                      <w:highlight w:val="none"/>
                    </w:rPr>
                  </w:pPr>
                  <w:r>
                    <w:rPr>
                      <w:rFonts w:hint="default"/>
                      <w:color w:val="auto"/>
                      <w:sz w:val="21"/>
                      <w:szCs w:val="21"/>
                      <w:highlight w:val="none"/>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1368"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olor w:val="auto"/>
                      <w:sz w:val="21"/>
                      <w:szCs w:val="21"/>
                      <w:highlight w:val="none"/>
                    </w:rPr>
                  </w:pPr>
                  <w:r>
                    <w:rPr>
                      <w:rFonts w:hint="default"/>
                      <w:color w:val="auto"/>
                      <w:sz w:val="21"/>
                      <w:szCs w:val="21"/>
                      <w:highlight w:val="none"/>
                    </w:rPr>
                    <w:t>年平均-98per</w:t>
                  </w:r>
                </w:p>
              </w:tc>
              <w:tc>
                <w:tcPr>
                  <w:tcW w:w="640"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olor w:val="auto"/>
                      <w:sz w:val="21"/>
                      <w:szCs w:val="21"/>
                      <w:highlight w:val="none"/>
                    </w:rPr>
                  </w:pPr>
                  <w:r>
                    <w:rPr>
                      <w:rFonts w:hint="default"/>
                      <w:color w:val="auto"/>
                      <w:sz w:val="21"/>
                      <w:szCs w:val="21"/>
                      <w:highlight w:val="none"/>
                    </w:rPr>
                    <w:t>NO</w:t>
                  </w:r>
                  <w:r>
                    <w:rPr>
                      <w:rFonts w:hint="default"/>
                      <w:color w:val="auto"/>
                      <w:sz w:val="21"/>
                      <w:szCs w:val="21"/>
                      <w:highlight w:val="none"/>
                      <w:vertAlign w:val="subscript"/>
                    </w:rPr>
                    <w:t>2</w:t>
                  </w:r>
                </w:p>
              </w:tc>
              <w:tc>
                <w:tcPr>
                  <w:tcW w:w="717"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olor w:val="auto"/>
                      <w:sz w:val="21"/>
                      <w:szCs w:val="21"/>
                      <w:highlight w:val="none"/>
                      <w:lang w:val="en-US" w:eastAsia="zh-CN"/>
                    </w:rPr>
                  </w:pPr>
                  <w:r>
                    <w:rPr>
                      <w:rFonts w:hint="eastAsia"/>
                      <w:color w:val="auto"/>
                      <w:sz w:val="21"/>
                      <w:szCs w:val="21"/>
                      <w:highlight w:val="none"/>
                      <w:lang w:val="en-US" w:eastAsia="zh-CN"/>
                    </w:rPr>
                    <w:t>28</w:t>
                  </w:r>
                </w:p>
              </w:tc>
              <w:tc>
                <w:tcPr>
                  <w:tcW w:w="717"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olor w:val="auto"/>
                      <w:sz w:val="21"/>
                      <w:szCs w:val="21"/>
                      <w:highlight w:val="none"/>
                    </w:rPr>
                  </w:pPr>
                  <w:r>
                    <w:rPr>
                      <w:rFonts w:hint="default"/>
                      <w:color w:val="auto"/>
                      <w:sz w:val="21"/>
                      <w:szCs w:val="21"/>
                      <w:highlight w:val="none"/>
                    </w:rPr>
                    <w:t>40</w:t>
                  </w:r>
                </w:p>
              </w:tc>
              <w:tc>
                <w:tcPr>
                  <w:tcW w:w="643"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olor w:val="auto"/>
                      <w:sz w:val="21"/>
                      <w:szCs w:val="21"/>
                      <w:highlight w:val="none"/>
                    </w:rPr>
                  </w:pPr>
                  <w:r>
                    <w:rPr>
                      <w:rFonts w:hint="default"/>
                      <w:color w:val="auto"/>
                      <w:sz w:val="21"/>
                      <w:szCs w:val="21"/>
                      <w:highlight w:val="none"/>
                    </w:rPr>
                    <w:t>μg/m</w:t>
                  </w:r>
                  <w:r>
                    <w:rPr>
                      <w:rFonts w:hint="default"/>
                      <w:color w:val="auto"/>
                      <w:sz w:val="21"/>
                      <w:szCs w:val="21"/>
                      <w:highlight w:val="none"/>
                      <w:vertAlign w:val="superscript"/>
                    </w:rPr>
                    <w:t>3</w:t>
                  </w:r>
                </w:p>
              </w:tc>
              <w:tc>
                <w:tcPr>
                  <w:tcW w:w="912"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olor w:val="auto"/>
                      <w:sz w:val="21"/>
                      <w:szCs w:val="21"/>
                      <w:highlight w:val="none"/>
                    </w:rPr>
                  </w:pPr>
                  <w:r>
                    <w:rPr>
                      <w:rFonts w:hint="default"/>
                      <w:color w:val="auto"/>
                      <w:sz w:val="21"/>
                      <w:szCs w:val="21"/>
                      <w:highlight w:val="none"/>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1368"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olor w:val="auto"/>
                      <w:sz w:val="21"/>
                      <w:szCs w:val="21"/>
                      <w:highlight w:val="none"/>
                    </w:rPr>
                  </w:pPr>
                  <w:r>
                    <w:rPr>
                      <w:rFonts w:hint="default"/>
                      <w:color w:val="auto"/>
                      <w:sz w:val="21"/>
                      <w:szCs w:val="21"/>
                      <w:highlight w:val="none"/>
                    </w:rPr>
                    <w:t>年平均-95per</w:t>
                  </w:r>
                </w:p>
              </w:tc>
              <w:tc>
                <w:tcPr>
                  <w:tcW w:w="640"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olor w:val="auto"/>
                      <w:sz w:val="21"/>
                      <w:szCs w:val="21"/>
                      <w:highlight w:val="none"/>
                    </w:rPr>
                  </w:pPr>
                  <w:r>
                    <w:rPr>
                      <w:rFonts w:hint="default"/>
                      <w:color w:val="auto"/>
                      <w:sz w:val="21"/>
                      <w:szCs w:val="21"/>
                      <w:highlight w:val="none"/>
                    </w:rPr>
                    <w:t>PM</w:t>
                  </w:r>
                  <w:r>
                    <w:rPr>
                      <w:rFonts w:hint="default"/>
                      <w:color w:val="auto"/>
                      <w:sz w:val="21"/>
                      <w:szCs w:val="21"/>
                      <w:highlight w:val="none"/>
                      <w:vertAlign w:val="subscript"/>
                    </w:rPr>
                    <w:t>10</w:t>
                  </w:r>
                </w:p>
              </w:tc>
              <w:tc>
                <w:tcPr>
                  <w:tcW w:w="717"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olor w:val="auto"/>
                      <w:sz w:val="21"/>
                      <w:szCs w:val="21"/>
                      <w:highlight w:val="none"/>
                      <w:lang w:val="en-US" w:eastAsia="zh-CN"/>
                    </w:rPr>
                  </w:pPr>
                  <w:r>
                    <w:rPr>
                      <w:rFonts w:hint="eastAsia"/>
                      <w:color w:val="auto"/>
                      <w:sz w:val="21"/>
                      <w:szCs w:val="21"/>
                      <w:highlight w:val="none"/>
                      <w:lang w:val="en-US" w:eastAsia="zh-CN"/>
                    </w:rPr>
                    <w:t>60</w:t>
                  </w:r>
                </w:p>
              </w:tc>
              <w:tc>
                <w:tcPr>
                  <w:tcW w:w="717"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olor w:val="auto"/>
                      <w:sz w:val="21"/>
                      <w:szCs w:val="21"/>
                      <w:highlight w:val="none"/>
                    </w:rPr>
                  </w:pPr>
                  <w:r>
                    <w:rPr>
                      <w:rFonts w:hint="default"/>
                      <w:color w:val="auto"/>
                      <w:sz w:val="21"/>
                      <w:szCs w:val="21"/>
                      <w:highlight w:val="none"/>
                    </w:rPr>
                    <w:t>70</w:t>
                  </w:r>
                </w:p>
              </w:tc>
              <w:tc>
                <w:tcPr>
                  <w:tcW w:w="643"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olor w:val="auto"/>
                      <w:sz w:val="21"/>
                      <w:szCs w:val="21"/>
                      <w:highlight w:val="none"/>
                    </w:rPr>
                  </w:pPr>
                  <w:r>
                    <w:rPr>
                      <w:rFonts w:hint="default"/>
                      <w:color w:val="auto"/>
                      <w:sz w:val="21"/>
                      <w:szCs w:val="21"/>
                      <w:highlight w:val="none"/>
                    </w:rPr>
                    <w:t>μg/m</w:t>
                  </w:r>
                  <w:r>
                    <w:rPr>
                      <w:rFonts w:hint="default"/>
                      <w:color w:val="auto"/>
                      <w:sz w:val="21"/>
                      <w:szCs w:val="21"/>
                      <w:highlight w:val="none"/>
                      <w:vertAlign w:val="superscript"/>
                    </w:rPr>
                    <w:t>3</w:t>
                  </w:r>
                </w:p>
              </w:tc>
              <w:tc>
                <w:tcPr>
                  <w:tcW w:w="912"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olor w:val="auto"/>
                      <w:sz w:val="21"/>
                      <w:szCs w:val="21"/>
                      <w:highlight w:val="none"/>
                    </w:rPr>
                  </w:pPr>
                  <w:r>
                    <w:rPr>
                      <w:rFonts w:hint="default"/>
                      <w:color w:val="auto"/>
                      <w:sz w:val="21"/>
                      <w:szCs w:val="21"/>
                      <w:highlight w:val="none"/>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1368"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olor w:val="auto"/>
                      <w:sz w:val="21"/>
                      <w:szCs w:val="21"/>
                      <w:highlight w:val="none"/>
                    </w:rPr>
                  </w:pPr>
                  <w:r>
                    <w:rPr>
                      <w:rFonts w:hint="default"/>
                      <w:color w:val="auto"/>
                      <w:sz w:val="21"/>
                      <w:szCs w:val="21"/>
                      <w:highlight w:val="none"/>
                    </w:rPr>
                    <w:t>CO -95per24小时平均</w:t>
                  </w:r>
                </w:p>
              </w:tc>
              <w:tc>
                <w:tcPr>
                  <w:tcW w:w="640"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olor w:val="auto"/>
                      <w:sz w:val="21"/>
                      <w:szCs w:val="21"/>
                      <w:highlight w:val="none"/>
                    </w:rPr>
                  </w:pPr>
                  <w:r>
                    <w:rPr>
                      <w:rFonts w:hint="default"/>
                      <w:color w:val="auto"/>
                      <w:sz w:val="21"/>
                      <w:szCs w:val="21"/>
                      <w:highlight w:val="none"/>
                    </w:rPr>
                    <w:t>CO</w:t>
                  </w:r>
                </w:p>
              </w:tc>
              <w:tc>
                <w:tcPr>
                  <w:tcW w:w="717"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olor w:val="auto"/>
                      <w:sz w:val="21"/>
                      <w:szCs w:val="21"/>
                      <w:highlight w:val="none"/>
                      <w:lang w:val="en-US" w:eastAsia="zh-CN"/>
                    </w:rPr>
                  </w:pPr>
                  <w:r>
                    <w:rPr>
                      <w:rFonts w:hint="eastAsia"/>
                      <w:color w:val="auto"/>
                      <w:sz w:val="21"/>
                      <w:szCs w:val="21"/>
                      <w:highlight w:val="none"/>
                      <w:lang w:val="en-US" w:eastAsia="zh-CN"/>
                    </w:rPr>
                    <w:t>1.4</w:t>
                  </w:r>
                </w:p>
              </w:tc>
              <w:tc>
                <w:tcPr>
                  <w:tcW w:w="717"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olor w:val="auto"/>
                      <w:sz w:val="21"/>
                      <w:szCs w:val="21"/>
                      <w:highlight w:val="none"/>
                    </w:rPr>
                  </w:pPr>
                  <w:r>
                    <w:rPr>
                      <w:rFonts w:hint="default"/>
                      <w:color w:val="auto"/>
                      <w:sz w:val="21"/>
                      <w:szCs w:val="21"/>
                      <w:highlight w:val="none"/>
                    </w:rPr>
                    <w:t>4</w:t>
                  </w:r>
                </w:p>
              </w:tc>
              <w:tc>
                <w:tcPr>
                  <w:tcW w:w="643"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olor w:val="auto"/>
                      <w:sz w:val="21"/>
                      <w:szCs w:val="21"/>
                      <w:highlight w:val="none"/>
                    </w:rPr>
                  </w:pPr>
                  <w:r>
                    <w:rPr>
                      <w:rFonts w:hint="default"/>
                      <w:color w:val="auto"/>
                      <w:sz w:val="21"/>
                      <w:szCs w:val="21"/>
                      <w:highlight w:val="none"/>
                    </w:rPr>
                    <w:t>μg/m</w:t>
                  </w:r>
                  <w:r>
                    <w:rPr>
                      <w:rFonts w:hint="default"/>
                      <w:color w:val="auto"/>
                      <w:sz w:val="21"/>
                      <w:szCs w:val="21"/>
                      <w:highlight w:val="none"/>
                      <w:vertAlign w:val="superscript"/>
                    </w:rPr>
                    <w:t>3</w:t>
                  </w:r>
                </w:p>
              </w:tc>
              <w:tc>
                <w:tcPr>
                  <w:tcW w:w="912"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olor w:val="auto"/>
                      <w:sz w:val="21"/>
                      <w:szCs w:val="21"/>
                      <w:highlight w:val="none"/>
                    </w:rPr>
                  </w:pPr>
                  <w:r>
                    <w:rPr>
                      <w:rFonts w:hint="default"/>
                      <w:color w:val="auto"/>
                      <w:sz w:val="21"/>
                      <w:szCs w:val="21"/>
                      <w:highlight w:val="none"/>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1368"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olor w:val="auto"/>
                      <w:sz w:val="21"/>
                      <w:szCs w:val="21"/>
                      <w:highlight w:val="none"/>
                    </w:rPr>
                  </w:pPr>
                  <w:r>
                    <w:rPr>
                      <w:rFonts w:hint="default"/>
                      <w:color w:val="auto"/>
                      <w:sz w:val="21"/>
                      <w:szCs w:val="21"/>
                      <w:highlight w:val="none"/>
                    </w:rPr>
                    <w:t>O3-8H-90per</w:t>
                  </w:r>
                </w:p>
              </w:tc>
              <w:tc>
                <w:tcPr>
                  <w:tcW w:w="640"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olor w:val="auto"/>
                      <w:sz w:val="21"/>
                      <w:szCs w:val="21"/>
                      <w:highlight w:val="none"/>
                    </w:rPr>
                  </w:pPr>
                  <w:r>
                    <w:rPr>
                      <w:rFonts w:hint="default"/>
                      <w:color w:val="auto"/>
                      <w:sz w:val="21"/>
                      <w:szCs w:val="21"/>
                      <w:highlight w:val="none"/>
                    </w:rPr>
                    <w:t>O</w:t>
                  </w:r>
                  <w:r>
                    <w:rPr>
                      <w:rFonts w:hint="default"/>
                      <w:color w:val="auto"/>
                      <w:sz w:val="21"/>
                      <w:szCs w:val="21"/>
                      <w:highlight w:val="none"/>
                      <w:vertAlign w:val="subscript"/>
                    </w:rPr>
                    <w:t>3</w:t>
                  </w:r>
                </w:p>
              </w:tc>
              <w:tc>
                <w:tcPr>
                  <w:tcW w:w="717"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olor w:val="auto"/>
                      <w:sz w:val="21"/>
                      <w:szCs w:val="21"/>
                      <w:highlight w:val="none"/>
                      <w:lang w:val="en-US" w:eastAsia="zh-CN"/>
                    </w:rPr>
                  </w:pPr>
                  <w:r>
                    <w:rPr>
                      <w:rFonts w:hint="eastAsia"/>
                      <w:color w:val="auto"/>
                      <w:sz w:val="21"/>
                      <w:szCs w:val="21"/>
                      <w:highlight w:val="none"/>
                      <w:lang w:val="en-US" w:eastAsia="zh-CN"/>
                    </w:rPr>
                    <w:t>172</w:t>
                  </w:r>
                </w:p>
              </w:tc>
              <w:tc>
                <w:tcPr>
                  <w:tcW w:w="717"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olor w:val="auto"/>
                      <w:sz w:val="21"/>
                      <w:szCs w:val="21"/>
                      <w:highlight w:val="none"/>
                    </w:rPr>
                  </w:pPr>
                  <w:r>
                    <w:rPr>
                      <w:rFonts w:hint="default"/>
                      <w:color w:val="auto"/>
                      <w:sz w:val="21"/>
                      <w:szCs w:val="21"/>
                      <w:highlight w:val="none"/>
                    </w:rPr>
                    <w:t>160</w:t>
                  </w:r>
                </w:p>
              </w:tc>
              <w:tc>
                <w:tcPr>
                  <w:tcW w:w="643"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olor w:val="auto"/>
                      <w:sz w:val="21"/>
                      <w:szCs w:val="21"/>
                      <w:highlight w:val="none"/>
                    </w:rPr>
                  </w:pPr>
                  <w:r>
                    <w:rPr>
                      <w:rFonts w:hint="default"/>
                      <w:color w:val="auto"/>
                      <w:sz w:val="21"/>
                      <w:szCs w:val="21"/>
                      <w:highlight w:val="none"/>
                    </w:rPr>
                    <w:t>μg/m</w:t>
                  </w:r>
                  <w:r>
                    <w:rPr>
                      <w:rFonts w:hint="default"/>
                      <w:color w:val="auto"/>
                      <w:sz w:val="21"/>
                      <w:szCs w:val="21"/>
                      <w:highlight w:val="none"/>
                      <w:vertAlign w:val="superscript"/>
                    </w:rPr>
                    <w:t>3</w:t>
                  </w:r>
                </w:p>
              </w:tc>
              <w:tc>
                <w:tcPr>
                  <w:tcW w:w="912"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olor w:val="auto"/>
                      <w:sz w:val="21"/>
                      <w:szCs w:val="21"/>
                      <w:highlight w:val="none"/>
                    </w:rPr>
                  </w:pPr>
                  <w:r>
                    <w:rPr>
                      <w:rFonts w:hint="eastAsia"/>
                      <w:color w:val="auto"/>
                      <w:sz w:val="21"/>
                      <w:szCs w:val="21"/>
                      <w:highlight w:val="none"/>
                      <w:lang w:val="en-US" w:eastAsia="zh-CN"/>
                    </w:rPr>
                    <w:t>不</w:t>
                  </w:r>
                  <w:r>
                    <w:rPr>
                      <w:rFonts w:hint="default"/>
                      <w:color w:val="auto"/>
                      <w:sz w:val="21"/>
                      <w:szCs w:val="21"/>
                      <w:highlight w:val="none"/>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1368"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olor w:val="auto"/>
                      <w:sz w:val="21"/>
                      <w:szCs w:val="21"/>
                      <w:highlight w:val="none"/>
                    </w:rPr>
                  </w:pPr>
                  <w:r>
                    <w:rPr>
                      <w:rFonts w:hint="default"/>
                      <w:color w:val="auto"/>
                      <w:sz w:val="21"/>
                      <w:szCs w:val="21"/>
                      <w:highlight w:val="none"/>
                    </w:rPr>
                    <w:t>年平均-95per</w:t>
                  </w:r>
                </w:p>
              </w:tc>
              <w:tc>
                <w:tcPr>
                  <w:tcW w:w="640"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olor w:val="auto"/>
                      <w:sz w:val="21"/>
                      <w:szCs w:val="21"/>
                      <w:highlight w:val="none"/>
                    </w:rPr>
                  </w:pPr>
                  <w:r>
                    <w:rPr>
                      <w:rFonts w:hint="default"/>
                      <w:color w:val="auto"/>
                      <w:sz w:val="21"/>
                      <w:szCs w:val="21"/>
                      <w:highlight w:val="none"/>
                    </w:rPr>
                    <w:t>PM</w:t>
                  </w:r>
                  <w:r>
                    <w:rPr>
                      <w:rFonts w:hint="default"/>
                      <w:color w:val="auto"/>
                      <w:sz w:val="21"/>
                      <w:szCs w:val="21"/>
                      <w:highlight w:val="none"/>
                      <w:vertAlign w:val="subscript"/>
                    </w:rPr>
                    <w:t>2.5</w:t>
                  </w:r>
                </w:p>
              </w:tc>
              <w:tc>
                <w:tcPr>
                  <w:tcW w:w="717"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olor w:val="auto"/>
                      <w:sz w:val="21"/>
                      <w:szCs w:val="21"/>
                      <w:highlight w:val="none"/>
                      <w:lang w:val="en-US" w:eastAsia="zh-CN"/>
                    </w:rPr>
                  </w:pPr>
                  <w:r>
                    <w:rPr>
                      <w:rFonts w:hint="eastAsia"/>
                      <w:color w:val="auto"/>
                      <w:sz w:val="21"/>
                      <w:szCs w:val="21"/>
                      <w:highlight w:val="none"/>
                      <w:lang w:val="en-US" w:eastAsia="zh-CN"/>
                    </w:rPr>
                    <w:t>29</w:t>
                  </w:r>
                </w:p>
              </w:tc>
              <w:tc>
                <w:tcPr>
                  <w:tcW w:w="717"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olor w:val="auto"/>
                      <w:sz w:val="21"/>
                      <w:szCs w:val="21"/>
                      <w:highlight w:val="none"/>
                    </w:rPr>
                  </w:pPr>
                  <w:r>
                    <w:rPr>
                      <w:rFonts w:hint="default"/>
                      <w:color w:val="auto"/>
                      <w:sz w:val="21"/>
                      <w:szCs w:val="21"/>
                      <w:highlight w:val="none"/>
                    </w:rPr>
                    <w:t>35</w:t>
                  </w:r>
                </w:p>
              </w:tc>
              <w:tc>
                <w:tcPr>
                  <w:tcW w:w="643"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olor w:val="auto"/>
                      <w:sz w:val="21"/>
                      <w:szCs w:val="21"/>
                      <w:highlight w:val="none"/>
                    </w:rPr>
                  </w:pPr>
                  <w:r>
                    <w:rPr>
                      <w:rFonts w:hint="default"/>
                      <w:color w:val="auto"/>
                      <w:sz w:val="21"/>
                      <w:szCs w:val="21"/>
                      <w:highlight w:val="none"/>
                    </w:rPr>
                    <w:t>μg/m</w:t>
                  </w:r>
                  <w:r>
                    <w:rPr>
                      <w:rFonts w:hint="default"/>
                      <w:color w:val="auto"/>
                      <w:sz w:val="21"/>
                      <w:szCs w:val="21"/>
                      <w:highlight w:val="none"/>
                      <w:vertAlign w:val="superscript"/>
                    </w:rPr>
                    <w:t>3</w:t>
                  </w:r>
                </w:p>
              </w:tc>
              <w:tc>
                <w:tcPr>
                  <w:tcW w:w="912"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olor w:val="auto"/>
                      <w:sz w:val="21"/>
                      <w:szCs w:val="21"/>
                      <w:highlight w:val="none"/>
                    </w:rPr>
                  </w:pPr>
                  <w:r>
                    <w:rPr>
                      <w:rFonts w:hint="default"/>
                      <w:color w:val="auto"/>
                      <w:sz w:val="21"/>
                      <w:szCs w:val="21"/>
                      <w:highlight w:val="none"/>
                    </w:rPr>
                    <w:t>达标</w:t>
                  </w:r>
                </w:p>
              </w:tc>
            </w:tr>
          </w:tbl>
          <w:p>
            <w:pPr>
              <w:spacing w:line="360" w:lineRule="auto"/>
              <w:ind w:firstLine="480" w:firstLineChars="200"/>
              <w:rPr>
                <w:rFonts w:hint="eastAsia"/>
                <w:color w:val="auto"/>
                <w:highlight w:val="none"/>
                <w:lang w:val="en-US" w:eastAsia="zh-CN"/>
              </w:rPr>
            </w:pPr>
            <w:r>
              <w:rPr>
                <w:rFonts w:hint="eastAsia"/>
                <w:color w:val="auto"/>
                <w:highlight w:val="none"/>
                <w:lang w:val="en-US" w:eastAsia="zh-CN"/>
              </w:rPr>
              <w:t>1.2其他污染物现状</w:t>
            </w:r>
          </w:p>
          <w:p>
            <w:pPr>
              <w:pStyle w:val="17"/>
              <w:snapToGrid w:val="0"/>
              <w:spacing w:line="360" w:lineRule="auto"/>
              <w:ind w:firstLine="480" w:firstLineChars="200"/>
              <w:textAlignment w:val="auto"/>
              <w:rPr>
                <w:rFonts w:hint="eastAsia"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非甲烷总烃为本项目的特征污染物</w:t>
            </w:r>
            <w:r>
              <w:rPr>
                <w:rFonts w:hint="eastAsia" w:ascii="Times New Roman" w:hAnsi="Times New Roman" w:cs="Times New Roman"/>
                <w:color w:val="auto"/>
                <w:sz w:val="24"/>
                <w:highlight w:val="none"/>
                <w:lang w:val="en-US" w:eastAsia="zh-CN"/>
              </w:rPr>
              <w:t>。</w:t>
            </w:r>
          </w:p>
          <w:p>
            <w:pPr>
              <w:pStyle w:val="17"/>
              <w:snapToGrid w:val="0"/>
              <w:spacing w:line="360" w:lineRule="auto"/>
              <w:ind w:firstLine="480" w:firstLineChars="200"/>
              <w:textAlignment w:val="auto"/>
              <w:rPr>
                <w:rFonts w:hint="default" w:ascii="Times New Roman" w:hAnsi="Times New Roman" w:cs="Times New Roman"/>
                <w:color w:val="auto"/>
                <w:sz w:val="24"/>
                <w:highlight w:val="none"/>
                <w:lang w:val="en-US" w:eastAsia="zh-CN"/>
              </w:rPr>
            </w:pPr>
            <w:r>
              <w:rPr>
                <w:rFonts w:hint="eastAsia" w:ascii="Times New Roman" w:hAnsi="Times New Roman" w:cs="Times New Roman"/>
                <w:color w:val="auto"/>
                <w:sz w:val="24"/>
                <w:highlight w:val="none"/>
                <w:lang w:val="en-US" w:eastAsia="zh-CN"/>
              </w:rPr>
              <w:t>（1）非甲烷总烃</w:t>
            </w:r>
          </w:p>
          <w:p>
            <w:pPr>
              <w:pStyle w:val="17"/>
              <w:snapToGrid w:val="0"/>
              <w:spacing w:line="360" w:lineRule="auto"/>
              <w:ind w:firstLine="480" w:firstLineChars="200"/>
              <w:textAlignment w:val="auto"/>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环境空气中非甲烷总烃的检测数据采用《秦皇岛光宇玻纤制品股份有限公司</w:t>
            </w:r>
            <w:r>
              <w:rPr>
                <w:rFonts w:hint="eastAsia" w:ascii="Times New Roman" w:hAnsi="Times New Roman" w:cs="Times New Roman"/>
                <w:color w:val="auto"/>
                <w:sz w:val="24"/>
                <w:highlight w:val="none"/>
                <w:lang w:val="en-US" w:eastAsia="zh-CN"/>
              </w:rPr>
              <w:t>检测报告</w:t>
            </w:r>
            <w:r>
              <w:rPr>
                <w:rFonts w:hint="default" w:ascii="Times New Roman" w:hAnsi="Times New Roman" w:cs="Times New Roman"/>
                <w:color w:val="auto"/>
                <w:sz w:val="24"/>
                <w:highlight w:val="none"/>
                <w:lang w:val="en-US" w:eastAsia="zh-CN"/>
              </w:rPr>
              <w:t>》</w:t>
            </w:r>
            <w:r>
              <w:rPr>
                <w:rFonts w:hint="eastAsia" w:ascii="Times New Roman" w:hAnsi="Times New Roman" w:cs="Times New Roman"/>
                <w:color w:val="auto"/>
                <w:sz w:val="24"/>
                <w:highlight w:val="none"/>
                <w:lang w:val="en-US" w:eastAsia="zh-CN"/>
              </w:rPr>
              <w:t>中</w:t>
            </w:r>
            <w:r>
              <w:rPr>
                <w:rFonts w:hint="default" w:ascii="Times New Roman" w:hAnsi="Times New Roman" w:cs="Times New Roman"/>
                <w:color w:val="auto"/>
                <w:sz w:val="24"/>
                <w:highlight w:val="none"/>
                <w:lang w:val="en-US" w:eastAsia="zh-CN"/>
              </w:rPr>
              <w:t>非甲烷总烃环境质量检测的</w:t>
            </w:r>
            <w:r>
              <w:rPr>
                <w:rFonts w:hint="eastAsia" w:ascii="Times New Roman" w:hAnsi="Times New Roman" w:cs="Times New Roman"/>
                <w:color w:val="auto"/>
                <w:sz w:val="24"/>
                <w:highlight w:val="none"/>
                <w:lang w:val="en-US" w:eastAsia="zh-CN"/>
              </w:rPr>
              <w:t>数据</w:t>
            </w:r>
            <w:r>
              <w:rPr>
                <w:rFonts w:hint="default" w:ascii="Times New Roman" w:hAnsi="Times New Roman" w:cs="Times New Roman"/>
                <w:color w:val="auto"/>
                <w:sz w:val="24"/>
                <w:highlight w:val="none"/>
                <w:lang w:val="en-US" w:eastAsia="zh-CN"/>
              </w:rPr>
              <w:t>（河北淏楷环境检测服务有限公司）。监测时间为202</w:t>
            </w:r>
            <w:r>
              <w:rPr>
                <w:rFonts w:hint="eastAsia" w:ascii="Times New Roman" w:hAnsi="Times New Roman" w:cs="Times New Roman"/>
                <w:color w:val="auto"/>
                <w:sz w:val="24"/>
                <w:highlight w:val="none"/>
                <w:lang w:val="en-US" w:eastAsia="zh-CN"/>
              </w:rPr>
              <w:t>2</w:t>
            </w:r>
            <w:r>
              <w:rPr>
                <w:rFonts w:hint="default" w:ascii="Times New Roman" w:hAnsi="Times New Roman" w:cs="Times New Roman"/>
                <w:color w:val="auto"/>
                <w:sz w:val="24"/>
                <w:highlight w:val="none"/>
                <w:lang w:val="en-US" w:eastAsia="zh-CN"/>
              </w:rPr>
              <w:t>年</w:t>
            </w:r>
            <w:r>
              <w:rPr>
                <w:rFonts w:hint="eastAsia" w:ascii="Times New Roman" w:hAnsi="Times New Roman" w:cs="Times New Roman"/>
                <w:color w:val="auto"/>
                <w:sz w:val="24"/>
                <w:highlight w:val="none"/>
                <w:lang w:val="en-US" w:eastAsia="zh-CN"/>
              </w:rPr>
              <w:t>3</w:t>
            </w:r>
            <w:r>
              <w:rPr>
                <w:rFonts w:hint="default" w:ascii="Times New Roman" w:hAnsi="Times New Roman" w:cs="Times New Roman"/>
                <w:color w:val="auto"/>
                <w:sz w:val="24"/>
                <w:highlight w:val="none"/>
                <w:lang w:val="en-US" w:eastAsia="zh-CN"/>
              </w:rPr>
              <w:t>月</w:t>
            </w:r>
            <w:r>
              <w:rPr>
                <w:rFonts w:hint="eastAsia" w:ascii="Times New Roman" w:hAnsi="Times New Roman" w:cs="Times New Roman"/>
                <w:color w:val="auto"/>
                <w:sz w:val="24"/>
                <w:highlight w:val="none"/>
                <w:lang w:val="en-US" w:eastAsia="zh-CN"/>
              </w:rPr>
              <w:t>5</w:t>
            </w:r>
            <w:r>
              <w:rPr>
                <w:rFonts w:hint="default" w:ascii="Times New Roman" w:hAnsi="Times New Roman" w:cs="Times New Roman"/>
                <w:color w:val="auto"/>
                <w:sz w:val="24"/>
                <w:highlight w:val="none"/>
                <w:lang w:val="en-US" w:eastAsia="zh-CN"/>
              </w:rPr>
              <w:t>日至202</w:t>
            </w:r>
            <w:r>
              <w:rPr>
                <w:rFonts w:hint="eastAsia" w:ascii="Times New Roman" w:hAnsi="Times New Roman" w:cs="Times New Roman"/>
                <w:color w:val="auto"/>
                <w:sz w:val="24"/>
                <w:highlight w:val="none"/>
                <w:lang w:val="en-US" w:eastAsia="zh-CN"/>
              </w:rPr>
              <w:t>2</w:t>
            </w:r>
            <w:r>
              <w:rPr>
                <w:rFonts w:hint="default" w:ascii="Times New Roman" w:hAnsi="Times New Roman" w:cs="Times New Roman"/>
                <w:color w:val="auto"/>
                <w:sz w:val="24"/>
                <w:highlight w:val="none"/>
                <w:lang w:val="en-US" w:eastAsia="zh-CN"/>
              </w:rPr>
              <w:t>年</w:t>
            </w:r>
            <w:r>
              <w:rPr>
                <w:rFonts w:hint="eastAsia" w:ascii="Times New Roman" w:hAnsi="Times New Roman" w:cs="Times New Roman"/>
                <w:color w:val="auto"/>
                <w:sz w:val="24"/>
                <w:highlight w:val="none"/>
                <w:lang w:val="en-US" w:eastAsia="zh-CN"/>
              </w:rPr>
              <w:t>3</w:t>
            </w:r>
            <w:r>
              <w:rPr>
                <w:rFonts w:hint="default" w:ascii="Times New Roman" w:hAnsi="Times New Roman" w:cs="Times New Roman"/>
                <w:color w:val="auto"/>
                <w:sz w:val="24"/>
                <w:highlight w:val="none"/>
                <w:lang w:val="en-US" w:eastAsia="zh-CN"/>
              </w:rPr>
              <w:t>月</w:t>
            </w:r>
            <w:r>
              <w:rPr>
                <w:rFonts w:hint="eastAsia" w:ascii="Times New Roman" w:hAnsi="Times New Roman" w:cs="Times New Roman"/>
                <w:color w:val="auto"/>
                <w:sz w:val="24"/>
                <w:highlight w:val="none"/>
                <w:lang w:val="en-US" w:eastAsia="zh-CN"/>
              </w:rPr>
              <w:t>7</w:t>
            </w:r>
            <w:r>
              <w:rPr>
                <w:rFonts w:hint="default" w:ascii="Times New Roman" w:hAnsi="Times New Roman" w:cs="Times New Roman"/>
                <w:color w:val="auto"/>
                <w:sz w:val="24"/>
                <w:highlight w:val="none"/>
                <w:lang w:val="en-US" w:eastAsia="zh-CN"/>
              </w:rPr>
              <w:t>日，监测点位于项目南侧2</w:t>
            </w:r>
            <w:r>
              <w:rPr>
                <w:rFonts w:hint="eastAsia" w:ascii="Times New Roman" w:hAnsi="Times New Roman" w:cs="Times New Roman"/>
                <w:color w:val="auto"/>
                <w:sz w:val="24"/>
                <w:highlight w:val="none"/>
                <w:lang w:val="en-US" w:eastAsia="zh-CN"/>
              </w:rPr>
              <w:t>.4k</w:t>
            </w:r>
            <w:r>
              <w:rPr>
                <w:rFonts w:hint="default" w:ascii="Times New Roman" w:hAnsi="Times New Roman" w:cs="Times New Roman"/>
                <w:color w:val="auto"/>
                <w:sz w:val="24"/>
                <w:highlight w:val="none"/>
                <w:lang w:val="en-US" w:eastAsia="zh-CN"/>
              </w:rPr>
              <w:t>m处</w:t>
            </w:r>
            <w:r>
              <w:rPr>
                <w:rFonts w:hint="eastAsia" w:ascii="Times New Roman" w:hAnsi="Times New Roman" w:cs="Times New Roman"/>
                <w:color w:val="auto"/>
                <w:sz w:val="24"/>
                <w:highlight w:val="none"/>
                <w:lang w:val="en-US" w:eastAsia="zh-CN"/>
              </w:rPr>
              <w:t>的东街社区</w:t>
            </w:r>
            <w:r>
              <w:rPr>
                <w:rFonts w:hint="default" w:ascii="Times New Roman" w:hAnsi="Times New Roman" w:cs="Times New Roman"/>
                <w:color w:val="auto"/>
                <w:sz w:val="24"/>
                <w:highlight w:val="none"/>
                <w:lang w:val="en-US" w:eastAsia="zh-CN"/>
              </w:rPr>
              <w:t>，位于当季主导风向的下风向，与项目的距离小于5km，因此补充监测数据符合评价要求。</w:t>
            </w:r>
          </w:p>
          <w:p>
            <w:pPr>
              <w:adjustRightInd w:val="0"/>
              <w:snapToGrid w:val="0"/>
              <w:spacing w:line="360" w:lineRule="auto"/>
              <w:ind w:firstLine="480" w:firstLineChars="200"/>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1）监测点位</w:t>
            </w:r>
          </w:p>
          <w:p>
            <w:pPr>
              <w:adjustRightInd w:val="0"/>
              <w:snapToGrid w:val="0"/>
              <w:spacing w:line="360" w:lineRule="auto"/>
              <w:ind w:firstLine="480" w:firstLineChars="200"/>
              <w:rPr>
                <w:rFonts w:hint="default" w:ascii="Times New Roman" w:hAnsi="Times New Roman" w:cs="Times New Roman"/>
                <w:color w:val="auto"/>
                <w:sz w:val="24"/>
                <w:highlight w:val="none"/>
              </w:rPr>
            </w:pPr>
            <w:r>
              <w:rPr>
                <w:rFonts w:hint="eastAsia" w:ascii="Times New Roman" w:hAnsi="Times New Roman" w:cs="Times New Roman"/>
                <w:color w:val="auto"/>
                <w:sz w:val="24"/>
                <w:highlight w:val="none"/>
                <w:lang w:val="en-US" w:eastAsia="zh-CN"/>
              </w:rPr>
              <w:t>东街社区</w:t>
            </w:r>
            <w:r>
              <w:rPr>
                <w:rFonts w:hint="default" w:ascii="Times New Roman" w:hAnsi="Times New Roman" w:cs="Times New Roman"/>
                <w:color w:val="auto"/>
                <w:sz w:val="24"/>
                <w:highlight w:val="none"/>
              </w:rPr>
              <w:t>。</w:t>
            </w:r>
          </w:p>
          <w:p>
            <w:pPr>
              <w:pStyle w:val="17"/>
              <w:snapToGrid w:val="0"/>
              <w:spacing w:line="360" w:lineRule="auto"/>
              <w:ind w:firstLine="480" w:firstLineChars="200"/>
              <w:textAlignment w:val="auto"/>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2）监测项目</w:t>
            </w:r>
          </w:p>
          <w:p>
            <w:pPr>
              <w:pStyle w:val="17"/>
              <w:snapToGrid w:val="0"/>
              <w:spacing w:line="360" w:lineRule="auto"/>
              <w:ind w:firstLine="480" w:firstLineChars="200"/>
              <w:textAlignment w:val="auto"/>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根据项目特征，本次环境质量现状监测选取非甲烷总烃作为监测因子。</w:t>
            </w:r>
          </w:p>
          <w:p>
            <w:pPr>
              <w:pStyle w:val="17"/>
              <w:snapToGrid w:val="0"/>
              <w:spacing w:line="360" w:lineRule="auto"/>
              <w:ind w:firstLine="480" w:firstLineChars="200"/>
              <w:textAlignment w:val="auto"/>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3）监测时间及频率</w:t>
            </w:r>
          </w:p>
          <w:p>
            <w:pPr>
              <w:pStyle w:val="17"/>
              <w:snapToGrid w:val="0"/>
              <w:spacing w:line="360" w:lineRule="auto"/>
              <w:ind w:firstLine="480" w:firstLineChars="200"/>
              <w:textAlignment w:val="auto"/>
              <w:rPr>
                <w:rFonts w:hint="default" w:ascii="Times New Roman" w:hAnsi="Times New Roman" w:cs="Times New Roman"/>
                <w:color w:val="auto"/>
                <w:sz w:val="24"/>
                <w:highlight w:val="none"/>
                <w:lang w:val="en-US" w:eastAsia="zh-CN"/>
              </w:rPr>
            </w:pPr>
            <w:r>
              <w:rPr>
                <w:rFonts w:hint="default" w:ascii="Times New Roman" w:hAnsi="Times New Roman" w:cs="Times New Roman"/>
                <w:color w:val="auto"/>
                <w:sz w:val="24"/>
                <w:highlight w:val="none"/>
                <w:lang w:val="en-US" w:eastAsia="zh-CN"/>
              </w:rPr>
              <w:t>现场监测时间为202</w:t>
            </w:r>
            <w:r>
              <w:rPr>
                <w:rFonts w:hint="eastAsia" w:ascii="Times New Roman" w:hAnsi="Times New Roman" w:cs="Times New Roman"/>
                <w:color w:val="auto"/>
                <w:sz w:val="24"/>
                <w:highlight w:val="none"/>
                <w:lang w:val="en-US" w:eastAsia="zh-CN"/>
              </w:rPr>
              <w:t>2</w:t>
            </w:r>
            <w:r>
              <w:rPr>
                <w:rFonts w:hint="default" w:ascii="Times New Roman" w:hAnsi="Times New Roman" w:cs="Times New Roman"/>
                <w:color w:val="auto"/>
                <w:sz w:val="24"/>
                <w:highlight w:val="none"/>
                <w:lang w:val="en-US" w:eastAsia="zh-CN"/>
              </w:rPr>
              <w:t>年</w:t>
            </w:r>
            <w:r>
              <w:rPr>
                <w:rFonts w:hint="eastAsia" w:ascii="Times New Roman" w:hAnsi="Times New Roman" w:cs="Times New Roman"/>
                <w:color w:val="auto"/>
                <w:sz w:val="24"/>
                <w:highlight w:val="none"/>
                <w:lang w:val="en-US" w:eastAsia="zh-CN"/>
              </w:rPr>
              <w:t>3</w:t>
            </w:r>
            <w:r>
              <w:rPr>
                <w:rFonts w:hint="default" w:ascii="Times New Roman" w:hAnsi="Times New Roman" w:cs="Times New Roman"/>
                <w:color w:val="auto"/>
                <w:sz w:val="24"/>
                <w:highlight w:val="none"/>
                <w:lang w:val="en-US" w:eastAsia="zh-CN"/>
              </w:rPr>
              <w:t>月</w:t>
            </w:r>
            <w:r>
              <w:rPr>
                <w:rFonts w:hint="eastAsia" w:ascii="Times New Roman" w:hAnsi="Times New Roman" w:cs="Times New Roman"/>
                <w:color w:val="auto"/>
                <w:sz w:val="24"/>
                <w:highlight w:val="none"/>
                <w:lang w:val="en-US" w:eastAsia="zh-CN"/>
              </w:rPr>
              <w:t>5</w:t>
            </w:r>
            <w:r>
              <w:rPr>
                <w:rFonts w:hint="default" w:ascii="Times New Roman" w:hAnsi="Times New Roman" w:cs="Times New Roman"/>
                <w:color w:val="auto"/>
                <w:sz w:val="24"/>
                <w:highlight w:val="none"/>
                <w:lang w:val="en-US" w:eastAsia="zh-CN"/>
              </w:rPr>
              <w:t>日至202</w:t>
            </w:r>
            <w:r>
              <w:rPr>
                <w:rFonts w:hint="eastAsia" w:ascii="Times New Roman" w:hAnsi="Times New Roman" w:cs="Times New Roman"/>
                <w:color w:val="auto"/>
                <w:sz w:val="24"/>
                <w:highlight w:val="none"/>
                <w:lang w:val="en-US" w:eastAsia="zh-CN"/>
              </w:rPr>
              <w:t>2</w:t>
            </w:r>
            <w:r>
              <w:rPr>
                <w:rFonts w:hint="default" w:ascii="Times New Roman" w:hAnsi="Times New Roman" w:cs="Times New Roman"/>
                <w:color w:val="auto"/>
                <w:sz w:val="24"/>
                <w:highlight w:val="none"/>
                <w:lang w:val="en-US" w:eastAsia="zh-CN"/>
              </w:rPr>
              <w:t>年</w:t>
            </w:r>
            <w:r>
              <w:rPr>
                <w:rFonts w:hint="eastAsia" w:ascii="Times New Roman" w:hAnsi="Times New Roman" w:cs="Times New Roman"/>
                <w:color w:val="auto"/>
                <w:sz w:val="24"/>
                <w:highlight w:val="none"/>
                <w:lang w:val="en-US" w:eastAsia="zh-CN"/>
              </w:rPr>
              <w:t>3</w:t>
            </w:r>
            <w:r>
              <w:rPr>
                <w:rFonts w:hint="default" w:ascii="Times New Roman" w:hAnsi="Times New Roman" w:cs="Times New Roman"/>
                <w:color w:val="auto"/>
                <w:sz w:val="24"/>
                <w:highlight w:val="none"/>
                <w:lang w:val="en-US" w:eastAsia="zh-CN"/>
              </w:rPr>
              <w:t>月</w:t>
            </w:r>
            <w:r>
              <w:rPr>
                <w:rFonts w:hint="eastAsia" w:ascii="Times New Roman" w:hAnsi="Times New Roman" w:cs="Times New Roman"/>
                <w:color w:val="auto"/>
                <w:sz w:val="24"/>
                <w:highlight w:val="none"/>
                <w:lang w:val="en-US" w:eastAsia="zh-CN"/>
              </w:rPr>
              <w:t>7</w:t>
            </w:r>
            <w:r>
              <w:rPr>
                <w:rFonts w:hint="default" w:ascii="Times New Roman" w:hAnsi="Times New Roman" w:cs="Times New Roman"/>
                <w:color w:val="auto"/>
                <w:sz w:val="24"/>
                <w:highlight w:val="none"/>
                <w:lang w:val="en-US" w:eastAsia="zh-CN"/>
              </w:rPr>
              <w:t>日，连续检测3天。本项目大气污染物补充监测点位基本信息见表</w:t>
            </w:r>
            <w:r>
              <w:rPr>
                <w:rFonts w:hint="eastAsia" w:ascii="Times New Roman" w:hAnsi="Times New Roman" w:cs="Times New Roman"/>
                <w:color w:val="auto"/>
                <w:sz w:val="24"/>
                <w:highlight w:val="none"/>
                <w:lang w:val="en-US" w:eastAsia="zh-CN"/>
              </w:rPr>
              <w:t>3-2</w:t>
            </w:r>
            <w:r>
              <w:rPr>
                <w:rFonts w:hint="default" w:ascii="Times New Roman" w:hAnsi="Times New Roman" w:cs="Times New Roman"/>
                <w:color w:val="auto"/>
                <w:sz w:val="24"/>
                <w:highlight w:val="none"/>
                <w:lang w:val="en-US" w:eastAsia="zh-CN"/>
              </w:rPr>
              <w:t>。</w:t>
            </w:r>
          </w:p>
          <w:p>
            <w:pPr>
              <w:adjustRightInd w:val="0"/>
              <w:snapToGrid w:val="0"/>
              <w:spacing w:line="240" w:lineRule="auto"/>
              <w:ind w:firstLine="561"/>
              <w:jc w:val="center"/>
              <w:rPr>
                <w:rFonts w:hint="default" w:ascii="Times New Roman" w:hAnsi="Times New Roman" w:cs="Times New Roman"/>
                <w:b/>
                <w:color w:val="auto"/>
                <w:sz w:val="24"/>
                <w:highlight w:val="none"/>
              </w:rPr>
            </w:pPr>
          </w:p>
          <w:p>
            <w:pPr>
              <w:pStyle w:val="2"/>
              <w:rPr>
                <w:rFonts w:hint="default"/>
                <w:color w:val="auto"/>
                <w:highlight w:val="none"/>
              </w:rPr>
            </w:pPr>
          </w:p>
          <w:p>
            <w:pPr>
              <w:adjustRightInd w:val="0"/>
              <w:snapToGrid w:val="0"/>
              <w:spacing w:line="240" w:lineRule="auto"/>
              <w:ind w:firstLine="561"/>
              <w:jc w:val="center"/>
              <w:rPr>
                <w:rFonts w:hint="default" w:ascii="Times New Roman" w:hAnsi="Times New Roman" w:cs="Times New Roman"/>
                <w:b/>
                <w:color w:val="auto"/>
                <w:sz w:val="24"/>
                <w:highlight w:val="none"/>
              </w:rPr>
            </w:pPr>
          </w:p>
          <w:p>
            <w:pPr>
              <w:adjustRightInd w:val="0"/>
              <w:snapToGrid w:val="0"/>
              <w:spacing w:line="240" w:lineRule="auto"/>
              <w:ind w:firstLine="561"/>
              <w:jc w:val="center"/>
              <w:rPr>
                <w:rFonts w:hint="default" w:ascii="Times New Roman" w:hAnsi="Times New Roman" w:cs="Times New Roman"/>
                <w:b/>
                <w:color w:val="auto"/>
                <w:sz w:val="24"/>
                <w:highlight w:val="none"/>
              </w:rPr>
            </w:pPr>
          </w:p>
          <w:p>
            <w:pPr>
              <w:adjustRightInd w:val="0"/>
              <w:snapToGrid w:val="0"/>
              <w:spacing w:line="240" w:lineRule="auto"/>
              <w:ind w:firstLine="561"/>
              <w:jc w:val="center"/>
              <w:rPr>
                <w:rFonts w:hint="default" w:ascii="Times New Roman" w:hAnsi="Times New Roman" w:eastAsia="仿宋_GB2312" w:cs="Times New Roman"/>
                <w:b/>
                <w:color w:val="auto"/>
                <w:sz w:val="24"/>
                <w:highlight w:val="none"/>
              </w:rPr>
            </w:pPr>
            <w:r>
              <w:rPr>
                <w:rFonts w:hint="default" w:ascii="Times New Roman" w:hAnsi="Times New Roman" w:cs="Times New Roman"/>
                <w:b/>
                <w:color w:val="auto"/>
                <w:sz w:val="24"/>
                <w:highlight w:val="none"/>
              </w:rPr>
              <w:t>表</w:t>
            </w:r>
            <w:r>
              <w:rPr>
                <w:rFonts w:hint="eastAsia" w:cs="Times New Roman"/>
                <w:b/>
                <w:color w:val="auto"/>
                <w:sz w:val="24"/>
                <w:highlight w:val="none"/>
                <w:lang w:val="en-US" w:eastAsia="zh-CN"/>
              </w:rPr>
              <w:t>3-2</w:t>
            </w:r>
            <w:r>
              <w:rPr>
                <w:rFonts w:hint="default" w:ascii="Times New Roman" w:hAnsi="Times New Roman" w:cs="Times New Roman"/>
                <w:b/>
                <w:color w:val="auto"/>
                <w:sz w:val="24"/>
                <w:highlight w:val="none"/>
              </w:rPr>
              <w:t xml:space="preserve">  大气污染物补充监测点位基本信息表</w:t>
            </w:r>
          </w:p>
          <w:tbl>
            <w:tblPr>
              <w:tblStyle w:val="32"/>
              <w:tblW w:w="81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5"/>
              <w:gridCol w:w="1007"/>
              <w:gridCol w:w="1065"/>
              <w:gridCol w:w="1380"/>
              <w:gridCol w:w="1980"/>
              <w:gridCol w:w="14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45"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监测点名称</w:t>
                  </w:r>
                </w:p>
              </w:tc>
              <w:tc>
                <w:tcPr>
                  <w:tcW w:w="2072"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监测点坐标</w:t>
                  </w:r>
                </w:p>
              </w:tc>
              <w:tc>
                <w:tcPr>
                  <w:tcW w:w="1380"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监测因子</w:t>
                  </w:r>
                </w:p>
              </w:tc>
              <w:tc>
                <w:tcPr>
                  <w:tcW w:w="1980"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监测时段</w:t>
                  </w:r>
                </w:p>
              </w:tc>
              <w:tc>
                <w:tcPr>
                  <w:tcW w:w="1430"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相对本厂区方位及距离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6" w:hRule="atLeast"/>
                <w:jc w:val="center"/>
              </w:trPr>
              <w:tc>
                <w:tcPr>
                  <w:tcW w:w="1245"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p>
              </w:tc>
              <w:tc>
                <w:tcPr>
                  <w:tcW w:w="100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北纬</w:t>
                  </w:r>
                </w:p>
              </w:tc>
              <w:tc>
                <w:tcPr>
                  <w:tcW w:w="10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东经</w:t>
                  </w:r>
                </w:p>
              </w:tc>
              <w:tc>
                <w:tcPr>
                  <w:tcW w:w="1380"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p>
              </w:tc>
              <w:tc>
                <w:tcPr>
                  <w:tcW w:w="1980"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p>
              </w:tc>
              <w:tc>
                <w:tcPr>
                  <w:tcW w:w="1430"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jc w:val="center"/>
              </w:trPr>
              <w:tc>
                <w:tcPr>
                  <w:tcW w:w="1245" w:type="dxa"/>
                  <w:tcBorders>
                    <w:top w:val="single" w:color="auto" w:sz="4" w:space="0"/>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r>
                    <w:rPr>
                      <w:rFonts w:hint="eastAsia" w:ascii="Times New Roman" w:hAnsi="Times New Roman" w:cs="Times New Roman"/>
                      <w:color w:val="auto"/>
                      <w:sz w:val="21"/>
                      <w:szCs w:val="21"/>
                      <w:highlight w:val="none"/>
                      <w:lang w:val="en-US" w:eastAsia="zh-CN"/>
                    </w:rPr>
                    <w:t>东街社区</w:t>
                  </w:r>
                </w:p>
              </w:tc>
              <w:tc>
                <w:tcPr>
                  <w:tcW w:w="1007" w:type="dxa"/>
                  <w:tcBorders>
                    <w:top w:val="single" w:color="auto" w:sz="4" w:space="0"/>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rPr>
                    <w:t>119.</w:t>
                  </w:r>
                  <w:r>
                    <w:rPr>
                      <w:rFonts w:hint="eastAsia" w:ascii="Times New Roman" w:hAnsi="Times New Roman" w:cs="Times New Roman"/>
                      <w:color w:val="auto"/>
                      <w:sz w:val="21"/>
                      <w:szCs w:val="21"/>
                      <w:highlight w:val="none"/>
                      <w:lang w:val="en-US" w:eastAsia="zh-CN"/>
                    </w:rPr>
                    <w:t>2375</w:t>
                  </w:r>
                </w:p>
              </w:tc>
              <w:tc>
                <w:tcPr>
                  <w:tcW w:w="1065" w:type="dxa"/>
                  <w:tcBorders>
                    <w:top w:val="single" w:color="auto" w:sz="4" w:space="0"/>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rPr>
                    <w:t>39.</w:t>
                  </w:r>
                  <w:r>
                    <w:rPr>
                      <w:rFonts w:hint="eastAsia" w:ascii="Times New Roman" w:hAnsi="Times New Roman" w:cs="Times New Roman"/>
                      <w:color w:val="auto"/>
                      <w:sz w:val="21"/>
                      <w:szCs w:val="21"/>
                      <w:highlight w:val="none"/>
                      <w:lang w:val="en-US" w:eastAsia="zh-CN"/>
                    </w:rPr>
                    <w:t>8921</w:t>
                  </w:r>
                </w:p>
              </w:tc>
              <w:tc>
                <w:tcPr>
                  <w:tcW w:w="1380" w:type="dxa"/>
                  <w:tcBorders>
                    <w:top w:val="single" w:color="auto" w:sz="4" w:space="0"/>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非甲烷总烃</w:t>
                  </w:r>
                </w:p>
              </w:tc>
              <w:tc>
                <w:tcPr>
                  <w:tcW w:w="1980" w:type="dxa"/>
                  <w:tcBorders>
                    <w:top w:val="single" w:color="auto" w:sz="4" w:space="0"/>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202</w:t>
                  </w:r>
                  <w:r>
                    <w:rPr>
                      <w:rFonts w:hint="eastAsia" w:ascii="Times New Roman" w:hAnsi="Times New Roman" w:cs="Times New Roman"/>
                      <w:color w:val="auto"/>
                      <w:sz w:val="21"/>
                      <w:szCs w:val="21"/>
                      <w:highlight w:val="none"/>
                      <w:lang w:val="en-US" w:eastAsia="zh-CN"/>
                    </w:rPr>
                    <w:t>2</w:t>
                  </w:r>
                  <w:r>
                    <w:rPr>
                      <w:rFonts w:hint="default" w:ascii="Times New Roman" w:hAnsi="Times New Roman" w:cs="Times New Roman"/>
                      <w:color w:val="auto"/>
                      <w:sz w:val="21"/>
                      <w:szCs w:val="21"/>
                      <w:highlight w:val="none"/>
                      <w:lang w:val="en-US" w:eastAsia="zh-CN"/>
                    </w:rPr>
                    <w:t>年2月</w:t>
                  </w:r>
                  <w:r>
                    <w:rPr>
                      <w:rFonts w:hint="eastAsia" w:ascii="Times New Roman" w:hAnsi="Times New Roman" w:cs="Times New Roman"/>
                      <w:color w:val="auto"/>
                      <w:sz w:val="21"/>
                      <w:szCs w:val="21"/>
                      <w:highlight w:val="none"/>
                      <w:lang w:val="en-US" w:eastAsia="zh-CN"/>
                    </w:rPr>
                    <w:t>16</w:t>
                  </w:r>
                  <w:r>
                    <w:rPr>
                      <w:rFonts w:hint="default" w:ascii="Times New Roman" w:hAnsi="Times New Roman" w:cs="Times New Roman"/>
                      <w:color w:val="auto"/>
                      <w:sz w:val="21"/>
                      <w:szCs w:val="21"/>
                      <w:highlight w:val="none"/>
                      <w:lang w:val="en-US" w:eastAsia="zh-CN"/>
                    </w:rPr>
                    <w:t>日至202</w:t>
                  </w:r>
                  <w:r>
                    <w:rPr>
                      <w:rFonts w:hint="eastAsia" w:ascii="Times New Roman" w:hAnsi="Times New Roman" w:cs="Times New Roman"/>
                      <w:color w:val="auto"/>
                      <w:sz w:val="21"/>
                      <w:szCs w:val="21"/>
                      <w:highlight w:val="none"/>
                      <w:lang w:val="en-US" w:eastAsia="zh-CN"/>
                    </w:rPr>
                    <w:t>2</w:t>
                  </w:r>
                  <w:r>
                    <w:rPr>
                      <w:rFonts w:hint="default" w:ascii="Times New Roman" w:hAnsi="Times New Roman" w:cs="Times New Roman"/>
                      <w:color w:val="auto"/>
                      <w:sz w:val="21"/>
                      <w:szCs w:val="21"/>
                      <w:highlight w:val="none"/>
                      <w:lang w:val="en-US" w:eastAsia="zh-CN"/>
                    </w:rPr>
                    <w:t>年2月1</w:t>
                  </w:r>
                  <w:r>
                    <w:rPr>
                      <w:rFonts w:hint="eastAsia" w:ascii="Times New Roman" w:hAnsi="Times New Roman" w:cs="Times New Roman"/>
                      <w:color w:val="auto"/>
                      <w:sz w:val="21"/>
                      <w:szCs w:val="21"/>
                      <w:highlight w:val="none"/>
                      <w:lang w:val="en-US" w:eastAsia="zh-CN"/>
                    </w:rPr>
                    <w:t>8</w:t>
                  </w:r>
                  <w:r>
                    <w:rPr>
                      <w:rFonts w:hint="default" w:ascii="Times New Roman" w:hAnsi="Times New Roman" w:cs="Times New Roman"/>
                      <w:color w:val="auto"/>
                      <w:sz w:val="21"/>
                      <w:szCs w:val="21"/>
                      <w:highlight w:val="none"/>
                      <w:lang w:val="en-US" w:eastAsia="zh-CN"/>
                    </w:rPr>
                    <w:t>日</w:t>
                  </w:r>
                </w:p>
              </w:tc>
              <w:tc>
                <w:tcPr>
                  <w:tcW w:w="143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S；</w:t>
                  </w:r>
                  <w:r>
                    <w:rPr>
                      <w:rFonts w:hint="eastAsia" w:cs="Times New Roman"/>
                      <w:color w:val="auto"/>
                      <w:sz w:val="21"/>
                      <w:szCs w:val="21"/>
                      <w:highlight w:val="none"/>
                      <w:lang w:val="en-US" w:eastAsia="zh-CN"/>
                    </w:rPr>
                    <w:t>2.4</w:t>
                  </w:r>
                  <w:r>
                    <w:rPr>
                      <w:rFonts w:hint="default" w:ascii="Times New Roman" w:hAnsi="Times New Roman" w:cs="Times New Roman"/>
                      <w:color w:val="auto"/>
                      <w:sz w:val="21"/>
                      <w:szCs w:val="21"/>
                      <w:highlight w:val="none"/>
                    </w:rPr>
                    <w:t>km</w:t>
                  </w:r>
                </w:p>
              </w:tc>
            </w:tr>
          </w:tbl>
          <w:p>
            <w:pPr>
              <w:adjustRightInd w:val="0"/>
              <w:snapToGrid w:val="0"/>
              <w:spacing w:before="120" w:beforeLines="50" w:line="360" w:lineRule="auto"/>
              <w:ind w:firstLine="561"/>
              <w:rPr>
                <w:rFonts w:hint="default" w:ascii="Times New Roman" w:hAnsi="Times New Roman" w:cs="Times New Roman"/>
                <w:bCs/>
                <w:color w:val="auto"/>
                <w:sz w:val="24"/>
                <w:highlight w:val="none"/>
              </w:rPr>
            </w:pPr>
            <w:r>
              <w:rPr>
                <w:rFonts w:hint="default" w:ascii="Times New Roman" w:hAnsi="Times New Roman" w:cs="Times New Roman"/>
                <w:color w:val="auto"/>
                <w:sz w:val="24"/>
                <w:highlight w:val="none"/>
              </w:rPr>
              <w:t>4）</w:t>
            </w:r>
            <w:r>
              <w:rPr>
                <w:rFonts w:hint="default" w:ascii="Times New Roman" w:hAnsi="Times New Roman" w:cs="Times New Roman"/>
                <w:bCs/>
                <w:color w:val="auto"/>
                <w:sz w:val="24"/>
                <w:highlight w:val="none"/>
              </w:rPr>
              <w:t>监测分析方法</w:t>
            </w:r>
          </w:p>
          <w:p>
            <w:pPr>
              <w:adjustRightInd w:val="0"/>
              <w:snapToGrid w:val="0"/>
              <w:spacing w:line="360" w:lineRule="auto"/>
              <w:ind w:firstLine="561"/>
              <w:rPr>
                <w:rFonts w:hint="default" w:ascii="Times New Roman" w:hAnsi="Times New Roman" w:eastAsia="仿宋_GB2312" w:cs="Times New Roman"/>
                <w:color w:val="auto"/>
                <w:szCs w:val="28"/>
                <w:highlight w:val="none"/>
              </w:rPr>
            </w:pPr>
            <w:r>
              <w:rPr>
                <w:rFonts w:hint="default" w:ascii="Times New Roman" w:hAnsi="Times New Roman" w:cs="Times New Roman"/>
                <w:color w:val="auto"/>
                <w:sz w:val="24"/>
                <w:highlight w:val="none"/>
              </w:rPr>
              <w:t>按照《空气和废气监测分析方法》（第四版）、《环境影响评价技术导则—大气环境》（HJ2.2-2018）、《环境空气质量标准》（GB3095—2012）有关规定和要求执行。</w:t>
            </w:r>
          </w:p>
          <w:p>
            <w:pPr>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default" w:ascii="Times New Roman" w:hAnsi="Times New Roman" w:cs="Times New Roman"/>
                <w:b/>
                <w:color w:val="auto"/>
                <w:sz w:val="24"/>
                <w:highlight w:val="none"/>
              </w:rPr>
            </w:pPr>
            <w:r>
              <w:rPr>
                <w:rFonts w:hint="default" w:ascii="Times New Roman" w:hAnsi="Times New Roman" w:cs="Times New Roman"/>
                <w:b/>
                <w:color w:val="auto"/>
                <w:sz w:val="24"/>
                <w:highlight w:val="none"/>
              </w:rPr>
              <w:t>表</w:t>
            </w:r>
            <w:r>
              <w:rPr>
                <w:rFonts w:hint="eastAsia" w:cs="Times New Roman"/>
                <w:b/>
                <w:color w:val="auto"/>
                <w:sz w:val="24"/>
                <w:highlight w:val="none"/>
                <w:lang w:val="en-US" w:eastAsia="zh-CN"/>
              </w:rPr>
              <w:t xml:space="preserve">3-3 </w:t>
            </w:r>
            <w:r>
              <w:rPr>
                <w:rFonts w:hint="default" w:ascii="Times New Roman" w:hAnsi="Times New Roman" w:cs="Times New Roman"/>
                <w:b/>
                <w:color w:val="auto"/>
                <w:sz w:val="24"/>
                <w:highlight w:val="none"/>
              </w:rPr>
              <w:t xml:space="preserve"> 监测方法及检出限一览表</w:t>
            </w:r>
          </w:p>
          <w:tbl>
            <w:tblPr>
              <w:tblStyle w:val="32"/>
              <w:tblW w:w="81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02"/>
              <w:gridCol w:w="2770"/>
              <w:gridCol w:w="2934"/>
              <w:gridCol w:w="13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10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检测项目</w:t>
                  </w:r>
                </w:p>
              </w:tc>
              <w:tc>
                <w:tcPr>
                  <w:tcW w:w="2770"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分析方法</w:t>
                  </w:r>
                </w:p>
              </w:tc>
              <w:tc>
                <w:tcPr>
                  <w:tcW w:w="2934"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分析仪器</w:t>
                  </w:r>
                </w:p>
              </w:tc>
              <w:tc>
                <w:tcPr>
                  <w:tcW w:w="130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检出限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10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非甲烷总烃</w:t>
                  </w:r>
                </w:p>
              </w:tc>
              <w:tc>
                <w:tcPr>
                  <w:tcW w:w="2770"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《环境空气 总烃、甲烷和非甲烷总烃的测定 直接进样 气相色谱法》HJ 604-2017</w:t>
                  </w:r>
                </w:p>
              </w:tc>
              <w:tc>
                <w:tcPr>
                  <w:tcW w:w="2934"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ZR-3520 真空箱气袋采样器</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（HBHK/YQ176）</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DEM6 轻便三杯风向风速表</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（HBHK/YQ252）</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GC9790Ⅱ气相色谱仪</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（HBHK/YQ002）</w:t>
                  </w:r>
                </w:p>
              </w:tc>
              <w:tc>
                <w:tcPr>
                  <w:tcW w:w="130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0.07mg/m3</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cs="Times New Roman"/>
                      <w:color w:val="auto"/>
                      <w:sz w:val="21"/>
                      <w:szCs w:val="21"/>
                      <w:highlight w:val="none"/>
                      <w:lang w:eastAsia="zh-CN"/>
                    </w:rPr>
                  </w:pPr>
                  <w:r>
                    <w:rPr>
                      <w:rFonts w:hint="eastAsia" w:ascii="Times New Roman" w:hAnsi="Times New Roman" w:cs="Times New Roman"/>
                      <w:color w:val="auto"/>
                      <w:sz w:val="21"/>
                      <w:szCs w:val="21"/>
                      <w:highlight w:val="none"/>
                      <w:lang w:eastAsia="zh-CN"/>
                    </w:rPr>
                    <w:t>（</w:t>
                  </w:r>
                  <w:r>
                    <w:rPr>
                      <w:rFonts w:hint="eastAsia" w:ascii="Times New Roman" w:hAnsi="Times New Roman" w:cs="Times New Roman"/>
                      <w:color w:val="auto"/>
                      <w:sz w:val="21"/>
                      <w:szCs w:val="21"/>
                      <w:highlight w:val="none"/>
                      <w:lang w:val="en-US" w:eastAsia="zh-CN"/>
                    </w:rPr>
                    <w:t>以碳计</w:t>
                  </w:r>
                  <w:r>
                    <w:rPr>
                      <w:rFonts w:hint="eastAsia" w:ascii="Times New Roman" w:hAnsi="Times New Roman" w:cs="Times New Roman"/>
                      <w:color w:val="auto"/>
                      <w:sz w:val="21"/>
                      <w:szCs w:val="21"/>
                      <w:highlight w:val="none"/>
                      <w:lang w:eastAsia="zh-CN"/>
                    </w:rPr>
                    <w:t>）</w:t>
                  </w:r>
                </w:p>
              </w:tc>
            </w:tr>
          </w:tbl>
          <w:p>
            <w:pPr>
              <w:keepNext w:val="0"/>
              <w:keepLines w:val="0"/>
              <w:pageBreakBefore w:val="0"/>
              <w:widowControl w:val="0"/>
              <w:kinsoku/>
              <w:wordWrap/>
              <w:overflowPunct/>
              <w:topLinePunct w:val="0"/>
              <w:autoSpaceDE/>
              <w:autoSpaceDN/>
              <w:bidi w:val="0"/>
              <w:adjustRightInd w:val="0"/>
              <w:snapToGrid w:val="0"/>
              <w:spacing w:line="240" w:lineRule="auto"/>
              <w:ind w:firstLine="0"/>
              <w:jc w:val="center"/>
              <w:textAlignment w:val="auto"/>
              <w:rPr>
                <w:rFonts w:hint="default" w:ascii="Times New Roman" w:hAnsi="Times New Roman" w:cs="Times New Roman"/>
                <w:b/>
                <w:color w:val="auto"/>
                <w:sz w:val="24"/>
                <w:highlight w:val="none"/>
              </w:rPr>
            </w:pPr>
            <w:r>
              <w:rPr>
                <w:rFonts w:hint="default" w:ascii="Times New Roman" w:hAnsi="Times New Roman" w:cs="Times New Roman"/>
                <w:b/>
                <w:color w:val="auto"/>
                <w:sz w:val="24"/>
                <w:highlight w:val="none"/>
              </w:rPr>
              <w:t>表</w:t>
            </w:r>
            <w:r>
              <w:rPr>
                <w:rFonts w:hint="eastAsia" w:cs="Times New Roman"/>
                <w:b/>
                <w:color w:val="auto"/>
                <w:sz w:val="24"/>
                <w:highlight w:val="none"/>
                <w:lang w:val="en-US" w:eastAsia="zh-CN"/>
              </w:rPr>
              <w:t xml:space="preserve">3-4 </w:t>
            </w:r>
            <w:r>
              <w:rPr>
                <w:rFonts w:hint="default" w:ascii="Times New Roman" w:hAnsi="Times New Roman" w:cs="Times New Roman"/>
                <w:b/>
                <w:color w:val="auto"/>
                <w:sz w:val="24"/>
                <w:highlight w:val="none"/>
              </w:rPr>
              <w:t xml:space="preserve"> 特征污染物环境质量现状监测结果表</w:t>
            </w:r>
          </w:p>
          <w:tbl>
            <w:tblPr>
              <w:tblStyle w:val="32"/>
              <w:tblW w:w="81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9"/>
              <w:gridCol w:w="1163"/>
              <w:gridCol w:w="960"/>
              <w:gridCol w:w="1245"/>
              <w:gridCol w:w="1320"/>
              <w:gridCol w:w="1080"/>
              <w:gridCol w:w="855"/>
              <w:gridCol w:w="7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29"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监测</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点位</w:t>
                  </w:r>
                </w:p>
              </w:tc>
              <w:tc>
                <w:tcPr>
                  <w:tcW w:w="1163"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污染物</w:t>
                  </w:r>
                </w:p>
              </w:tc>
              <w:tc>
                <w:tcPr>
                  <w:tcW w:w="960"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平均时间</w:t>
                  </w:r>
                </w:p>
              </w:tc>
              <w:tc>
                <w:tcPr>
                  <w:tcW w:w="1245"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评价标准/（mg/m</w:t>
                  </w:r>
                  <w:r>
                    <w:rPr>
                      <w:rFonts w:hint="default" w:ascii="Times New Roman" w:hAnsi="Times New Roman" w:cs="Times New Roman"/>
                      <w:color w:val="auto"/>
                      <w:sz w:val="21"/>
                      <w:szCs w:val="21"/>
                      <w:highlight w:val="none"/>
                      <w:vertAlign w:val="superscript"/>
                    </w:rPr>
                    <w:t>3</w:t>
                  </w:r>
                  <w:r>
                    <w:rPr>
                      <w:rFonts w:hint="default" w:ascii="Times New Roman" w:hAnsi="Times New Roman" w:cs="Times New Roman"/>
                      <w:color w:val="auto"/>
                      <w:sz w:val="21"/>
                      <w:szCs w:val="21"/>
                      <w:highlight w:val="none"/>
                    </w:rPr>
                    <w:t>）</w:t>
                  </w:r>
                </w:p>
              </w:tc>
              <w:tc>
                <w:tcPr>
                  <w:tcW w:w="1320"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监测浓度范围/（mg/m</w:t>
                  </w:r>
                  <w:r>
                    <w:rPr>
                      <w:rFonts w:hint="default" w:ascii="Times New Roman" w:hAnsi="Times New Roman" w:cs="Times New Roman"/>
                      <w:color w:val="auto"/>
                      <w:sz w:val="21"/>
                      <w:szCs w:val="21"/>
                      <w:highlight w:val="none"/>
                      <w:vertAlign w:val="superscript"/>
                    </w:rPr>
                    <w:t>3</w:t>
                  </w:r>
                  <w:r>
                    <w:rPr>
                      <w:rFonts w:hint="default" w:ascii="Times New Roman" w:hAnsi="Times New Roman" w:cs="Times New Roman"/>
                      <w:color w:val="auto"/>
                      <w:sz w:val="21"/>
                      <w:szCs w:val="21"/>
                      <w:highlight w:val="none"/>
                    </w:rPr>
                    <w:t>）</w:t>
                  </w:r>
                </w:p>
              </w:tc>
              <w:tc>
                <w:tcPr>
                  <w:tcW w:w="1080"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最大浓度占标率/%</w:t>
                  </w:r>
                </w:p>
              </w:tc>
              <w:tc>
                <w:tcPr>
                  <w:tcW w:w="855"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超标率/%</w:t>
                  </w:r>
                </w:p>
              </w:tc>
              <w:tc>
                <w:tcPr>
                  <w:tcW w:w="755"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达标情况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29"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p>
              </w:tc>
              <w:tc>
                <w:tcPr>
                  <w:tcW w:w="1163"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p>
              </w:tc>
              <w:tc>
                <w:tcPr>
                  <w:tcW w:w="960"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p>
              </w:tc>
              <w:tc>
                <w:tcPr>
                  <w:tcW w:w="1245"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p>
              </w:tc>
              <w:tc>
                <w:tcPr>
                  <w:tcW w:w="1320"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p>
              </w:tc>
              <w:tc>
                <w:tcPr>
                  <w:tcW w:w="1080"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p>
              </w:tc>
              <w:tc>
                <w:tcPr>
                  <w:tcW w:w="855"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p>
              </w:tc>
              <w:tc>
                <w:tcPr>
                  <w:tcW w:w="755"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29"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p>
              </w:tc>
              <w:tc>
                <w:tcPr>
                  <w:tcW w:w="116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非甲烷总烃</w:t>
                  </w:r>
                </w:p>
              </w:tc>
              <w:tc>
                <w:tcPr>
                  <w:tcW w:w="96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1h平均</w:t>
                  </w:r>
                </w:p>
              </w:tc>
              <w:tc>
                <w:tcPr>
                  <w:tcW w:w="124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2</w:t>
                  </w:r>
                </w:p>
              </w:tc>
              <w:tc>
                <w:tcPr>
                  <w:tcW w:w="132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0.46-0.57</w:t>
                  </w:r>
                </w:p>
              </w:tc>
              <w:tc>
                <w:tcPr>
                  <w:tcW w:w="108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2</w:t>
                  </w:r>
                  <w:r>
                    <w:rPr>
                      <w:rFonts w:hint="eastAsia" w:cs="Times New Roman"/>
                      <w:color w:val="auto"/>
                      <w:sz w:val="21"/>
                      <w:szCs w:val="21"/>
                      <w:highlight w:val="none"/>
                      <w:lang w:val="en-US" w:eastAsia="zh-CN"/>
                    </w:rPr>
                    <w:t>8.5</w:t>
                  </w:r>
                </w:p>
              </w:tc>
              <w:tc>
                <w:tcPr>
                  <w:tcW w:w="85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0</w:t>
                  </w:r>
                </w:p>
              </w:tc>
              <w:tc>
                <w:tcPr>
                  <w:tcW w:w="75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达标</w:t>
                  </w:r>
                </w:p>
              </w:tc>
            </w:tr>
          </w:tbl>
          <w:p>
            <w:pPr>
              <w:pStyle w:val="17"/>
              <w:snapToGrid w:val="0"/>
              <w:spacing w:before="120" w:beforeLines="50" w:line="360" w:lineRule="auto"/>
              <w:ind w:firstLine="480" w:firstLineChars="200"/>
              <w:rPr>
                <w:rFonts w:hint="default" w:ascii="Times New Roman" w:hAnsi="Times New Roman" w:cs="Times New Roman"/>
                <w:b/>
                <w:color w:val="auto"/>
                <w:sz w:val="24"/>
                <w:highlight w:val="none"/>
                <w:lang w:val="en-US" w:eastAsia="zh-CN"/>
              </w:rPr>
            </w:pPr>
            <w:r>
              <w:rPr>
                <w:rFonts w:hint="default" w:ascii="Times New Roman" w:hAnsi="Times New Roman" w:cs="Times New Roman"/>
                <w:color w:val="auto"/>
                <w:sz w:val="24"/>
                <w:highlight w:val="none"/>
                <w:lang w:val="en-US" w:eastAsia="zh-CN"/>
              </w:rPr>
              <w:t>根据补充监测结果，非甲烷总烃可满足《环境空气质量 非甲烷总烃限值》（DB13/1577-2012）要求。</w:t>
            </w:r>
          </w:p>
          <w:p>
            <w:pPr>
              <w:spacing w:line="360" w:lineRule="auto"/>
              <w:ind w:firstLine="480" w:firstLineChars="200"/>
              <w:rPr>
                <w:rFonts w:hint="default"/>
                <w:color w:val="auto"/>
                <w:highlight w:val="none"/>
                <w:lang w:val="en-US" w:eastAsia="zh-CN"/>
              </w:rPr>
            </w:pPr>
            <w:r>
              <w:rPr>
                <w:rFonts w:hint="default"/>
                <w:color w:val="auto"/>
                <w:highlight w:val="none"/>
                <w:lang w:val="en-US" w:eastAsia="zh-CN"/>
              </w:rPr>
              <w:t>本项目所在区域</w:t>
            </w:r>
            <w:r>
              <w:rPr>
                <w:rFonts w:hint="eastAsia"/>
                <w:color w:val="auto"/>
                <w:highlight w:val="none"/>
                <w:lang w:val="en-US" w:eastAsia="zh-CN"/>
              </w:rPr>
              <w:t>超标因子为臭氧，其余因子均</w:t>
            </w:r>
            <w:r>
              <w:rPr>
                <w:rFonts w:hint="default"/>
                <w:color w:val="auto"/>
                <w:highlight w:val="none"/>
                <w:lang w:val="en-US" w:eastAsia="zh-CN"/>
              </w:rPr>
              <w:t>满足《环境空气质量标准》二级标准</w:t>
            </w:r>
            <w:r>
              <w:rPr>
                <w:rFonts w:hint="eastAsia"/>
                <w:color w:val="auto"/>
                <w:highlight w:val="none"/>
                <w:lang w:val="en-US" w:eastAsia="zh-CN"/>
              </w:rPr>
              <w:t>以及《环境影响评价技术导则大气环境》</w:t>
            </w:r>
            <w:r>
              <w:rPr>
                <w:rFonts w:hint="default"/>
                <w:color w:val="auto"/>
                <w:highlight w:val="none"/>
                <w:lang w:val="en-US" w:eastAsia="zh-CN"/>
              </w:rPr>
              <w:t>要求，项目所在区域为</w:t>
            </w:r>
            <w:r>
              <w:rPr>
                <w:rFonts w:hint="eastAsia"/>
                <w:color w:val="auto"/>
                <w:highlight w:val="none"/>
                <w:lang w:val="en-US" w:eastAsia="zh-CN"/>
              </w:rPr>
              <w:t>不</w:t>
            </w:r>
            <w:r>
              <w:rPr>
                <w:rFonts w:hint="default"/>
                <w:color w:val="auto"/>
                <w:highlight w:val="none"/>
                <w:lang w:val="en-US" w:eastAsia="zh-CN"/>
              </w:rPr>
              <w:t>达标区。</w:t>
            </w:r>
          </w:p>
          <w:p>
            <w:pPr>
              <w:pStyle w:val="10"/>
              <w:bidi w:val="0"/>
              <w:rPr>
                <w:rFonts w:hint="default"/>
                <w:color w:val="auto"/>
                <w:sz w:val="24"/>
                <w:szCs w:val="28"/>
                <w:highlight w:val="none"/>
                <w:lang w:val="en-US" w:eastAsia="zh-CN"/>
              </w:rPr>
            </w:pPr>
            <w:r>
              <w:rPr>
                <w:rFonts w:hint="default"/>
                <w:color w:val="auto"/>
                <w:sz w:val="24"/>
                <w:szCs w:val="28"/>
                <w:highlight w:val="none"/>
                <w:lang w:val="en-US" w:eastAsia="zh-CN"/>
              </w:rPr>
              <w:t xml:space="preserve">2 声环境质量现状  </w:t>
            </w:r>
          </w:p>
          <w:p>
            <w:pPr>
              <w:bidi w:val="0"/>
              <w:ind w:firstLine="480" w:firstLineChars="200"/>
              <w:rPr>
                <w:rFonts w:hint="default"/>
                <w:color w:val="auto"/>
                <w:highlight w:val="none"/>
                <w:lang w:val="en-US" w:eastAsia="zh-CN"/>
              </w:rPr>
            </w:pPr>
            <w:r>
              <w:rPr>
                <w:rFonts w:hint="default"/>
                <w:color w:val="auto"/>
                <w:highlight w:val="none"/>
                <w:lang w:val="en-US" w:eastAsia="zh-CN"/>
              </w:rPr>
              <w:t>本项目区域声环境质量符合《声环境质量标准》（GB3096-2008）</w:t>
            </w:r>
            <w:r>
              <w:rPr>
                <w:rFonts w:hint="eastAsia"/>
                <w:color w:val="auto"/>
                <w:highlight w:val="none"/>
                <w:lang w:val="en-US" w:eastAsia="zh-CN"/>
              </w:rPr>
              <w:t>3</w:t>
            </w:r>
            <w:r>
              <w:rPr>
                <w:rFonts w:hint="default"/>
                <w:color w:val="auto"/>
                <w:highlight w:val="none"/>
                <w:lang w:val="en-US" w:eastAsia="zh-CN"/>
              </w:rPr>
              <w:t xml:space="preserve"> 类标准</w:t>
            </w:r>
            <w:r>
              <w:rPr>
                <w:rFonts w:hint="eastAsia"/>
                <w:color w:val="auto"/>
                <w:highlight w:val="none"/>
                <w:lang w:val="en-US" w:eastAsia="zh-CN"/>
              </w:rPr>
              <w:t>。</w:t>
            </w:r>
          </w:p>
          <w:p>
            <w:pPr>
              <w:bidi w:val="0"/>
              <w:rPr>
                <w:rFonts w:hint="eastAsia"/>
                <w:b/>
                <w:bCs/>
                <w:color w:val="auto"/>
                <w:sz w:val="24"/>
                <w:szCs w:val="24"/>
                <w:highlight w:val="none"/>
                <w:lang w:val="en-US" w:eastAsia="zh-CN"/>
              </w:rPr>
            </w:pPr>
            <w:r>
              <w:rPr>
                <w:rFonts w:hint="eastAsia"/>
                <w:b/>
                <w:bCs/>
                <w:color w:val="auto"/>
                <w:sz w:val="24"/>
                <w:szCs w:val="24"/>
                <w:highlight w:val="none"/>
                <w:lang w:val="en-US" w:eastAsia="zh-CN"/>
              </w:rPr>
              <w:t>3 生态环境</w:t>
            </w:r>
          </w:p>
          <w:p>
            <w:pPr>
              <w:keepNext w:val="0"/>
              <w:keepLines w:val="0"/>
              <w:pageBreakBefore w:val="0"/>
              <w:widowControl w:val="0"/>
              <w:kinsoku/>
              <w:wordWrap/>
              <w:overflowPunct/>
              <w:topLinePunct w:val="0"/>
              <w:autoSpaceDE/>
              <w:autoSpaceDN/>
              <w:bidi w:val="0"/>
              <w:adjustRightInd w:val="0"/>
              <w:snapToGrid w:val="0"/>
              <w:ind w:firstLine="480" w:firstLineChars="200"/>
              <w:jc w:val="both"/>
              <w:textAlignment w:val="auto"/>
              <w:rPr>
                <w:rFonts w:hint="eastAsia"/>
                <w:color w:val="auto"/>
                <w:highlight w:val="none"/>
                <w:lang w:val="en-US" w:eastAsia="zh-CN"/>
              </w:rPr>
            </w:pPr>
            <w:r>
              <w:rPr>
                <w:rFonts w:hint="eastAsia"/>
                <w:color w:val="auto"/>
                <w:highlight w:val="none"/>
                <w:lang w:val="en-US" w:eastAsia="zh-CN"/>
              </w:rPr>
              <w:t>本项目位于秦皇岛市抚宁区工业园区内，占地性质为工业用地，经现场踏勘，占地范围内无生态保护目标，无需进行生态现状调查。</w:t>
            </w:r>
          </w:p>
          <w:p>
            <w:pPr>
              <w:keepNext w:val="0"/>
              <w:keepLines w:val="0"/>
              <w:pageBreakBefore w:val="0"/>
              <w:widowControl w:val="0"/>
              <w:kinsoku/>
              <w:wordWrap/>
              <w:overflowPunct/>
              <w:topLinePunct w:val="0"/>
              <w:autoSpaceDE/>
              <w:autoSpaceDN/>
              <w:bidi w:val="0"/>
              <w:adjustRightInd w:val="0"/>
              <w:snapToGrid w:val="0"/>
              <w:ind w:firstLine="480" w:firstLineChars="200"/>
              <w:jc w:val="both"/>
              <w:textAlignment w:val="auto"/>
              <w:rPr>
                <w:rFonts w:hint="eastAsia"/>
                <w:color w:val="auto"/>
                <w:highlight w:val="none"/>
                <w:lang w:val="en-US" w:eastAsia="zh-CN"/>
              </w:rPr>
            </w:pPr>
          </w:p>
          <w:p>
            <w:pPr>
              <w:keepNext w:val="0"/>
              <w:keepLines w:val="0"/>
              <w:pageBreakBefore w:val="0"/>
              <w:widowControl w:val="0"/>
              <w:kinsoku/>
              <w:wordWrap/>
              <w:overflowPunct/>
              <w:topLinePunct w:val="0"/>
              <w:autoSpaceDE/>
              <w:autoSpaceDN/>
              <w:bidi w:val="0"/>
              <w:adjustRightInd w:val="0"/>
              <w:snapToGrid w:val="0"/>
              <w:ind w:firstLine="480" w:firstLineChars="200"/>
              <w:jc w:val="both"/>
              <w:textAlignment w:val="auto"/>
              <w:rPr>
                <w:rFonts w:hint="eastAsia"/>
                <w:color w:val="auto"/>
                <w:highlight w:val="none"/>
                <w:lang w:val="en-US" w:eastAsia="zh-CN"/>
              </w:rPr>
            </w:pPr>
          </w:p>
          <w:p>
            <w:pPr>
              <w:keepNext w:val="0"/>
              <w:keepLines w:val="0"/>
              <w:pageBreakBefore w:val="0"/>
              <w:widowControl w:val="0"/>
              <w:kinsoku/>
              <w:wordWrap/>
              <w:overflowPunct/>
              <w:topLinePunct w:val="0"/>
              <w:autoSpaceDE/>
              <w:autoSpaceDN/>
              <w:bidi w:val="0"/>
              <w:adjustRightInd w:val="0"/>
              <w:snapToGrid w:val="0"/>
              <w:ind w:firstLine="480" w:firstLineChars="200"/>
              <w:jc w:val="both"/>
              <w:textAlignment w:val="auto"/>
              <w:rPr>
                <w:rFonts w:hint="eastAsia"/>
                <w:color w:val="auto"/>
                <w:highlight w:val="none"/>
                <w:lang w:val="en-US" w:eastAsia="zh-CN"/>
              </w:rPr>
            </w:pPr>
          </w:p>
          <w:p>
            <w:pPr>
              <w:keepNext w:val="0"/>
              <w:keepLines w:val="0"/>
              <w:pageBreakBefore w:val="0"/>
              <w:widowControl w:val="0"/>
              <w:kinsoku/>
              <w:wordWrap/>
              <w:overflowPunct/>
              <w:topLinePunct w:val="0"/>
              <w:autoSpaceDE/>
              <w:autoSpaceDN/>
              <w:bidi w:val="0"/>
              <w:adjustRightInd w:val="0"/>
              <w:snapToGrid w:val="0"/>
              <w:ind w:firstLine="480" w:firstLineChars="200"/>
              <w:jc w:val="both"/>
              <w:textAlignment w:val="auto"/>
              <w:rPr>
                <w:rFonts w:hint="eastAsia"/>
                <w:color w:val="auto"/>
                <w:highlight w:val="none"/>
                <w:lang w:val="en-US" w:eastAsia="zh-CN"/>
              </w:rPr>
            </w:pPr>
          </w:p>
          <w:p>
            <w:pPr>
              <w:keepNext w:val="0"/>
              <w:keepLines w:val="0"/>
              <w:pageBreakBefore w:val="0"/>
              <w:widowControl w:val="0"/>
              <w:kinsoku/>
              <w:wordWrap/>
              <w:overflowPunct/>
              <w:topLinePunct w:val="0"/>
              <w:autoSpaceDE/>
              <w:autoSpaceDN/>
              <w:bidi w:val="0"/>
              <w:adjustRightInd w:val="0"/>
              <w:snapToGrid w:val="0"/>
              <w:ind w:firstLine="480" w:firstLineChars="200"/>
              <w:jc w:val="both"/>
              <w:textAlignment w:val="auto"/>
              <w:rPr>
                <w:rFonts w:hint="default" w:ascii="Times New Roman" w:hAnsi="Times New Roman" w:cs="Times New Roman"/>
                <w:color w:val="auto"/>
                <w:highlight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11" w:hRule="exact"/>
          <w:jc w:val="center"/>
        </w:trPr>
        <w:tc>
          <w:tcPr>
            <w:tcW w:w="487" w:type="dxa"/>
            <w:noWrap w:val="0"/>
            <w:vAlign w:val="center"/>
          </w:tcPr>
          <w:p>
            <w:pPr>
              <w:pStyle w:val="11"/>
              <w:bidi w:val="0"/>
              <w:spacing w:line="240" w:lineRule="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环境</w:t>
            </w:r>
          </w:p>
          <w:p>
            <w:pPr>
              <w:pStyle w:val="11"/>
              <w:bidi w:val="0"/>
              <w:spacing w:line="240" w:lineRule="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保护</w:t>
            </w:r>
          </w:p>
          <w:p>
            <w:pPr>
              <w:pStyle w:val="11"/>
              <w:bidi w:val="0"/>
              <w:spacing w:line="240" w:lineRule="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目标</w:t>
            </w:r>
          </w:p>
        </w:tc>
        <w:tc>
          <w:tcPr>
            <w:tcW w:w="8584" w:type="dxa"/>
            <w:noWrap w:val="0"/>
            <w:vAlign w:val="center"/>
          </w:tcPr>
          <w:p>
            <w:pPr>
              <w:pStyle w:val="10"/>
              <w:bidi w:val="0"/>
              <w:spacing w:line="360" w:lineRule="auto"/>
              <w:rPr>
                <w:rFonts w:hint="default" w:ascii="Times New Roman" w:hAnsi="Times New Roman" w:cs="Times New Roman"/>
                <w:color w:val="auto"/>
                <w:sz w:val="24"/>
                <w:szCs w:val="28"/>
                <w:highlight w:val="none"/>
                <w:lang w:val="en-US" w:eastAsia="zh-CN"/>
              </w:rPr>
            </w:pPr>
            <w:r>
              <w:rPr>
                <w:rFonts w:hint="default" w:ascii="Times New Roman" w:hAnsi="Times New Roman" w:cs="Times New Roman"/>
                <w:color w:val="auto"/>
                <w:sz w:val="24"/>
                <w:szCs w:val="28"/>
                <w:highlight w:val="none"/>
                <w:lang w:val="en-US" w:eastAsia="zh-CN"/>
              </w:rPr>
              <w:t>1大气环境</w:t>
            </w:r>
          </w:p>
          <w:p>
            <w:pPr>
              <w:adjustRightInd w:val="0"/>
              <w:snapToGrid w:val="0"/>
              <w:spacing w:line="360" w:lineRule="auto"/>
              <w:ind w:firstLine="480" w:firstLineChars="200"/>
              <w:rPr>
                <w:rFonts w:hint="default" w:ascii="Times New Roman" w:hAnsi="Times New Roman" w:cs="Times New Roman"/>
                <w:color w:val="auto"/>
                <w:sz w:val="24"/>
                <w:szCs w:val="24"/>
                <w:highlight w:val="none"/>
              </w:rPr>
            </w:pPr>
            <w:r>
              <w:rPr>
                <w:rFonts w:hint="default" w:ascii="Times New Roman" w:hAnsi="Times New Roman" w:cs="Times New Roman"/>
                <w:color w:val="auto"/>
                <w:highlight w:val="none"/>
                <w:lang w:eastAsia="zh-CN"/>
              </w:rPr>
              <w:t>项目位于抚宁经济开发区北规一街南创业路东 秦皇岛联安机械科技有限公司院内，厂界500m范围</w:t>
            </w:r>
            <w:r>
              <w:rPr>
                <w:rFonts w:hint="default" w:ascii="Times New Roman" w:hAnsi="Times New Roman" w:cs="Times New Roman"/>
                <w:color w:val="auto"/>
                <w:sz w:val="24"/>
                <w:szCs w:val="24"/>
                <w:highlight w:val="none"/>
              </w:rPr>
              <w:t>内无</w:t>
            </w:r>
            <w:r>
              <w:rPr>
                <w:rFonts w:hint="eastAsia" w:cs="Times New Roman"/>
                <w:color w:val="auto"/>
                <w:sz w:val="24"/>
                <w:szCs w:val="24"/>
                <w:highlight w:val="none"/>
                <w:lang w:val="en-US" w:eastAsia="zh-CN"/>
              </w:rPr>
              <w:t>居民区、</w:t>
            </w:r>
            <w:r>
              <w:rPr>
                <w:rFonts w:hint="default" w:ascii="Times New Roman" w:hAnsi="Times New Roman" w:cs="Times New Roman"/>
                <w:color w:val="auto"/>
                <w:sz w:val="24"/>
                <w:szCs w:val="24"/>
                <w:highlight w:val="none"/>
              </w:rPr>
              <w:t>自然保护区、风景名胜区、文化区</w:t>
            </w:r>
            <w:r>
              <w:rPr>
                <w:rFonts w:hint="default" w:ascii="Times New Roman" w:hAnsi="Times New Roman" w:eastAsia="宋体" w:cs="Times New Roman"/>
                <w:color w:val="auto"/>
                <w:kern w:val="0"/>
                <w:sz w:val="24"/>
                <w:szCs w:val="24"/>
                <w:highlight w:val="none"/>
                <w:lang w:val="en-US" w:eastAsia="zh-CN"/>
              </w:rPr>
              <w:t>。</w:t>
            </w:r>
          </w:p>
          <w:p>
            <w:pPr>
              <w:pStyle w:val="10"/>
              <w:bidi w:val="0"/>
              <w:spacing w:line="360" w:lineRule="auto"/>
              <w:rPr>
                <w:rFonts w:hint="default" w:ascii="Times New Roman" w:hAnsi="Times New Roman" w:cs="Times New Roman"/>
                <w:color w:val="auto"/>
                <w:sz w:val="24"/>
                <w:szCs w:val="28"/>
                <w:highlight w:val="none"/>
                <w:lang w:val="en-US" w:eastAsia="zh-CN"/>
              </w:rPr>
            </w:pPr>
            <w:r>
              <w:rPr>
                <w:rFonts w:hint="default" w:ascii="Times New Roman" w:hAnsi="Times New Roman" w:cs="Times New Roman"/>
                <w:color w:val="auto"/>
                <w:sz w:val="24"/>
                <w:szCs w:val="28"/>
                <w:highlight w:val="none"/>
                <w:lang w:val="en-US" w:eastAsia="zh-CN"/>
              </w:rPr>
              <w:t>2声环境</w:t>
            </w:r>
          </w:p>
          <w:p>
            <w:pPr>
              <w:adjustRightInd w:val="0"/>
              <w:snapToGrid w:val="0"/>
              <w:spacing w:line="360" w:lineRule="auto"/>
              <w:ind w:firstLine="480" w:firstLineChars="200"/>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本项目厂界外50米范围内无声环境保护目标。</w:t>
            </w:r>
          </w:p>
          <w:p>
            <w:pPr>
              <w:pStyle w:val="10"/>
              <w:bidi w:val="0"/>
              <w:spacing w:line="360" w:lineRule="auto"/>
              <w:rPr>
                <w:rFonts w:hint="default" w:ascii="Times New Roman" w:hAnsi="Times New Roman" w:cs="Times New Roman"/>
                <w:color w:val="auto"/>
                <w:sz w:val="24"/>
                <w:szCs w:val="28"/>
                <w:highlight w:val="none"/>
                <w:lang w:val="en-US" w:eastAsia="zh-CN"/>
              </w:rPr>
            </w:pPr>
            <w:r>
              <w:rPr>
                <w:rFonts w:hint="default" w:ascii="Times New Roman" w:hAnsi="Times New Roman" w:cs="Times New Roman"/>
                <w:color w:val="auto"/>
                <w:sz w:val="24"/>
                <w:szCs w:val="28"/>
                <w:highlight w:val="none"/>
                <w:lang w:val="en-US" w:eastAsia="zh-CN"/>
              </w:rPr>
              <w:t>3地下水环境</w:t>
            </w:r>
          </w:p>
          <w:p>
            <w:pPr>
              <w:adjustRightInd w:val="0"/>
              <w:snapToGrid w:val="0"/>
              <w:spacing w:line="360" w:lineRule="auto"/>
              <w:ind w:firstLine="480" w:firstLineChars="200"/>
              <w:rPr>
                <w:rFonts w:hint="default" w:ascii="Times New Roman" w:hAnsi="Times New Roman" w:eastAsia="宋体" w:cs="Times New Roman"/>
                <w:color w:val="auto"/>
                <w:highlight w:val="none"/>
              </w:rPr>
            </w:pPr>
            <w:r>
              <w:rPr>
                <w:rFonts w:hint="default" w:ascii="Times New Roman" w:hAnsi="Times New Roman" w:cs="Times New Roman"/>
                <w:color w:val="auto"/>
                <w:sz w:val="24"/>
                <w:szCs w:val="24"/>
                <w:highlight w:val="none"/>
              </w:rPr>
              <w:t>本项目厂界外500米范围内无地下水集中式饮用水水源和热水、矿泉水、温泉等特殊地下水资源。</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876" w:hRule="atLeast"/>
          <w:jc w:val="center"/>
        </w:trPr>
        <w:tc>
          <w:tcPr>
            <w:tcW w:w="487" w:type="dxa"/>
            <w:noWrap w:val="0"/>
            <w:tcMar>
              <w:left w:w="28" w:type="dxa"/>
              <w:right w:w="28" w:type="dxa"/>
            </w:tcMar>
            <w:vAlign w:val="center"/>
          </w:tcPr>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rPr>
                <w:rFonts w:hint="default" w:ascii="Times New Roman" w:hAnsi="Times New Roman" w:eastAsia="宋体" w:cs="Times New Roman"/>
                <w:b/>
                <w:bCs w:val="0"/>
                <w:color w:val="auto"/>
                <w:kern w:val="2"/>
                <w:sz w:val="24"/>
                <w:szCs w:val="21"/>
                <w:highlight w:val="none"/>
                <w:lang w:val="en-US" w:eastAsia="zh-CN" w:bidi="ar-SA"/>
              </w:rPr>
            </w:pPr>
          </w:p>
          <w:p>
            <w:pPr>
              <w:pStyle w:val="27"/>
              <w:rPr>
                <w:rFonts w:hint="default" w:ascii="Times New Roman" w:hAnsi="Times New Roman" w:eastAsia="宋体" w:cs="Times New Roman"/>
                <w:b/>
                <w:bCs w:val="0"/>
                <w:color w:val="auto"/>
                <w:kern w:val="2"/>
                <w:sz w:val="24"/>
                <w:szCs w:val="21"/>
                <w:highlight w:val="none"/>
                <w:lang w:val="en-US" w:eastAsia="zh-CN" w:bidi="ar-SA"/>
              </w:rPr>
            </w:pPr>
          </w:p>
          <w:p>
            <w:pPr>
              <w:rPr>
                <w:rFonts w:hint="default" w:ascii="Times New Roman" w:hAnsi="Times New Roman" w:eastAsia="宋体" w:cs="Times New Roman"/>
                <w:b/>
                <w:bCs w:val="0"/>
                <w:color w:val="auto"/>
                <w:kern w:val="2"/>
                <w:sz w:val="24"/>
                <w:szCs w:val="21"/>
                <w:highlight w:val="none"/>
                <w:lang w:val="en-US" w:eastAsia="zh-CN" w:bidi="ar-SA"/>
              </w:rPr>
            </w:pPr>
          </w:p>
          <w:p>
            <w:pPr>
              <w:pStyle w:val="27"/>
              <w:rPr>
                <w:rFonts w:hint="default" w:ascii="Times New Roman" w:hAnsi="Times New Roman" w:eastAsia="宋体" w:cs="Times New Roman"/>
                <w:b/>
                <w:bCs w:val="0"/>
                <w:color w:val="auto"/>
                <w:kern w:val="2"/>
                <w:sz w:val="24"/>
                <w:szCs w:val="21"/>
                <w:highlight w:val="none"/>
                <w:lang w:val="en-US" w:eastAsia="zh-CN" w:bidi="ar-SA"/>
              </w:rPr>
            </w:pPr>
          </w:p>
          <w:p>
            <w:pPr>
              <w:rPr>
                <w:rFonts w:hint="default"/>
                <w:color w:val="auto"/>
                <w:highlight w:val="none"/>
                <w:lang w:val="en-US" w:eastAsia="zh-CN"/>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污染</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物排</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放控</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制标</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准</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both"/>
              <w:rPr>
                <w:rFonts w:hint="eastAsia" w:ascii="Times New Roman" w:hAnsi="Times New Roman" w:eastAsia="宋体" w:cs="Times New Roman"/>
                <w:b/>
                <w:bCs w:val="0"/>
                <w:color w:val="auto"/>
                <w:kern w:val="2"/>
                <w:sz w:val="24"/>
                <w:szCs w:val="21"/>
                <w:highlight w:val="none"/>
                <w:lang w:val="en-US" w:eastAsia="zh-CN" w:bidi="ar-SA"/>
              </w:rPr>
            </w:pPr>
          </w:p>
        </w:tc>
        <w:tc>
          <w:tcPr>
            <w:tcW w:w="8584" w:type="dxa"/>
            <w:noWrap w:val="0"/>
            <w:vAlign w:val="center"/>
          </w:tcPr>
          <w:p>
            <w:pPr>
              <w:pStyle w:val="10"/>
              <w:keepLines w:val="0"/>
              <w:pageBreakBefore w:val="0"/>
              <w:widowControl w:val="0"/>
              <w:kinsoku/>
              <w:wordWrap/>
              <w:topLinePunct w:val="0"/>
              <w:autoSpaceDE/>
              <w:autoSpaceDN/>
              <w:bidi w:val="0"/>
              <w:adjustRightInd w:val="0"/>
              <w:snapToGrid w:val="0"/>
              <w:spacing w:line="360" w:lineRule="auto"/>
              <w:jc w:val="both"/>
              <w:textAlignment w:val="auto"/>
              <w:rPr>
                <w:rFonts w:hint="default" w:ascii="Times New Roman" w:hAnsi="Times New Roman" w:cs="Times New Roman"/>
                <w:color w:val="auto"/>
                <w:sz w:val="24"/>
                <w:szCs w:val="28"/>
                <w:highlight w:val="none"/>
                <w:lang w:val="en-US" w:eastAsia="zh-CN"/>
              </w:rPr>
            </w:pPr>
            <w:r>
              <w:rPr>
                <w:rFonts w:hint="default" w:ascii="Times New Roman" w:hAnsi="Times New Roman" w:cs="Times New Roman"/>
                <w:color w:val="auto"/>
                <w:sz w:val="24"/>
                <w:szCs w:val="28"/>
                <w:highlight w:val="none"/>
                <w:lang w:val="en-US" w:eastAsia="zh-CN"/>
              </w:rPr>
              <w:t>1 施工期</w:t>
            </w:r>
          </w:p>
          <w:p>
            <w:pPr>
              <w:keepLines w:val="0"/>
              <w:pageBreakBefore w:val="0"/>
              <w:widowControl w:val="0"/>
              <w:kinsoku/>
              <w:wordWrap/>
              <w:topLinePunct w:val="0"/>
              <w:autoSpaceDE/>
              <w:autoSpaceDN/>
              <w:bidi w:val="0"/>
              <w:adjustRightInd w:val="0"/>
              <w:snapToGrid w:val="0"/>
              <w:spacing w:line="360" w:lineRule="auto"/>
              <w:ind w:firstLine="480" w:firstLineChars="200"/>
              <w:jc w:val="both"/>
              <w:textAlignment w:val="auto"/>
              <w:rPr>
                <w:rFonts w:hint="eastAsia" w:cs="Times New Roman"/>
                <w:color w:val="auto"/>
                <w:highlight w:val="none"/>
                <w:lang w:val="en-US" w:eastAsia="zh-CN"/>
              </w:rPr>
            </w:pPr>
            <w:r>
              <w:rPr>
                <w:rFonts w:hint="eastAsia" w:cs="Times New Roman"/>
                <w:color w:val="auto"/>
                <w:highlight w:val="none"/>
                <w:lang w:val="en-US" w:eastAsia="zh-CN"/>
              </w:rPr>
              <w:t>1.噪声</w:t>
            </w:r>
          </w:p>
          <w:p>
            <w:pPr>
              <w:keepLines w:val="0"/>
              <w:pageBreakBefore w:val="0"/>
              <w:widowControl w:val="0"/>
              <w:kinsoku/>
              <w:wordWrap/>
              <w:topLinePunct w:val="0"/>
              <w:autoSpaceDE/>
              <w:autoSpaceDN/>
              <w:bidi w:val="0"/>
              <w:adjustRightInd w:val="0"/>
              <w:snapToGrid w:val="0"/>
              <w:spacing w:line="360" w:lineRule="auto"/>
              <w:ind w:firstLine="480" w:firstLineChars="200"/>
              <w:jc w:val="both"/>
              <w:textAlignment w:val="auto"/>
              <w:rPr>
                <w:rFonts w:hint="default" w:ascii="Times New Roman" w:hAnsi="Times New Roman" w:cs="Times New Roman"/>
                <w:color w:val="auto"/>
                <w:highlight w:val="none"/>
                <w:lang w:val="en-US" w:eastAsia="zh-CN"/>
              </w:rPr>
            </w:pPr>
            <w:r>
              <w:rPr>
                <w:rFonts w:hint="default" w:ascii="Times New Roman" w:hAnsi="Times New Roman" w:cs="Times New Roman"/>
                <w:snapToGrid w:val="0"/>
                <w:color w:val="auto"/>
                <w:kern w:val="0"/>
                <w:sz w:val="24"/>
                <w:szCs w:val="24"/>
                <w:highlight w:val="none"/>
              </w:rPr>
              <w:t>施工期噪声执行</w:t>
            </w:r>
            <w:r>
              <w:rPr>
                <w:rFonts w:hint="default" w:ascii="Times New Roman" w:hAnsi="Times New Roman" w:cs="Times New Roman"/>
                <w:color w:val="auto"/>
                <w:sz w:val="24"/>
                <w:szCs w:val="24"/>
                <w:highlight w:val="none"/>
              </w:rPr>
              <w:t>《建筑施工场界环境噪声排放标准》（GB12523-2011）：昼间70dB(A)</w:t>
            </w:r>
            <w:r>
              <w:rPr>
                <w:rFonts w:hint="eastAsia" w:cs="Times New Roman"/>
                <w:color w:val="auto"/>
                <w:sz w:val="24"/>
                <w:szCs w:val="24"/>
                <w:highlight w:val="none"/>
                <w:lang w:eastAsia="zh-CN"/>
              </w:rPr>
              <w:t>（</w:t>
            </w:r>
            <w:r>
              <w:rPr>
                <w:rFonts w:hint="eastAsia" w:cs="Times New Roman"/>
                <w:color w:val="auto"/>
                <w:sz w:val="24"/>
                <w:szCs w:val="24"/>
                <w:highlight w:val="none"/>
                <w:lang w:val="en-US" w:eastAsia="zh-CN"/>
              </w:rPr>
              <w:t>夜间不施工</w:t>
            </w:r>
            <w:r>
              <w:rPr>
                <w:rFonts w:hint="eastAsia" w:cs="Times New Roman"/>
                <w:color w:val="auto"/>
                <w:sz w:val="24"/>
                <w:szCs w:val="24"/>
                <w:highlight w:val="none"/>
                <w:lang w:eastAsia="zh-CN"/>
              </w:rPr>
              <w:t>）</w:t>
            </w:r>
            <w:r>
              <w:rPr>
                <w:rFonts w:hint="default" w:ascii="Times New Roman" w:hAnsi="Times New Roman" w:cs="Times New Roman"/>
                <w:color w:val="auto"/>
                <w:highlight w:val="none"/>
                <w:lang w:val="en-US" w:eastAsia="zh-CN"/>
              </w:rPr>
              <w:t>。</w:t>
            </w:r>
          </w:p>
          <w:p>
            <w:pPr>
              <w:pStyle w:val="10"/>
              <w:pageBreakBefore w:val="0"/>
              <w:widowControl w:val="0"/>
              <w:kinsoku/>
              <w:wordWrap/>
              <w:topLinePunct w:val="0"/>
              <w:autoSpaceDE/>
              <w:autoSpaceDN/>
              <w:bidi w:val="0"/>
              <w:adjustRightInd w:val="0"/>
              <w:snapToGrid w:val="0"/>
              <w:spacing w:line="360" w:lineRule="auto"/>
              <w:jc w:val="both"/>
              <w:textAlignment w:val="auto"/>
              <w:rPr>
                <w:rFonts w:hint="default" w:ascii="Times New Roman" w:hAnsi="Times New Roman" w:eastAsia="宋体" w:cs="Times New Roman"/>
                <w:color w:val="auto"/>
                <w:sz w:val="24"/>
                <w:szCs w:val="28"/>
                <w:highlight w:val="none"/>
                <w:lang w:val="en-US" w:eastAsia="zh-CN"/>
              </w:rPr>
            </w:pPr>
            <w:r>
              <w:rPr>
                <w:rFonts w:hint="default" w:ascii="Times New Roman" w:hAnsi="Times New Roman" w:eastAsia="宋体" w:cs="Times New Roman"/>
                <w:color w:val="auto"/>
                <w:sz w:val="24"/>
                <w:szCs w:val="28"/>
                <w:highlight w:val="none"/>
                <w:lang w:val="en-US" w:eastAsia="zh-CN"/>
              </w:rPr>
              <w:t>2 运营期</w:t>
            </w:r>
          </w:p>
          <w:p>
            <w:pPr>
              <w:pStyle w:val="11"/>
              <w:pageBreakBefore w:val="0"/>
              <w:widowControl w:val="0"/>
              <w:kinsoku/>
              <w:wordWrap/>
              <w:topLinePunct w:val="0"/>
              <w:autoSpaceDE/>
              <w:autoSpaceDN/>
              <w:bidi w:val="0"/>
              <w:adjustRightInd w:val="0"/>
              <w:snapToGrid w:val="0"/>
              <w:spacing w:beforeLines="0" w:afterLines="0" w:line="360" w:lineRule="auto"/>
              <w:jc w:val="both"/>
              <w:textAlignment w:val="auto"/>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2.1废气</w:t>
            </w:r>
          </w:p>
          <w:p>
            <w:pPr>
              <w:snapToGrid w:val="0"/>
              <w:spacing w:line="360" w:lineRule="auto"/>
              <w:ind w:firstLine="480" w:firstLineChars="200"/>
              <w:contextualSpacing/>
              <w:jc w:val="both"/>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kern w:val="2"/>
                <w:sz w:val="24"/>
                <w:szCs w:val="24"/>
                <w:highlight w:val="none"/>
                <w:lang w:val="en-US" w:eastAsia="zh-CN" w:bidi="ar-SA"/>
              </w:rPr>
              <w:t>无组织颗粒物执行《秦皇岛市人民政府办公室关于执行钢铁等行业大气污染物排放特别要求的通知》：300ug/m³以及《大气污染物综合排放标准》(GB16297-1996)表2大气污染物排放限值中其他颗粒物周界外浓度最高点：1.0mg/m³。</w:t>
            </w:r>
          </w:p>
          <w:p>
            <w:pPr>
              <w:snapToGrid w:val="0"/>
              <w:spacing w:line="360" w:lineRule="auto"/>
              <w:ind w:firstLine="480" w:firstLineChars="200"/>
              <w:contextualSpacing/>
              <w:jc w:val="both"/>
              <w:rPr>
                <w:rFonts w:hint="default" w:ascii="Times New Roman" w:hAnsi="Times New Roman" w:eastAsia="宋体" w:cs="Times New Roman"/>
                <w:color w:val="auto"/>
                <w:kern w:val="2"/>
                <w:sz w:val="24"/>
                <w:szCs w:val="24"/>
                <w:highlight w:val="none"/>
                <w:lang w:val="en-US" w:eastAsia="zh-CN" w:bidi="ar-SA"/>
              </w:rPr>
            </w:pPr>
            <w:r>
              <w:rPr>
                <w:rFonts w:hint="eastAsia" w:eastAsia="宋体" w:cs="Times New Roman"/>
                <w:color w:val="auto"/>
                <w:kern w:val="2"/>
                <w:sz w:val="24"/>
                <w:szCs w:val="24"/>
                <w:highlight w:val="none"/>
                <w:lang w:val="en-US" w:eastAsia="zh-CN" w:bidi="ar-SA"/>
              </w:rPr>
              <w:t>喷漆过</w:t>
            </w:r>
            <w:r>
              <w:rPr>
                <w:rFonts w:hint="default" w:ascii="Times New Roman" w:hAnsi="Times New Roman" w:eastAsia="宋体" w:cs="Times New Roman"/>
                <w:color w:val="auto"/>
                <w:kern w:val="2"/>
                <w:sz w:val="24"/>
                <w:szCs w:val="24"/>
                <w:highlight w:val="none"/>
                <w:lang w:val="en-US" w:eastAsia="zh-CN" w:bidi="ar-SA"/>
              </w:rPr>
              <w:t>程产生的颗粒物有组织排放浓度及速率满足《大气污染物综合排放标准》(GB16297-1996)标准中表2 染料尘最高允许排放浓度≤18mg/m³，排放速率≤0.51kg/h。</w:t>
            </w:r>
          </w:p>
          <w:p>
            <w:pPr>
              <w:pStyle w:val="17"/>
              <w:keepNext w:val="0"/>
              <w:keepLines w:val="0"/>
              <w:pageBreakBefore w:val="0"/>
              <w:widowControl w:val="0"/>
              <w:kinsoku/>
              <w:wordWrap/>
              <w:overflowPunct/>
              <w:topLinePunct w:val="0"/>
              <w:autoSpaceDE/>
              <w:autoSpaceDN/>
              <w:bidi w:val="0"/>
              <w:adjustRightInd w:val="0"/>
              <w:snapToGrid/>
              <w:spacing w:line="360" w:lineRule="auto"/>
              <w:ind w:firstLine="480" w:firstLineChars="200"/>
              <w:jc w:val="both"/>
              <w:textAlignment w:val="baseline"/>
              <w:rPr>
                <w:rFonts w:hint="default" w:ascii="Times New Roman" w:hAnsi="Times New Roman" w:eastAsia="宋体" w:cs="Times New Roman"/>
                <w:color w:val="auto"/>
                <w:kern w:val="2"/>
                <w:sz w:val="24"/>
                <w:szCs w:val="24"/>
                <w:highlight w:val="none"/>
                <w:lang w:val="en-US" w:eastAsia="zh-CN" w:bidi="ar-SA"/>
              </w:rPr>
            </w:pPr>
            <w:r>
              <w:rPr>
                <w:rFonts w:hint="default" w:ascii="Times New Roman" w:hAnsi="Times New Roman" w:eastAsia="宋体" w:cs="Times New Roman"/>
                <w:color w:val="auto"/>
                <w:kern w:val="2"/>
                <w:sz w:val="24"/>
                <w:szCs w:val="24"/>
                <w:highlight w:val="none"/>
                <w:lang w:val="en-US" w:eastAsia="zh-CN" w:bidi="ar-SA"/>
              </w:rPr>
              <w:t>调漆、喷漆、晾干过程产生的非甲烷总烃满足《挥发性有机物无组织排放控制标准》（GB37822-2019）和《工业企业挥发性有机物排放控制标准》（DB13/2322-2016）表1、表2、表3相关标准，具体见下表。</w:t>
            </w:r>
          </w:p>
          <w:p>
            <w:pPr>
              <w:pStyle w:val="51"/>
              <w:keepNext/>
              <w:keepLines/>
              <w:pageBreakBefore w:val="0"/>
              <w:widowControl w:val="0"/>
              <w:kinsoku/>
              <w:wordWrap/>
              <w:overflowPunct/>
              <w:topLinePunct w:val="0"/>
              <w:autoSpaceDE w:val="0"/>
              <w:autoSpaceDN w:val="0"/>
              <w:bidi w:val="0"/>
              <w:adjustRightInd w:val="0"/>
              <w:snapToGrid/>
              <w:spacing w:line="240" w:lineRule="auto"/>
              <w:ind w:firstLine="0"/>
              <w:textAlignment w:val="auto"/>
              <w:rPr>
                <w:rFonts w:hint="default" w:ascii="Times New Roman" w:hAnsi="Times New Roman" w:cs="Times New Roman"/>
                <w:color w:val="auto"/>
                <w:sz w:val="24"/>
                <w:szCs w:val="16"/>
                <w:highlight w:val="none"/>
              </w:rPr>
            </w:pPr>
          </w:p>
          <w:p>
            <w:pPr>
              <w:pStyle w:val="51"/>
              <w:keepNext/>
              <w:keepLines/>
              <w:pageBreakBefore w:val="0"/>
              <w:widowControl w:val="0"/>
              <w:kinsoku/>
              <w:wordWrap/>
              <w:overflowPunct/>
              <w:topLinePunct w:val="0"/>
              <w:autoSpaceDE w:val="0"/>
              <w:autoSpaceDN w:val="0"/>
              <w:bidi w:val="0"/>
              <w:adjustRightInd w:val="0"/>
              <w:snapToGrid/>
              <w:spacing w:line="240" w:lineRule="auto"/>
              <w:ind w:firstLine="0"/>
              <w:textAlignment w:val="auto"/>
              <w:rPr>
                <w:rFonts w:hint="default" w:ascii="Times New Roman" w:hAnsi="Times New Roman" w:cs="Times New Roman"/>
                <w:color w:val="auto"/>
                <w:sz w:val="24"/>
                <w:szCs w:val="16"/>
                <w:highlight w:val="none"/>
              </w:rPr>
            </w:pPr>
          </w:p>
          <w:p>
            <w:pPr>
              <w:pStyle w:val="51"/>
              <w:keepNext/>
              <w:keepLines/>
              <w:pageBreakBefore w:val="0"/>
              <w:widowControl w:val="0"/>
              <w:kinsoku/>
              <w:wordWrap/>
              <w:overflowPunct/>
              <w:topLinePunct w:val="0"/>
              <w:autoSpaceDE w:val="0"/>
              <w:autoSpaceDN w:val="0"/>
              <w:bidi w:val="0"/>
              <w:adjustRightInd w:val="0"/>
              <w:snapToGrid/>
              <w:spacing w:line="240" w:lineRule="auto"/>
              <w:ind w:firstLine="0"/>
              <w:textAlignment w:val="auto"/>
              <w:rPr>
                <w:color w:val="auto"/>
                <w:sz w:val="24"/>
                <w:szCs w:val="16"/>
                <w:highlight w:val="none"/>
              </w:rPr>
            </w:pPr>
          </w:p>
          <w:p>
            <w:pPr>
              <w:pStyle w:val="51"/>
              <w:keepNext/>
              <w:keepLines/>
              <w:pageBreakBefore w:val="0"/>
              <w:widowControl w:val="0"/>
              <w:kinsoku/>
              <w:wordWrap/>
              <w:overflowPunct/>
              <w:topLinePunct w:val="0"/>
              <w:autoSpaceDE w:val="0"/>
              <w:autoSpaceDN w:val="0"/>
              <w:bidi w:val="0"/>
              <w:adjustRightInd w:val="0"/>
              <w:snapToGrid/>
              <w:spacing w:line="240" w:lineRule="auto"/>
              <w:ind w:firstLine="0"/>
              <w:textAlignment w:val="auto"/>
              <w:rPr>
                <w:color w:val="auto"/>
                <w:sz w:val="24"/>
                <w:szCs w:val="16"/>
                <w:highlight w:val="none"/>
              </w:rPr>
            </w:pPr>
          </w:p>
          <w:p>
            <w:pPr>
              <w:pStyle w:val="51"/>
              <w:keepNext/>
              <w:keepLines/>
              <w:pageBreakBefore w:val="0"/>
              <w:widowControl w:val="0"/>
              <w:kinsoku/>
              <w:wordWrap/>
              <w:overflowPunct/>
              <w:topLinePunct w:val="0"/>
              <w:autoSpaceDE w:val="0"/>
              <w:autoSpaceDN w:val="0"/>
              <w:bidi w:val="0"/>
              <w:adjustRightInd w:val="0"/>
              <w:snapToGrid/>
              <w:spacing w:line="240" w:lineRule="auto"/>
              <w:ind w:firstLine="0"/>
              <w:textAlignment w:val="auto"/>
              <w:rPr>
                <w:color w:val="auto"/>
                <w:sz w:val="24"/>
                <w:szCs w:val="16"/>
                <w:highlight w:val="none"/>
              </w:rPr>
            </w:pPr>
          </w:p>
          <w:p>
            <w:pPr>
              <w:pStyle w:val="51"/>
              <w:keepNext/>
              <w:keepLines/>
              <w:pageBreakBefore w:val="0"/>
              <w:widowControl w:val="0"/>
              <w:kinsoku/>
              <w:wordWrap/>
              <w:overflowPunct/>
              <w:topLinePunct w:val="0"/>
              <w:autoSpaceDE w:val="0"/>
              <w:autoSpaceDN w:val="0"/>
              <w:bidi w:val="0"/>
              <w:adjustRightInd w:val="0"/>
              <w:snapToGrid/>
              <w:spacing w:line="240" w:lineRule="auto"/>
              <w:ind w:firstLine="0"/>
              <w:textAlignment w:val="auto"/>
              <w:rPr>
                <w:color w:val="auto"/>
                <w:sz w:val="24"/>
                <w:szCs w:val="16"/>
                <w:highlight w:val="none"/>
              </w:rPr>
            </w:pPr>
          </w:p>
          <w:p>
            <w:pPr>
              <w:pStyle w:val="51"/>
              <w:keepNext/>
              <w:keepLines/>
              <w:pageBreakBefore w:val="0"/>
              <w:widowControl w:val="0"/>
              <w:kinsoku/>
              <w:wordWrap/>
              <w:overflowPunct/>
              <w:topLinePunct w:val="0"/>
              <w:autoSpaceDE w:val="0"/>
              <w:autoSpaceDN w:val="0"/>
              <w:bidi w:val="0"/>
              <w:adjustRightInd w:val="0"/>
              <w:snapToGrid/>
              <w:spacing w:line="240" w:lineRule="auto"/>
              <w:ind w:firstLine="0"/>
              <w:textAlignment w:val="auto"/>
              <w:rPr>
                <w:color w:val="auto"/>
                <w:sz w:val="24"/>
                <w:szCs w:val="16"/>
                <w:highlight w:val="none"/>
              </w:rPr>
            </w:pPr>
          </w:p>
          <w:p>
            <w:pPr>
              <w:pStyle w:val="51"/>
              <w:keepNext/>
              <w:keepLines/>
              <w:pageBreakBefore w:val="0"/>
              <w:widowControl w:val="0"/>
              <w:kinsoku/>
              <w:wordWrap/>
              <w:overflowPunct/>
              <w:topLinePunct w:val="0"/>
              <w:autoSpaceDE w:val="0"/>
              <w:autoSpaceDN w:val="0"/>
              <w:bidi w:val="0"/>
              <w:adjustRightInd w:val="0"/>
              <w:snapToGrid/>
              <w:spacing w:line="240" w:lineRule="auto"/>
              <w:ind w:firstLine="0"/>
              <w:textAlignment w:val="auto"/>
              <w:rPr>
                <w:color w:val="auto"/>
                <w:sz w:val="24"/>
                <w:szCs w:val="16"/>
                <w:highlight w:val="none"/>
              </w:rPr>
            </w:pPr>
          </w:p>
          <w:p>
            <w:pPr>
              <w:pStyle w:val="51"/>
              <w:keepNext/>
              <w:keepLines/>
              <w:pageBreakBefore w:val="0"/>
              <w:widowControl w:val="0"/>
              <w:kinsoku/>
              <w:wordWrap/>
              <w:overflowPunct/>
              <w:topLinePunct w:val="0"/>
              <w:autoSpaceDE w:val="0"/>
              <w:autoSpaceDN w:val="0"/>
              <w:bidi w:val="0"/>
              <w:adjustRightInd w:val="0"/>
              <w:snapToGrid/>
              <w:spacing w:line="240" w:lineRule="auto"/>
              <w:ind w:firstLine="0"/>
              <w:textAlignment w:val="auto"/>
              <w:rPr>
                <w:color w:val="auto"/>
                <w:sz w:val="24"/>
                <w:szCs w:val="16"/>
                <w:highlight w:val="none"/>
              </w:rPr>
            </w:pPr>
          </w:p>
          <w:p>
            <w:pPr>
              <w:pStyle w:val="51"/>
              <w:keepNext/>
              <w:keepLines/>
              <w:pageBreakBefore w:val="0"/>
              <w:widowControl w:val="0"/>
              <w:kinsoku/>
              <w:wordWrap/>
              <w:overflowPunct/>
              <w:topLinePunct w:val="0"/>
              <w:autoSpaceDE w:val="0"/>
              <w:autoSpaceDN w:val="0"/>
              <w:bidi w:val="0"/>
              <w:adjustRightInd w:val="0"/>
              <w:snapToGrid/>
              <w:spacing w:line="240" w:lineRule="auto"/>
              <w:ind w:firstLine="0"/>
              <w:textAlignment w:val="auto"/>
              <w:rPr>
                <w:color w:val="auto"/>
                <w:sz w:val="24"/>
                <w:szCs w:val="16"/>
                <w:highlight w:val="none"/>
              </w:rPr>
            </w:pPr>
          </w:p>
          <w:p>
            <w:pPr>
              <w:pStyle w:val="51"/>
              <w:keepNext/>
              <w:keepLines/>
              <w:pageBreakBefore w:val="0"/>
              <w:widowControl w:val="0"/>
              <w:kinsoku/>
              <w:wordWrap/>
              <w:overflowPunct/>
              <w:topLinePunct w:val="0"/>
              <w:autoSpaceDE w:val="0"/>
              <w:autoSpaceDN w:val="0"/>
              <w:bidi w:val="0"/>
              <w:adjustRightInd w:val="0"/>
              <w:snapToGrid/>
              <w:spacing w:line="240" w:lineRule="auto"/>
              <w:ind w:firstLine="0"/>
              <w:textAlignment w:val="auto"/>
              <w:rPr>
                <w:color w:val="auto"/>
                <w:sz w:val="24"/>
                <w:szCs w:val="16"/>
                <w:highlight w:val="none"/>
              </w:rPr>
            </w:pPr>
            <w:r>
              <w:rPr>
                <w:color w:val="auto"/>
                <w:sz w:val="24"/>
                <w:szCs w:val="16"/>
                <w:highlight w:val="none"/>
              </w:rPr>
              <w:t>表</w:t>
            </w:r>
            <w:r>
              <w:rPr>
                <w:rFonts w:hint="eastAsia"/>
                <w:color w:val="auto"/>
                <w:sz w:val="24"/>
                <w:szCs w:val="16"/>
                <w:highlight w:val="none"/>
                <w:lang w:val="en-US" w:eastAsia="zh-CN"/>
              </w:rPr>
              <w:t>3-5</w:t>
            </w:r>
            <w:r>
              <w:rPr>
                <w:color w:val="auto"/>
                <w:sz w:val="24"/>
                <w:szCs w:val="16"/>
                <w:highlight w:val="none"/>
              </w:rPr>
              <w:t xml:space="preserve"> 大气污染物排放标准一览表</w:t>
            </w:r>
          </w:p>
          <w:tbl>
            <w:tblPr>
              <w:tblStyle w:val="32"/>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57"/>
              <w:gridCol w:w="2386"/>
              <w:gridCol w:w="1396"/>
              <w:gridCol w:w="1118"/>
              <w:gridCol w:w="27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1821" w:type="pct"/>
                  <w:gridSpan w:val="2"/>
                  <w:noWrap w:val="0"/>
                  <w:vAlign w:val="center"/>
                </w:tcPr>
                <w:p>
                  <w:pPr>
                    <w:keepNext/>
                    <w:keepLines/>
                    <w:pageBreakBefore w:val="0"/>
                    <w:widowControl w:val="0"/>
                    <w:kinsoku/>
                    <w:wordWrap/>
                    <w:overflowPunct/>
                    <w:topLinePunct w:val="0"/>
                    <w:autoSpaceDE/>
                    <w:autoSpaceDN/>
                    <w:bidi w:val="0"/>
                    <w:adjustRightInd w:val="0"/>
                    <w:snapToGrid w:val="0"/>
                    <w:spacing w:line="240" w:lineRule="auto"/>
                    <w:jc w:val="center"/>
                    <w:textAlignment w:val="auto"/>
                    <w:outlineLvl w:val="9"/>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污染物名称</w:t>
                  </w:r>
                </w:p>
              </w:tc>
              <w:tc>
                <w:tcPr>
                  <w:tcW w:w="835" w:type="pct"/>
                  <w:noWrap w:val="0"/>
                  <w:vAlign w:val="center"/>
                </w:tcPr>
                <w:p>
                  <w:pPr>
                    <w:keepNext/>
                    <w:keepLines/>
                    <w:pageBreakBefore w:val="0"/>
                    <w:widowControl w:val="0"/>
                    <w:kinsoku/>
                    <w:wordWrap/>
                    <w:overflowPunct/>
                    <w:topLinePunct w:val="0"/>
                    <w:autoSpaceDE/>
                    <w:autoSpaceDN/>
                    <w:bidi w:val="0"/>
                    <w:adjustRightInd w:val="0"/>
                    <w:snapToGrid w:val="0"/>
                    <w:spacing w:line="240" w:lineRule="auto"/>
                    <w:jc w:val="center"/>
                    <w:textAlignment w:val="auto"/>
                    <w:outlineLvl w:val="9"/>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排放限值</w:t>
                  </w:r>
                </w:p>
              </w:tc>
              <w:tc>
                <w:tcPr>
                  <w:tcW w:w="669" w:type="pct"/>
                  <w:noWrap w:val="0"/>
                  <w:vAlign w:val="center"/>
                </w:tcPr>
                <w:p>
                  <w:pPr>
                    <w:keepNext/>
                    <w:keepLines/>
                    <w:pageBreakBefore w:val="0"/>
                    <w:widowControl w:val="0"/>
                    <w:kinsoku/>
                    <w:wordWrap/>
                    <w:overflowPunct/>
                    <w:topLinePunct w:val="0"/>
                    <w:autoSpaceDE/>
                    <w:autoSpaceDN/>
                    <w:bidi w:val="0"/>
                    <w:adjustRightInd w:val="0"/>
                    <w:snapToGrid w:val="0"/>
                    <w:spacing w:line="240" w:lineRule="auto"/>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去除效率/排放速率</w:t>
                  </w:r>
                </w:p>
              </w:tc>
              <w:tc>
                <w:tcPr>
                  <w:tcW w:w="1674" w:type="pct"/>
                  <w:noWrap w:val="0"/>
                  <w:vAlign w:val="center"/>
                </w:tcPr>
                <w:p>
                  <w:pPr>
                    <w:keepNext/>
                    <w:keepLines/>
                    <w:pageBreakBefore w:val="0"/>
                    <w:widowControl w:val="0"/>
                    <w:kinsoku/>
                    <w:wordWrap/>
                    <w:overflowPunct/>
                    <w:topLinePunct w:val="0"/>
                    <w:autoSpaceDE/>
                    <w:autoSpaceDN/>
                    <w:bidi w:val="0"/>
                    <w:adjustRightInd w:val="0"/>
                    <w:snapToGrid w:val="0"/>
                    <w:spacing w:line="240" w:lineRule="auto"/>
                    <w:jc w:val="center"/>
                    <w:textAlignment w:val="auto"/>
                    <w:outlineLvl w:val="9"/>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标准来源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4" w:hRule="atLeast"/>
                <w:jc w:val="center"/>
              </w:trPr>
              <w:tc>
                <w:tcPr>
                  <w:tcW w:w="393" w:type="pct"/>
                  <w:vMerge w:val="restart"/>
                  <w:noWrap w:val="0"/>
                  <w:vAlign w:val="center"/>
                </w:tcPr>
                <w:p>
                  <w:pPr>
                    <w:keepNext/>
                    <w:keepLines/>
                    <w:pageBreakBefore w:val="0"/>
                    <w:widowControl w:val="0"/>
                    <w:kinsoku/>
                    <w:wordWrap/>
                    <w:overflowPunct/>
                    <w:topLinePunct w:val="0"/>
                    <w:autoSpaceDE/>
                    <w:autoSpaceDN/>
                    <w:bidi w:val="0"/>
                    <w:adjustRightInd w:val="0"/>
                    <w:snapToGrid w:val="0"/>
                    <w:spacing w:line="240" w:lineRule="auto"/>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颗粒物</w:t>
                  </w:r>
                </w:p>
              </w:tc>
              <w:tc>
                <w:tcPr>
                  <w:tcW w:w="1428" w:type="pct"/>
                  <w:noWrap w:val="0"/>
                  <w:vAlign w:val="center"/>
                </w:tcPr>
                <w:p>
                  <w:pPr>
                    <w:keepNext/>
                    <w:keepLines/>
                    <w:pageBreakBefore w:val="0"/>
                    <w:widowControl w:val="0"/>
                    <w:kinsoku/>
                    <w:wordWrap/>
                    <w:overflowPunct/>
                    <w:topLinePunct w:val="0"/>
                    <w:autoSpaceDE/>
                    <w:autoSpaceDN/>
                    <w:bidi w:val="0"/>
                    <w:adjustRightInd w:val="0"/>
                    <w:snapToGrid w:val="0"/>
                    <w:spacing w:line="240" w:lineRule="auto"/>
                    <w:jc w:val="center"/>
                    <w:textAlignment w:val="auto"/>
                    <w:outlineLvl w:val="9"/>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无组织</w:t>
                  </w:r>
                  <w:r>
                    <w:rPr>
                      <w:rFonts w:hint="default" w:ascii="Times New Roman" w:hAnsi="Times New Roman" w:eastAsia="宋体" w:cs="Times New Roman"/>
                      <w:color w:val="auto"/>
                      <w:sz w:val="21"/>
                      <w:szCs w:val="21"/>
                      <w:highlight w:val="none"/>
                      <w:lang w:val="en-US" w:eastAsia="zh-CN"/>
                    </w:rPr>
                    <w:t>（焊接、剪切、切割、未收集颗粒物）</w:t>
                  </w:r>
                </w:p>
              </w:tc>
              <w:tc>
                <w:tcPr>
                  <w:tcW w:w="835" w:type="pct"/>
                  <w:noWrap w:val="0"/>
                  <w:vAlign w:val="center"/>
                </w:tcPr>
                <w:p>
                  <w:pPr>
                    <w:keepNext/>
                    <w:keepLines/>
                    <w:pageBreakBefore w:val="0"/>
                    <w:widowControl w:val="0"/>
                    <w:kinsoku/>
                    <w:wordWrap/>
                    <w:overflowPunct/>
                    <w:topLinePunct w:val="0"/>
                    <w:autoSpaceDE/>
                    <w:autoSpaceDN/>
                    <w:bidi w:val="0"/>
                    <w:adjustRightInd w:val="0"/>
                    <w:snapToGrid w:val="0"/>
                    <w:spacing w:line="240" w:lineRule="auto"/>
                    <w:jc w:val="center"/>
                    <w:textAlignment w:val="auto"/>
                    <w:outlineLvl w:val="9"/>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rPr>
                    <w:t>0.3mg/</w:t>
                  </w:r>
                  <w:r>
                    <w:rPr>
                      <w:rFonts w:hint="default" w:ascii="Times New Roman" w:hAnsi="Times New Roman" w:eastAsia="宋体" w:cs="Times New Roman"/>
                      <w:color w:val="auto"/>
                      <w:sz w:val="21"/>
                      <w:szCs w:val="21"/>
                      <w:highlight w:val="none"/>
                      <w:lang w:eastAsia="zh-CN"/>
                    </w:rPr>
                    <w:t>m³</w:t>
                  </w:r>
                </w:p>
              </w:tc>
              <w:tc>
                <w:tcPr>
                  <w:tcW w:w="669" w:type="pct"/>
                  <w:noWrap w:val="0"/>
                  <w:vAlign w:val="center"/>
                </w:tcPr>
                <w:p>
                  <w:pPr>
                    <w:keepNext/>
                    <w:keepLines/>
                    <w:pageBreakBefore w:val="0"/>
                    <w:widowControl w:val="0"/>
                    <w:kinsoku/>
                    <w:wordWrap/>
                    <w:overflowPunct/>
                    <w:topLinePunct w:val="0"/>
                    <w:autoSpaceDE/>
                    <w:autoSpaceDN/>
                    <w:bidi w:val="0"/>
                    <w:adjustRightInd w:val="0"/>
                    <w:snapToGrid w:val="0"/>
                    <w:spacing w:line="240" w:lineRule="auto"/>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1674" w:type="pct"/>
                  <w:noWrap w:val="0"/>
                  <w:vAlign w:val="center"/>
                </w:tcPr>
                <w:p>
                  <w:pPr>
                    <w:keepNext/>
                    <w:keepLines/>
                    <w:pageBreakBefore w:val="0"/>
                    <w:widowControl w:val="0"/>
                    <w:kinsoku/>
                    <w:wordWrap/>
                    <w:overflowPunct/>
                    <w:topLinePunct w:val="0"/>
                    <w:autoSpaceDE/>
                    <w:autoSpaceDN/>
                    <w:bidi w:val="0"/>
                    <w:adjustRightInd w:val="0"/>
                    <w:snapToGrid w:val="0"/>
                    <w:spacing w:line="240" w:lineRule="auto"/>
                    <w:jc w:val="center"/>
                    <w:textAlignment w:val="auto"/>
                    <w:outlineLvl w:val="9"/>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《大气污染物综合排放标准》（GB16297-1996）</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《秦皇岛市人民政府办公室关于执行钢铁等行业大气污染物排放特别要求的通知》（2021-10）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393" w:type="pct"/>
                  <w:vMerge w:val="continue"/>
                  <w:noWrap w:val="0"/>
                  <w:vAlign w:val="center"/>
                </w:tcPr>
                <w:p>
                  <w:pPr>
                    <w:keepNext/>
                    <w:keepLines/>
                    <w:pageBreakBefore w:val="0"/>
                    <w:widowControl w:val="0"/>
                    <w:kinsoku/>
                    <w:wordWrap/>
                    <w:overflowPunct/>
                    <w:topLinePunct w:val="0"/>
                    <w:autoSpaceDE/>
                    <w:autoSpaceDN/>
                    <w:bidi w:val="0"/>
                    <w:adjustRightInd w:val="0"/>
                    <w:snapToGrid w:val="0"/>
                    <w:spacing w:line="240" w:lineRule="auto"/>
                    <w:jc w:val="center"/>
                    <w:textAlignment w:val="auto"/>
                    <w:outlineLvl w:val="9"/>
                    <w:rPr>
                      <w:rFonts w:hint="default" w:ascii="Times New Roman" w:hAnsi="Times New Roman" w:eastAsia="宋体" w:cs="Times New Roman"/>
                      <w:color w:val="auto"/>
                      <w:sz w:val="21"/>
                      <w:szCs w:val="21"/>
                      <w:highlight w:val="none"/>
                      <w:lang w:val="en-US" w:eastAsia="zh-CN"/>
                    </w:rPr>
                  </w:pPr>
                </w:p>
              </w:tc>
              <w:tc>
                <w:tcPr>
                  <w:tcW w:w="1428" w:type="pct"/>
                  <w:noWrap w:val="0"/>
                  <w:vAlign w:val="center"/>
                </w:tcPr>
                <w:p>
                  <w:pPr>
                    <w:keepNext/>
                    <w:keepLines/>
                    <w:pageBreakBefore w:val="0"/>
                    <w:widowControl w:val="0"/>
                    <w:kinsoku/>
                    <w:wordWrap/>
                    <w:overflowPunct/>
                    <w:topLinePunct w:val="0"/>
                    <w:autoSpaceDE/>
                    <w:autoSpaceDN/>
                    <w:bidi w:val="0"/>
                    <w:adjustRightInd w:val="0"/>
                    <w:snapToGrid w:val="0"/>
                    <w:spacing w:line="240" w:lineRule="auto"/>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有组织（喷漆）</w:t>
                  </w:r>
                </w:p>
              </w:tc>
              <w:tc>
                <w:tcPr>
                  <w:tcW w:w="835" w:type="pct"/>
                  <w:noWrap w:val="0"/>
                  <w:vAlign w:val="center"/>
                </w:tcPr>
                <w:p>
                  <w:pPr>
                    <w:keepNext/>
                    <w:keepLines/>
                    <w:pageBreakBefore w:val="0"/>
                    <w:widowControl w:val="0"/>
                    <w:kinsoku/>
                    <w:wordWrap/>
                    <w:overflowPunct/>
                    <w:topLinePunct w:val="0"/>
                    <w:autoSpaceDE/>
                    <w:autoSpaceDN/>
                    <w:bidi w:val="0"/>
                    <w:adjustRightInd w:val="0"/>
                    <w:snapToGrid w:val="0"/>
                    <w:spacing w:line="240" w:lineRule="auto"/>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18</w:t>
                  </w:r>
                  <w:r>
                    <w:rPr>
                      <w:rFonts w:hint="default" w:ascii="Times New Roman" w:hAnsi="Times New Roman" w:eastAsia="宋体" w:cs="Times New Roman"/>
                      <w:color w:val="auto"/>
                      <w:sz w:val="21"/>
                      <w:szCs w:val="21"/>
                      <w:highlight w:val="none"/>
                    </w:rPr>
                    <w:t>mg/</w:t>
                  </w:r>
                  <w:r>
                    <w:rPr>
                      <w:rFonts w:hint="default" w:ascii="Times New Roman" w:hAnsi="Times New Roman" w:eastAsia="宋体" w:cs="Times New Roman"/>
                      <w:color w:val="auto"/>
                      <w:sz w:val="21"/>
                      <w:szCs w:val="21"/>
                      <w:highlight w:val="none"/>
                      <w:lang w:eastAsia="zh-CN"/>
                    </w:rPr>
                    <w:t>m³</w:t>
                  </w:r>
                </w:p>
              </w:tc>
              <w:tc>
                <w:tcPr>
                  <w:tcW w:w="669" w:type="pct"/>
                  <w:noWrap w:val="0"/>
                  <w:vAlign w:val="center"/>
                </w:tcPr>
                <w:p>
                  <w:pPr>
                    <w:keepNext/>
                    <w:keepLines/>
                    <w:pageBreakBefore w:val="0"/>
                    <w:widowControl w:val="0"/>
                    <w:kinsoku/>
                    <w:wordWrap/>
                    <w:overflowPunct/>
                    <w:topLinePunct w:val="0"/>
                    <w:autoSpaceDE/>
                    <w:autoSpaceDN/>
                    <w:bidi w:val="0"/>
                    <w:adjustRightInd w:val="0"/>
                    <w:snapToGrid w:val="0"/>
                    <w:spacing w:line="240" w:lineRule="auto"/>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75%</w:t>
                  </w:r>
                </w:p>
              </w:tc>
              <w:tc>
                <w:tcPr>
                  <w:tcW w:w="1674" w:type="pct"/>
                  <w:noWrap w:val="0"/>
                  <w:vAlign w:val="center"/>
                </w:tcPr>
                <w:p>
                  <w:pPr>
                    <w:keepNext/>
                    <w:keepLines/>
                    <w:pageBreakBefore w:val="0"/>
                    <w:widowControl w:val="0"/>
                    <w:kinsoku/>
                    <w:wordWrap/>
                    <w:overflowPunct/>
                    <w:topLinePunct w:val="0"/>
                    <w:autoSpaceDE/>
                    <w:autoSpaceDN/>
                    <w:bidi w:val="0"/>
                    <w:adjustRightInd w:val="0"/>
                    <w:snapToGrid w:val="0"/>
                    <w:spacing w:line="240" w:lineRule="auto"/>
                    <w:jc w:val="center"/>
                    <w:textAlignment w:val="auto"/>
                    <w:outlineLvl w:val="9"/>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《大气污染物综合排放标准》(GB16297-1996)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393" w:type="pct"/>
                  <w:vMerge w:val="restart"/>
                  <w:noWrap w:val="0"/>
                  <w:vAlign w:val="center"/>
                </w:tcPr>
                <w:p>
                  <w:pPr>
                    <w:keepNext/>
                    <w:keepLines/>
                    <w:pageBreakBefore w:val="0"/>
                    <w:widowControl w:val="0"/>
                    <w:kinsoku/>
                    <w:wordWrap/>
                    <w:overflowPunct/>
                    <w:topLinePunct w:val="0"/>
                    <w:autoSpaceDE/>
                    <w:autoSpaceDN/>
                    <w:bidi w:val="0"/>
                    <w:adjustRightInd w:val="0"/>
                    <w:snapToGrid w:val="0"/>
                    <w:spacing w:line="240" w:lineRule="auto"/>
                    <w:jc w:val="center"/>
                    <w:textAlignment w:val="auto"/>
                    <w:outlineLvl w:val="9"/>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非甲烷总烃</w:t>
                  </w:r>
                </w:p>
              </w:tc>
              <w:tc>
                <w:tcPr>
                  <w:tcW w:w="1428" w:type="pct"/>
                  <w:noWrap w:val="0"/>
                  <w:vAlign w:val="center"/>
                </w:tcPr>
                <w:p>
                  <w:pPr>
                    <w:keepNext/>
                    <w:keepLines/>
                    <w:pageBreakBefore w:val="0"/>
                    <w:widowControl w:val="0"/>
                    <w:kinsoku/>
                    <w:wordWrap/>
                    <w:overflowPunct/>
                    <w:topLinePunct w:val="0"/>
                    <w:autoSpaceDE/>
                    <w:autoSpaceDN/>
                    <w:bidi w:val="0"/>
                    <w:adjustRightInd w:val="0"/>
                    <w:snapToGrid w:val="0"/>
                    <w:spacing w:line="240" w:lineRule="auto"/>
                    <w:jc w:val="center"/>
                    <w:textAlignment w:val="auto"/>
                    <w:outlineLvl w:val="9"/>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rPr>
                    <w:t>有组织</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lang w:val="en-US" w:eastAsia="zh-CN"/>
                    </w:rPr>
                    <w:t>DA002</w:t>
                  </w:r>
                  <w:r>
                    <w:rPr>
                      <w:rFonts w:hint="default" w:ascii="Times New Roman" w:hAnsi="Times New Roman" w:eastAsia="宋体" w:cs="Times New Roman"/>
                      <w:color w:val="auto"/>
                      <w:sz w:val="21"/>
                      <w:szCs w:val="21"/>
                      <w:highlight w:val="none"/>
                      <w:lang w:eastAsia="zh-CN"/>
                    </w:rPr>
                    <w:t>）</w:t>
                  </w:r>
                </w:p>
              </w:tc>
              <w:tc>
                <w:tcPr>
                  <w:tcW w:w="835" w:type="pct"/>
                  <w:noWrap w:val="0"/>
                  <w:vAlign w:val="center"/>
                </w:tcPr>
                <w:p>
                  <w:pPr>
                    <w:keepNext/>
                    <w:keepLines/>
                    <w:pageBreakBefore w:val="0"/>
                    <w:widowControl w:val="0"/>
                    <w:kinsoku/>
                    <w:wordWrap/>
                    <w:overflowPunct/>
                    <w:topLinePunct w:val="0"/>
                    <w:autoSpaceDE/>
                    <w:autoSpaceDN/>
                    <w:bidi w:val="0"/>
                    <w:adjustRightInd w:val="0"/>
                    <w:snapToGrid w:val="0"/>
                    <w:spacing w:line="240" w:lineRule="auto"/>
                    <w:jc w:val="center"/>
                    <w:textAlignment w:val="auto"/>
                    <w:outlineLvl w:val="9"/>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rPr>
                    <w:t>60mg/</w:t>
                  </w:r>
                  <w:r>
                    <w:rPr>
                      <w:rFonts w:hint="default" w:ascii="Times New Roman" w:hAnsi="Times New Roman" w:eastAsia="宋体" w:cs="Times New Roman"/>
                      <w:color w:val="auto"/>
                      <w:sz w:val="21"/>
                      <w:szCs w:val="21"/>
                      <w:highlight w:val="none"/>
                      <w:lang w:eastAsia="zh-CN"/>
                    </w:rPr>
                    <w:t>m³</w:t>
                  </w:r>
                </w:p>
              </w:tc>
              <w:tc>
                <w:tcPr>
                  <w:tcW w:w="669" w:type="pct"/>
                  <w:noWrap w:val="0"/>
                  <w:vAlign w:val="center"/>
                </w:tcPr>
                <w:p>
                  <w:pPr>
                    <w:keepNext/>
                    <w:keepLines/>
                    <w:pageBreakBefore w:val="0"/>
                    <w:widowControl w:val="0"/>
                    <w:kinsoku/>
                    <w:wordWrap/>
                    <w:overflowPunct/>
                    <w:topLinePunct w:val="0"/>
                    <w:autoSpaceDE/>
                    <w:autoSpaceDN/>
                    <w:bidi w:val="0"/>
                    <w:adjustRightInd w:val="0"/>
                    <w:snapToGrid w:val="0"/>
                    <w:spacing w:line="240" w:lineRule="auto"/>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7</w:t>
                  </w:r>
                  <w:r>
                    <w:rPr>
                      <w:rFonts w:hint="eastAsia" w:cs="Times New Roman"/>
                      <w:color w:val="auto"/>
                      <w:sz w:val="21"/>
                      <w:szCs w:val="21"/>
                      <w:highlight w:val="none"/>
                      <w:lang w:val="en-US" w:eastAsia="zh-CN"/>
                    </w:rPr>
                    <w:t>5</w:t>
                  </w:r>
                  <w:r>
                    <w:rPr>
                      <w:rFonts w:hint="default" w:ascii="Times New Roman" w:hAnsi="Times New Roman" w:eastAsia="宋体" w:cs="Times New Roman"/>
                      <w:color w:val="auto"/>
                      <w:sz w:val="21"/>
                      <w:szCs w:val="21"/>
                      <w:highlight w:val="none"/>
                      <w:lang w:val="en-US" w:eastAsia="zh-CN"/>
                    </w:rPr>
                    <w:t>%</w:t>
                  </w:r>
                </w:p>
              </w:tc>
              <w:tc>
                <w:tcPr>
                  <w:tcW w:w="1674" w:type="pct"/>
                  <w:vMerge w:val="restart"/>
                  <w:noWrap w:val="0"/>
                  <w:vAlign w:val="center"/>
                </w:tcPr>
                <w:p>
                  <w:pPr>
                    <w:pStyle w:val="96"/>
                    <w:keepNext w:val="0"/>
                    <w:keepLines w:val="0"/>
                    <w:pageBreakBefore w:val="0"/>
                    <w:widowControl w:val="0"/>
                    <w:kinsoku/>
                    <w:wordWrap/>
                    <w:overflowPunct/>
                    <w:topLinePunct w:val="0"/>
                    <w:autoSpaceDE/>
                    <w:autoSpaceDN/>
                    <w:bidi w:val="0"/>
                    <w:adjustRightIn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lang w:val="en-US" w:eastAsia="zh-CN"/>
                    </w:rPr>
                    <w:t>《工业企业挥发性有机物排放控制标准》（DB13/2322-2016）表面涂装业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20" w:hRule="atLeast"/>
                <w:jc w:val="center"/>
              </w:trPr>
              <w:tc>
                <w:tcPr>
                  <w:tcW w:w="393" w:type="pct"/>
                  <w:vMerge w:val="continue"/>
                  <w:noWrap w:val="0"/>
                  <w:vAlign w:val="center"/>
                </w:tcPr>
                <w:p>
                  <w:pPr>
                    <w:keepNext/>
                    <w:keepLines/>
                    <w:pageBreakBefore w:val="0"/>
                    <w:widowControl w:val="0"/>
                    <w:kinsoku/>
                    <w:wordWrap/>
                    <w:overflowPunct/>
                    <w:topLinePunct w:val="0"/>
                    <w:autoSpaceDE/>
                    <w:autoSpaceDN/>
                    <w:bidi w:val="0"/>
                    <w:adjustRightInd w:val="0"/>
                    <w:snapToGrid w:val="0"/>
                    <w:spacing w:line="240" w:lineRule="auto"/>
                    <w:jc w:val="center"/>
                    <w:textAlignment w:val="auto"/>
                    <w:outlineLvl w:val="9"/>
                    <w:rPr>
                      <w:rFonts w:hint="default" w:ascii="Times New Roman" w:hAnsi="Times New Roman" w:eastAsia="宋体" w:cs="Times New Roman"/>
                      <w:color w:val="auto"/>
                      <w:sz w:val="21"/>
                      <w:szCs w:val="21"/>
                      <w:highlight w:val="none"/>
                    </w:rPr>
                  </w:pPr>
                </w:p>
              </w:tc>
              <w:tc>
                <w:tcPr>
                  <w:tcW w:w="1428" w:type="pct"/>
                  <w:noWrap w:val="0"/>
                  <w:vAlign w:val="center"/>
                </w:tcPr>
                <w:p>
                  <w:pPr>
                    <w:keepNext/>
                    <w:keepLines/>
                    <w:pageBreakBefore w:val="0"/>
                    <w:widowControl w:val="0"/>
                    <w:kinsoku/>
                    <w:wordWrap/>
                    <w:overflowPunct/>
                    <w:topLinePunct w:val="0"/>
                    <w:autoSpaceDE/>
                    <w:autoSpaceDN/>
                    <w:bidi w:val="0"/>
                    <w:adjustRightInd w:val="0"/>
                    <w:snapToGrid w:val="0"/>
                    <w:spacing w:line="240" w:lineRule="auto"/>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无组织（企业边界）</w:t>
                  </w:r>
                </w:p>
              </w:tc>
              <w:tc>
                <w:tcPr>
                  <w:tcW w:w="835" w:type="pct"/>
                  <w:noWrap w:val="0"/>
                  <w:vAlign w:val="center"/>
                </w:tcPr>
                <w:p>
                  <w:pPr>
                    <w:keepNext/>
                    <w:keepLines/>
                    <w:pageBreakBefore w:val="0"/>
                    <w:widowControl w:val="0"/>
                    <w:kinsoku/>
                    <w:wordWrap/>
                    <w:overflowPunct/>
                    <w:topLinePunct w:val="0"/>
                    <w:autoSpaceDE/>
                    <w:autoSpaceDN/>
                    <w:bidi w:val="0"/>
                    <w:adjustRightInd w:val="0"/>
                    <w:snapToGrid w:val="0"/>
                    <w:spacing w:line="240" w:lineRule="auto"/>
                    <w:jc w:val="center"/>
                    <w:textAlignment w:val="auto"/>
                    <w:outlineLvl w:val="9"/>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val="en-US" w:eastAsia="zh-CN"/>
                    </w:rPr>
                    <w:t>2.</w:t>
                  </w:r>
                  <w:r>
                    <w:rPr>
                      <w:rFonts w:hint="default" w:ascii="Times New Roman" w:hAnsi="Times New Roman" w:eastAsia="宋体" w:cs="Times New Roman"/>
                      <w:color w:val="auto"/>
                      <w:sz w:val="21"/>
                      <w:szCs w:val="21"/>
                      <w:highlight w:val="none"/>
                    </w:rPr>
                    <w:t>0mg/</w:t>
                  </w:r>
                  <w:r>
                    <w:rPr>
                      <w:rFonts w:hint="default" w:ascii="Times New Roman" w:hAnsi="Times New Roman" w:eastAsia="宋体" w:cs="Times New Roman"/>
                      <w:color w:val="auto"/>
                      <w:sz w:val="21"/>
                      <w:szCs w:val="21"/>
                      <w:highlight w:val="none"/>
                      <w:lang w:eastAsia="zh-CN"/>
                    </w:rPr>
                    <w:t>m³</w:t>
                  </w:r>
                </w:p>
              </w:tc>
              <w:tc>
                <w:tcPr>
                  <w:tcW w:w="669" w:type="pct"/>
                  <w:noWrap w:val="0"/>
                  <w:vAlign w:val="center"/>
                </w:tcPr>
                <w:p>
                  <w:pPr>
                    <w:keepNext/>
                    <w:keepLines/>
                    <w:pageBreakBefore w:val="0"/>
                    <w:widowControl w:val="0"/>
                    <w:kinsoku/>
                    <w:wordWrap/>
                    <w:overflowPunct/>
                    <w:topLinePunct w:val="0"/>
                    <w:autoSpaceDE/>
                    <w:autoSpaceDN/>
                    <w:bidi w:val="0"/>
                    <w:adjustRightInd w:val="0"/>
                    <w:snapToGrid w:val="0"/>
                    <w:spacing w:line="240" w:lineRule="auto"/>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1674" w:type="pct"/>
                  <w:vMerge w:val="continue"/>
                  <w:noWrap w:val="0"/>
                  <w:vAlign w:val="center"/>
                </w:tcPr>
                <w:p>
                  <w:pPr>
                    <w:keepNext/>
                    <w:keepLines/>
                    <w:pageBreakBefore w:val="0"/>
                    <w:widowControl w:val="0"/>
                    <w:kinsoku/>
                    <w:wordWrap/>
                    <w:overflowPunct/>
                    <w:topLinePunct w:val="0"/>
                    <w:autoSpaceDE/>
                    <w:autoSpaceDN/>
                    <w:bidi w:val="0"/>
                    <w:adjustRightInd w:val="0"/>
                    <w:snapToGrid w:val="0"/>
                    <w:spacing w:line="240" w:lineRule="auto"/>
                    <w:jc w:val="center"/>
                    <w:textAlignment w:val="auto"/>
                    <w:outlineLvl w:val="9"/>
                    <w:rPr>
                      <w:rFonts w:hint="default" w:ascii="Times New Roman" w:hAnsi="Times New Roman" w:eastAsia="宋体" w:cs="Times New Roman"/>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7" w:hRule="atLeast"/>
                <w:jc w:val="center"/>
              </w:trPr>
              <w:tc>
                <w:tcPr>
                  <w:tcW w:w="393" w:type="pct"/>
                  <w:vMerge w:val="continue"/>
                  <w:noWrap w:val="0"/>
                  <w:vAlign w:val="center"/>
                </w:tcPr>
                <w:p>
                  <w:pPr>
                    <w:keepNext/>
                    <w:keepLines/>
                    <w:pageBreakBefore w:val="0"/>
                    <w:widowControl w:val="0"/>
                    <w:kinsoku/>
                    <w:wordWrap/>
                    <w:overflowPunct/>
                    <w:topLinePunct w:val="0"/>
                    <w:autoSpaceDE/>
                    <w:autoSpaceDN/>
                    <w:bidi w:val="0"/>
                    <w:adjustRightInd w:val="0"/>
                    <w:snapToGrid w:val="0"/>
                    <w:spacing w:line="240" w:lineRule="auto"/>
                    <w:jc w:val="center"/>
                    <w:textAlignment w:val="auto"/>
                    <w:outlineLvl w:val="9"/>
                    <w:rPr>
                      <w:rFonts w:hint="default" w:ascii="Times New Roman" w:hAnsi="Times New Roman" w:eastAsia="宋体" w:cs="Times New Roman"/>
                      <w:color w:val="auto"/>
                      <w:sz w:val="21"/>
                      <w:szCs w:val="21"/>
                      <w:highlight w:val="none"/>
                    </w:rPr>
                  </w:pPr>
                </w:p>
              </w:tc>
              <w:tc>
                <w:tcPr>
                  <w:tcW w:w="1428" w:type="pct"/>
                  <w:noWrap w:val="0"/>
                  <w:vAlign w:val="center"/>
                </w:tcPr>
                <w:p>
                  <w:pPr>
                    <w:keepNext/>
                    <w:keepLines/>
                    <w:pageBreakBefore w:val="0"/>
                    <w:widowControl w:val="0"/>
                    <w:kinsoku/>
                    <w:wordWrap/>
                    <w:overflowPunct/>
                    <w:topLinePunct w:val="0"/>
                    <w:autoSpaceDE/>
                    <w:autoSpaceDN/>
                    <w:bidi w:val="0"/>
                    <w:adjustRightInd w:val="0"/>
                    <w:snapToGrid w:val="0"/>
                    <w:spacing w:line="240" w:lineRule="auto"/>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生产车间或生产设备边界任意1h平均浓度</w:t>
                  </w:r>
                </w:p>
              </w:tc>
              <w:tc>
                <w:tcPr>
                  <w:tcW w:w="835" w:type="pct"/>
                  <w:noWrap w:val="0"/>
                  <w:vAlign w:val="center"/>
                </w:tcPr>
                <w:p>
                  <w:pPr>
                    <w:keepNext/>
                    <w:keepLines/>
                    <w:pageBreakBefore w:val="0"/>
                    <w:widowControl w:val="0"/>
                    <w:kinsoku/>
                    <w:wordWrap/>
                    <w:overflowPunct/>
                    <w:topLinePunct w:val="0"/>
                    <w:autoSpaceDE/>
                    <w:autoSpaceDN/>
                    <w:bidi w:val="0"/>
                    <w:adjustRightInd w:val="0"/>
                    <w:snapToGrid w:val="0"/>
                    <w:spacing w:line="240" w:lineRule="auto"/>
                    <w:jc w:val="center"/>
                    <w:textAlignment w:val="auto"/>
                    <w:outlineLvl w:val="9"/>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val="en-US" w:eastAsia="zh-CN"/>
                    </w:rPr>
                    <w:t>4.</w:t>
                  </w:r>
                  <w:r>
                    <w:rPr>
                      <w:rFonts w:hint="default" w:ascii="Times New Roman" w:hAnsi="Times New Roman" w:eastAsia="宋体" w:cs="Times New Roman"/>
                      <w:color w:val="auto"/>
                      <w:sz w:val="21"/>
                      <w:szCs w:val="21"/>
                      <w:highlight w:val="none"/>
                    </w:rPr>
                    <w:t>0mg/</w:t>
                  </w:r>
                  <w:r>
                    <w:rPr>
                      <w:rFonts w:hint="default" w:ascii="Times New Roman" w:hAnsi="Times New Roman" w:eastAsia="宋体" w:cs="Times New Roman"/>
                      <w:color w:val="auto"/>
                      <w:sz w:val="21"/>
                      <w:szCs w:val="21"/>
                      <w:highlight w:val="none"/>
                      <w:lang w:eastAsia="zh-CN"/>
                    </w:rPr>
                    <w:t>m³</w:t>
                  </w:r>
                </w:p>
              </w:tc>
              <w:tc>
                <w:tcPr>
                  <w:tcW w:w="669" w:type="pct"/>
                  <w:noWrap w:val="0"/>
                  <w:vAlign w:val="center"/>
                </w:tcPr>
                <w:p>
                  <w:pPr>
                    <w:keepNext/>
                    <w:keepLines/>
                    <w:pageBreakBefore w:val="0"/>
                    <w:widowControl w:val="0"/>
                    <w:kinsoku/>
                    <w:wordWrap/>
                    <w:overflowPunct/>
                    <w:topLinePunct w:val="0"/>
                    <w:autoSpaceDE/>
                    <w:autoSpaceDN/>
                    <w:bidi w:val="0"/>
                    <w:adjustRightInd w:val="0"/>
                    <w:snapToGrid w:val="0"/>
                    <w:spacing w:line="240" w:lineRule="auto"/>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1674" w:type="pct"/>
                  <w:vMerge w:val="continue"/>
                  <w:noWrap w:val="0"/>
                  <w:vAlign w:val="center"/>
                </w:tcPr>
                <w:p>
                  <w:pPr>
                    <w:keepNext/>
                    <w:keepLines/>
                    <w:pageBreakBefore w:val="0"/>
                    <w:widowControl w:val="0"/>
                    <w:kinsoku/>
                    <w:wordWrap/>
                    <w:overflowPunct/>
                    <w:topLinePunct w:val="0"/>
                    <w:autoSpaceDE/>
                    <w:autoSpaceDN/>
                    <w:bidi w:val="0"/>
                    <w:adjustRightInd w:val="0"/>
                    <w:snapToGrid w:val="0"/>
                    <w:spacing w:line="240" w:lineRule="auto"/>
                    <w:jc w:val="center"/>
                    <w:textAlignment w:val="auto"/>
                    <w:outlineLvl w:val="9"/>
                    <w:rPr>
                      <w:rFonts w:hint="default" w:ascii="Times New Roman" w:hAnsi="Times New Roman" w:eastAsia="宋体" w:cs="Times New Roman"/>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393" w:type="pct"/>
                  <w:vMerge w:val="continue"/>
                  <w:noWrap w:val="0"/>
                  <w:vAlign w:val="center"/>
                </w:tcPr>
                <w:p>
                  <w:pPr>
                    <w:keepNext/>
                    <w:keepLines/>
                    <w:pageBreakBefore w:val="0"/>
                    <w:widowControl w:val="0"/>
                    <w:kinsoku/>
                    <w:wordWrap/>
                    <w:overflowPunct/>
                    <w:topLinePunct w:val="0"/>
                    <w:autoSpaceDE/>
                    <w:autoSpaceDN/>
                    <w:bidi w:val="0"/>
                    <w:adjustRightInd w:val="0"/>
                    <w:snapToGrid w:val="0"/>
                    <w:spacing w:line="240" w:lineRule="auto"/>
                    <w:jc w:val="center"/>
                    <w:textAlignment w:val="auto"/>
                    <w:outlineLvl w:val="9"/>
                    <w:rPr>
                      <w:rFonts w:hint="default" w:ascii="Times New Roman" w:hAnsi="Times New Roman" w:eastAsia="宋体" w:cs="Times New Roman"/>
                      <w:color w:val="auto"/>
                      <w:sz w:val="21"/>
                      <w:szCs w:val="21"/>
                      <w:highlight w:val="none"/>
                    </w:rPr>
                  </w:pPr>
                </w:p>
              </w:tc>
              <w:tc>
                <w:tcPr>
                  <w:tcW w:w="1428" w:type="pct"/>
                  <w:noWrap w:val="0"/>
                  <w:vAlign w:val="center"/>
                </w:tcPr>
                <w:p>
                  <w:pPr>
                    <w:keepNext/>
                    <w:keepLines/>
                    <w:pageBreakBefore w:val="0"/>
                    <w:widowControl w:val="0"/>
                    <w:kinsoku/>
                    <w:wordWrap/>
                    <w:overflowPunct/>
                    <w:topLinePunct w:val="0"/>
                    <w:autoSpaceDE/>
                    <w:autoSpaceDN/>
                    <w:bidi w:val="0"/>
                    <w:adjustRightInd w:val="0"/>
                    <w:snapToGrid w:val="0"/>
                    <w:spacing w:line="240" w:lineRule="auto"/>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监控点处1h平均浓度</w:t>
                  </w:r>
                </w:p>
              </w:tc>
              <w:tc>
                <w:tcPr>
                  <w:tcW w:w="835" w:type="pct"/>
                  <w:noWrap w:val="0"/>
                  <w:vAlign w:val="center"/>
                </w:tcPr>
                <w:p>
                  <w:pPr>
                    <w:keepNext/>
                    <w:keepLines/>
                    <w:pageBreakBefore w:val="0"/>
                    <w:widowControl w:val="0"/>
                    <w:kinsoku/>
                    <w:wordWrap/>
                    <w:overflowPunct/>
                    <w:topLinePunct w:val="0"/>
                    <w:autoSpaceDE/>
                    <w:autoSpaceDN/>
                    <w:bidi w:val="0"/>
                    <w:adjustRightInd w:val="0"/>
                    <w:snapToGrid w:val="0"/>
                    <w:spacing w:line="240" w:lineRule="auto"/>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6.</w:t>
                  </w:r>
                  <w:r>
                    <w:rPr>
                      <w:rFonts w:hint="default" w:ascii="Times New Roman" w:hAnsi="Times New Roman" w:eastAsia="宋体" w:cs="Times New Roman"/>
                      <w:color w:val="auto"/>
                      <w:sz w:val="21"/>
                      <w:szCs w:val="21"/>
                      <w:highlight w:val="none"/>
                    </w:rPr>
                    <w:t>0mg/</w:t>
                  </w:r>
                  <w:r>
                    <w:rPr>
                      <w:rFonts w:hint="default" w:ascii="Times New Roman" w:hAnsi="Times New Roman" w:eastAsia="宋体" w:cs="Times New Roman"/>
                      <w:color w:val="auto"/>
                      <w:sz w:val="21"/>
                      <w:szCs w:val="21"/>
                      <w:highlight w:val="none"/>
                      <w:lang w:eastAsia="zh-CN"/>
                    </w:rPr>
                    <w:t>m³</w:t>
                  </w:r>
                </w:p>
              </w:tc>
              <w:tc>
                <w:tcPr>
                  <w:tcW w:w="669" w:type="pct"/>
                  <w:noWrap w:val="0"/>
                  <w:vAlign w:val="center"/>
                </w:tcPr>
                <w:p>
                  <w:pPr>
                    <w:keepNext/>
                    <w:keepLines/>
                    <w:pageBreakBefore w:val="0"/>
                    <w:widowControl w:val="0"/>
                    <w:kinsoku/>
                    <w:wordWrap/>
                    <w:overflowPunct/>
                    <w:topLinePunct w:val="0"/>
                    <w:autoSpaceDE/>
                    <w:autoSpaceDN/>
                    <w:bidi w:val="0"/>
                    <w:adjustRightInd w:val="0"/>
                    <w:snapToGrid w:val="0"/>
                    <w:spacing w:line="240" w:lineRule="auto"/>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1674" w:type="pct"/>
                  <w:vMerge w:val="restart"/>
                  <w:noWrap w:val="0"/>
                  <w:vAlign w:val="center"/>
                </w:tcPr>
                <w:p>
                  <w:pPr>
                    <w:pStyle w:val="96"/>
                    <w:keepNext w:val="0"/>
                    <w:keepLines w:val="0"/>
                    <w:pageBreakBefore w:val="0"/>
                    <w:widowControl w:val="0"/>
                    <w:kinsoku/>
                    <w:wordWrap/>
                    <w:overflowPunct/>
                    <w:topLinePunct w:val="0"/>
                    <w:autoSpaceDE/>
                    <w:autoSpaceDN/>
                    <w:bidi w:val="0"/>
                    <w:adjustRightInd/>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eastAsia" w:ascii="Times New Roman" w:hAnsi="Times New Roman" w:eastAsia="宋体" w:cs="Times New Roman"/>
                      <w:color w:val="auto"/>
                      <w:sz w:val="21"/>
                      <w:szCs w:val="21"/>
                      <w:highlight w:val="none"/>
                      <w:lang w:val="en-US" w:eastAsia="zh-CN"/>
                    </w:rPr>
                    <w:t>《挥发性有机物无组织排放控制标准》（GB37822-2019）相关要求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2" w:hRule="atLeast"/>
                <w:jc w:val="center"/>
              </w:trPr>
              <w:tc>
                <w:tcPr>
                  <w:tcW w:w="393" w:type="pct"/>
                  <w:vMerge w:val="continue"/>
                  <w:noWrap w:val="0"/>
                  <w:vAlign w:val="center"/>
                </w:tcPr>
                <w:p>
                  <w:pPr>
                    <w:keepNext/>
                    <w:keepLines/>
                    <w:pageBreakBefore w:val="0"/>
                    <w:widowControl w:val="0"/>
                    <w:kinsoku/>
                    <w:wordWrap/>
                    <w:overflowPunct/>
                    <w:topLinePunct w:val="0"/>
                    <w:autoSpaceDE/>
                    <w:autoSpaceDN/>
                    <w:bidi w:val="0"/>
                    <w:adjustRightInd w:val="0"/>
                    <w:snapToGrid w:val="0"/>
                    <w:spacing w:line="240" w:lineRule="auto"/>
                    <w:jc w:val="center"/>
                    <w:textAlignment w:val="auto"/>
                    <w:outlineLvl w:val="9"/>
                    <w:rPr>
                      <w:rFonts w:hint="default" w:ascii="Times New Roman" w:hAnsi="Times New Roman" w:eastAsia="宋体" w:cs="Times New Roman"/>
                      <w:color w:val="auto"/>
                      <w:sz w:val="21"/>
                      <w:szCs w:val="21"/>
                      <w:highlight w:val="none"/>
                    </w:rPr>
                  </w:pPr>
                </w:p>
              </w:tc>
              <w:tc>
                <w:tcPr>
                  <w:tcW w:w="1428" w:type="pct"/>
                  <w:noWrap w:val="0"/>
                  <w:vAlign w:val="center"/>
                </w:tcPr>
                <w:p>
                  <w:pPr>
                    <w:keepNext/>
                    <w:keepLines/>
                    <w:pageBreakBefore w:val="0"/>
                    <w:widowControl w:val="0"/>
                    <w:kinsoku/>
                    <w:wordWrap/>
                    <w:overflowPunct/>
                    <w:topLinePunct w:val="0"/>
                    <w:autoSpaceDE/>
                    <w:autoSpaceDN/>
                    <w:bidi w:val="0"/>
                    <w:adjustRightInd w:val="0"/>
                    <w:snapToGrid w:val="0"/>
                    <w:spacing w:line="240" w:lineRule="auto"/>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监控点处任意一次</w:t>
                  </w:r>
                </w:p>
              </w:tc>
              <w:tc>
                <w:tcPr>
                  <w:tcW w:w="835" w:type="pct"/>
                  <w:noWrap w:val="0"/>
                  <w:vAlign w:val="center"/>
                </w:tcPr>
                <w:p>
                  <w:pPr>
                    <w:keepNext/>
                    <w:keepLines/>
                    <w:pageBreakBefore w:val="0"/>
                    <w:widowControl w:val="0"/>
                    <w:kinsoku/>
                    <w:wordWrap/>
                    <w:overflowPunct/>
                    <w:topLinePunct w:val="0"/>
                    <w:autoSpaceDE/>
                    <w:autoSpaceDN/>
                    <w:bidi w:val="0"/>
                    <w:adjustRightInd w:val="0"/>
                    <w:snapToGrid w:val="0"/>
                    <w:spacing w:line="240" w:lineRule="auto"/>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w:t>
                  </w:r>
                  <w:r>
                    <w:rPr>
                      <w:rFonts w:hint="default" w:ascii="Times New Roman" w:hAnsi="Times New Roman" w:eastAsia="宋体" w:cs="Times New Roman"/>
                      <w:color w:val="auto"/>
                      <w:sz w:val="21"/>
                      <w:szCs w:val="21"/>
                      <w:highlight w:val="none"/>
                    </w:rPr>
                    <w:t>0mg/</w:t>
                  </w:r>
                  <w:r>
                    <w:rPr>
                      <w:rFonts w:hint="default" w:ascii="Times New Roman" w:hAnsi="Times New Roman" w:eastAsia="宋体" w:cs="Times New Roman"/>
                      <w:color w:val="auto"/>
                      <w:sz w:val="21"/>
                      <w:szCs w:val="21"/>
                      <w:highlight w:val="none"/>
                      <w:lang w:eastAsia="zh-CN"/>
                    </w:rPr>
                    <w:t>m³</w:t>
                  </w:r>
                </w:p>
              </w:tc>
              <w:tc>
                <w:tcPr>
                  <w:tcW w:w="669" w:type="pct"/>
                  <w:noWrap w:val="0"/>
                  <w:vAlign w:val="center"/>
                </w:tcPr>
                <w:p>
                  <w:pPr>
                    <w:keepNext/>
                    <w:keepLines/>
                    <w:pageBreakBefore w:val="0"/>
                    <w:widowControl w:val="0"/>
                    <w:kinsoku/>
                    <w:wordWrap/>
                    <w:overflowPunct/>
                    <w:topLinePunct w:val="0"/>
                    <w:autoSpaceDE/>
                    <w:autoSpaceDN/>
                    <w:bidi w:val="0"/>
                    <w:adjustRightInd w:val="0"/>
                    <w:snapToGrid w:val="0"/>
                    <w:spacing w:line="240" w:lineRule="auto"/>
                    <w:jc w:val="center"/>
                    <w:textAlignment w:val="auto"/>
                    <w:outlineLvl w:val="9"/>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c>
                <w:tcPr>
                  <w:tcW w:w="1674" w:type="pct"/>
                  <w:vMerge w:val="continue"/>
                  <w:noWrap w:val="0"/>
                  <w:vAlign w:val="center"/>
                </w:tcPr>
                <w:p>
                  <w:pPr>
                    <w:keepNext/>
                    <w:keepLines/>
                    <w:pageBreakBefore w:val="0"/>
                    <w:widowControl w:val="0"/>
                    <w:kinsoku/>
                    <w:wordWrap/>
                    <w:overflowPunct/>
                    <w:topLinePunct w:val="0"/>
                    <w:autoSpaceDE/>
                    <w:autoSpaceDN/>
                    <w:bidi w:val="0"/>
                    <w:adjustRightInd w:val="0"/>
                    <w:snapToGrid w:val="0"/>
                    <w:spacing w:line="240" w:lineRule="auto"/>
                    <w:jc w:val="center"/>
                    <w:textAlignment w:val="auto"/>
                    <w:outlineLvl w:val="9"/>
                    <w:rPr>
                      <w:rFonts w:hint="default" w:ascii="Times New Roman" w:hAnsi="Times New Roman" w:eastAsia="宋体" w:cs="Times New Roman"/>
                      <w:color w:val="auto"/>
                      <w:sz w:val="21"/>
                      <w:szCs w:val="21"/>
                      <w:highlight w:val="none"/>
                    </w:rPr>
                  </w:pPr>
                </w:p>
              </w:tc>
            </w:tr>
          </w:tbl>
          <w:p>
            <w:pPr>
              <w:pStyle w:val="11"/>
              <w:bidi w:val="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2.2噪声</w:t>
            </w:r>
          </w:p>
          <w:p>
            <w:pPr>
              <w:pStyle w:val="50"/>
              <w:bidi w:val="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设备噪声排放执行《工业企业厂界环境噪声排放标准》(GB12348—2008)中的</w:t>
            </w:r>
            <w:r>
              <w:rPr>
                <w:rFonts w:hint="eastAsia" w:ascii="Times New Roman" w:hAnsi="Times New Roman" w:cs="Times New Roman"/>
                <w:color w:val="auto"/>
                <w:highlight w:val="none"/>
                <w:lang w:val="en-US" w:eastAsia="zh-CN"/>
              </w:rPr>
              <w:t>3</w:t>
            </w:r>
            <w:r>
              <w:rPr>
                <w:rFonts w:hint="default" w:ascii="Times New Roman" w:hAnsi="Times New Roman" w:cs="Times New Roman"/>
                <w:color w:val="auto"/>
                <w:highlight w:val="none"/>
                <w:lang w:val="en-US" w:eastAsia="zh-CN"/>
              </w:rPr>
              <w:t>类标准，昼间≤</w:t>
            </w:r>
            <w:r>
              <w:rPr>
                <w:rFonts w:hint="eastAsia" w:ascii="Times New Roman" w:hAnsi="Times New Roman" w:cs="Times New Roman"/>
                <w:color w:val="auto"/>
                <w:highlight w:val="none"/>
                <w:lang w:val="en-US" w:eastAsia="zh-CN"/>
              </w:rPr>
              <w:t>65</w:t>
            </w:r>
            <w:r>
              <w:rPr>
                <w:rFonts w:hint="default" w:ascii="Times New Roman" w:hAnsi="Times New Roman" w:cs="Times New Roman"/>
                <w:color w:val="auto"/>
                <w:highlight w:val="none"/>
                <w:lang w:val="en-US" w:eastAsia="zh-CN"/>
              </w:rPr>
              <w:t>dB(A)。</w:t>
            </w:r>
          </w:p>
          <w:p>
            <w:pPr>
              <w:pStyle w:val="11"/>
              <w:bidi w:val="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2.3 固体废物</w:t>
            </w:r>
          </w:p>
          <w:p>
            <w:pPr>
              <w:pStyle w:val="50"/>
              <w:bidi w:val="0"/>
              <w:rPr>
                <w:rFonts w:hint="default" w:ascii="Times New Roman" w:hAnsi="Times New Roman" w:cs="Times New Roman"/>
                <w:color w:val="auto"/>
                <w:highlight w:val="none"/>
                <w:lang w:eastAsia="zh-CN"/>
              </w:rPr>
            </w:pPr>
            <w:r>
              <w:rPr>
                <w:rFonts w:hint="eastAsia"/>
                <w:color w:val="auto"/>
                <w:highlight w:val="none"/>
              </w:rPr>
              <w:t>依据《中华人民共和国固体废物污染环境防治法》第十六条规定：收集、贮存、运输、利用、处置固体废物</w:t>
            </w:r>
            <w:r>
              <w:rPr>
                <w:rFonts w:hint="default" w:ascii="Times New Roman" w:hAnsi="Times New Roman" w:cs="Times New Roman"/>
                <w:color w:val="auto"/>
                <w:highlight w:val="none"/>
              </w:rPr>
              <w:t>的单位和个人，必须采取防扬散、防流失、防渗漏或者其他防止污染环境的措施。不得在运输过程中沿途丢弃、遗撒固体废物；危险废物执行《危险废物贮存污染控制标准》（GB18597-20</w:t>
            </w:r>
            <w:r>
              <w:rPr>
                <w:rFonts w:hint="eastAsia" w:ascii="Times New Roman" w:hAnsi="Times New Roman" w:cs="Times New Roman"/>
                <w:color w:val="auto"/>
                <w:highlight w:val="none"/>
                <w:lang w:val="en-US" w:eastAsia="zh-CN"/>
              </w:rPr>
              <w:t>23</w:t>
            </w:r>
            <w:r>
              <w:rPr>
                <w:rFonts w:hint="default" w:ascii="Times New Roman" w:hAnsi="Times New Roman" w:cs="Times New Roman"/>
                <w:color w:val="auto"/>
                <w:highlight w:val="none"/>
              </w:rPr>
              <w:t>）</w:t>
            </w:r>
            <w:r>
              <w:rPr>
                <w:rFonts w:hint="default" w:ascii="Times New Roman" w:hAnsi="Times New Roman" w:cs="Times New Roman"/>
                <w:color w:val="auto"/>
                <w:highlight w:val="none"/>
              </w:rPr>
              <w:t>要求</w:t>
            </w:r>
            <w:r>
              <w:rPr>
                <w:rFonts w:hint="default" w:ascii="Times New Roman" w:hAnsi="Times New Roman" w:cs="Times New Roman"/>
                <w:color w:val="auto"/>
                <w:highlight w:val="none"/>
                <w:lang w:eastAsia="zh-CN"/>
              </w:rPr>
              <w:t>。</w:t>
            </w:r>
          </w:p>
          <w:p>
            <w:pPr>
              <w:pStyle w:val="50"/>
              <w:bidi w:val="0"/>
              <w:rPr>
                <w:rFonts w:hint="default" w:ascii="Times New Roman" w:hAnsi="Times New Roman" w:cs="Times New Roman"/>
                <w:color w:val="auto"/>
                <w:highlight w:val="none"/>
                <w:lang w:eastAsia="zh-CN"/>
              </w:rPr>
            </w:pPr>
          </w:p>
          <w:p>
            <w:pPr>
              <w:pStyle w:val="50"/>
              <w:bidi w:val="0"/>
              <w:rPr>
                <w:rFonts w:hint="eastAsia"/>
                <w:color w:val="auto"/>
                <w:highlight w:val="none"/>
                <w:lang w:eastAsia="zh-CN"/>
              </w:rPr>
            </w:pPr>
          </w:p>
          <w:p>
            <w:pPr>
              <w:pStyle w:val="50"/>
              <w:bidi w:val="0"/>
              <w:rPr>
                <w:rFonts w:hint="eastAsia"/>
                <w:color w:val="auto"/>
                <w:highlight w:val="none"/>
                <w:lang w:eastAsia="zh-CN"/>
              </w:rPr>
            </w:pPr>
          </w:p>
          <w:p>
            <w:pPr>
              <w:pStyle w:val="50"/>
              <w:bidi w:val="0"/>
              <w:rPr>
                <w:rFonts w:hint="eastAsia"/>
                <w:color w:val="auto"/>
                <w:highlight w:val="none"/>
                <w:lang w:eastAsia="zh-CN"/>
              </w:rPr>
            </w:pPr>
          </w:p>
          <w:p>
            <w:pPr>
              <w:pStyle w:val="50"/>
              <w:bidi w:val="0"/>
              <w:rPr>
                <w:rFonts w:hint="eastAsia"/>
                <w:color w:val="auto"/>
                <w:highlight w:val="none"/>
                <w:lang w:eastAsia="zh-CN"/>
              </w:rPr>
            </w:pPr>
          </w:p>
          <w:p>
            <w:pPr>
              <w:pStyle w:val="50"/>
              <w:bidi w:val="0"/>
              <w:rPr>
                <w:rFonts w:hint="eastAsia"/>
                <w:color w:val="auto"/>
                <w:highlight w:val="none"/>
                <w:lang w:eastAsia="zh-CN"/>
              </w:rPr>
            </w:pPr>
          </w:p>
          <w:p>
            <w:pPr>
              <w:pStyle w:val="50"/>
              <w:bidi w:val="0"/>
              <w:rPr>
                <w:rFonts w:hint="eastAsia"/>
                <w:color w:val="auto"/>
                <w:highlight w:val="none"/>
                <w:lang w:eastAsia="zh-CN"/>
              </w:rPr>
            </w:pPr>
          </w:p>
          <w:p>
            <w:pPr>
              <w:pStyle w:val="50"/>
              <w:bidi w:val="0"/>
              <w:rPr>
                <w:rFonts w:hint="eastAsia"/>
                <w:color w:val="auto"/>
                <w:highlight w:val="none"/>
                <w:lang w:eastAsia="zh-CN"/>
              </w:rPr>
            </w:pPr>
          </w:p>
          <w:p>
            <w:pPr>
              <w:pStyle w:val="50"/>
              <w:bidi w:val="0"/>
              <w:rPr>
                <w:rFonts w:hint="eastAsia"/>
                <w:color w:val="auto"/>
                <w:highlight w:val="none"/>
                <w:lang w:eastAsia="zh-CN"/>
              </w:rPr>
            </w:pPr>
          </w:p>
          <w:p>
            <w:pPr>
              <w:pStyle w:val="50"/>
              <w:bidi w:val="0"/>
              <w:rPr>
                <w:rFonts w:hint="eastAsia"/>
                <w:color w:val="auto"/>
                <w:highlight w:val="none"/>
                <w:lang w:eastAsia="zh-CN"/>
              </w:rPr>
            </w:pPr>
          </w:p>
          <w:p>
            <w:pPr>
              <w:pStyle w:val="50"/>
              <w:bidi w:val="0"/>
              <w:ind w:left="0" w:leftChars="0" w:firstLine="0" w:firstLineChars="0"/>
              <w:rPr>
                <w:rFonts w:hint="eastAsia" w:ascii="Times New Roman" w:hAnsi="Times New Roman" w:eastAsia="宋体" w:cs="Times New Roman"/>
                <w:color w:val="auto"/>
                <w:highlight w:val="none"/>
                <w:lang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760" w:hRule="atLeast"/>
          <w:jc w:val="center"/>
        </w:trPr>
        <w:tc>
          <w:tcPr>
            <w:tcW w:w="487" w:type="dxa"/>
            <w:noWrap w:val="0"/>
            <w:vAlign w:val="center"/>
          </w:tcPr>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总量</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控制</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指标</w:t>
            </w:r>
          </w:p>
        </w:tc>
        <w:tc>
          <w:tcPr>
            <w:tcW w:w="8584" w:type="dxa"/>
            <w:noWrap w:val="0"/>
            <w:vAlign w:val="center"/>
          </w:tcPr>
          <w:p>
            <w:pPr>
              <w:pStyle w:val="50"/>
              <w:bidi w:val="0"/>
              <w:rPr>
                <w:rFonts w:hint="default" w:ascii="Times New Roman" w:hAnsi="Times New Roman" w:eastAsia="宋体" w:cs="Times New Roman"/>
                <w:color w:val="auto"/>
                <w:sz w:val="24"/>
                <w:szCs w:val="24"/>
                <w:highlight w:val="none"/>
                <w:vertAlign w:val="subscript"/>
                <w:lang w:val="en-US" w:eastAsia="zh-CN"/>
              </w:rPr>
            </w:pPr>
            <w:r>
              <w:rPr>
                <w:rFonts w:hint="default" w:ascii="Times New Roman" w:hAnsi="Times New Roman" w:eastAsia="宋体" w:cs="Times New Roman"/>
                <w:color w:val="auto"/>
                <w:sz w:val="24"/>
                <w:szCs w:val="24"/>
                <w:highlight w:val="none"/>
                <w:lang w:val="en-US" w:eastAsia="zh-CN"/>
              </w:rPr>
              <w:t>根据环境保护</w:t>
            </w:r>
            <w:r>
              <w:rPr>
                <w:rFonts w:hint="eastAsia" w:ascii="Times New Roman" w:hAnsi="Times New Roman" w:cs="Times New Roman"/>
                <w:color w:val="auto"/>
                <w:sz w:val="24"/>
                <w:szCs w:val="24"/>
                <w:highlight w:val="none"/>
                <w:lang w:val="en-US" w:eastAsia="zh-CN"/>
              </w:rPr>
              <w:t>“十四五”</w:t>
            </w:r>
            <w:r>
              <w:rPr>
                <w:rFonts w:hint="default" w:ascii="Times New Roman" w:hAnsi="Times New Roman" w:eastAsia="宋体" w:cs="Times New Roman"/>
                <w:color w:val="auto"/>
                <w:sz w:val="24"/>
                <w:szCs w:val="24"/>
                <w:highlight w:val="none"/>
                <w:lang w:val="en-US" w:eastAsia="zh-CN"/>
              </w:rPr>
              <w:t>计划实施总量控制的污染物种类，结合当地的环境质量现状及建设项目污染物排放特征，按照最大限度减少污染物排放量及区域污染物排放总量原则，该项目实行总量控制的污染物为COD、氨氮、SO</w:t>
            </w:r>
            <w:r>
              <w:rPr>
                <w:rFonts w:hint="default" w:ascii="Times New Roman" w:hAnsi="Times New Roman" w:eastAsia="宋体" w:cs="Times New Roman"/>
                <w:color w:val="auto"/>
                <w:sz w:val="24"/>
                <w:szCs w:val="24"/>
                <w:highlight w:val="none"/>
                <w:vertAlign w:val="subscript"/>
                <w:lang w:val="en-US" w:eastAsia="zh-CN"/>
              </w:rPr>
              <w:t>2</w:t>
            </w:r>
            <w:r>
              <w:rPr>
                <w:rFonts w:hint="default" w:ascii="Times New Roman" w:hAnsi="Times New Roman" w:eastAsia="宋体" w:cs="Times New Roman"/>
                <w:color w:val="auto"/>
                <w:sz w:val="24"/>
                <w:szCs w:val="24"/>
                <w:highlight w:val="none"/>
                <w:lang w:val="en-US" w:eastAsia="zh-CN"/>
              </w:rPr>
              <w:t>、NO</w:t>
            </w:r>
            <w:r>
              <w:rPr>
                <w:rFonts w:hint="default" w:ascii="Times New Roman" w:hAnsi="Times New Roman" w:eastAsia="宋体" w:cs="Times New Roman"/>
                <w:color w:val="auto"/>
                <w:sz w:val="24"/>
                <w:szCs w:val="24"/>
                <w:highlight w:val="none"/>
                <w:vertAlign w:val="subscript"/>
                <w:lang w:val="en-US" w:eastAsia="zh-CN"/>
              </w:rPr>
              <w:t>X</w:t>
            </w:r>
            <w:r>
              <w:rPr>
                <w:rFonts w:hint="eastAsia" w:ascii="Times New Roman" w:hAnsi="Times New Roman" w:cs="Times New Roman"/>
                <w:color w:val="auto"/>
                <w:sz w:val="24"/>
                <w:szCs w:val="24"/>
                <w:highlight w:val="none"/>
                <w:vertAlign w:val="baseline"/>
                <w:lang w:val="en-US" w:eastAsia="zh-CN"/>
              </w:rPr>
              <w:t>、非甲烷总烃。本项目</w:t>
            </w:r>
            <w:r>
              <w:rPr>
                <w:rFonts w:hint="default" w:ascii="Times New Roman" w:hAnsi="Times New Roman" w:eastAsia="宋体" w:cs="Times New Roman"/>
                <w:color w:val="auto"/>
                <w:sz w:val="24"/>
                <w:szCs w:val="24"/>
                <w:highlight w:val="none"/>
                <w:lang w:val="en-US" w:eastAsia="zh-CN"/>
              </w:rPr>
              <w:t>COD、氨氮、SO</w:t>
            </w:r>
            <w:r>
              <w:rPr>
                <w:rFonts w:hint="default" w:ascii="Times New Roman" w:hAnsi="Times New Roman" w:eastAsia="宋体" w:cs="Times New Roman"/>
                <w:color w:val="auto"/>
                <w:sz w:val="24"/>
                <w:szCs w:val="24"/>
                <w:highlight w:val="none"/>
                <w:vertAlign w:val="subscript"/>
                <w:lang w:val="en-US" w:eastAsia="zh-CN"/>
              </w:rPr>
              <w:t>2</w:t>
            </w:r>
            <w:r>
              <w:rPr>
                <w:rFonts w:hint="default" w:ascii="Times New Roman" w:hAnsi="Times New Roman" w:eastAsia="宋体" w:cs="Times New Roman"/>
                <w:color w:val="auto"/>
                <w:sz w:val="24"/>
                <w:szCs w:val="24"/>
                <w:highlight w:val="none"/>
                <w:lang w:val="en-US" w:eastAsia="zh-CN"/>
              </w:rPr>
              <w:t>、NO</w:t>
            </w:r>
            <w:r>
              <w:rPr>
                <w:rFonts w:hint="default" w:ascii="Times New Roman" w:hAnsi="Times New Roman" w:eastAsia="宋体" w:cs="Times New Roman"/>
                <w:color w:val="auto"/>
                <w:sz w:val="24"/>
                <w:szCs w:val="24"/>
                <w:highlight w:val="none"/>
                <w:vertAlign w:val="subscript"/>
                <w:lang w:val="en-US" w:eastAsia="zh-CN"/>
              </w:rPr>
              <w:t>X</w:t>
            </w:r>
            <w:r>
              <w:rPr>
                <w:rFonts w:hint="eastAsia" w:ascii="Times New Roman" w:hAnsi="Times New Roman" w:eastAsia="宋体" w:cs="Times New Roman"/>
                <w:color w:val="auto"/>
                <w:sz w:val="24"/>
                <w:szCs w:val="24"/>
                <w:highlight w:val="none"/>
                <w:vertAlign w:val="baseline"/>
                <w:lang w:val="en-US" w:eastAsia="zh-CN"/>
              </w:rPr>
              <w:t>均为0。</w:t>
            </w:r>
          </w:p>
          <w:p>
            <w:pPr>
              <w:pStyle w:val="14"/>
              <w:numPr>
                <w:ilvl w:val="0"/>
                <w:numId w:val="0"/>
              </w:numPr>
              <w:bidi w:val="0"/>
              <w:spacing w:line="360" w:lineRule="auto"/>
              <w:rPr>
                <w:rFonts w:hint="eastAsia" w:eastAsia="宋体" w:cs="Times New Roman"/>
                <w:b/>
                <w:bCs/>
                <w:color w:val="auto"/>
                <w:sz w:val="28"/>
                <w:szCs w:val="28"/>
                <w:highlight w:val="none"/>
                <w:lang w:val="en-US" w:eastAsia="zh-CN"/>
              </w:rPr>
            </w:pPr>
            <w:r>
              <w:rPr>
                <w:rFonts w:hint="default" w:ascii="Times New Roman" w:hAnsi="Times New Roman" w:eastAsia="宋体" w:cs="Times New Roman"/>
                <w:b/>
                <w:bCs/>
                <w:color w:val="auto"/>
                <w:sz w:val="28"/>
                <w:szCs w:val="28"/>
                <w:highlight w:val="none"/>
                <w:lang w:val="en-US" w:eastAsia="zh-CN"/>
              </w:rPr>
              <w:t xml:space="preserve">1 </w:t>
            </w:r>
            <w:r>
              <w:rPr>
                <w:rFonts w:hint="eastAsia" w:eastAsia="宋体" w:cs="Times New Roman"/>
                <w:b/>
                <w:bCs/>
                <w:color w:val="auto"/>
                <w:sz w:val="28"/>
                <w:szCs w:val="28"/>
                <w:highlight w:val="none"/>
                <w:lang w:val="en-US" w:eastAsia="zh-CN"/>
              </w:rPr>
              <w:t>废气</w:t>
            </w:r>
          </w:p>
          <w:p>
            <w:pPr>
              <w:pStyle w:val="14"/>
              <w:numPr>
                <w:ilvl w:val="0"/>
                <w:numId w:val="0"/>
              </w:numPr>
              <w:bidi w:val="0"/>
              <w:spacing w:line="360" w:lineRule="auto"/>
              <w:rPr>
                <w:rFonts w:hint="default" w:ascii="Times New Roman" w:hAnsi="Times New Roman" w:eastAsia="宋体" w:cs="Times New Roman"/>
                <w:b/>
                <w:bCs/>
                <w:color w:val="auto"/>
                <w:sz w:val="24"/>
                <w:szCs w:val="24"/>
                <w:highlight w:val="none"/>
                <w:lang w:val="en-US" w:eastAsia="zh-CN"/>
              </w:rPr>
            </w:pPr>
            <w:r>
              <w:rPr>
                <w:rFonts w:hint="eastAsia" w:eastAsia="宋体" w:cs="Times New Roman"/>
                <w:b/>
                <w:bCs/>
                <w:color w:val="auto"/>
                <w:sz w:val="24"/>
                <w:szCs w:val="24"/>
                <w:highlight w:val="none"/>
                <w:lang w:val="en-US" w:eastAsia="zh-CN"/>
              </w:rPr>
              <w:t xml:space="preserve">1.1 </w:t>
            </w:r>
            <w:r>
              <w:rPr>
                <w:rFonts w:hint="default" w:ascii="Times New Roman" w:hAnsi="Times New Roman" w:eastAsia="宋体" w:cs="Times New Roman"/>
                <w:b/>
                <w:bCs/>
                <w:color w:val="auto"/>
                <w:sz w:val="24"/>
                <w:szCs w:val="24"/>
                <w:highlight w:val="none"/>
                <w:lang w:val="en-US" w:eastAsia="zh-CN"/>
              </w:rPr>
              <w:t>SO</w:t>
            </w:r>
            <w:r>
              <w:rPr>
                <w:rFonts w:hint="default" w:ascii="Times New Roman" w:hAnsi="Times New Roman" w:eastAsia="宋体" w:cs="Times New Roman"/>
                <w:b/>
                <w:bCs/>
                <w:color w:val="auto"/>
                <w:sz w:val="24"/>
                <w:szCs w:val="24"/>
                <w:highlight w:val="none"/>
                <w:vertAlign w:val="subscript"/>
                <w:lang w:val="en-US" w:eastAsia="zh-CN"/>
              </w:rPr>
              <w:t>2</w:t>
            </w:r>
            <w:r>
              <w:rPr>
                <w:rFonts w:hint="default" w:ascii="Times New Roman" w:hAnsi="Times New Roman" w:eastAsia="宋体" w:cs="Times New Roman"/>
                <w:b/>
                <w:bCs/>
                <w:color w:val="auto"/>
                <w:sz w:val="24"/>
                <w:szCs w:val="24"/>
                <w:highlight w:val="none"/>
                <w:lang w:val="en-US" w:eastAsia="zh-CN"/>
              </w:rPr>
              <w:t>、NOx总量控制</w:t>
            </w:r>
          </w:p>
          <w:p>
            <w:pPr>
              <w:numPr>
                <w:ilvl w:val="0"/>
                <w:numId w:val="0"/>
              </w:numPr>
              <w:bidi w:val="0"/>
              <w:spacing w:line="360" w:lineRule="auto"/>
              <w:ind w:firstLine="480" w:firstLineChars="200"/>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本项目无SO</w:t>
            </w:r>
            <w:r>
              <w:rPr>
                <w:rFonts w:hint="default" w:ascii="Times New Roman" w:hAnsi="Times New Roman" w:eastAsia="宋体" w:cs="Times New Roman"/>
                <w:color w:val="auto"/>
                <w:sz w:val="24"/>
                <w:szCs w:val="24"/>
                <w:highlight w:val="none"/>
                <w:vertAlign w:val="subscript"/>
                <w:lang w:val="en-US" w:eastAsia="zh-CN"/>
              </w:rPr>
              <w:t>2</w:t>
            </w:r>
            <w:r>
              <w:rPr>
                <w:rFonts w:hint="default" w:ascii="Times New Roman" w:hAnsi="Times New Roman" w:eastAsia="宋体" w:cs="Times New Roman"/>
                <w:color w:val="auto"/>
                <w:sz w:val="24"/>
                <w:szCs w:val="24"/>
                <w:highlight w:val="none"/>
                <w:lang w:val="en-US" w:eastAsia="zh-CN"/>
              </w:rPr>
              <w:t>、NOx产生。</w:t>
            </w:r>
          </w:p>
          <w:p>
            <w:pPr>
              <w:pStyle w:val="14"/>
              <w:numPr>
                <w:ilvl w:val="0"/>
                <w:numId w:val="0"/>
              </w:numPr>
              <w:bidi w:val="0"/>
              <w:spacing w:line="360" w:lineRule="auto"/>
              <w:rPr>
                <w:rFonts w:ascii="Times New Roman" w:hAnsi="Times New Roman"/>
                <w:b w:val="0"/>
                <w:snapToGrid/>
                <w:color w:val="auto"/>
                <w:kern w:val="2"/>
                <w:sz w:val="24"/>
                <w:szCs w:val="24"/>
                <w:highlight w:val="none"/>
              </w:rPr>
            </w:pPr>
            <w:r>
              <w:rPr>
                <w:rFonts w:hint="eastAsia" w:eastAsia="宋体" w:cs="Times New Roman"/>
                <w:b/>
                <w:bCs/>
                <w:color w:val="auto"/>
                <w:sz w:val="24"/>
                <w:szCs w:val="24"/>
                <w:highlight w:val="none"/>
                <w:lang w:val="en-US" w:eastAsia="zh-CN"/>
              </w:rPr>
              <w:t xml:space="preserve">1.2 </w:t>
            </w:r>
            <w:r>
              <w:rPr>
                <w:rFonts w:hint="eastAsia" w:eastAsia="宋体" w:cs="Times New Roman"/>
                <w:b/>
                <w:bCs/>
                <w:snapToGrid/>
                <w:color w:val="auto"/>
                <w:kern w:val="2"/>
                <w:sz w:val="24"/>
                <w:szCs w:val="24"/>
                <w:highlight w:val="none"/>
                <w:lang w:val="en-US" w:eastAsia="zh-CN" w:bidi="ar-SA"/>
              </w:rPr>
              <w:t>非</w:t>
            </w:r>
            <w:r>
              <w:rPr>
                <w:rFonts w:hint="eastAsia" w:eastAsia="宋体" w:cs="Times New Roman"/>
                <w:b/>
                <w:snapToGrid/>
                <w:color w:val="auto"/>
                <w:kern w:val="2"/>
                <w:sz w:val="24"/>
                <w:szCs w:val="24"/>
                <w:highlight w:val="none"/>
                <w:lang w:val="en-US" w:eastAsia="zh-CN" w:bidi="ar-SA"/>
              </w:rPr>
              <w:t>甲烷总烃</w:t>
            </w:r>
            <w:r>
              <w:rPr>
                <w:rFonts w:hint="default" w:ascii="Times New Roman" w:hAnsi="Times New Roman" w:eastAsia="宋体" w:cs="Times New Roman"/>
                <w:b/>
                <w:snapToGrid/>
                <w:color w:val="auto"/>
                <w:kern w:val="2"/>
                <w:sz w:val="24"/>
                <w:szCs w:val="24"/>
                <w:highlight w:val="none"/>
                <w:lang w:val="en-US" w:eastAsia="zh-CN" w:bidi="ar-SA"/>
              </w:rPr>
              <w:t>总量核算</w:t>
            </w:r>
          </w:p>
          <w:p>
            <w:pPr>
              <w:keepNext w:val="0"/>
              <w:keepLines w:val="0"/>
              <w:pageBreakBefore w:val="0"/>
              <w:kinsoku/>
              <w:wordWrap/>
              <w:overflowPunct/>
              <w:topLinePunct w:val="0"/>
              <w:autoSpaceDE/>
              <w:autoSpaceDN/>
              <w:bidi w:val="0"/>
              <w:adjustRightInd/>
              <w:spacing w:line="360" w:lineRule="auto"/>
              <w:ind w:firstLine="480" w:firstLineChars="200"/>
              <w:textAlignment w:val="auto"/>
              <w:rPr>
                <w:rFonts w:hint="default"/>
                <w:color w:val="auto"/>
                <w:highlight w:val="none"/>
                <w:lang w:val="en-US" w:eastAsia="zh-CN"/>
              </w:rPr>
            </w:pPr>
            <w:r>
              <w:rPr>
                <w:rFonts w:hint="eastAsia"/>
                <w:color w:val="auto"/>
                <w:highlight w:val="none"/>
                <w:lang w:val="en-US" w:eastAsia="zh-CN"/>
              </w:rPr>
              <w:t>（1）油漆非甲烷总烃产生量</w:t>
            </w:r>
          </w:p>
          <w:p>
            <w:pPr>
              <w:keepNext w:val="0"/>
              <w:keepLines w:val="0"/>
              <w:pageBreakBefore w:val="0"/>
              <w:kinsoku/>
              <w:wordWrap/>
              <w:overflowPunct/>
              <w:topLinePunct w:val="0"/>
              <w:autoSpaceDE/>
              <w:autoSpaceDN/>
              <w:bidi w:val="0"/>
              <w:adjustRightInd/>
              <w:spacing w:line="360" w:lineRule="auto"/>
              <w:ind w:firstLine="480" w:firstLineChars="200"/>
              <w:textAlignment w:val="auto"/>
              <w:rPr>
                <w:rFonts w:hint="default" w:eastAsia="宋体"/>
                <w:color w:val="auto"/>
                <w:highlight w:val="none"/>
                <w:lang w:val="en-US" w:eastAsia="zh-CN"/>
              </w:rPr>
            </w:pPr>
            <w:r>
              <w:rPr>
                <w:rFonts w:hint="eastAsia"/>
                <w:color w:val="auto"/>
                <w:highlight w:val="none"/>
                <w:lang w:val="en-US" w:eastAsia="zh-CN"/>
              </w:rPr>
              <w:t>根据企业提供的高固份油漆检测报告可知，非甲烷总烃含量为59g/L，年使用高固份油漆为0.4t（约为320L）；水性漆非甲烷总烃含量为7g/L，年使用水性漆为0.85t（850L）。</w:t>
            </w:r>
          </w:p>
          <w:p>
            <w:pPr>
              <w:keepNext w:val="0"/>
              <w:keepLines w:val="0"/>
              <w:pageBreakBefore w:val="0"/>
              <w:kinsoku/>
              <w:wordWrap/>
              <w:overflowPunct/>
              <w:topLinePunct w:val="0"/>
              <w:autoSpaceDE/>
              <w:autoSpaceDN/>
              <w:bidi w:val="0"/>
              <w:adjustRightInd/>
              <w:spacing w:line="360" w:lineRule="auto"/>
              <w:ind w:firstLine="480" w:firstLineChars="200"/>
              <w:textAlignment w:val="auto"/>
              <w:rPr>
                <w:rFonts w:hint="default" w:eastAsia="宋体"/>
                <w:color w:val="auto"/>
                <w:highlight w:val="none"/>
                <w:lang w:val="en-US" w:eastAsia="zh-CN"/>
              </w:rPr>
            </w:pPr>
            <w:r>
              <w:rPr>
                <w:rFonts w:hint="eastAsia"/>
                <w:color w:val="auto"/>
                <w:highlight w:val="none"/>
                <w:lang w:val="en-US" w:eastAsia="zh-CN"/>
              </w:rPr>
              <w:t>高固份油漆产生非甲烷总烃量：59g/L</w:t>
            </w:r>
            <w:r>
              <w:rPr>
                <w:rFonts w:hint="eastAsia" w:ascii="Times New Roman" w:hAnsi="Times New Roman" w:eastAsia="宋体" w:cs="Times New Roman"/>
                <w:b w:val="0"/>
                <w:snapToGrid/>
                <w:color w:val="auto"/>
                <w:kern w:val="2"/>
                <w:sz w:val="24"/>
                <w:szCs w:val="24"/>
                <w:highlight w:val="none"/>
                <w:lang w:val="en-US" w:eastAsia="zh-CN" w:bidi="ar-SA"/>
              </w:rPr>
              <w:t>×</w:t>
            </w:r>
            <w:r>
              <w:rPr>
                <w:rFonts w:hint="eastAsia" w:cs="Times New Roman"/>
                <w:b w:val="0"/>
                <w:snapToGrid/>
                <w:color w:val="auto"/>
                <w:kern w:val="2"/>
                <w:sz w:val="24"/>
                <w:szCs w:val="24"/>
                <w:highlight w:val="none"/>
                <w:lang w:val="en-US" w:eastAsia="zh-CN" w:bidi="ar-SA"/>
              </w:rPr>
              <w:t>320</w:t>
            </w:r>
            <w:r>
              <w:rPr>
                <w:rFonts w:hint="eastAsia"/>
                <w:color w:val="auto"/>
                <w:highlight w:val="none"/>
                <w:lang w:val="en-US" w:eastAsia="zh-CN"/>
              </w:rPr>
              <w:t>L/a</w:t>
            </w:r>
            <w:r>
              <w:rPr>
                <w:rFonts w:hint="eastAsia" w:cs="Times New Roman"/>
                <w:b w:val="0"/>
                <w:snapToGrid/>
                <w:color w:val="auto"/>
                <w:kern w:val="2"/>
                <w:sz w:val="24"/>
                <w:szCs w:val="24"/>
                <w:highlight w:val="none"/>
                <w:lang w:val="en-US" w:eastAsia="zh-CN" w:bidi="ar-SA"/>
              </w:rPr>
              <w:t>=0.019t/a</w:t>
            </w:r>
          </w:p>
          <w:p>
            <w:pPr>
              <w:keepNext w:val="0"/>
              <w:keepLines w:val="0"/>
              <w:pageBreakBefore w:val="0"/>
              <w:kinsoku/>
              <w:wordWrap/>
              <w:overflowPunct/>
              <w:topLinePunct w:val="0"/>
              <w:autoSpaceDE/>
              <w:autoSpaceDN/>
              <w:bidi w:val="0"/>
              <w:adjustRightInd/>
              <w:spacing w:line="360" w:lineRule="auto"/>
              <w:ind w:firstLine="480" w:firstLineChars="200"/>
              <w:textAlignment w:val="auto"/>
              <w:rPr>
                <w:rFonts w:hint="default" w:eastAsia="宋体"/>
                <w:color w:val="auto"/>
                <w:highlight w:val="none"/>
                <w:lang w:val="en-US" w:eastAsia="zh-CN"/>
              </w:rPr>
            </w:pPr>
            <w:r>
              <w:rPr>
                <w:rFonts w:hint="eastAsia"/>
                <w:color w:val="auto"/>
                <w:highlight w:val="none"/>
                <w:lang w:val="en-US" w:eastAsia="zh-CN"/>
              </w:rPr>
              <w:t>水性漆产生非甲烷总烃量：7g/L</w:t>
            </w:r>
            <w:r>
              <w:rPr>
                <w:rFonts w:hint="eastAsia" w:ascii="Times New Roman" w:hAnsi="Times New Roman" w:eastAsia="宋体" w:cs="Times New Roman"/>
                <w:b w:val="0"/>
                <w:snapToGrid/>
                <w:color w:val="auto"/>
                <w:kern w:val="2"/>
                <w:sz w:val="24"/>
                <w:szCs w:val="24"/>
                <w:highlight w:val="none"/>
                <w:lang w:val="en-US" w:eastAsia="zh-CN" w:bidi="ar-SA"/>
              </w:rPr>
              <w:t>×</w:t>
            </w:r>
            <w:r>
              <w:rPr>
                <w:rFonts w:hint="eastAsia" w:cs="Times New Roman"/>
                <w:b w:val="0"/>
                <w:snapToGrid/>
                <w:color w:val="auto"/>
                <w:kern w:val="2"/>
                <w:sz w:val="24"/>
                <w:szCs w:val="24"/>
                <w:highlight w:val="none"/>
                <w:lang w:val="en-US" w:eastAsia="zh-CN" w:bidi="ar-SA"/>
              </w:rPr>
              <w:t>850</w:t>
            </w:r>
            <w:r>
              <w:rPr>
                <w:rFonts w:hint="eastAsia"/>
                <w:color w:val="auto"/>
                <w:highlight w:val="none"/>
                <w:lang w:val="en-US" w:eastAsia="zh-CN"/>
              </w:rPr>
              <w:t>L/a</w:t>
            </w:r>
            <w:r>
              <w:rPr>
                <w:rFonts w:hint="eastAsia" w:cs="Times New Roman"/>
                <w:b w:val="0"/>
                <w:snapToGrid/>
                <w:color w:val="auto"/>
                <w:kern w:val="2"/>
                <w:sz w:val="24"/>
                <w:szCs w:val="24"/>
                <w:highlight w:val="none"/>
                <w:lang w:val="en-US" w:eastAsia="zh-CN" w:bidi="ar-SA"/>
              </w:rPr>
              <w:t>=0.006t/a</w:t>
            </w:r>
          </w:p>
          <w:p>
            <w:pPr>
              <w:keepNext w:val="0"/>
              <w:keepLines w:val="0"/>
              <w:pageBreakBefore w:val="0"/>
              <w:kinsoku/>
              <w:wordWrap/>
              <w:overflowPunct/>
              <w:topLinePunct w:val="0"/>
              <w:autoSpaceDE/>
              <w:autoSpaceDN/>
              <w:bidi w:val="0"/>
              <w:adjustRightInd/>
              <w:spacing w:line="360" w:lineRule="auto"/>
              <w:ind w:firstLine="480" w:firstLineChars="200"/>
              <w:textAlignment w:val="auto"/>
              <w:rPr>
                <w:rFonts w:hint="default" w:eastAsia="宋体"/>
                <w:color w:val="auto"/>
                <w:highlight w:val="none"/>
                <w:lang w:val="en-US" w:eastAsia="zh-CN"/>
              </w:rPr>
            </w:pPr>
            <w:r>
              <w:rPr>
                <w:rFonts w:hint="eastAsia"/>
                <w:color w:val="auto"/>
                <w:highlight w:val="none"/>
                <w:lang w:val="en-US" w:eastAsia="zh-CN"/>
              </w:rPr>
              <w:t>（2）稀释剂非甲烷总烃产生量</w:t>
            </w:r>
          </w:p>
          <w:p>
            <w:pPr>
              <w:keepNext w:val="0"/>
              <w:keepLines w:val="0"/>
              <w:pageBreakBefore w:val="0"/>
              <w:kinsoku/>
              <w:wordWrap/>
              <w:overflowPunct/>
              <w:topLinePunct w:val="0"/>
              <w:autoSpaceDE/>
              <w:autoSpaceDN/>
              <w:bidi w:val="0"/>
              <w:adjustRightInd/>
              <w:spacing w:line="360" w:lineRule="auto"/>
              <w:ind w:firstLine="480" w:firstLineChars="200"/>
              <w:textAlignment w:val="auto"/>
              <w:rPr>
                <w:rFonts w:hint="default" w:cs="Times New Roman"/>
                <w:color w:val="auto"/>
                <w:highlight w:val="none"/>
                <w:lang w:val="en-US" w:eastAsia="zh-CN"/>
              </w:rPr>
            </w:pPr>
            <w:r>
              <w:rPr>
                <w:rFonts w:hint="eastAsia" w:cs="Times New Roman"/>
                <w:color w:val="auto"/>
                <w:highlight w:val="none"/>
                <w:lang w:val="en-US" w:eastAsia="zh-CN"/>
              </w:rPr>
              <w:t>本项目稀释剂年使用量为0.05t/a，稀释剂为100%挥发，故非甲烷总烃产生量为0.05t/a。</w:t>
            </w:r>
          </w:p>
          <w:p>
            <w:pPr>
              <w:keepNext w:val="0"/>
              <w:keepLines w:val="0"/>
              <w:pageBreakBefore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eastAsia="宋体" w:cs="Times New Roman"/>
                <w:color w:val="auto"/>
                <w:highlight w:val="none"/>
                <w:lang w:val="en-US" w:eastAsia="zh-CN"/>
              </w:rPr>
            </w:pPr>
            <w:r>
              <w:rPr>
                <w:rFonts w:hint="eastAsia" w:cs="Times New Roman"/>
                <w:color w:val="auto"/>
                <w:highlight w:val="none"/>
                <w:lang w:val="en-US" w:eastAsia="zh-CN"/>
              </w:rPr>
              <w:t>喷漆房为微负压设计，</w:t>
            </w:r>
            <w:r>
              <w:rPr>
                <w:rFonts w:hint="eastAsia" w:ascii="Times New Roman" w:hAnsi="Times New Roman" w:eastAsia="宋体" w:cs="Times New Roman"/>
                <w:color w:val="auto"/>
                <w:highlight w:val="none"/>
                <w:lang w:val="en-US" w:eastAsia="zh-CN"/>
              </w:rPr>
              <w:t>产生的废气通过</w:t>
            </w:r>
            <w:r>
              <w:rPr>
                <w:rFonts w:hint="eastAsia" w:cs="Times New Roman"/>
                <w:color w:val="auto"/>
                <w:highlight w:val="none"/>
                <w:lang w:val="en-US" w:eastAsia="zh-CN"/>
              </w:rPr>
              <w:t>下方通风口进入</w:t>
            </w:r>
            <w:r>
              <w:rPr>
                <w:rFonts w:hint="eastAsia" w:eastAsia="宋体" w:cs="Times New Roman"/>
                <w:color w:val="auto"/>
                <w:highlight w:val="none"/>
                <w:lang w:val="en-US" w:eastAsia="zh-CN"/>
              </w:rPr>
              <w:t>干式过滤器</w:t>
            </w:r>
            <w:r>
              <w:rPr>
                <w:rFonts w:hint="eastAsia" w:ascii="Times New Roman" w:hAnsi="Times New Roman" w:eastAsia="宋体" w:cs="Times New Roman"/>
                <w:color w:val="auto"/>
                <w:highlight w:val="none"/>
                <w:lang w:val="en-US" w:eastAsia="zh-CN"/>
              </w:rPr>
              <w:t>+</w:t>
            </w:r>
            <w:r>
              <w:rPr>
                <w:rFonts w:hint="eastAsia" w:eastAsia="宋体" w:cs="Times New Roman"/>
                <w:color w:val="auto"/>
                <w:highlight w:val="none"/>
                <w:lang w:val="en-US" w:eastAsia="zh-CN"/>
              </w:rPr>
              <w:t>2级</w:t>
            </w:r>
            <w:r>
              <w:rPr>
                <w:rFonts w:hint="eastAsia" w:ascii="Times New Roman" w:hAnsi="Times New Roman" w:eastAsia="宋体" w:cs="Times New Roman"/>
                <w:color w:val="auto"/>
                <w:highlight w:val="none"/>
                <w:lang w:val="en-US" w:eastAsia="zh-CN"/>
              </w:rPr>
              <w:t>活性炭吸附装置进行处理，处理后气体由15m高排气筒排出（收集效率为</w:t>
            </w:r>
            <w:r>
              <w:rPr>
                <w:rFonts w:hint="eastAsia" w:cs="Times New Roman"/>
                <w:color w:val="auto"/>
                <w:highlight w:val="none"/>
                <w:lang w:val="en-US" w:eastAsia="zh-CN"/>
              </w:rPr>
              <w:t>90</w:t>
            </w:r>
            <w:r>
              <w:rPr>
                <w:rFonts w:hint="eastAsia" w:ascii="Times New Roman" w:hAnsi="Times New Roman" w:eastAsia="宋体" w:cs="Times New Roman"/>
                <w:color w:val="auto"/>
                <w:highlight w:val="none"/>
                <w:lang w:val="en-US" w:eastAsia="zh-CN"/>
              </w:rPr>
              <w:t>%，治理效率</w:t>
            </w:r>
            <w:r>
              <w:rPr>
                <w:rFonts w:hint="eastAsia" w:cs="Times New Roman"/>
                <w:color w:val="auto"/>
                <w:highlight w:val="none"/>
                <w:lang w:val="en-US" w:eastAsia="zh-CN"/>
              </w:rPr>
              <w:t>75</w:t>
            </w:r>
            <w:r>
              <w:rPr>
                <w:rFonts w:hint="eastAsia" w:ascii="Times New Roman" w:hAnsi="Times New Roman" w:eastAsia="宋体" w:cs="Times New Roman"/>
                <w:color w:val="auto"/>
                <w:highlight w:val="none"/>
                <w:lang w:val="en-US" w:eastAsia="zh-CN"/>
              </w:rPr>
              <w:t>%）</w:t>
            </w:r>
            <w:r>
              <w:rPr>
                <w:rFonts w:hint="eastAsia" w:cs="Times New Roman"/>
                <w:color w:val="auto"/>
                <w:highlight w:val="none"/>
                <w:lang w:val="en-US" w:eastAsia="zh-CN"/>
              </w:rPr>
              <w:t>。</w:t>
            </w:r>
          </w:p>
          <w:p>
            <w:pPr>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eastAsia="宋体"/>
                <w:color w:val="auto"/>
                <w:highlight w:val="none"/>
                <w:lang w:val="en-US" w:eastAsia="zh-CN"/>
              </w:rPr>
            </w:pPr>
            <w:r>
              <w:rPr>
                <w:rFonts w:hint="default" w:ascii="Times New Roman" w:hAnsi="Times New Roman" w:cs="Times New Roman"/>
                <w:b w:val="0"/>
                <w:color w:val="auto"/>
                <w:kern w:val="2"/>
                <w:position w:val="-52"/>
                <w:szCs w:val="24"/>
                <w:highlight w:val="none"/>
                <w:lang w:val="en-US" w:eastAsia="zh-CN" w:bidi="ar-SA"/>
              </w:rPr>
              <w:object>
                <v:shape id="_x0000_i1025" o:spt="75" type="#_x0000_t75" style="height:63.8pt;width:288.5pt;" o:ole="t" filled="f" o:preferrelative="t" stroked="f" coordsize="21600,21600">
                  <v:path/>
                  <v:fill on="f" focussize="0,0"/>
                  <v:stroke on="f"/>
                  <v:imagedata r:id="rId17" o:title=""/>
                  <o:lock v:ext="edit" aspectratio="t"/>
                  <w10:wrap type="none"/>
                  <w10:anchorlock/>
                </v:shape>
                <o:OLEObject Type="Embed" ProgID="Equation.KSEE3" ShapeID="_x0000_i1025" DrawAspect="Content" ObjectID="_1468075725" r:id="rId16">
                  <o:LockedField>false</o:LockedField>
                </o:OLEObject>
              </w:object>
            </w:r>
          </w:p>
          <w:p>
            <w:pPr>
              <w:pStyle w:val="14"/>
              <w:numPr>
                <w:ilvl w:val="0"/>
                <w:numId w:val="0"/>
              </w:numPr>
              <w:bidi w:val="0"/>
              <w:spacing w:line="360" w:lineRule="auto"/>
              <w:rPr>
                <w:rFonts w:ascii="Times New Roman" w:hAnsi="Times New Roman"/>
                <w:b w:val="0"/>
                <w:snapToGrid/>
                <w:color w:val="auto"/>
                <w:kern w:val="2"/>
                <w:sz w:val="24"/>
                <w:szCs w:val="24"/>
                <w:highlight w:val="none"/>
              </w:rPr>
            </w:pPr>
            <w:r>
              <w:rPr>
                <w:rFonts w:hint="eastAsia" w:eastAsia="宋体" w:cs="Times New Roman"/>
                <w:b/>
                <w:bCs/>
                <w:color w:val="auto"/>
                <w:sz w:val="24"/>
                <w:szCs w:val="24"/>
                <w:highlight w:val="none"/>
                <w:lang w:val="en-US" w:eastAsia="zh-CN"/>
              </w:rPr>
              <w:t>1.3 颗粒物</w:t>
            </w:r>
            <w:r>
              <w:rPr>
                <w:rFonts w:hint="default" w:ascii="Times New Roman" w:hAnsi="Times New Roman" w:eastAsia="宋体" w:cs="Times New Roman"/>
                <w:b/>
                <w:snapToGrid/>
                <w:color w:val="auto"/>
                <w:kern w:val="2"/>
                <w:sz w:val="24"/>
                <w:szCs w:val="24"/>
                <w:highlight w:val="none"/>
                <w:lang w:val="en-US" w:eastAsia="zh-CN" w:bidi="ar-SA"/>
              </w:rPr>
              <w:t>总量核算</w:t>
            </w:r>
          </w:p>
          <w:p>
            <w:pPr>
              <w:keepNext w:val="0"/>
              <w:keepLines w:val="0"/>
              <w:pageBreakBefore w:val="0"/>
              <w:widowControl/>
              <w:suppressLineNumbers w:val="0"/>
              <w:kinsoku/>
              <w:wordWrap/>
              <w:overflowPunct/>
              <w:topLinePunct w:val="0"/>
              <w:autoSpaceDE/>
              <w:autoSpaceDN/>
              <w:bidi w:val="0"/>
              <w:adjustRightInd/>
              <w:snapToGrid/>
              <w:ind w:firstLine="480" w:firstLineChars="200"/>
              <w:jc w:val="both"/>
              <w:textAlignment w:val="auto"/>
              <w:rPr>
                <w:color w:val="auto"/>
                <w:sz w:val="24"/>
                <w:szCs w:val="24"/>
                <w:highlight w:val="none"/>
              </w:rPr>
            </w:pPr>
            <w:r>
              <w:rPr>
                <w:rFonts w:hint="eastAsia" w:ascii="宋体" w:hAnsi="宋体" w:eastAsia="宋体" w:cs="宋体"/>
                <w:color w:val="auto"/>
                <w:kern w:val="0"/>
                <w:sz w:val="24"/>
                <w:szCs w:val="24"/>
                <w:highlight w:val="none"/>
                <w:lang w:val="en-US" w:eastAsia="zh-CN" w:bidi="ar"/>
              </w:rPr>
              <w:t xml:space="preserve">本评价核定公式如下： </w:t>
            </w:r>
          </w:p>
          <w:p>
            <w:pPr>
              <w:keepNext w:val="0"/>
              <w:keepLines w:val="0"/>
              <w:pageBreakBefore w:val="0"/>
              <w:widowControl/>
              <w:suppressLineNumbers w:val="0"/>
              <w:kinsoku/>
              <w:wordWrap/>
              <w:overflowPunct/>
              <w:topLinePunct w:val="0"/>
              <w:autoSpaceDE/>
              <w:autoSpaceDN/>
              <w:bidi w:val="0"/>
              <w:adjustRightInd/>
              <w:snapToGrid/>
              <w:ind w:firstLine="480" w:firstLineChars="200"/>
              <w:jc w:val="both"/>
              <w:textAlignment w:val="auto"/>
              <w:rPr>
                <w:color w:val="auto"/>
                <w:sz w:val="24"/>
                <w:szCs w:val="24"/>
                <w:highlight w:val="none"/>
              </w:rPr>
            </w:pPr>
            <w:r>
              <w:rPr>
                <w:rFonts w:hint="default" w:ascii="Times New Roman" w:hAnsi="Times New Roman" w:eastAsia="宋体" w:cs="Times New Roman"/>
                <w:color w:val="auto"/>
                <w:kern w:val="0"/>
                <w:sz w:val="24"/>
                <w:szCs w:val="24"/>
                <w:highlight w:val="none"/>
                <w:lang w:val="en-US" w:eastAsia="zh-CN" w:bidi="ar"/>
              </w:rPr>
              <w:t>M=K</w:t>
            </w:r>
            <w:r>
              <w:rPr>
                <w:rFonts w:hint="eastAsia" w:ascii="宋体" w:hAnsi="宋体" w:eastAsia="宋体" w:cs="宋体"/>
                <w:color w:val="auto"/>
                <w:kern w:val="0"/>
                <w:sz w:val="24"/>
                <w:szCs w:val="24"/>
                <w:highlight w:val="none"/>
                <w:lang w:val="en-US" w:eastAsia="zh-CN" w:bidi="ar"/>
              </w:rPr>
              <w:t>×</w:t>
            </w:r>
            <w:r>
              <w:rPr>
                <w:rFonts w:hint="default" w:ascii="Times New Roman" w:hAnsi="Times New Roman" w:eastAsia="宋体" w:cs="Times New Roman"/>
                <w:color w:val="auto"/>
                <w:kern w:val="0"/>
                <w:sz w:val="24"/>
                <w:szCs w:val="24"/>
                <w:highlight w:val="none"/>
                <w:lang w:val="en-US" w:eastAsia="zh-CN" w:bidi="ar"/>
              </w:rPr>
              <w:t>Q</w:t>
            </w:r>
            <w:r>
              <w:rPr>
                <w:rFonts w:hint="eastAsia" w:ascii="宋体" w:hAnsi="宋体" w:eastAsia="宋体" w:cs="宋体"/>
                <w:color w:val="auto"/>
                <w:kern w:val="0"/>
                <w:sz w:val="24"/>
                <w:szCs w:val="24"/>
                <w:highlight w:val="none"/>
                <w:lang w:val="en-US" w:eastAsia="zh-CN" w:bidi="ar"/>
              </w:rPr>
              <w:t>×</w:t>
            </w:r>
            <w:r>
              <w:rPr>
                <w:rFonts w:hint="default" w:ascii="Times New Roman" w:hAnsi="Times New Roman" w:eastAsia="宋体" w:cs="Times New Roman"/>
                <w:color w:val="auto"/>
                <w:kern w:val="0"/>
                <w:sz w:val="24"/>
                <w:szCs w:val="24"/>
                <w:highlight w:val="none"/>
                <w:lang w:val="en-US" w:eastAsia="zh-CN" w:bidi="ar"/>
              </w:rPr>
              <w:t xml:space="preserve">T/10 9 </w:t>
            </w:r>
          </w:p>
          <w:p>
            <w:pPr>
              <w:keepNext w:val="0"/>
              <w:keepLines w:val="0"/>
              <w:pageBreakBefore w:val="0"/>
              <w:widowControl/>
              <w:suppressLineNumbers w:val="0"/>
              <w:kinsoku/>
              <w:wordWrap/>
              <w:overflowPunct/>
              <w:topLinePunct w:val="0"/>
              <w:autoSpaceDE/>
              <w:autoSpaceDN/>
              <w:bidi w:val="0"/>
              <w:adjustRightInd/>
              <w:snapToGrid/>
              <w:ind w:firstLine="480" w:firstLineChars="200"/>
              <w:jc w:val="both"/>
              <w:textAlignment w:val="auto"/>
              <w:rPr>
                <w:rFonts w:hint="default" w:ascii="Times New Roman" w:hAnsi="Times New Roman" w:cs="Times New Roman"/>
                <w:color w:val="auto"/>
                <w:sz w:val="24"/>
                <w:szCs w:val="24"/>
                <w:highlight w:val="none"/>
              </w:rPr>
            </w:pPr>
            <w:r>
              <w:rPr>
                <w:rFonts w:hint="default" w:ascii="Times New Roman" w:hAnsi="Times New Roman" w:eastAsia="宋体" w:cs="Times New Roman"/>
                <w:color w:val="auto"/>
                <w:kern w:val="0"/>
                <w:sz w:val="24"/>
                <w:szCs w:val="24"/>
                <w:highlight w:val="none"/>
                <w:lang w:val="en-US" w:eastAsia="zh-CN" w:bidi="ar"/>
              </w:rPr>
              <w:t xml:space="preserve">其中：M-总量控制目标值，t/a； </w:t>
            </w:r>
          </w:p>
          <w:p>
            <w:pPr>
              <w:keepNext w:val="0"/>
              <w:keepLines w:val="0"/>
              <w:pageBreakBefore w:val="0"/>
              <w:widowControl/>
              <w:suppressLineNumbers w:val="0"/>
              <w:kinsoku/>
              <w:wordWrap/>
              <w:overflowPunct/>
              <w:topLinePunct w:val="0"/>
              <w:autoSpaceDE/>
              <w:autoSpaceDN/>
              <w:bidi w:val="0"/>
              <w:adjustRightInd/>
              <w:snapToGrid/>
              <w:ind w:firstLine="480" w:firstLineChars="200"/>
              <w:jc w:val="both"/>
              <w:textAlignment w:val="auto"/>
              <w:rPr>
                <w:rFonts w:hint="default" w:ascii="Times New Roman" w:hAnsi="Times New Roman" w:cs="Times New Roman"/>
                <w:color w:val="auto"/>
                <w:sz w:val="24"/>
                <w:szCs w:val="24"/>
                <w:highlight w:val="none"/>
              </w:rPr>
            </w:pPr>
            <w:r>
              <w:rPr>
                <w:rFonts w:hint="default" w:ascii="Times New Roman" w:hAnsi="Times New Roman" w:eastAsia="宋体" w:cs="Times New Roman"/>
                <w:color w:val="auto"/>
                <w:kern w:val="0"/>
                <w:sz w:val="24"/>
                <w:szCs w:val="24"/>
                <w:highlight w:val="none"/>
                <w:lang w:val="en-US" w:eastAsia="zh-CN" w:bidi="ar"/>
              </w:rPr>
              <w:t xml:space="preserve">K-核定标准值，mg/m³； </w:t>
            </w:r>
          </w:p>
          <w:p>
            <w:pPr>
              <w:keepNext w:val="0"/>
              <w:keepLines w:val="0"/>
              <w:pageBreakBefore w:val="0"/>
              <w:widowControl/>
              <w:suppressLineNumbers w:val="0"/>
              <w:kinsoku/>
              <w:wordWrap/>
              <w:overflowPunct/>
              <w:topLinePunct w:val="0"/>
              <w:autoSpaceDE/>
              <w:autoSpaceDN/>
              <w:bidi w:val="0"/>
              <w:adjustRightInd/>
              <w:snapToGrid/>
              <w:ind w:firstLine="480" w:firstLineChars="200"/>
              <w:jc w:val="both"/>
              <w:textAlignment w:val="auto"/>
              <w:rPr>
                <w:rFonts w:hint="default" w:ascii="Times New Roman" w:hAnsi="Times New Roman" w:cs="Times New Roman"/>
                <w:color w:val="auto"/>
                <w:sz w:val="24"/>
                <w:szCs w:val="24"/>
                <w:highlight w:val="none"/>
              </w:rPr>
            </w:pPr>
            <w:r>
              <w:rPr>
                <w:rFonts w:hint="default" w:ascii="Times New Roman" w:hAnsi="Times New Roman" w:eastAsia="宋体" w:cs="Times New Roman"/>
                <w:color w:val="auto"/>
                <w:kern w:val="0"/>
                <w:sz w:val="24"/>
                <w:szCs w:val="24"/>
                <w:highlight w:val="none"/>
                <w:lang w:val="en-US" w:eastAsia="zh-CN" w:bidi="ar"/>
              </w:rPr>
              <w:t xml:space="preserve">Q-废气量，m³/h； </w:t>
            </w:r>
          </w:p>
          <w:p>
            <w:pPr>
              <w:keepNext w:val="0"/>
              <w:keepLines w:val="0"/>
              <w:pageBreakBefore w:val="0"/>
              <w:widowControl/>
              <w:suppressLineNumbers w:val="0"/>
              <w:kinsoku/>
              <w:wordWrap/>
              <w:overflowPunct/>
              <w:topLinePunct w:val="0"/>
              <w:autoSpaceDE/>
              <w:autoSpaceDN/>
              <w:bidi w:val="0"/>
              <w:adjustRightInd/>
              <w:snapToGrid/>
              <w:ind w:firstLine="480" w:firstLineChars="200"/>
              <w:jc w:val="both"/>
              <w:textAlignment w:val="auto"/>
              <w:rPr>
                <w:rFonts w:hint="default" w:ascii="Times New Roman" w:hAnsi="Times New Roman" w:cs="Times New Roman"/>
                <w:color w:val="auto"/>
                <w:sz w:val="24"/>
                <w:szCs w:val="24"/>
                <w:highlight w:val="none"/>
              </w:rPr>
            </w:pPr>
            <w:r>
              <w:rPr>
                <w:rFonts w:hint="default" w:ascii="Times New Roman" w:hAnsi="Times New Roman" w:eastAsia="宋体" w:cs="Times New Roman"/>
                <w:color w:val="auto"/>
                <w:kern w:val="0"/>
                <w:sz w:val="24"/>
                <w:szCs w:val="24"/>
                <w:highlight w:val="none"/>
                <w:lang w:val="en-US" w:eastAsia="zh-CN" w:bidi="ar"/>
              </w:rPr>
              <w:t>T-年有效工作时间，h。</w:t>
            </w:r>
          </w:p>
          <w:p>
            <w:pPr>
              <w:pStyle w:val="55"/>
              <w:keepNext w:val="0"/>
              <w:keepLines w:val="0"/>
              <w:pageBreakBefore w:val="0"/>
              <w:widowControl w:val="0"/>
              <w:kinsoku/>
              <w:wordWrap/>
              <w:overflowPunct/>
              <w:topLinePunct w:val="0"/>
              <w:autoSpaceDE/>
              <w:autoSpaceDN/>
              <w:bidi w:val="0"/>
              <w:adjustRightInd w:val="0"/>
              <w:snapToGrid w:val="0"/>
              <w:ind w:left="0" w:leftChars="0" w:firstLine="480" w:firstLineChars="200"/>
              <w:textAlignment w:val="auto"/>
              <w:rPr>
                <w:rFonts w:hint="default" w:ascii="Times New Roman" w:hAnsi="Times New Roman" w:eastAsia="宋体" w:cs="Times New Roman"/>
                <w:b w:val="0"/>
                <w:color w:val="auto"/>
                <w:kern w:val="2"/>
                <w:sz w:val="24"/>
                <w:szCs w:val="24"/>
                <w:highlight w:val="none"/>
                <w:lang w:val="en-US" w:eastAsia="zh-CN" w:bidi="ar-SA"/>
              </w:rPr>
            </w:pPr>
            <w:r>
              <w:rPr>
                <w:rFonts w:hint="default" w:ascii="Times New Roman" w:hAnsi="Times New Roman" w:cs="Times New Roman"/>
                <w:b w:val="0"/>
                <w:color w:val="auto"/>
                <w:kern w:val="2"/>
                <w:sz w:val="24"/>
                <w:szCs w:val="24"/>
                <w:highlight w:val="none"/>
                <w:lang w:val="en-US" w:eastAsia="zh-CN" w:bidi="ar-SA"/>
              </w:rPr>
              <w:t>本项目有组织颗粒物产生环节主要为喷漆，执行标准为18mg/</w:t>
            </w:r>
            <w:r>
              <w:rPr>
                <w:rFonts w:hint="default" w:ascii="Times New Roman" w:hAnsi="Times New Roman" w:eastAsia="宋体" w:cs="Times New Roman"/>
                <w:color w:val="auto"/>
                <w:kern w:val="0"/>
                <w:sz w:val="24"/>
                <w:szCs w:val="24"/>
                <w:highlight w:val="none"/>
                <w:lang w:val="en-US" w:eastAsia="zh-CN" w:bidi="ar"/>
              </w:rPr>
              <w:t>mg/m</w:t>
            </w:r>
            <w:r>
              <w:rPr>
                <w:rFonts w:hint="eastAsia" w:ascii="Times New Roman" w:hAnsi="Times New Roman" w:cs="Times New Roman"/>
                <w:color w:val="auto"/>
                <w:kern w:val="0"/>
                <w:sz w:val="24"/>
                <w:szCs w:val="24"/>
                <w:highlight w:val="none"/>
                <w:vertAlign w:val="superscript"/>
                <w:lang w:val="en-US" w:eastAsia="zh-CN" w:bidi="ar"/>
              </w:rPr>
              <w:t>3</w:t>
            </w:r>
            <w:r>
              <w:rPr>
                <w:rFonts w:hint="default" w:ascii="Times New Roman" w:hAnsi="Times New Roman" w:eastAsia="宋体" w:cs="Times New Roman"/>
                <w:color w:val="auto"/>
                <w:kern w:val="0"/>
                <w:sz w:val="24"/>
                <w:szCs w:val="24"/>
                <w:highlight w:val="none"/>
                <w:lang w:val="en-US" w:eastAsia="zh-CN" w:bidi="ar"/>
              </w:rPr>
              <w:t>；</w:t>
            </w:r>
            <w:r>
              <w:rPr>
                <w:rFonts w:hint="default" w:ascii="Times New Roman" w:hAnsi="Times New Roman" w:cs="Times New Roman"/>
                <w:color w:val="auto"/>
                <w:kern w:val="0"/>
                <w:sz w:val="24"/>
                <w:szCs w:val="24"/>
                <w:highlight w:val="none"/>
                <w:lang w:val="en-US" w:eastAsia="zh-CN" w:bidi="ar"/>
              </w:rPr>
              <w:t>废气量为15120</w:t>
            </w:r>
            <w:r>
              <w:rPr>
                <w:rFonts w:hint="default" w:ascii="Times New Roman" w:hAnsi="Times New Roman" w:eastAsia="宋体" w:cs="Times New Roman"/>
                <w:color w:val="auto"/>
                <w:kern w:val="0"/>
                <w:sz w:val="24"/>
                <w:szCs w:val="24"/>
                <w:highlight w:val="none"/>
                <w:lang w:val="en-US" w:eastAsia="zh-CN" w:bidi="ar"/>
              </w:rPr>
              <w:t>m</w:t>
            </w:r>
            <w:r>
              <w:rPr>
                <w:rFonts w:hint="eastAsia" w:ascii="Times New Roman" w:hAnsi="Times New Roman" w:cs="Times New Roman"/>
                <w:color w:val="auto"/>
                <w:kern w:val="0"/>
                <w:sz w:val="24"/>
                <w:szCs w:val="24"/>
                <w:highlight w:val="none"/>
                <w:vertAlign w:val="superscript"/>
                <w:lang w:val="en-US" w:eastAsia="zh-CN" w:bidi="ar"/>
              </w:rPr>
              <w:t>3</w:t>
            </w:r>
            <w:r>
              <w:rPr>
                <w:rFonts w:hint="default" w:ascii="Times New Roman" w:hAnsi="Times New Roman" w:eastAsia="宋体" w:cs="Times New Roman"/>
                <w:color w:val="auto"/>
                <w:kern w:val="0"/>
                <w:sz w:val="24"/>
                <w:szCs w:val="24"/>
                <w:highlight w:val="none"/>
                <w:lang w:val="en-US" w:eastAsia="zh-CN" w:bidi="ar"/>
              </w:rPr>
              <w:t>/h；</w:t>
            </w:r>
            <w:r>
              <w:rPr>
                <w:rFonts w:hint="default" w:ascii="Times New Roman" w:hAnsi="Times New Roman" w:cs="Times New Roman"/>
                <w:color w:val="auto"/>
                <w:kern w:val="0"/>
                <w:sz w:val="24"/>
                <w:szCs w:val="24"/>
                <w:highlight w:val="none"/>
                <w:lang w:val="en-US" w:eastAsia="zh-CN" w:bidi="ar"/>
              </w:rPr>
              <w:t>年工作时间按照330h进行计算</w:t>
            </w:r>
            <w:r>
              <w:rPr>
                <w:rFonts w:hint="eastAsia" w:ascii="Times New Roman" w:hAnsi="Times New Roman" w:cs="Times New Roman"/>
                <w:color w:val="auto"/>
                <w:kern w:val="0"/>
                <w:sz w:val="24"/>
                <w:szCs w:val="24"/>
                <w:highlight w:val="none"/>
                <w:lang w:val="en-US" w:eastAsia="zh-CN" w:bidi="ar"/>
              </w:rPr>
              <w:t>，颗粒物的产生量为0.09t/a，经治理后排放量为0.02t/a</w:t>
            </w:r>
            <w:r>
              <w:rPr>
                <w:rFonts w:hint="default" w:ascii="Times New Roman" w:hAnsi="Times New Roman" w:cs="Times New Roman"/>
                <w:color w:val="auto"/>
                <w:kern w:val="0"/>
                <w:sz w:val="24"/>
                <w:szCs w:val="24"/>
                <w:highlight w:val="none"/>
                <w:lang w:val="en-US" w:eastAsia="zh-CN" w:bidi="ar"/>
              </w:rPr>
              <w:t>。</w:t>
            </w:r>
          </w:p>
          <w:p>
            <w:pPr>
              <w:pStyle w:val="14"/>
              <w:numPr>
                <w:ilvl w:val="0"/>
                <w:numId w:val="0"/>
              </w:numPr>
              <w:bidi w:val="0"/>
              <w:spacing w:line="360" w:lineRule="auto"/>
              <w:rPr>
                <w:rFonts w:hint="eastAsia" w:ascii="Times New Roman" w:hAnsi="Times New Roman" w:eastAsia="宋体" w:cs="Times New Roman"/>
                <w:b/>
                <w:bCs/>
                <w:color w:val="auto"/>
                <w:sz w:val="28"/>
                <w:szCs w:val="28"/>
                <w:highlight w:val="none"/>
                <w:lang w:val="en-US" w:eastAsia="zh-CN"/>
              </w:rPr>
            </w:pPr>
            <w:r>
              <w:rPr>
                <w:rFonts w:hint="eastAsia" w:cs="Times New Roman"/>
                <w:b/>
                <w:bCs/>
                <w:color w:val="auto"/>
                <w:sz w:val="28"/>
                <w:szCs w:val="28"/>
                <w:highlight w:val="none"/>
                <w:lang w:val="en-US" w:eastAsia="zh-CN"/>
              </w:rPr>
              <w:t>2、</w:t>
            </w:r>
            <w:r>
              <w:rPr>
                <w:rFonts w:hint="eastAsia" w:ascii="Times New Roman" w:hAnsi="Times New Roman" w:eastAsia="宋体" w:cs="Times New Roman"/>
                <w:b/>
                <w:bCs/>
                <w:color w:val="auto"/>
                <w:sz w:val="28"/>
                <w:szCs w:val="28"/>
                <w:highlight w:val="none"/>
                <w:lang w:val="en-US" w:eastAsia="zh-CN"/>
              </w:rPr>
              <w:t>废水</w:t>
            </w:r>
          </w:p>
          <w:p>
            <w:pPr>
              <w:pStyle w:val="50"/>
              <w:numPr>
                <w:ilvl w:val="0"/>
                <w:numId w:val="0"/>
              </w:numPr>
              <w:bidi w:val="0"/>
              <w:spacing w:line="360" w:lineRule="auto"/>
              <w:ind w:leftChars="0" w:firstLine="480" w:firstLineChars="200"/>
              <w:rPr>
                <w:rFonts w:hint="eastAsia" w:ascii="Times New Roman" w:hAnsi="Times New Roman" w:cs="Times New Roman"/>
                <w:color w:val="auto"/>
                <w:kern w:val="2"/>
                <w:sz w:val="24"/>
                <w:szCs w:val="24"/>
                <w:highlight w:val="none"/>
                <w:lang w:val="en-US" w:eastAsia="zh-CN" w:bidi="ar-SA"/>
              </w:rPr>
            </w:pPr>
            <w:r>
              <w:rPr>
                <w:rFonts w:hint="eastAsia" w:ascii="Times New Roman" w:hAnsi="Times New Roman" w:eastAsia="宋体" w:cs="Times New Roman"/>
                <w:color w:val="auto"/>
                <w:kern w:val="2"/>
                <w:sz w:val="24"/>
                <w:szCs w:val="24"/>
                <w:highlight w:val="none"/>
                <w:lang w:val="en-US" w:eastAsia="zh-CN" w:bidi="ar-SA"/>
              </w:rPr>
              <w:t>本次</w:t>
            </w:r>
            <w:r>
              <w:rPr>
                <w:rFonts w:hint="eastAsia" w:ascii="Times New Roman" w:hAnsi="Times New Roman" w:cs="Times New Roman"/>
                <w:color w:val="auto"/>
                <w:kern w:val="2"/>
                <w:sz w:val="24"/>
                <w:szCs w:val="24"/>
                <w:highlight w:val="none"/>
                <w:lang w:val="en-US" w:eastAsia="zh-CN" w:bidi="ar-SA"/>
              </w:rPr>
              <w:t>技改</w:t>
            </w:r>
            <w:r>
              <w:rPr>
                <w:rFonts w:hint="eastAsia" w:ascii="Times New Roman" w:hAnsi="Times New Roman" w:eastAsia="宋体" w:cs="Times New Roman"/>
                <w:color w:val="auto"/>
                <w:kern w:val="2"/>
                <w:sz w:val="24"/>
                <w:szCs w:val="24"/>
                <w:highlight w:val="none"/>
                <w:lang w:val="en-US" w:eastAsia="zh-CN" w:bidi="ar-SA"/>
              </w:rPr>
              <w:t>不新增生产及生活废水产生，不涉及COD、氨氮的排放</w:t>
            </w:r>
            <w:r>
              <w:rPr>
                <w:rFonts w:hint="eastAsia" w:ascii="Times New Roman" w:hAnsi="Times New Roman" w:cs="Times New Roman"/>
                <w:color w:val="auto"/>
                <w:kern w:val="2"/>
                <w:sz w:val="24"/>
                <w:szCs w:val="24"/>
                <w:highlight w:val="none"/>
                <w:lang w:val="en-US" w:eastAsia="zh-CN" w:bidi="ar-SA"/>
              </w:rPr>
              <w:t>。</w:t>
            </w:r>
          </w:p>
          <w:p>
            <w:pPr>
              <w:pStyle w:val="14"/>
              <w:numPr>
                <w:ilvl w:val="0"/>
                <w:numId w:val="0"/>
              </w:numPr>
              <w:bidi w:val="0"/>
              <w:spacing w:line="360" w:lineRule="auto"/>
              <w:rPr>
                <w:rFonts w:hint="default" w:cs="Times New Roman"/>
                <w:b/>
                <w:bCs/>
                <w:color w:val="auto"/>
                <w:sz w:val="28"/>
                <w:szCs w:val="28"/>
                <w:highlight w:val="none"/>
                <w:lang w:val="en-US" w:eastAsia="zh-CN"/>
              </w:rPr>
            </w:pPr>
            <w:r>
              <w:rPr>
                <w:rFonts w:hint="eastAsia" w:cs="Times New Roman"/>
                <w:b/>
                <w:bCs/>
                <w:color w:val="auto"/>
                <w:sz w:val="28"/>
                <w:szCs w:val="28"/>
                <w:highlight w:val="none"/>
                <w:lang w:val="en-US" w:eastAsia="zh-CN"/>
              </w:rPr>
              <w:t xml:space="preserve">3 </w:t>
            </w:r>
            <w:r>
              <w:rPr>
                <w:rFonts w:hint="default" w:cs="Times New Roman"/>
                <w:b/>
                <w:bCs/>
                <w:color w:val="auto"/>
                <w:sz w:val="28"/>
                <w:szCs w:val="28"/>
                <w:highlight w:val="none"/>
                <w:lang w:val="en-US" w:eastAsia="zh-CN"/>
              </w:rPr>
              <w:t>总量控制指标</w:t>
            </w:r>
          </w:p>
          <w:p>
            <w:pPr>
              <w:bidi w:val="0"/>
              <w:spacing w:line="360" w:lineRule="auto"/>
              <w:ind w:firstLine="480" w:firstLineChars="200"/>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现有工程总量控制指标为：COD：0.16t/a、氨氮：0.01t/a、SO</w:t>
            </w:r>
            <w:r>
              <w:rPr>
                <w:rFonts w:hint="default" w:ascii="Times New Roman" w:hAnsi="Times New Roman" w:eastAsia="宋体" w:cs="Times New Roman"/>
                <w:color w:val="auto"/>
                <w:sz w:val="24"/>
                <w:szCs w:val="24"/>
                <w:highlight w:val="none"/>
                <w:vertAlign w:val="subscript"/>
                <w:lang w:val="en-US" w:eastAsia="zh-CN"/>
              </w:rPr>
              <w:t>2</w:t>
            </w:r>
            <w:r>
              <w:rPr>
                <w:rFonts w:hint="default" w:ascii="Times New Roman" w:hAnsi="Times New Roman" w:eastAsia="宋体" w:cs="Times New Roman"/>
                <w:color w:val="auto"/>
                <w:sz w:val="24"/>
                <w:szCs w:val="24"/>
                <w:highlight w:val="none"/>
                <w:lang w:val="en-US" w:eastAsia="zh-CN"/>
              </w:rPr>
              <w:t>：0t/a、NOx：0t/a。</w:t>
            </w:r>
          </w:p>
          <w:p>
            <w:pPr>
              <w:bidi w:val="0"/>
              <w:spacing w:line="360" w:lineRule="auto"/>
              <w:ind w:firstLine="480" w:firstLineChars="200"/>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本次</w:t>
            </w:r>
            <w:r>
              <w:rPr>
                <w:rFonts w:hint="eastAsia" w:cs="Times New Roman"/>
                <w:color w:val="auto"/>
                <w:sz w:val="24"/>
                <w:szCs w:val="24"/>
                <w:highlight w:val="none"/>
                <w:lang w:val="en-US" w:eastAsia="zh-CN"/>
              </w:rPr>
              <w:t>技改</w:t>
            </w:r>
            <w:r>
              <w:rPr>
                <w:rFonts w:hint="default" w:ascii="Times New Roman" w:hAnsi="Times New Roman" w:eastAsia="宋体" w:cs="Times New Roman"/>
                <w:color w:val="auto"/>
                <w:sz w:val="24"/>
                <w:szCs w:val="24"/>
                <w:highlight w:val="none"/>
                <w:lang w:val="en-US" w:eastAsia="zh-CN"/>
              </w:rPr>
              <w:t>项目总量控制指标为：COD：</w:t>
            </w:r>
            <w:r>
              <w:rPr>
                <w:rFonts w:hint="eastAsia" w:eastAsia="宋体" w:cs="Times New Roman"/>
                <w:color w:val="auto"/>
                <w:sz w:val="24"/>
                <w:szCs w:val="24"/>
                <w:highlight w:val="none"/>
                <w:lang w:val="en-US" w:eastAsia="zh-CN"/>
              </w:rPr>
              <w:t>0.16</w:t>
            </w:r>
            <w:r>
              <w:rPr>
                <w:rFonts w:hint="default" w:ascii="Times New Roman" w:hAnsi="Times New Roman" w:eastAsia="宋体" w:cs="Times New Roman"/>
                <w:color w:val="auto"/>
                <w:sz w:val="24"/>
                <w:szCs w:val="24"/>
                <w:highlight w:val="none"/>
                <w:lang w:val="en-US" w:eastAsia="zh-CN"/>
              </w:rPr>
              <w:t>t/a、氨氮：0.0</w:t>
            </w:r>
            <w:r>
              <w:rPr>
                <w:rFonts w:hint="eastAsia" w:eastAsia="宋体" w:cs="Times New Roman"/>
                <w:color w:val="auto"/>
                <w:sz w:val="24"/>
                <w:szCs w:val="24"/>
                <w:highlight w:val="none"/>
                <w:lang w:val="en-US" w:eastAsia="zh-CN"/>
              </w:rPr>
              <w:t>1</w:t>
            </w:r>
            <w:r>
              <w:rPr>
                <w:rFonts w:hint="default" w:ascii="Times New Roman" w:hAnsi="Times New Roman" w:eastAsia="宋体" w:cs="Times New Roman"/>
                <w:color w:val="auto"/>
                <w:sz w:val="24"/>
                <w:szCs w:val="24"/>
                <w:highlight w:val="none"/>
                <w:lang w:val="en-US" w:eastAsia="zh-CN"/>
              </w:rPr>
              <w:t>t/a、SO</w:t>
            </w:r>
            <w:r>
              <w:rPr>
                <w:rFonts w:hint="default" w:ascii="Times New Roman" w:hAnsi="Times New Roman" w:eastAsia="宋体" w:cs="Times New Roman"/>
                <w:color w:val="auto"/>
                <w:sz w:val="24"/>
                <w:szCs w:val="24"/>
                <w:highlight w:val="none"/>
                <w:vertAlign w:val="subscript"/>
                <w:lang w:val="en-US" w:eastAsia="zh-CN"/>
              </w:rPr>
              <w:t>2</w:t>
            </w:r>
            <w:r>
              <w:rPr>
                <w:rFonts w:hint="default" w:ascii="Times New Roman" w:hAnsi="Times New Roman" w:eastAsia="宋体" w:cs="Times New Roman"/>
                <w:color w:val="auto"/>
                <w:sz w:val="24"/>
                <w:szCs w:val="24"/>
                <w:highlight w:val="none"/>
                <w:lang w:val="en-US" w:eastAsia="zh-CN"/>
              </w:rPr>
              <w:t>：0t/a、NOx：0t/a</w:t>
            </w:r>
            <w:r>
              <w:rPr>
                <w:rFonts w:hint="eastAsia" w:eastAsia="宋体" w:cs="Times New Roman"/>
                <w:color w:val="auto"/>
                <w:sz w:val="24"/>
                <w:szCs w:val="24"/>
                <w:highlight w:val="none"/>
                <w:lang w:val="en-US" w:eastAsia="zh-CN"/>
              </w:rPr>
              <w:t>、非甲烷总烃：</w:t>
            </w:r>
            <w:r>
              <w:rPr>
                <w:rFonts w:hint="eastAsia" w:cs="Times New Roman"/>
                <w:color w:val="auto"/>
                <w:sz w:val="24"/>
                <w:szCs w:val="24"/>
                <w:highlight w:val="none"/>
                <w:lang w:val="en-US" w:eastAsia="zh-CN"/>
              </w:rPr>
              <w:t>0.01</w:t>
            </w:r>
            <w:r>
              <w:rPr>
                <w:rFonts w:hint="eastAsia" w:eastAsia="宋体" w:cs="Times New Roman"/>
                <w:color w:val="auto"/>
                <w:sz w:val="24"/>
                <w:szCs w:val="24"/>
                <w:highlight w:val="none"/>
                <w:lang w:val="en-US" w:eastAsia="zh-CN"/>
              </w:rPr>
              <w:t>t/a、颗粒物</w:t>
            </w:r>
            <w:r>
              <w:rPr>
                <w:rFonts w:hint="eastAsia" w:cs="Times New Roman"/>
                <w:color w:val="auto"/>
                <w:sz w:val="24"/>
                <w:szCs w:val="24"/>
                <w:highlight w:val="none"/>
                <w:lang w:val="en-US" w:eastAsia="zh-CN"/>
              </w:rPr>
              <w:t>0.02</w:t>
            </w:r>
            <w:r>
              <w:rPr>
                <w:rFonts w:hint="eastAsia" w:eastAsia="宋体" w:cs="Times New Roman"/>
                <w:color w:val="auto"/>
                <w:sz w:val="24"/>
                <w:szCs w:val="24"/>
                <w:highlight w:val="none"/>
                <w:lang w:val="en-US" w:eastAsia="zh-CN"/>
              </w:rPr>
              <w:t>t/a</w:t>
            </w:r>
            <w:r>
              <w:rPr>
                <w:rFonts w:hint="default" w:ascii="Times New Roman" w:hAnsi="Times New Roman" w:eastAsia="宋体" w:cs="Times New Roman"/>
                <w:color w:val="auto"/>
                <w:sz w:val="24"/>
                <w:szCs w:val="24"/>
                <w:highlight w:val="none"/>
                <w:lang w:val="en-US" w:eastAsia="zh-CN"/>
              </w:rPr>
              <w:t>。</w:t>
            </w:r>
          </w:p>
          <w:p>
            <w:pPr>
              <w:pStyle w:val="108"/>
              <w:ind w:firstLine="480" w:firstLineChars="200"/>
              <w:jc w:val="left"/>
              <w:rPr>
                <w:rFonts w:hint="default" w:ascii="Times New Roman" w:hAnsi="Times New Roman" w:eastAsia="宋体" w:cs="Times New Roman"/>
                <w:b w:val="0"/>
                <w:snapToGrid/>
                <w:color w:val="auto"/>
                <w:kern w:val="2"/>
                <w:sz w:val="24"/>
                <w:szCs w:val="24"/>
                <w:highlight w:val="none"/>
                <w:lang w:val="en-US" w:eastAsia="zh-CN" w:bidi="ar-SA"/>
              </w:rPr>
            </w:pPr>
            <w:r>
              <w:rPr>
                <w:rFonts w:hint="default" w:ascii="Times New Roman" w:hAnsi="Times New Roman" w:eastAsia="宋体" w:cs="Times New Roman"/>
                <w:b w:val="0"/>
                <w:snapToGrid/>
                <w:color w:val="auto"/>
                <w:kern w:val="2"/>
                <w:sz w:val="24"/>
                <w:szCs w:val="24"/>
                <w:highlight w:val="none"/>
                <w:lang w:val="en-US" w:eastAsia="zh-CN" w:bidi="ar-SA"/>
              </w:rPr>
              <w:t>全厂总量控制指标为：COD：0.16t/a、氨氮：0.01t/a、SO</w:t>
            </w:r>
            <w:r>
              <w:rPr>
                <w:rFonts w:hint="default" w:ascii="Times New Roman" w:hAnsi="Times New Roman" w:eastAsia="宋体" w:cs="Times New Roman"/>
                <w:b w:val="0"/>
                <w:snapToGrid/>
                <w:color w:val="auto"/>
                <w:kern w:val="2"/>
                <w:sz w:val="24"/>
                <w:szCs w:val="24"/>
                <w:highlight w:val="none"/>
                <w:vertAlign w:val="subscript"/>
                <w:lang w:val="en-US" w:eastAsia="zh-CN" w:bidi="ar-SA"/>
              </w:rPr>
              <w:t>2</w:t>
            </w:r>
            <w:r>
              <w:rPr>
                <w:rFonts w:hint="default" w:ascii="Times New Roman" w:hAnsi="Times New Roman" w:eastAsia="宋体" w:cs="Times New Roman"/>
                <w:b w:val="0"/>
                <w:snapToGrid/>
                <w:color w:val="auto"/>
                <w:kern w:val="2"/>
                <w:sz w:val="24"/>
                <w:szCs w:val="24"/>
                <w:highlight w:val="none"/>
                <w:lang w:val="en-US" w:eastAsia="zh-CN" w:bidi="ar-SA"/>
              </w:rPr>
              <w:t>：0t/a、NOx：0t/a、非甲烷总烃：</w:t>
            </w:r>
            <w:r>
              <w:rPr>
                <w:rFonts w:hint="eastAsia" w:cs="Times New Roman"/>
                <w:b w:val="0"/>
                <w:snapToGrid/>
                <w:color w:val="auto"/>
                <w:kern w:val="2"/>
                <w:sz w:val="24"/>
                <w:szCs w:val="24"/>
                <w:highlight w:val="none"/>
                <w:lang w:val="en-US" w:eastAsia="zh-CN" w:bidi="ar-SA"/>
              </w:rPr>
              <w:t>0.01</w:t>
            </w:r>
            <w:r>
              <w:rPr>
                <w:rFonts w:hint="default" w:ascii="Times New Roman" w:hAnsi="Times New Roman" w:eastAsia="宋体" w:cs="Times New Roman"/>
                <w:b w:val="0"/>
                <w:snapToGrid/>
                <w:color w:val="auto"/>
                <w:kern w:val="2"/>
                <w:sz w:val="24"/>
                <w:szCs w:val="24"/>
                <w:highlight w:val="none"/>
                <w:lang w:val="en-US" w:eastAsia="zh-CN" w:bidi="ar-SA"/>
              </w:rPr>
              <w:t>t/a、颗粒物</w:t>
            </w:r>
            <w:r>
              <w:rPr>
                <w:rFonts w:hint="eastAsia" w:cs="Times New Roman"/>
                <w:b w:val="0"/>
                <w:snapToGrid/>
                <w:color w:val="auto"/>
                <w:kern w:val="2"/>
                <w:sz w:val="24"/>
                <w:szCs w:val="24"/>
                <w:highlight w:val="none"/>
                <w:lang w:val="en-US" w:eastAsia="zh-CN" w:bidi="ar-SA"/>
              </w:rPr>
              <w:t>0.02</w:t>
            </w:r>
            <w:r>
              <w:rPr>
                <w:rFonts w:hint="default" w:ascii="Times New Roman" w:hAnsi="Times New Roman" w:eastAsia="宋体" w:cs="Times New Roman"/>
                <w:b w:val="0"/>
                <w:snapToGrid/>
                <w:color w:val="auto"/>
                <w:kern w:val="2"/>
                <w:sz w:val="24"/>
                <w:szCs w:val="24"/>
                <w:highlight w:val="none"/>
                <w:lang w:val="en-US" w:eastAsia="zh-CN" w:bidi="ar-SA"/>
              </w:rPr>
              <w:t>t/a。</w:t>
            </w:r>
          </w:p>
          <w:p>
            <w:pPr>
              <w:pStyle w:val="51"/>
              <w:rPr>
                <w:rFonts w:hint="eastAsia"/>
                <w:color w:val="auto"/>
                <w:sz w:val="24"/>
                <w:szCs w:val="16"/>
                <w:highlight w:val="none"/>
                <w:lang w:val="en-US" w:eastAsia="zh-CN"/>
              </w:rPr>
            </w:pPr>
            <w:r>
              <w:rPr>
                <w:rFonts w:hint="eastAsia"/>
                <w:color w:val="auto"/>
                <w:sz w:val="24"/>
                <w:szCs w:val="16"/>
                <w:highlight w:val="none"/>
                <w:lang w:val="en-US" w:eastAsia="zh-CN"/>
              </w:rPr>
              <w:t>表3-6  技改项目“三本账”</w:t>
            </w:r>
          </w:p>
          <w:tbl>
            <w:tblPr>
              <w:tblStyle w:val="33"/>
              <w:tblW w:w="5001"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90"/>
              <w:gridCol w:w="1195"/>
              <w:gridCol w:w="1195"/>
              <w:gridCol w:w="1195"/>
              <w:gridCol w:w="1195"/>
              <w:gridCol w:w="1195"/>
              <w:gridCol w:w="119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426" w:type="pct"/>
                  <w:gridSpan w:val="2"/>
                  <w:noWrap w:val="0"/>
                  <w:vAlign w:val="center"/>
                </w:tcPr>
                <w:p>
                  <w:pPr>
                    <w:numPr>
                      <w:ilvl w:val="0"/>
                      <w:numId w:val="0"/>
                    </w:numPr>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污染物</w:t>
                  </w:r>
                </w:p>
              </w:tc>
              <w:tc>
                <w:tcPr>
                  <w:tcW w:w="714" w:type="pct"/>
                  <w:noWrap w:val="0"/>
                  <w:vAlign w:val="center"/>
                </w:tcPr>
                <w:p>
                  <w:pPr>
                    <w:numPr>
                      <w:ilvl w:val="0"/>
                      <w:numId w:val="0"/>
                    </w:numPr>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现有排放量（t/a）</w:t>
                  </w:r>
                </w:p>
              </w:tc>
              <w:tc>
                <w:tcPr>
                  <w:tcW w:w="714" w:type="pct"/>
                  <w:noWrap w:val="0"/>
                  <w:vAlign w:val="center"/>
                </w:tcPr>
                <w:p>
                  <w:pPr>
                    <w:numPr>
                      <w:ilvl w:val="0"/>
                      <w:numId w:val="0"/>
                    </w:numPr>
                    <w:spacing w:line="240" w:lineRule="auto"/>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技改</w:t>
                  </w:r>
                  <w:r>
                    <w:rPr>
                      <w:rFonts w:hint="default" w:ascii="Times New Roman" w:hAnsi="Times New Roman" w:eastAsia="宋体" w:cs="Times New Roman"/>
                      <w:color w:val="auto"/>
                      <w:sz w:val="21"/>
                      <w:szCs w:val="21"/>
                      <w:highlight w:val="none"/>
                      <w:lang w:val="en-US" w:eastAsia="zh-CN"/>
                    </w:rPr>
                    <w:t>工程排放量（t/a）</w:t>
                  </w:r>
                </w:p>
              </w:tc>
              <w:tc>
                <w:tcPr>
                  <w:tcW w:w="714" w:type="pct"/>
                  <w:noWrap w:val="0"/>
                  <w:vAlign w:val="center"/>
                </w:tcPr>
                <w:p>
                  <w:pPr>
                    <w:numPr>
                      <w:ilvl w:val="0"/>
                      <w:numId w:val="0"/>
                    </w:numPr>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以新带老削减量</w:t>
                  </w:r>
                </w:p>
              </w:tc>
              <w:tc>
                <w:tcPr>
                  <w:tcW w:w="714" w:type="pct"/>
                  <w:noWrap w:val="0"/>
                  <w:vAlign w:val="center"/>
                </w:tcPr>
                <w:p>
                  <w:pPr>
                    <w:numPr>
                      <w:ilvl w:val="0"/>
                      <w:numId w:val="0"/>
                    </w:numPr>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全厂排放量</w:t>
                  </w:r>
                </w:p>
              </w:tc>
              <w:tc>
                <w:tcPr>
                  <w:tcW w:w="714" w:type="pct"/>
                  <w:noWrap w:val="0"/>
                  <w:vAlign w:val="center"/>
                </w:tcPr>
                <w:p>
                  <w:pPr>
                    <w:numPr>
                      <w:ilvl w:val="0"/>
                      <w:numId w:val="0"/>
                    </w:numPr>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增减量（t/a）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11" w:type="pct"/>
                  <w:vMerge w:val="restart"/>
                  <w:noWrap w:val="0"/>
                  <w:vAlign w:val="center"/>
                </w:tcPr>
                <w:p>
                  <w:pPr>
                    <w:numPr>
                      <w:ilvl w:val="0"/>
                      <w:numId w:val="0"/>
                    </w:numPr>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废气</w:t>
                  </w:r>
                </w:p>
              </w:tc>
              <w:tc>
                <w:tcPr>
                  <w:tcW w:w="714" w:type="pct"/>
                  <w:noWrap w:val="0"/>
                  <w:vAlign w:val="center"/>
                </w:tcPr>
                <w:p>
                  <w:pPr>
                    <w:numPr>
                      <w:ilvl w:val="0"/>
                      <w:numId w:val="0"/>
                    </w:numPr>
                    <w:spacing w:line="240" w:lineRule="auto"/>
                    <w:jc w:val="center"/>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颗粒物</w:t>
                  </w:r>
                </w:p>
              </w:tc>
              <w:tc>
                <w:tcPr>
                  <w:tcW w:w="714" w:type="pct"/>
                  <w:noWrap w:val="0"/>
                  <w:vAlign w:val="center"/>
                </w:tcPr>
                <w:p>
                  <w:pPr>
                    <w:numPr>
                      <w:ilvl w:val="0"/>
                      <w:numId w:val="0"/>
                    </w:numPr>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w:t>
                  </w:r>
                </w:p>
              </w:tc>
              <w:tc>
                <w:tcPr>
                  <w:tcW w:w="714" w:type="pct"/>
                  <w:noWrap w:val="0"/>
                  <w:vAlign w:val="center"/>
                </w:tcPr>
                <w:p>
                  <w:pPr>
                    <w:numPr>
                      <w:ilvl w:val="0"/>
                      <w:numId w:val="0"/>
                    </w:numPr>
                    <w:spacing w:line="240" w:lineRule="auto"/>
                    <w:ind w:left="0" w:leftChars="0"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0.02</w:t>
                  </w:r>
                </w:p>
              </w:tc>
              <w:tc>
                <w:tcPr>
                  <w:tcW w:w="714" w:type="pct"/>
                  <w:noWrap w:val="0"/>
                  <w:vAlign w:val="center"/>
                </w:tcPr>
                <w:p>
                  <w:pPr>
                    <w:numPr>
                      <w:ilvl w:val="0"/>
                      <w:numId w:val="0"/>
                    </w:numPr>
                    <w:spacing w:line="240" w:lineRule="auto"/>
                    <w:ind w:left="0" w:leftChars="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w:t>
                  </w:r>
                </w:p>
              </w:tc>
              <w:tc>
                <w:tcPr>
                  <w:tcW w:w="1195" w:type="dxa"/>
                  <w:noWrap w:val="0"/>
                  <w:vAlign w:val="center"/>
                </w:tcPr>
                <w:p>
                  <w:pPr>
                    <w:numPr>
                      <w:ilvl w:val="0"/>
                      <w:numId w:val="0"/>
                    </w:numPr>
                    <w:spacing w:line="240" w:lineRule="auto"/>
                    <w:ind w:left="0" w:leftChars="0"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0.02</w:t>
                  </w:r>
                </w:p>
              </w:tc>
              <w:tc>
                <w:tcPr>
                  <w:tcW w:w="1195" w:type="dxa"/>
                  <w:noWrap w:val="0"/>
                  <w:vAlign w:val="center"/>
                </w:tcPr>
                <w:p>
                  <w:pPr>
                    <w:numPr>
                      <w:ilvl w:val="0"/>
                      <w:numId w:val="0"/>
                    </w:numPr>
                    <w:spacing w:line="240" w:lineRule="auto"/>
                    <w:ind w:left="0" w:leftChars="0"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+0.02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11" w:type="pct"/>
                  <w:vMerge w:val="continue"/>
                  <w:noWrap w:val="0"/>
                  <w:vAlign w:val="center"/>
                </w:tcPr>
                <w:p>
                  <w:pPr>
                    <w:numPr>
                      <w:ilvl w:val="0"/>
                      <w:numId w:val="0"/>
                    </w:numPr>
                    <w:spacing w:line="240" w:lineRule="auto"/>
                    <w:jc w:val="center"/>
                    <w:rPr>
                      <w:rFonts w:hint="default" w:ascii="Times New Roman" w:hAnsi="Times New Roman" w:eastAsia="宋体" w:cs="Times New Roman"/>
                      <w:color w:val="auto"/>
                      <w:sz w:val="21"/>
                      <w:szCs w:val="21"/>
                      <w:highlight w:val="none"/>
                      <w:lang w:val="en-US" w:eastAsia="zh-CN"/>
                    </w:rPr>
                  </w:pPr>
                </w:p>
              </w:tc>
              <w:tc>
                <w:tcPr>
                  <w:tcW w:w="714" w:type="pct"/>
                  <w:noWrap w:val="0"/>
                  <w:vAlign w:val="center"/>
                </w:tcPr>
                <w:p>
                  <w:pPr>
                    <w:numPr>
                      <w:ilvl w:val="0"/>
                      <w:numId w:val="0"/>
                    </w:numPr>
                    <w:spacing w:line="240" w:lineRule="auto"/>
                    <w:jc w:val="center"/>
                    <w:rPr>
                      <w:rFonts w:hint="default" w:ascii="Times New Roman" w:hAnsi="Times New Roman" w:eastAsia="宋体" w:cs="Times New Roman"/>
                      <w:color w:val="auto"/>
                      <w:sz w:val="21"/>
                      <w:szCs w:val="21"/>
                      <w:highlight w:val="none"/>
                      <w:lang w:val="en-US" w:eastAsia="zh-CN"/>
                    </w:rPr>
                  </w:pPr>
                  <w:r>
                    <w:rPr>
                      <w:rFonts w:hint="eastAsia" w:eastAsia="宋体" w:cs="Times New Roman"/>
                      <w:color w:val="auto"/>
                      <w:sz w:val="21"/>
                      <w:szCs w:val="21"/>
                      <w:highlight w:val="none"/>
                      <w:lang w:val="en-US" w:eastAsia="zh-CN"/>
                    </w:rPr>
                    <w:t>非甲烷总烃</w:t>
                  </w:r>
                </w:p>
              </w:tc>
              <w:tc>
                <w:tcPr>
                  <w:tcW w:w="714" w:type="pct"/>
                  <w:noWrap w:val="0"/>
                  <w:vAlign w:val="center"/>
                </w:tcPr>
                <w:p>
                  <w:pPr>
                    <w:numPr>
                      <w:ilvl w:val="0"/>
                      <w:numId w:val="0"/>
                    </w:numPr>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w:t>
                  </w:r>
                </w:p>
              </w:tc>
              <w:tc>
                <w:tcPr>
                  <w:tcW w:w="714" w:type="pct"/>
                  <w:noWrap w:val="0"/>
                  <w:vAlign w:val="center"/>
                </w:tcPr>
                <w:p>
                  <w:pPr>
                    <w:numPr>
                      <w:ilvl w:val="0"/>
                      <w:numId w:val="0"/>
                    </w:numPr>
                    <w:spacing w:line="240" w:lineRule="auto"/>
                    <w:ind w:left="0" w:leftChars="0"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eastAsia="宋体" w:cs="Times New Roman"/>
                      <w:color w:val="auto"/>
                      <w:sz w:val="21"/>
                      <w:szCs w:val="21"/>
                      <w:highlight w:val="none"/>
                      <w:lang w:val="en-US" w:eastAsia="zh-CN"/>
                    </w:rPr>
                    <w:t>0</w:t>
                  </w:r>
                  <w:r>
                    <w:rPr>
                      <w:rFonts w:hint="eastAsia" w:cs="Times New Roman"/>
                      <w:color w:val="auto"/>
                      <w:sz w:val="21"/>
                      <w:szCs w:val="21"/>
                      <w:highlight w:val="none"/>
                      <w:lang w:val="en-US" w:eastAsia="zh-CN"/>
                    </w:rPr>
                    <w:t>.01</w:t>
                  </w:r>
                </w:p>
              </w:tc>
              <w:tc>
                <w:tcPr>
                  <w:tcW w:w="714" w:type="pct"/>
                  <w:noWrap w:val="0"/>
                  <w:vAlign w:val="center"/>
                </w:tcPr>
                <w:p>
                  <w:pPr>
                    <w:numPr>
                      <w:ilvl w:val="0"/>
                      <w:numId w:val="0"/>
                    </w:numPr>
                    <w:spacing w:line="240" w:lineRule="auto"/>
                    <w:ind w:left="0" w:leftChars="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w:t>
                  </w:r>
                </w:p>
              </w:tc>
              <w:tc>
                <w:tcPr>
                  <w:tcW w:w="1195" w:type="dxa"/>
                  <w:noWrap w:val="0"/>
                  <w:vAlign w:val="center"/>
                </w:tcPr>
                <w:p>
                  <w:pPr>
                    <w:numPr>
                      <w:ilvl w:val="0"/>
                      <w:numId w:val="0"/>
                    </w:numPr>
                    <w:spacing w:line="240" w:lineRule="auto"/>
                    <w:ind w:left="0" w:leftChars="0"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eastAsia="宋体" w:cs="Times New Roman"/>
                      <w:color w:val="auto"/>
                      <w:sz w:val="21"/>
                      <w:szCs w:val="21"/>
                      <w:highlight w:val="none"/>
                      <w:lang w:val="en-US" w:eastAsia="zh-CN"/>
                    </w:rPr>
                    <w:t>0.</w:t>
                  </w:r>
                  <w:r>
                    <w:rPr>
                      <w:rFonts w:hint="eastAsia" w:cs="Times New Roman"/>
                      <w:color w:val="auto"/>
                      <w:sz w:val="21"/>
                      <w:szCs w:val="21"/>
                      <w:highlight w:val="none"/>
                      <w:lang w:val="en-US" w:eastAsia="zh-CN"/>
                    </w:rPr>
                    <w:t>01</w:t>
                  </w:r>
                </w:p>
              </w:tc>
              <w:tc>
                <w:tcPr>
                  <w:tcW w:w="1195" w:type="dxa"/>
                  <w:noWrap w:val="0"/>
                  <w:vAlign w:val="center"/>
                </w:tcPr>
                <w:p>
                  <w:pPr>
                    <w:numPr>
                      <w:ilvl w:val="0"/>
                      <w:numId w:val="0"/>
                    </w:numPr>
                    <w:spacing w:line="240" w:lineRule="auto"/>
                    <w:ind w:left="0" w:leftChars="0"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w:t>
                  </w:r>
                  <w:r>
                    <w:rPr>
                      <w:rFonts w:hint="eastAsia" w:eastAsia="宋体" w:cs="Times New Roman"/>
                      <w:color w:val="auto"/>
                      <w:sz w:val="21"/>
                      <w:szCs w:val="21"/>
                      <w:highlight w:val="none"/>
                      <w:lang w:val="en-US" w:eastAsia="zh-CN"/>
                    </w:rPr>
                    <w:t>0</w:t>
                  </w:r>
                  <w:r>
                    <w:rPr>
                      <w:rFonts w:hint="eastAsia" w:cs="Times New Roman"/>
                      <w:color w:val="auto"/>
                      <w:sz w:val="21"/>
                      <w:szCs w:val="21"/>
                      <w:highlight w:val="none"/>
                      <w:lang w:val="en-US" w:eastAsia="zh-CN"/>
                    </w:rPr>
                    <w:t>.01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11" w:type="pct"/>
                  <w:vMerge w:val="restart"/>
                  <w:noWrap w:val="0"/>
                  <w:vAlign w:val="center"/>
                </w:tcPr>
                <w:p>
                  <w:pPr>
                    <w:numPr>
                      <w:ilvl w:val="0"/>
                      <w:numId w:val="0"/>
                    </w:numPr>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废水</w:t>
                  </w:r>
                </w:p>
              </w:tc>
              <w:tc>
                <w:tcPr>
                  <w:tcW w:w="714" w:type="pct"/>
                  <w:noWrap w:val="0"/>
                  <w:vAlign w:val="center"/>
                </w:tcPr>
                <w:p>
                  <w:pPr>
                    <w:numPr>
                      <w:ilvl w:val="0"/>
                      <w:numId w:val="0"/>
                    </w:numPr>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COD</w:t>
                  </w:r>
                </w:p>
              </w:tc>
              <w:tc>
                <w:tcPr>
                  <w:tcW w:w="714" w:type="pct"/>
                  <w:noWrap w:val="0"/>
                  <w:vAlign w:val="center"/>
                </w:tcPr>
                <w:p>
                  <w:pPr>
                    <w:numPr>
                      <w:ilvl w:val="0"/>
                      <w:numId w:val="0"/>
                    </w:numPr>
                    <w:spacing w:line="240" w:lineRule="auto"/>
                    <w:jc w:val="center"/>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0.16</w:t>
                  </w:r>
                </w:p>
              </w:tc>
              <w:tc>
                <w:tcPr>
                  <w:tcW w:w="1195" w:type="dxa"/>
                  <w:noWrap w:val="0"/>
                  <w:vAlign w:val="center"/>
                </w:tcPr>
                <w:p>
                  <w:pPr>
                    <w:numPr>
                      <w:ilvl w:val="0"/>
                      <w:numId w:val="0"/>
                    </w:numPr>
                    <w:spacing w:line="240" w:lineRule="auto"/>
                    <w:ind w:left="0" w:leftChars="0"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0.16</w:t>
                  </w:r>
                </w:p>
              </w:tc>
              <w:tc>
                <w:tcPr>
                  <w:tcW w:w="714" w:type="pct"/>
                  <w:noWrap w:val="0"/>
                  <w:vAlign w:val="center"/>
                </w:tcPr>
                <w:p>
                  <w:pPr>
                    <w:numPr>
                      <w:ilvl w:val="0"/>
                      <w:numId w:val="0"/>
                    </w:numPr>
                    <w:spacing w:line="240" w:lineRule="auto"/>
                    <w:ind w:left="0" w:leftChars="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w:t>
                  </w:r>
                </w:p>
              </w:tc>
              <w:tc>
                <w:tcPr>
                  <w:tcW w:w="1195" w:type="dxa"/>
                  <w:noWrap w:val="0"/>
                  <w:vAlign w:val="center"/>
                </w:tcPr>
                <w:p>
                  <w:pPr>
                    <w:numPr>
                      <w:ilvl w:val="0"/>
                      <w:numId w:val="0"/>
                    </w:numPr>
                    <w:spacing w:line="240" w:lineRule="auto"/>
                    <w:ind w:left="0" w:leftChars="0"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0.16</w:t>
                  </w:r>
                </w:p>
              </w:tc>
              <w:tc>
                <w:tcPr>
                  <w:tcW w:w="714" w:type="pct"/>
                  <w:noWrap w:val="0"/>
                  <w:vAlign w:val="center"/>
                </w:tcPr>
                <w:p>
                  <w:pPr>
                    <w:numPr>
                      <w:ilvl w:val="0"/>
                      <w:numId w:val="0"/>
                    </w:numPr>
                    <w:spacing w:line="240" w:lineRule="auto"/>
                    <w:ind w:left="0" w:leftChars="0"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eastAsia="宋体" w:cs="Times New Roman"/>
                      <w:color w:val="auto"/>
                      <w:sz w:val="21"/>
                      <w:szCs w:val="21"/>
                      <w:highlight w:val="none"/>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11" w:type="pct"/>
                  <w:vMerge w:val="continue"/>
                  <w:noWrap w:val="0"/>
                  <w:vAlign w:val="center"/>
                </w:tcPr>
                <w:p>
                  <w:pPr>
                    <w:numPr>
                      <w:ilvl w:val="0"/>
                      <w:numId w:val="0"/>
                    </w:numPr>
                    <w:spacing w:line="240" w:lineRule="auto"/>
                    <w:jc w:val="center"/>
                    <w:rPr>
                      <w:rFonts w:hint="default" w:ascii="Times New Roman" w:hAnsi="Times New Roman" w:eastAsia="宋体" w:cs="Times New Roman"/>
                      <w:color w:val="auto"/>
                      <w:sz w:val="21"/>
                      <w:szCs w:val="21"/>
                      <w:highlight w:val="none"/>
                      <w:lang w:val="en-US" w:eastAsia="zh-CN"/>
                    </w:rPr>
                  </w:pPr>
                </w:p>
              </w:tc>
              <w:tc>
                <w:tcPr>
                  <w:tcW w:w="714" w:type="pct"/>
                  <w:noWrap w:val="0"/>
                  <w:vAlign w:val="center"/>
                </w:tcPr>
                <w:p>
                  <w:pPr>
                    <w:numPr>
                      <w:ilvl w:val="0"/>
                      <w:numId w:val="0"/>
                    </w:numPr>
                    <w:spacing w:line="240" w:lineRule="auto"/>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氨氮</w:t>
                  </w:r>
                </w:p>
              </w:tc>
              <w:tc>
                <w:tcPr>
                  <w:tcW w:w="714" w:type="pct"/>
                  <w:noWrap w:val="0"/>
                  <w:vAlign w:val="center"/>
                </w:tcPr>
                <w:p>
                  <w:pPr>
                    <w:numPr>
                      <w:ilvl w:val="0"/>
                      <w:numId w:val="0"/>
                    </w:numPr>
                    <w:spacing w:line="240" w:lineRule="auto"/>
                    <w:jc w:val="center"/>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0.01</w:t>
                  </w:r>
                </w:p>
              </w:tc>
              <w:tc>
                <w:tcPr>
                  <w:tcW w:w="1195" w:type="dxa"/>
                  <w:noWrap w:val="0"/>
                  <w:vAlign w:val="center"/>
                </w:tcPr>
                <w:p>
                  <w:pPr>
                    <w:numPr>
                      <w:ilvl w:val="0"/>
                      <w:numId w:val="0"/>
                    </w:numPr>
                    <w:spacing w:line="240" w:lineRule="auto"/>
                    <w:ind w:left="0" w:leftChars="0"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0.01</w:t>
                  </w:r>
                </w:p>
              </w:tc>
              <w:tc>
                <w:tcPr>
                  <w:tcW w:w="714" w:type="pct"/>
                  <w:noWrap w:val="0"/>
                  <w:vAlign w:val="center"/>
                </w:tcPr>
                <w:p>
                  <w:pPr>
                    <w:numPr>
                      <w:ilvl w:val="0"/>
                      <w:numId w:val="0"/>
                    </w:numPr>
                    <w:spacing w:line="240" w:lineRule="auto"/>
                    <w:ind w:left="0" w:leftChars="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0</w:t>
                  </w:r>
                </w:p>
              </w:tc>
              <w:tc>
                <w:tcPr>
                  <w:tcW w:w="1195" w:type="dxa"/>
                  <w:noWrap w:val="0"/>
                  <w:vAlign w:val="center"/>
                </w:tcPr>
                <w:p>
                  <w:pPr>
                    <w:numPr>
                      <w:ilvl w:val="0"/>
                      <w:numId w:val="0"/>
                    </w:numPr>
                    <w:spacing w:line="240" w:lineRule="auto"/>
                    <w:ind w:left="0" w:leftChars="0"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0.01</w:t>
                  </w:r>
                </w:p>
              </w:tc>
              <w:tc>
                <w:tcPr>
                  <w:tcW w:w="714" w:type="pct"/>
                  <w:noWrap w:val="0"/>
                  <w:vAlign w:val="center"/>
                </w:tcPr>
                <w:p>
                  <w:pPr>
                    <w:numPr>
                      <w:ilvl w:val="0"/>
                      <w:numId w:val="0"/>
                    </w:numPr>
                    <w:spacing w:line="240" w:lineRule="auto"/>
                    <w:ind w:left="0" w:leftChars="0"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eastAsia="宋体" w:cs="Times New Roman"/>
                      <w:color w:val="auto"/>
                      <w:sz w:val="21"/>
                      <w:szCs w:val="21"/>
                      <w:highlight w:val="none"/>
                      <w:lang w:val="en-US" w:eastAsia="zh-CN"/>
                    </w:rPr>
                    <w:t>0</w:t>
                  </w:r>
                </w:p>
              </w:tc>
            </w:tr>
          </w:tbl>
          <w:p>
            <w:pPr>
              <w:pStyle w:val="108"/>
              <w:ind w:firstLine="480" w:firstLineChars="200"/>
              <w:jc w:val="left"/>
              <w:rPr>
                <w:rFonts w:hint="default" w:ascii="Times New Roman" w:hAnsi="Times New Roman" w:eastAsia="宋体" w:cs="Times New Roman"/>
                <w:b w:val="0"/>
                <w:snapToGrid/>
                <w:color w:val="auto"/>
                <w:kern w:val="2"/>
                <w:sz w:val="24"/>
                <w:szCs w:val="24"/>
                <w:highlight w:val="none"/>
                <w:lang w:val="en-US" w:eastAsia="zh-CN" w:bidi="ar-SA"/>
              </w:rPr>
            </w:pPr>
            <w:r>
              <w:rPr>
                <w:rFonts w:hint="eastAsia" w:ascii="Times New Roman" w:hAnsi="Times New Roman" w:eastAsia="宋体" w:cs="Times New Roman"/>
                <w:b w:val="0"/>
                <w:snapToGrid/>
                <w:color w:val="auto"/>
                <w:kern w:val="2"/>
                <w:sz w:val="24"/>
                <w:szCs w:val="24"/>
                <w:highlight w:val="none"/>
                <w:lang w:val="en-US" w:eastAsia="zh-CN" w:bidi="ar-SA"/>
              </w:rPr>
              <w:t>根据秦皇岛市生态环境局抚宁区</w:t>
            </w:r>
            <w:r>
              <w:rPr>
                <w:rFonts w:hint="eastAsia" w:cs="Times New Roman"/>
                <w:b w:val="0"/>
                <w:snapToGrid/>
                <w:color w:val="auto"/>
                <w:kern w:val="2"/>
                <w:sz w:val="24"/>
                <w:szCs w:val="24"/>
                <w:highlight w:val="none"/>
                <w:lang w:val="en-US" w:eastAsia="zh-CN" w:bidi="ar-SA"/>
              </w:rPr>
              <w:t>分局</w:t>
            </w:r>
            <w:r>
              <w:rPr>
                <w:rFonts w:hint="eastAsia" w:ascii="Times New Roman" w:hAnsi="Times New Roman" w:eastAsia="宋体" w:cs="Times New Roman"/>
                <w:b w:val="0"/>
                <w:snapToGrid/>
                <w:color w:val="auto"/>
                <w:kern w:val="2"/>
                <w:sz w:val="24"/>
                <w:szCs w:val="24"/>
                <w:highlight w:val="none"/>
                <w:lang w:val="en-US" w:eastAsia="zh-CN" w:bidi="ar-SA"/>
              </w:rPr>
              <w:t>出具的《关于秦皇岛市联安机械科技</w:t>
            </w:r>
            <w:r>
              <w:rPr>
                <w:rFonts w:hint="eastAsia" w:cs="Times New Roman"/>
                <w:b w:val="0"/>
                <w:snapToGrid/>
                <w:color w:val="auto"/>
                <w:kern w:val="2"/>
                <w:sz w:val="24"/>
                <w:szCs w:val="24"/>
                <w:highlight w:val="none"/>
                <w:lang w:val="en-US" w:eastAsia="zh-CN" w:bidi="ar-SA"/>
              </w:rPr>
              <w:t>有限公司</w:t>
            </w:r>
            <w:r>
              <w:rPr>
                <w:rFonts w:hint="eastAsia" w:ascii="Times New Roman" w:hAnsi="Times New Roman" w:eastAsia="宋体" w:cs="Times New Roman"/>
                <w:b w:val="0"/>
                <w:snapToGrid/>
                <w:color w:val="auto"/>
                <w:kern w:val="2"/>
                <w:sz w:val="24"/>
                <w:szCs w:val="24"/>
                <w:highlight w:val="none"/>
                <w:lang w:val="en-US" w:eastAsia="zh-CN" w:bidi="ar-SA"/>
              </w:rPr>
              <w:t>特种机械设备生产线技改项目污染源减量替代方案》，本项目新增颗粒物排放量从秦皇岛前韩纸业有限公司锅炉升级改造工程中予以调剂0.18t/a，新增非甲烷总烃排放量从2023年可挥发性有机物重点减排工程中予以调剂0.2t/a，本项目实施后，不会增加区域内颗粒物及非甲烷总烃的排放量。</w:t>
            </w:r>
          </w:p>
          <w:p>
            <w:pPr>
              <w:pStyle w:val="50"/>
              <w:numPr>
                <w:ilvl w:val="0"/>
                <w:numId w:val="0"/>
              </w:numPr>
              <w:bidi w:val="0"/>
              <w:spacing w:line="360" w:lineRule="auto"/>
              <w:rPr>
                <w:rFonts w:hint="default" w:ascii="Times New Roman" w:hAnsi="Times New Roman" w:cs="Times New Roman"/>
                <w:b w:val="0"/>
                <w:color w:val="auto"/>
                <w:kern w:val="2"/>
                <w:position w:val="-52"/>
                <w:szCs w:val="24"/>
                <w:highlight w:val="none"/>
                <w:lang w:val="en-US" w:eastAsia="zh-CN" w:bidi="ar-SA"/>
              </w:rPr>
            </w:pPr>
          </w:p>
          <w:p>
            <w:pPr>
              <w:pStyle w:val="50"/>
              <w:numPr>
                <w:ilvl w:val="0"/>
                <w:numId w:val="0"/>
              </w:numPr>
              <w:bidi w:val="0"/>
              <w:spacing w:line="360" w:lineRule="auto"/>
              <w:rPr>
                <w:rFonts w:hint="default" w:ascii="Times New Roman" w:hAnsi="Times New Roman" w:cs="Times New Roman"/>
                <w:b w:val="0"/>
                <w:color w:val="auto"/>
                <w:kern w:val="2"/>
                <w:position w:val="-52"/>
                <w:szCs w:val="24"/>
                <w:highlight w:val="none"/>
                <w:lang w:val="en-US" w:eastAsia="zh-CN" w:bidi="ar-SA"/>
              </w:rPr>
            </w:pPr>
            <w:r>
              <w:rPr>
                <w:rFonts w:hint="eastAsia" w:ascii="Times New Roman" w:hAnsi="Times New Roman" w:cs="Times New Roman"/>
                <w:b w:val="0"/>
                <w:color w:val="auto"/>
                <w:kern w:val="2"/>
                <w:position w:val="-52"/>
                <w:szCs w:val="24"/>
                <w:highlight w:val="none"/>
                <w:lang w:val="en-US" w:eastAsia="zh-CN" w:bidi="ar-SA"/>
              </w:rPr>
              <w:t xml:space="preserve">                              </w:t>
            </w:r>
          </w:p>
        </w:tc>
      </w:tr>
    </w:tbl>
    <w:p>
      <w:pPr>
        <w:pStyle w:val="10"/>
        <w:bidi w:val="0"/>
        <w:jc w:val="center"/>
        <w:rPr>
          <w:rFonts w:hint="default" w:ascii="Times New Roman" w:hAnsi="Times New Roman" w:eastAsia="黑体" w:cs="Times New Roman"/>
          <w:snapToGrid w:val="0"/>
          <w:color w:val="auto"/>
          <w:sz w:val="30"/>
          <w:szCs w:val="30"/>
          <w:highlight w:val="none"/>
        </w:rPr>
      </w:pPr>
      <w:r>
        <w:rPr>
          <w:rFonts w:hint="default" w:ascii="Times New Roman" w:hAnsi="Times New Roman" w:eastAsia="黑体" w:cs="Times New Roman"/>
          <w:snapToGrid w:val="0"/>
          <w:color w:val="auto"/>
          <w:sz w:val="36"/>
          <w:szCs w:val="36"/>
          <w:highlight w:val="none"/>
        </w:rPr>
        <w:br w:type="page"/>
      </w:r>
      <w:r>
        <w:rPr>
          <w:rFonts w:hint="default" w:ascii="Times New Roman" w:hAnsi="Times New Roman" w:eastAsia="宋体" w:cs="Times New Roman"/>
          <w:color w:val="auto"/>
          <w:highlight w:val="none"/>
        </w:rPr>
        <w:t>四、主要环境影响和保护措施</w:t>
      </w:r>
    </w:p>
    <w:tbl>
      <w:tblPr>
        <w:tblStyle w:val="32"/>
        <w:tblW w:w="907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442"/>
        <w:gridCol w:w="8629"/>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716" w:hRule="atLeast"/>
          <w:jc w:val="center"/>
        </w:trPr>
        <w:tc>
          <w:tcPr>
            <w:tcW w:w="442" w:type="dxa"/>
            <w:noWrap w:val="0"/>
            <w:tcMar>
              <w:left w:w="28" w:type="dxa"/>
              <w:right w:w="28" w:type="dxa"/>
            </w:tcMar>
            <w:vAlign w:val="center"/>
          </w:tcPr>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施</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工</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期</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环</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境</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保</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护</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措</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施</w:t>
            </w:r>
          </w:p>
        </w:tc>
        <w:tc>
          <w:tcPr>
            <w:tcW w:w="8629" w:type="dxa"/>
            <w:noWrap w:val="0"/>
            <w:vAlign w:val="center"/>
          </w:tcPr>
          <w:p>
            <w:pPr>
              <w:pStyle w:val="50"/>
              <w:bidi w:val="0"/>
              <w:rPr>
                <w:rFonts w:hint="default" w:ascii="Times New Roman" w:hAnsi="Times New Roman" w:eastAsia="宋体" w:cs="Times New Roman"/>
                <w:color w:val="auto"/>
                <w:highlight w:val="none"/>
              </w:rPr>
            </w:pPr>
            <w:r>
              <w:rPr>
                <w:rFonts w:hint="default" w:ascii="Times New Roman" w:hAnsi="Times New Roman" w:cs="Times New Roman"/>
                <w:color w:val="auto"/>
                <w:highlight w:val="none"/>
                <w:lang w:val="en-US" w:eastAsia="zh-CN"/>
              </w:rPr>
              <w:t>项目现有厂房场地建设，无土建施工，仅进行简单的设备安装，不会产生明显的扬尘，且设备在夜间不进行搬运、安装，因此不再进行施工期环境影响分析评价。</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42" w:type="dxa"/>
            <w:noWrap w:val="0"/>
            <w:tcMar>
              <w:left w:w="28" w:type="dxa"/>
              <w:right w:w="28" w:type="dxa"/>
            </w:tcMar>
            <w:vAlign w:val="center"/>
          </w:tcPr>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rPr>
                <w:rFonts w:hint="default" w:ascii="Times New Roman" w:hAnsi="Times New Roman" w:eastAsia="宋体" w:cs="Times New Roman"/>
                <w:b/>
                <w:bCs w:val="0"/>
                <w:color w:val="auto"/>
                <w:kern w:val="2"/>
                <w:sz w:val="24"/>
                <w:szCs w:val="21"/>
                <w:highlight w:val="none"/>
                <w:lang w:val="en-US" w:eastAsia="zh-CN" w:bidi="ar-SA"/>
              </w:rPr>
            </w:pPr>
          </w:p>
          <w:p>
            <w:pPr>
              <w:pStyle w:val="27"/>
              <w:rPr>
                <w:rFonts w:hint="default" w:ascii="Times New Roman" w:hAnsi="Times New Roman" w:eastAsia="宋体" w:cs="Times New Roman"/>
                <w:b/>
                <w:bCs w:val="0"/>
                <w:color w:val="auto"/>
                <w:kern w:val="2"/>
                <w:sz w:val="24"/>
                <w:szCs w:val="21"/>
                <w:highlight w:val="none"/>
                <w:lang w:val="en-US" w:eastAsia="zh-CN" w:bidi="ar-SA"/>
              </w:rPr>
            </w:pPr>
          </w:p>
          <w:p>
            <w:pPr>
              <w:rPr>
                <w:rFonts w:hint="default" w:ascii="Times New Roman" w:hAnsi="Times New Roman" w:eastAsia="宋体" w:cs="Times New Roman"/>
                <w:b/>
                <w:bCs w:val="0"/>
                <w:color w:val="auto"/>
                <w:kern w:val="2"/>
                <w:sz w:val="24"/>
                <w:szCs w:val="21"/>
                <w:highlight w:val="none"/>
                <w:lang w:val="en-US" w:eastAsia="zh-CN" w:bidi="ar-SA"/>
              </w:rPr>
            </w:pPr>
          </w:p>
          <w:p>
            <w:pPr>
              <w:pStyle w:val="27"/>
              <w:rPr>
                <w:rFonts w:hint="default" w:ascii="Times New Roman" w:hAnsi="Times New Roman" w:eastAsia="宋体" w:cs="Times New Roman"/>
                <w:b/>
                <w:bCs w:val="0"/>
                <w:color w:val="auto"/>
                <w:kern w:val="2"/>
                <w:sz w:val="24"/>
                <w:szCs w:val="21"/>
                <w:highlight w:val="none"/>
                <w:lang w:val="en-US" w:eastAsia="zh-CN" w:bidi="ar-SA"/>
              </w:rPr>
            </w:pPr>
          </w:p>
          <w:p>
            <w:pPr>
              <w:rPr>
                <w:rFonts w:hint="default" w:ascii="Times New Roman" w:hAnsi="Times New Roman" w:eastAsia="宋体" w:cs="Times New Roman"/>
                <w:b/>
                <w:bCs w:val="0"/>
                <w:color w:val="auto"/>
                <w:kern w:val="2"/>
                <w:sz w:val="24"/>
                <w:szCs w:val="21"/>
                <w:highlight w:val="none"/>
                <w:lang w:val="en-US" w:eastAsia="zh-CN" w:bidi="ar-SA"/>
              </w:rPr>
            </w:pPr>
          </w:p>
          <w:p>
            <w:pPr>
              <w:pStyle w:val="27"/>
              <w:rPr>
                <w:rFonts w:hint="default" w:ascii="Times New Roman" w:hAnsi="Times New Roman" w:eastAsia="宋体" w:cs="Times New Roman"/>
                <w:b/>
                <w:bCs w:val="0"/>
                <w:color w:val="auto"/>
                <w:kern w:val="2"/>
                <w:sz w:val="24"/>
                <w:szCs w:val="21"/>
                <w:highlight w:val="none"/>
                <w:lang w:val="en-US" w:eastAsia="zh-CN" w:bidi="ar-SA"/>
              </w:rPr>
            </w:pPr>
          </w:p>
          <w:p>
            <w:pPr>
              <w:rPr>
                <w:rFonts w:hint="default"/>
                <w:color w:val="auto"/>
                <w:highlight w:val="none"/>
                <w:lang w:val="en-US" w:eastAsia="zh-CN"/>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运营</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期环</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境影</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响和</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保护</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措施</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rPr>
                <w:rFonts w:hint="default"/>
                <w:color w:val="auto"/>
                <w:highlight w:val="none"/>
                <w:lang w:val="en-US" w:eastAsia="zh-CN"/>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rPr>
                <w:rFonts w:hint="default" w:ascii="Times New Roman" w:hAnsi="Times New Roman" w:eastAsia="宋体" w:cs="Times New Roman"/>
                <w:b/>
                <w:bCs w:val="0"/>
                <w:color w:val="auto"/>
                <w:kern w:val="2"/>
                <w:sz w:val="24"/>
                <w:szCs w:val="21"/>
                <w:highlight w:val="none"/>
                <w:lang w:val="en-US" w:eastAsia="zh-CN" w:bidi="ar-SA"/>
              </w:rPr>
            </w:pPr>
          </w:p>
          <w:p>
            <w:pPr>
              <w:pStyle w:val="27"/>
              <w:rPr>
                <w:rFonts w:hint="default" w:ascii="Times New Roman" w:hAnsi="Times New Roman" w:eastAsia="宋体" w:cs="Times New Roman"/>
                <w:b/>
                <w:bCs w:val="0"/>
                <w:color w:val="auto"/>
                <w:kern w:val="2"/>
                <w:sz w:val="24"/>
                <w:szCs w:val="21"/>
                <w:highlight w:val="none"/>
                <w:lang w:val="en-US" w:eastAsia="zh-CN" w:bidi="ar-SA"/>
              </w:rPr>
            </w:pPr>
          </w:p>
          <w:p>
            <w:pPr>
              <w:rPr>
                <w:rFonts w:hint="default" w:ascii="Times New Roman" w:hAnsi="Times New Roman" w:eastAsia="宋体" w:cs="Times New Roman"/>
                <w:b/>
                <w:bCs w:val="0"/>
                <w:color w:val="auto"/>
                <w:kern w:val="2"/>
                <w:sz w:val="24"/>
                <w:szCs w:val="21"/>
                <w:highlight w:val="none"/>
                <w:lang w:val="en-US" w:eastAsia="zh-CN" w:bidi="ar-SA"/>
              </w:rPr>
            </w:pPr>
          </w:p>
          <w:p>
            <w:pPr>
              <w:pStyle w:val="27"/>
              <w:rPr>
                <w:rFonts w:hint="default" w:ascii="Times New Roman" w:hAnsi="Times New Roman" w:eastAsia="宋体" w:cs="Times New Roman"/>
                <w:b/>
                <w:bCs w:val="0"/>
                <w:color w:val="auto"/>
                <w:kern w:val="2"/>
                <w:sz w:val="24"/>
                <w:szCs w:val="21"/>
                <w:highlight w:val="none"/>
                <w:lang w:val="en-US" w:eastAsia="zh-CN" w:bidi="ar-SA"/>
              </w:rPr>
            </w:pPr>
          </w:p>
          <w:p>
            <w:pPr>
              <w:rPr>
                <w:rFonts w:hint="default"/>
                <w:color w:val="auto"/>
                <w:highlight w:val="none"/>
                <w:lang w:val="en-US" w:eastAsia="zh-CN"/>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运营</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期环</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境影</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响和</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保护</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措施</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运营</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期环</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境影</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响和</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保护</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措施</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运营</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期环</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境影</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响和</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保护</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措施</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运营</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期环</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境影</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响和</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保护</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措施</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rPr>
                <w:rFonts w:hint="default"/>
                <w:color w:val="auto"/>
                <w:highlight w:val="none"/>
                <w:lang w:val="en-US" w:eastAsia="zh-CN"/>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运营</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期环</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境影</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响和</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保护</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措施</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rPr>
                <w:rFonts w:hint="default"/>
                <w:color w:val="auto"/>
                <w:highlight w:val="none"/>
                <w:lang w:val="en-US" w:eastAsia="zh-CN"/>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运营</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期环</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境影</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响和</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保护</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措施</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运营</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期环</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境影</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响和</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保护</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措施</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运营</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期环</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境影</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响和</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保护</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措施</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运营</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期环</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境影</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响和</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保护</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措施</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rPr>
                <w:rFonts w:hint="default"/>
                <w:color w:val="auto"/>
                <w:highlight w:val="none"/>
                <w:lang w:val="en-US" w:eastAsia="zh-CN"/>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运营</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期环</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境影</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响和</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保护</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措施</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运营</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期环</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境影</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响和</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保护</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r>
              <w:rPr>
                <w:rFonts w:hint="default" w:ascii="Times New Roman" w:hAnsi="Times New Roman" w:eastAsia="宋体" w:cs="Times New Roman"/>
                <w:b/>
                <w:bCs w:val="0"/>
                <w:color w:val="auto"/>
                <w:kern w:val="2"/>
                <w:sz w:val="24"/>
                <w:szCs w:val="21"/>
                <w:highlight w:val="none"/>
                <w:lang w:val="en-US" w:eastAsia="zh-CN" w:bidi="ar-SA"/>
              </w:rPr>
              <w:t>措施</w:t>
            </w: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center"/>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both"/>
              <w:rPr>
                <w:rFonts w:hint="default" w:ascii="Times New Roman" w:hAnsi="Times New Roman" w:eastAsia="宋体" w:cs="Times New Roman"/>
                <w:b/>
                <w:bCs w:val="0"/>
                <w:color w:val="auto"/>
                <w:kern w:val="2"/>
                <w:sz w:val="24"/>
                <w:szCs w:val="21"/>
                <w:highlight w:val="none"/>
                <w:lang w:val="en-US" w:eastAsia="zh-CN" w:bidi="ar-SA"/>
              </w:rPr>
            </w:pPr>
          </w:p>
          <w:p>
            <w:pPr>
              <w:pStyle w:val="10"/>
              <w:spacing w:line="240" w:lineRule="auto"/>
              <w:ind w:left="0" w:leftChars="0" w:firstLine="0" w:firstLineChars="0"/>
              <w:jc w:val="both"/>
              <w:rPr>
                <w:rFonts w:hint="default" w:ascii="Times New Roman" w:hAnsi="Times New Roman" w:eastAsia="宋体" w:cs="Times New Roman"/>
                <w:b/>
                <w:bCs w:val="0"/>
                <w:color w:val="auto"/>
                <w:kern w:val="2"/>
                <w:sz w:val="24"/>
                <w:szCs w:val="21"/>
                <w:highlight w:val="none"/>
                <w:lang w:val="en-US" w:eastAsia="zh-CN" w:bidi="ar-SA"/>
              </w:rPr>
            </w:pPr>
          </w:p>
        </w:tc>
        <w:tc>
          <w:tcPr>
            <w:tcW w:w="8629" w:type="dxa"/>
            <w:noWrap w:val="0"/>
            <w:vAlign w:val="center"/>
          </w:tcPr>
          <w:p>
            <w:pPr>
              <w:pStyle w:val="10"/>
              <w:bidi w:val="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 xml:space="preserve">1 </w:t>
            </w:r>
            <w:r>
              <w:rPr>
                <w:rFonts w:hint="default" w:ascii="Times New Roman" w:hAnsi="Times New Roman" w:cs="Times New Roman"/>
                <w:color w:val="auto"/>
                <w:highlight w:val="none"/>
              </w:rPr>
              <w:t>大气环境影响分析</w:t>
            </w:r>
          </w:p>
          <w:p>
            <w:pPr>
              <w:pStyle w:val="28"/>
              <w:spacing w:line="360" w:lineRule="auto"/>
              <w:ind w:left="0" w:leftChars="0" w:firstLine="0" w:firstLineChars="0"/>
              <w:rPr>
                <w:rFonts w:hint="default" w:eastAsia="宋体" w:cs="Times New Roman"/>
                <w:b/>
                <w:bCs/>
                <w:color w:val="auto"/>
                <w:kern w:val="2"/>
                <w:sz w:val="24"/>
                <w:szCs w:val="32"/>
                <w:highlight w:val="none"/>
                <w:lang w:val="en-US" w:eastAsia="zh-CN" w:bidi="ar-SA"/>
              </w:rPr>
            </w:pPr>
            <w:r>
              <w:rPr>
                <w:rFonts w:hint="default" w:eastAsia="宋体" w:cs="Times New Roman"/>
                <w:b/>
                <w:bCs/>
                <w:color w:val="auto"/>
                <w:kern w:val="2"/>
                <w:sz w:val="24"/>
                <w:szCs w:val="32"/>
                <w:highlight w:val="none"/>
                <w:lang w:val="en-US" w:eastAsia="zh-CN" w:bidi="ar-SA"/>
              </w:rPr>
              <w:t>1.1污染源强核算</w:t>
            </w:r>
          </w:p>
          <w:p>
            <w:pPr>
              <w:keepNext w:val="0"/>
              <w:keepLines w:val="0"/>
              <w:pageBreakBefore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eastAsia="宋体" w:cs="Times New Roman"/>
                <w:color w:val="auto"/>
                <w:highlight w:val="none"/>
                <w:lang w:val="en-US" w:eastAsia="zh-CN"/>
              </w:rPr>
            </w:pPr>
            <w:r>
              <w:rPr>
                <w:rFonts w:hint="eastAsia" w:cs="Times New Roman"/>
                <w:color w:val="auto"/>
                <w:highlight w:val="none"/>
                <w:lang w:val="en-US" w:eastAsia="zh-CN"/>
              </w:rPr>
              <w:t>本次技改新增喷漆房1座，主要为部分配件进行喷漆以及产品进行补漆，不进行大面积喷涂。产生的废气主要为非甲烷总烃、颗粒物，废气经治理后由新增1根15m高排气筒排放，编号为DA001。</w:t>
            </w:r>
          </w:p>
          <w:p>
            <w:pPr>
              <w:keepNext w:val="0"/>
              <w:keepLines w:val="0"/>
              <w:pageBreakBefore w:val="0"/>
              <w:kinsoku/>
              <w:wordWrap/>
              <w:overflowPunct/>
              <w:topLinePunct w:val="0"/>
              <w:autoSpaceDE/>
              <w:autoSpaceDN/>
              <w:bidi w:val="0"/>
              <w:adjustRightInd/>
              <w:spacing w:line="360" w:lineRule="auto"/>
              <w:ind w:firstLine="480" w:firstLineChars="200"/>
              <w:textAlignment w:val="auto"/>
              <w:rPr>
                <w:rFonts w:hint="default" w:cs="Times New Roman"/>
                <w:color w:val="auto"/>
                <w:highlight w:val="none"/>
                <w:lang w:val="en-US" w:eastAsia="zh-CN"/>
              </w:rPr>
            </w:pPr>
            <w:r>
              <w:rPr>
                <w:rFonts w:hint="eastAsia" w:cs="Times New Roman"/>
                <w:color w:val="auto"/>
                <w:highlight w:val="none"/>
                <w:lang w:val="en-US" w:eastAsia="zh-CN"/>
              </w:rPr>
              <w:t>（1）有组织废气（排气筒编号DA001）</w:t>
            </w:r>
          </w:p>
          <w:p>
            <w:pPr>
              <w:keepNext w:val="0"/>
              <w:keepLines w:val="0"/>
              <w:pageBreakBefore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eastAsia="宋体" w:cs="Times New Roman"/>
                <w:color w:val="auto"/>
                <w:highlight w:val="none"/>
                <w:lang w:val="en-US" w:eastAsia="zh-CN"/>
              </w:rPr>
            </w:pPr>
            <w:r>
              <w:rPr>
                <w:rFonts w:hint="eastAsia" w:cs="Times New Roman"/>
                <w:color w:val="auto"/>
                <w:highlight w:val="none"/>
                <w:lang w:val="en-US" w:eastAsia="zh-CN"/>
              </w:rPr>
              <w:t>A.水性漆喷漆工序非甲烷总烃产生量</w:t>
            </w:r>
          </w:p>
          <w:p>
            <w:pPr>
              <w:keepNext w:val="0"/>
              <w:keepLines w:val="0"/>
              <w:pageBreakBefore w:val="0"/>
              <w:kinsoku/>
              <w:wordWrap/>
              <w:overflowPunct/>
              <w:topLinePunct w:val="0"/>
              <w:autoSpaceDE/>
              <w:autoSpaceDN/>
              <w:bidi w:val="0"/>
              <w:adjustRightInd/>
              <w:spacing w:line="360" w:lineRule="auto"/>
              <w:ind w:firstLine="480" w:firstLineChars="200"/>
              <w:textAlignment w:val="auto"/>
              <w:rPr>
                <w:rFonts w:hint="default" w:cs="Times New Roman"/>
                <w:color w:val="auto"/>
                <w:highlight w:val="none"/>
                <w:lang w:val="en-US" w:eastAsia="zh-CN"/>
              </w:rPr>
            </w:pPr>
            <w:r>
              <w:rPr>
                <w:rFonts w:hint="eastAsia" w:cs="Times New Roman"/>
                <w:color w:val="auto"/>
                <w:highlight w:val="none"/>
                <w:lang w:val="en-US" w:eastAsia="zh-CN"/>
              </w:rPr>
              <w:t>根据《</w:t>
            </w:r>
            <w:r>
              <w:rPr>
                <w:rFonts w:hint="default" w:ascii="Times New Roman" w:hAnsi="Times New Roman" w:eastAsia="宋体" w:cs="Times New Roman"/>
                <w:color w:val="auto"/>
                <w:highlight w:val="none"/>
              </w:rPr>
              <w:t>排放源统计调查产排污核算方法和系数手册</w:t>
            </w:r>
            <w:r>
              <w:rPr>
                <w:rFonts w:hint="eastAsia" w:cs="Times New Roman"/>
                <w:color w:val="auto"/>
                <w:highlight w:val="none"/>
                <w:lang w:val="en-US" w:eastAsia="zh-CN"/>
              </w:rPr>
              <w:t>》—机械行业，挥发性有机物（本项目以非甲烷总烃计）产污系数为135kg/t-原料，本项目使用水性漆0.85t/a，经计算非甲烷总烃产生量为0.115t/a。</w:t>
            </w:r>
          </w:p>
          <w:p>
            <w:pPr>
              <w:keepNext w:val="0"/>
              <w:keepLines w:val="0"/>
              <w:pageBreakBefore w:val="0"/>
              <w:kinsoku/>
              <w:wordWrap/>
              <w:overflowPunct/>
              <w:topLinePunct w:val="0"/>
              <w:autoSpaceDE/>
              <w:autoSpaceDN/>
              <w:bidi w:val="0"/>
              <w:adjustRightInd/>
              <w:spacing w:line="360" w:lineRule="auto"/>
              <w:ind w:firstLine="480" w:firstLineChars="200"/>
              <w:textAlignment w:val="auto"/>
              <w:rPr>
                <w:rFonts w:hint="default" w:cs="Times New Roman"/>
                <w:color w:val="auto"/>
                <w:highlight w:val="none"/>
                <w:lang w:val="en-US" w:eastAsia="zh-CN"/>
              </w:rPr>
            </w:pPr>
            <w:r>
              <w:rPr>
                <w:rFonts w:hint="eastAsia" w:cs="Times New Roman"/>
                <w:color w:val="auto"/>
                <w:highlight w:val="none"/>
                <w:lang w:val="en-US" w:eastAsia="zh-CN"/>
              </w:rPr>
              <w:t>B.高固份油漆喷漆工序非甲烷总烃产生量</w:t>
            </w:r>
          </w:p>
          <w:p>
            <w:pPr>
              <w:keepNext w:val="0"/>
              <w:keepLines w:val="0"/>
              <w:pageBreakBefore w:val="0"/>
              <w:kinsoku/>
              <w:wordWrap/>
              <w:overflowPunct/>
              <w:topLinePunct w:val="0"/>
              <w:autoSpaceDE/>
              <w:autoSpaceDN/>
              <w:bidi w:val="0"/>
              <w:adjustRightInd/>
              <w:spacing w:line="360" w:lineRule="auto"/>
              <w:ind w:firstLine="480" w:firstLineChars="200"/>
              <w:textAlignment w:val="auto"/>
              <w:rPr>
                <w:rFonts w:hint="default" w:cs="Times New Roman"/>
                <w:color w:val="auto"/>
                <w:highlight w:val="none"/>
                <w:lang w:val="en-US" w:eastAsia="zh-CN"/>
              </w:rPr>
            </w:pPr>
            <w:r>
              <w:rPr>
                <w:rFonts w:hint="eastAsia" w:cs="Times New Roman"/>
                <w:color w:val="auto"/>
                <w:highlight w:val="none"/>
                <w:lang w:val="en-US" w:eastAsia="zh-CN"/>
              </w:rPr>
              <w:t>根据《</w:t>
            </w:r>
            <w:r>
              <w:rPr>
                <w:rFonts w:hint="default" w:ascii="Times New Roman" w:hAnsi="Times New Roman" w:eastAsia="宋体" w:cs="Times New Roman"/>
                <w:color w:val="auto"/>
                <w:highlight w:val="none"/>
              </w:rPr>
              <w:t>排放源统计调查产排污核算方法和系数手册</w:t>
            </w:r>
            <w:r>
              <w:rPr>
                <w:rFonts w:hint="eastAsia" w:cs="Times New Roman"/>
                <w:color w:val="auto"/>
                <w:highlight w:val="none"/>
                <w:lang w:val="en-US" w:eastAsia="zh-CN"/>
              </w:rPr>
              <w:t>》—机械行业，挥发性有机物（本项目以非甲烷总烃计）产污系数为289kg/t-原料，本项目使高固份油漆0.4t/a，经计算非甲烷总烃产生量为0.115t/a。</w:t>
            </w:r>
          </w:p>
          <w:p>
            <w:pPr>
              <w:keepNext w:val="0"/>
              <w:keepLines w:val="0"/>
              <w:pageBreakBefore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eastAsia="宋体" w:cs="Times New Roman"/>
                <w:color w:val="auto"/>
                <w:highlight w:val="none"/>
                <w:lang w:val="en-US" w:eastAsia="zh-CN"/>
              </w:rPr>
            </w:pPr>
            <w:r>
              <w:rPr>
                <w:rFonts w:hint="eastAsia" w:cs="Times New Roman"/>
                <w:color w:val="auto"/>
                <w:highlight w:val="none"/>
                <w:lang w:val="en-US" w:eastAsia="zh-CN"/>
              </w:rPr>
              <w:t>C.水性漆晾干工序非甲烷总烃产生量</w:t>
            </w:r>
          </w:p>
          <w:p>
            <w:pPr>
              <w:keepNext w:val="0"/>
              <w:keepLines w:val="0"/>
              <w:pageBreakBefore w:val="0"/>
              <w:kinsoku/>
              <w:wordWrap/>
              <w:overflowPunct/>
              <w:topLinePunct w:val="0"/>
              <w:autoSpaceDE/>
              <w:autoSpaceDN/>
              <w:bidi w:val="0"/>
              <w:adjustRightInd/>
              <w:spacing w:line="360" w:lineRule="auto"/>
              <w:ind w:firstLine="480" w:firstLineChars="200"/>
              <w:textAlignment w:val="auto"/>
              <w:rPr>
                <w:rFonts w:hint="default" w:cs="Times New Roman"/>
                <w:color w:val="auto"/>
                <w:highlight w:val="none"/>
                <w:lang w:val="en-US" w:eastAsia="zh-CN"/>
              </w:rPr>
            </w:pPr>
            <w:r>
              <w:rPr>
                <w:rFonts w:hint="eastAsia" w:cs="Times New Roman"/>
                <w:color w:val="auto"/>
                <w:highlight w:val="none"/>
                <w:lang w:val="en-US" w:eastAsia="zh-CN"/>
              </w:rPr>
              <w:t>根据《</w:t>
            </w:r>
            <w:r>
              <w:rPr>
                <w:rFonts w:hint="default" w:ascii="Times New Roman" w:hAnsi="Times New Roman" w:eastAsia="宋体" w:cs="Times New Roman"/>
                <w:color w:val="auto"/>
                <w:highlight w:val="none"/>
              </w:rPr>
              <w:t>排放源统计调查产排污核算方法和系数手册</w:t>
            </w:r>
            <w:r>
              <w:rPr>
                <w:rFonts w:hint="eastAsia" w:cs="Times New Roman"/>
                <w:color w:val="auto"/>
                <w:highlight w:val="none"/>
                <w:lang w:val="en-US" w:eastAsia="zh-CN"/>
              </w:rPr>
              <w:t>》—机械行业，挥发性有机物（本项目以非甲烷总烃计）产污系数为15kg/t-原料，本项目使用水性漆0.85t/a，经计算非甲烷总烃产生量为0.013t/a。</w:t>
            </w:r>
          </w:p>
          <w:p>
            <w:pPr>
              <w:keepNext w:val="0"/>
              <w:keepLines w:val="0"/>
              <w:pageBreakBefore w:val="0"/>
              <w:kinsoku/>
              <w:wordWrap/>
              <w:overflowPunct/>
              <w:topLinePunct w:val="0"/>
              <w:autoSpaceDE/>
              <w:autoSpaceDN/>
              <w:bidi w:val="0"/>
              <w:adjustRightInd/>
              <w:spacing w:line="360" w:lineRule="auto"/>
              <w:ind w:firstLine="480" w:firstLineChars="200"/>
              <w:textAlignment w:val="auto"/>
              <w:rPr>
                <w:rFonts w:hint="default" w:cs="Times New Roman"/>
                <w:color w:val="auto"/>
                <w:highlight w:val="none"/>
                <w:lang w:val="en-US" w:eastAsia="zh-CN"/>
              </w:rPr>
            </w:pPr>
            <w:r>
              <w:rPr>
                <w:rFonts w:hint="eastAsia" w:cs="Times New Roman"/>
                <w:color w:val="auto"/>
                <w:highlight w:val="none"/>
                <w:lang w:val="en-US" w:eastAsia="zh-CN"/>
              </w:rPr>
              <w:t>D.高固份油漆晾干工序非甲烷总烃产生量</w:t>
            </w:r>
          </w:p>
          <w:p>
            <w:pPr>
              <w:keepNext w:val="0"/>
              <w:keepLines w:val="0"/>
              <w:pageBreakBefore w:val="0"/>
              <w:kinsoku/>
              <w:wordWrap/>
              <w:overflowPunct/>
              <w:topLinePunct w:val="0"/>
              <w:autoSpaceDE/>
              <w:autoSpaceDN/>
              <w:bidi w:val="0"/>
              <w:adjustRightInd/>
              <w:spacing w:line="360" w:lineRule="auto"/>
              <w:ind w:firstLine="480" w:firstLineChars="200"/>
              <w:textAlignment w:val="auto"/>
              <w:rPr>
                <w:rFonts w:hint="default" w:cs="Times New Roman"/>
                <w:color w:val="auto"/>
                <w:highlight w:val="none"/>
                <w:lang w:val="en-US" w:eastAsia="zh-CN"/>
              </w:rPr>
            </w:pPr>
            <w:r>
              <w:rPr>
                <w:rFonts w:hint="eastAsia" w:cs="Times New Roman"/>
                <w:color w:val="auto"/>
                <w:highlight w:val="none"/>
                <w:lang w:val="en-US" w:eastAsia="zh-CN"/>
              </w:rPr>
              <w:t>根据《</w:t>
            </w:r>
            <w:r>
              <w:rPr>
                <w:rFonts w:hint="default" w:ascii="Times New Roman" w:hAnsi="Times New Roman" w:eastAsia="宋体" w:cs="Times New Roman"/>
                <w:color w:val="auto"/>
                <w:highlight w:val="none"/>
              </w:rPr>
              <w:t>排放源统计调查产排污核算方法和系数手册</w:t>
            </w:r>
            <w:r>
              <w:rPr>
                <w:rFonts w:hint="eastAsia" w:cs="Times New Roman"/>
                <w:color w:val="auto"/>
                <w:highlight w:val="none"/>
                <w:lang w:val="en-US" w:eastAsia="zh-CN"/>
              </w:rPr>
              <w:t>》—机械行业，挥发性有机物（本项目以非甲烷总烃计）产污系数为72.2kg/t-原料，本项目使用高固份油漆0.4t/a，经计算非甲烷总烃产生量为0.03t/a。</w:t>
            </w:r>
          </w:p>
          <w:p>
            <w:pPr>
              <w:keepNext w:val="0"/>
              <w:keepLines w:val="0"/>
              <w:pageBreakBefore w:val="0"/>
              <w:kinsoku/>
              <w:wordWrap/>
              <w:overflowPunct/>
              <w:topLinePunct w:val="0"/>
              <w:autoSpaceDE/>
              <w:autoSpaceDN/>
              <w:bidi w:val="0"/>
              <w:adjustRightInd/>
              <w:spacing w:line="360" w:lineRule="auto"/>
              <w:ind w:firstLine="480" w:firstLineChars="200"/>
              <w:textAlignment w:val="auto"/>
              <w:rPr>
                <w:rFonts w:hint="default" w:cs="Times New Roman"/>
                <w:color w:val="auto"/>
                <w:highlight w:val="none"/>
                <w:lang w:val="en-US" w:eastAsia="zh-CN"/>
              </w:rPr>
            </w:pPr>
            <w:r>
              <w:rPr>
                <w:rFonts w:hint="eastAsia" w:cs="Times New Roman"/>
                <w:color w:val="auto"/>
                <w:highlight w:val="none"/>
                <w:lang w:val="en-US" w:eastAsia="zh-CN"/>
              </w:rPr>
              <w:t>E.稀释剂非甲烷总烃产生量</w:t>
            </w:r>
          </w:p>
          <w:p>
            <w:pPr>
              <w:keepNext w:val="0"/>
              <w:keepLines w:val="0"/>
              <w:pageBreakBefore w:val="0"/>
              <w:kinsoku/>
              <w:wordWrap/>
              <w:overflowPunct/>
              <w:topLinePunct w:val="0"/>
              <w:autoSpaceDE/>
              <w:autoSpaceDN/>
              <w:bidi w:val="0"/>
              <w:adjustRightInd/>
              <w:spacing w:line="360" w:lineRule="auto"/>
              <w:ind w:firstLine="480" w:firstLineChars="200"/>
              <w:textAlignment w:val="auto"/>
              <w:rPr>
                <w:rFonts w:hint="default" w:cs="Times New Roman"/>
                <w:color w:val="auto"/>
                <w:highlight w:val="none"/>
                <w:lang w:val="en-US" w:eastAsia="zh-CN"/>
              </w:rPr>
            </w:pPr>
            <w:r>
              <w:rPr>
                <w:rFonts w:hint="eastAsia" w:cs="Times New Roman"/>
                <w:color w:val="auto"/>
                <w:highlight w:val="none"/>
                <w:lang w:val="en-US" w:eastAsia="zh-CN"/>
              </w:rPr>
              <w:t>本项目年使用稀释剂0.05t，稀释剂的挥发量为100%，故本项目稀释剂非甲烷总烃产生量为0.05t/a，不单独在调漆、喷漆、晾干工序中进行计算。</w:t>
            </w:r>
          </w:p>
          <w:p>
            <w:pPr>
              <w:pStyle w:val="2"/>
              <w:keepNext w:val="0"/>
              <w:keepLines w:val="0"/>
              <w:pageBreakBefore w:val="0"/>
              <w:widowControl w:val="0"/>
              <w:kinsoku/>
              <w:wordWrap/>
              <w:overflowPunct/>
              <w:topLinePunct w:val="0"/>
              <w:autoSpaceDE/>
              <w:autoSpaceDN/>
              <w:bidi w:val="0"/>
              <w:adjustRightInd/>
              <w:snapToGrid w:val="0"/>
              <w:spacing w:after="0"/>
              <w:ind w:left="0" w:leftChars="0" w:firstLine="480" w:firstLineChars="200"/>
              <w:jc w:val="both"/>
              <w:textAlignment w:val="auto"/>
              <w:rPr>
                <w:rFonts w:hint="default" w:cs="Times New Roman"/>
                <w:color w:val="auto"/>
                <w:highlight w:val="none"/>
                <w:lang w:val="en-US" w:eastAsia="zh-CN"/>
              </w:rPr>
            </w:pPr>
            <w:r>
              <w:rPr>
                <w:rFonts w:hint="eastAsia" w:cs="Times New Roman"/>
                <w:color w:val="auto"/>
                <w:highlight w:val="none"/>
                <w:lang w:val="en-US" w:eastAsia="zh-CN"/>
              </w:rPr>
              <w:t>故本项目喷漆房非甲烷总烃产生0.323t/a，喷漆房为微负压，空气从上方进口进入，下方风口排放，收集率按照90%进行计算，收集的废气经干式过滤箱+二级活性炭装置进行治理后经1根15m高排气筒排放，经计算有组织非甲烷总烃排放量为0.07t/a。</w:t>
            </w:r>
          </w:p>
          <w:p>
            <w:pPr>
              <w:pStyle w:val="2"/>
              <w:pageBreakBefore w:val="0"/>
              <w:kinsoku/>
              <w:wordWrap/>
              <w:overflowPunct/>
              <w:topLinePunct w:val="0"/>
              <w:autoSpaceDE/>
              <w:autoSpaceDN/>
              <w:bidi w:val="0"/>
              <w:adjustRightInd w:val="0"/>
              <w:snapToGrid w:val="0"/>
              <w:spacing w:after="0" w:line="360" w:lineRule="auto"/>
              <w:ind w:left="0" w:leftChars="0" w:right="0" w:firstLine="480" w:firstLineChars="200"/>
              <w:jc w:val="both"/>
              <w:textAlignment w:val="auto"/>
              <w:outlineLvl w:val="9"/>
              <w:rPr>
                <w:rFonts w:hint="default" w:ascii="Times New Roman" w:hAnsi="Times New Roman" w:eastAsia="宋体" w:cs="Times New Roman"/>
                <w:color w:val="auto"/>
                <w:sz w:val="24"/>
                <w:szCs w:val="24"/>
                <w:highlight w:val="none"/>
                <w:lang w:val="en-US" w:eastAsia="zh-CN"/>
              </w:rPr>
            </w:pPr>
            <w:r>
              <w:rPr>
                <w:rFonts w:hint="eastAsia" w:cs="Times New Roman"/>
                <w:color w:val="auto"/>
                <w:sz w:val="24"/>
                <w:szCs w:val="24"/>
                <w:highlight w:val="none"/>
                <w:lang w:val="en-US" w:eastAsia="zh-CN"/>
              </w:rPr>
              <w:t>F..颗粒物</w:t>
            </w:r>
          </w:p>
          <w:p>
            <w:pPr>
              <w:pStyle w:val="6"/>
              <w:pageBreakBefore w:val="0"/>
              <w:kinsoku/>
              <w:wordWrap/>
              <w:overflowPunct/>
              <w:topLinePunct w:val="0"/>
              <w:autoSpaceDE/>
              <w:autoSpaceDN/>
              <w:bidi w:val="0"/>
              <w:adjustRightInd w:val="0"/>
              <w:snapToGrid w:val="0"/>
              <w:spacing w:before="0" w:after="0" w:line="360" w:lineRule="auto"/>
              <w:ind w:right="0" w:firstLine="480" w:firstLineChars="200"/>
              <w:jc w:val="both"/>
              <w:textAlignment w:val="auto"/>
              <w:outlineLvl w:val="9"/>
              <w:rPr>
                <w:rFonts w:hint="default" w:ascii="Times New Roman" w:hAnsi="Times New Roman" w:eastAsia="宋体" w:cs="Times New Roman"/>
                <w:color w:val="auto"/>
                <w:sz w:val="24"/>
                <w:szCs w:val="24"/>
                <w:highlight w:val="none"/>
              </w:rPr>
            </w:pPr>
            <w:r>
              <w:rPr>
                <w:rFonts w:hint="eastAsia" w:cs="Times New Roman"/>
                <w:b w:val="0"/>
                <w:color w:val="auto"/>
                <w:kern w:val="2"/>
                <w:sz w:val="24"/>
                <w:szCs w:val="24"/>
                <w:highlight w:val="none"/>
                <w:lang w:val="en-US" w:eastAsia="zh-CN" w:bidi="ar-SA"/>
              </w:rPr>
              <w:t>根据《排放源统计调查产排污核算方法和系数手册》—机械行业，铸造业喷涂工序颗粒物产生系数为1.99kg/吨-产品，本项目需喷漆产品总质量为200t/a，经计算颗粒物产生量为0.4t/a。经废气治理设施治理后，有组织颗粒物的排放量为0.09t/a。</w:t>
            </w:r>
          </w:p>
          <w:p>
            <w:pPr>
              <w:pageBreakBefore w:val="0"/>
              <w:kinsoku/>
              <w:wordWrap/>
              <w:overflowPunct/>
              <w:topLinePunct w:val="0"/>
              <w:autoSpaceDE/>
              <w:autoSpaceDN/>
              <w:bidi w:val="0"/>
              <w:adjustRightInd w:val="0"/>
              <w:snapToGrid w:val="0"/>
              <w:spacing w:beforeLines="0" w:afterLines="0" w:line="360" w:lineRule="auto"/>
              <w:ind w:right="0" w:firstLine="480" w:firstLineChars="200"/>
              <w:jc w:val="both"/>
              <w:textAlignment w:val="auto"/>
              <w:outlineLvl w:val="9"/>
              <w:rPr>
                <w:rFonts w:hint="default" w:ascii="Times New Roman" w:hAnsi="Times New Roman" w:eastAsia="宋体" w:cs="Times New Roman"/>
                <w:color w:val="auto"/>
                <w:sz w:val="24"/>
                <w:szCs w:val="24"/>
                <w:highlight w:val="none"/>
                <w:lang w:val="en-US" w:eastAsia="zh-CN"/>
              </w:rPr>
            </w:pPr>
            <w:r>
              <w:rPr>
                <w:rFonts w:hint="eastAsia" w:cs="Times New Roman"/>
                <w:color w:val="auto"/>
                <w:sz w:val="24"/>
                <w:szCs w:val="24"/>
                <w:highlight w:val="none"/>
                <w:lang w:eastAsia="zh-CN"/>
              </w:rPr>
              <w:t>（</w:t>
            </w:r>
            <w:r>
              <w:rPr>
                <w:rFonts w:hint="eastAsia" w:cs="Times New Roman"/>
                <w:color w:val="auto"/>
                <w:sz w:val="24"/>
                <w:szCs w:val="24"/>
                <w:highlight w:val="none"/>
                <w:lang w:val="en-US" w:eastAsia="zh-CN"/>
              </w:rPr>
              <w:t>2</w:t>
            </w:r>
            <w:r>
              <w:rPr>
                <w:rFonts w:hint="eastAsia" w:cs="Times New Roman"/>
                <w:color w:val="auto"/>
                <w:sz w:val="24"/>
                <w:szCs w:val="24"/>
                <w:highlight w:val="none"/>
                <w:lang w:eastAsia="zh-CN"/>
              </w:rPr>
              <w:t>）</w:t>
            </w:r>
            <w:r>
              <w:rPr>
                <w:rFonts w:hint="eastAsia" w:cs="Times New Roman"/>
                <w:color w:val="auto"/>
                <w:sz w:val="24"/>
                <w:szCs w:val="24"/>
                <w:highlight w:val="none"/>
                <w:lang w:val="en-US" w:eastAsia="zh-CN"/>
              </w:rPr>
              <w:t>无组织废气</w:t>
            </w:r>
          </w:p>
          <w:p>
            <w:pPr>
              <w:keepNext w:val="0"/>
              <w:keepLines w:val="0"/>
              <w:pageBreakBefore w:val="0"/>
              <w:kinsoku/>
              <w:wordWrap/>
              <w:overflowPunct/>
              <w:topLinePunct w:val="0"/>
              <w:autoSpaceDE/>
              <w:autoSpaceDN/>
              <w:bidi w:val="0"/>
              <w:adjustRightInd/>
              <w:spacing w:line="360" w:lineRule="auto"/>
              <w:ind w:firstLine="480" w:firstLineChars="200"/>
              <w:textAlignment w:val="auto"/>
              <w:rPr>
                <w:rFonts w:hint="default" w:cs="Times New Roman"/>
                <w:color w:val="auto"/>
                <w:highlight w:val="none"/>
                <w:lang w:val="en-US" w:eastAsia="zh-CN"/>
              </w:rPr>
            </w:pPr>
            <w:r>
              <w:rPr>
                <w:rFonts w:hint="eastAsia" w:cs="Times New Roman"/>
                <w:color w:val="auto"/>
                <w:highlight w:val="none"/>
                <w:lang w:val="en-US" w:eastAsia="zh-CN"/>
              </w:rPr>
              <w:t>A.非甲烷总烃</w:t>
            </w:r>
          </w:p>
          <w:p>
            <w:pPr>
              <w:keepNext w:val="0"/>
              <w:keepLines w:val="0"/>
              <w:pageBreakBefore w:val="0"/>
              <w:kinsoku/>
              <w:wordWrap/>
              <w:overflowPunct/>
              <w:topLinePunct w:val="0"/>
              <w:autoSpaceDE/>
              <w:autoSpaceDN/>
              <w:bidi w:val="0"/>
              <w:adjustRightInd w:val="0"/>
              <w:snapToGrid w:val="0"/>
              <w:spacing w:line="360" w:lineRule="auto"/>
              <w:ind w:left="0" w:leftChars="0" w:right="0" w:firstLine="480" w:firstLineChars="200"/>
              <w:textAlignment w:val="auto"/>
              <w:outlineLvl w:val="9"/>
              <w:rPr>
                <w:rFonts w:hint="default" w:ascii="Times New Roman" w:hAnsi="Times New Roman" w:eastAsia="宋体" w:cs="Times New Roman"/>
                <w:b w:val="0"/>
                <w:color w:val="auto"/>
                <w:kern w:val="2"/>
                <w:sz w:val="24"/>
                <w:szCs w:val="24"/>
                <w:highlight w:val="none"/>
                <w:lang w:val="en-US" w:eastAsia="zh-CN" w:bidi="ar-SA"/>
              </w:rPr>
            </w:pPr>
            <w:r>
              <w:rPr>
                <w:rFonts w:hint="eastAsia" w:cs="Times New Roman"/>
                <w:b w:val="0"/>
                <w:color w:val="auto"/>
                <w:kern w:val="2"/>
                <w:sz w:val="24"/>
                <w:szCs w:val="24"/>
                <w:highlight w:val="none"/>
                <w:lang w:val="en-US" w:eastAsia="zh-CN" w:bidi="ar-SA"/>
              </w:rPr>
              <w:t>经计算喷漆工序非甲烷总烃产生量为0.323t/a，收集效率按照90%计算，故无组织非甲烷总烃产生量为0.03t/a。</w:t>
            </w:r>
          </w:p>
          <w:p>
            <w:pPr>
              <w:pStyle w:val="2"/>
              <w:pageBreakBefore w:val="0"/>
              <w:kinsoku/>
              <w:wordWrap/>
              <w:overflowPunct/>
              <w:topLinePunct w:val="0"/>
              <w:autoSpaceDE/>
              <w:autoSpaceDN/>
              <w:bidi w:val="0"/>
              <w:adjustRightInd w:val="0"/>
              <w:snapToGrid w:val="0"/>
              <w:spacing w:after="0" w:line="360" w:lineRule="auto"/>
              <w:ind w:left="0" w:leftChars="0" w:right="0" w:firstLine="480" w:firstLineChars="200"/>
              <w:textAlignment w:val="auto"/>
              <w:outlineLvl w:val="9"/>
              <w:rPr>
                <w:rFonts w:hint="default" w:ascii="Times New Roman" w:hAnsi="Times New Roman" w:eastAsia="宋体" w:cs="Times New Roman"/>
                <w:b w:val="0"/>
                <w:color w:val="auto"/>
                <w:kern w:val="2"/>
                <w:sz w:val="24"/>
                <w:szCs w:val="24"/>
                <w:highlight w:val="none"/>
                <w:lang w:val="en-US" w:eastAsia="zh-CN" w:bidi="ar-SA"/>
              </w:rPr>
            </w:pPr>
            <w:r>
              <w:rPr>
                <w:rFonts w:hint="eastAsia" w:cs="Times New Roman"/>
                <w:b w:val="0"/>
                <w:color w:val="auto"/>
                <w:kern w:val="2"/>
                <w:sz w:val="24"/>
                <w:szCs w:val="24"/>
                <w:highlight w:val="none"/>
                <w:lang w:val="en-US" w:eastAsia="zh-CN" w:bidi="ar-SA"/>
              </w:rPr>
              <w:t>B.喷漆工序颗粒物</w:t>
            </w:r>
          </w:p>
          <w:p>
            <w:pPr>
              <w:keepNext w:val="0"/>
              <w:keepLines w:val="0"/>
              <w:pageBreakBefore w:val="0"/>
              <w:kinsoku/>
              <w:wordWrap/>
              <w:overflowPunct/>
              <w:topLinePunct w:val="0"/>
              <w:autoSpaceDE/>
              <w:autoSpaceDN/>
              <w:bidi w:val="0"/>
              <w:adjustRightInd w:val="0"/>
              <w:snapToGrid w:val="0"/>
              <w:spacing w:line="360" w:lineRule="auto"/>
              <w:ind w:left="0" w:leftChars="0" w:right="0" w:firstLine="480" w:firstLineChars="200"/>
              <w:textAlignment w:val="auto"/>
              <w:outlineLvl w:val="9"/>
              <w:rPr>
                <w:rFonts w:hint="default" w:ascii="Times New Roman" w:hAnsi="Times New Roman" w:eastAsia="宋体" w:cs="Times New Roman"/>
                <w:b w:val="0"/>
                <w:color w:val="auto"/>
                <w:kern w:val="2"/>
                <w:sz w:val="24"/>
                <w:szCs w:val="24"/>
                <w:highlight w:val="none"/>
                <w:lang w:val="en-US" w:eastAsia="zh-CN" w:bidi="ar-SA"/>
              </w:rPr>
            </w:pPr>
            <w:r>
              <w:rPr>
                <w:rFonts w:hint="eastAsia" w:cs="Times New Roman"/>
                <w:b w:val="0"/>
                <w:color w:val="auto"/>
                <w:kern w:val="2"/>
                <w:sz w:val="24"/>
                <w:szCs w:val="24"/>
                <w:highlight w:val="none"/>
                <w:lang w:val="en-US" w:eastAsia="zh-CN" w:bidi="ar-SA"/>
              </w:rPr>
              <w:t>喷漆工序颗粒物产生量为0.4t/a，收集效率按照90%计算，故无组织颗粒物产生量为0.04t/a。</w:t>
            </w:r>
          </w:p>
          <w:p>
            <w:pPr>
              <w:pStyle w:val="6"/>
              <w:pageBreakBefore w:val="0"/>
              <w:kinsoku/>
              <w:wordWrap/>
              <w:overflowPunct/>
              <w:topLinePunct w:val="0"/>
              <w:autoSpaceDE/>
              <w:autoSpaceDN/>
              <w:bidi w:val="0"/>
              <w:adjustRightInd w:val="0"/>
              <w:snapToGrid w:val="0"/>
              <w:spacing w:before="0" w:after="0" w:line="360" w:lineRule="auto"/>
              <w:ind w:left="0" w:leftChars="0" w:right="0" w:firstLine="480" w:firstLineChars="200"/>
              <w:textAlignment w:val="auto"/>
              <w:outlineLvl w:val="9"/>
              <w:rPr>
                <w:rFonts w:hint="default" w:ascii="Times New Roman" w:hAnsi="Times New Roman" w:eastAsia="宋体" w:cs="Times New Roman"/>
                <w:b w:val="0"/>
                <w:color w:val="auto"/>
                <w:kern w:val="2"/>
                <w:sz w:val="24"/>
                <w:szCs w:val="24"/>
                <w:highlight w:val="none"/>
                <w:lang w:val="en-US" w:eastAsia="zh-CN" w:bidi="ar-SA"/>
              </w:rPr>
            </w:pPr>
            <w:r>
              <w:rPr>
                <w:rFonts w:hint="eastAsia" w:cs="Times New Roman"/>
                <w:b w:val="0"/>
                <w:color w:val="auto"/>
                <w:kern w:val="2"/>
                <w:sz w:val="24"/>
                <w:szCs w:val="24"/>
                <w:highlight w:val="none"/>
                <w:lang w:val="en-US" w:eastAsia="zh-CN" w:bidi="ar-SA"/>
              </w:rPr>
              <w:t>C.焊接工序颗粒物</w:t>
            </w:r>
          </w:p>
          <w:p>
            <w:pPr>
              <w:keepNext w:val="0"/>
              <w:keepLines w:val="0"/>
              <w:pageBreakBefore w:val="0"/>
              <w:kinsoku/>
              <w:wordWrap/>
              <w:overflowPunct/>
              <w:topLinePunct w:val="0"/>
              <w:autoSpaceDE/>
              <w:autoSpaceDN/>
              <w:bidi w:val="0"/>
              <w:adjustRightInd/>
              <w:spacing w:line="360" w:lineRule="auto"/>
              <w:ind w:firstLine="480" w:firstLineChars="200"/>
              <w:textAlignment w:val="auto"/>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本项目在运营生产过程中</w:t>
            </w:r>
            <w:r>
              <w:rPr>
                <w:rFonts w:hint="eastAsia" w:eastAsia="宋体" w:cs="Times New Roman"/>
                <w:color w:val="auto"/>
                <w:highlight w:val="none"/>
                <w:lang w:eastAsia="zh-CN"/>
              </w:rPr>
              <w:t>，</w:t>
            </w:r>
            <w:r>
              <w:rPr>
                <w:rFonts w:hint="eastAsia" w:eastAsia="宋体" w:cs="Times New Roman"/>
                <w:color w:val="auto"/>
                <w:highlight w:val="none"/>
                <w:lang w:val="en-US" w:eastAsia="zh-CN"/>
              </w:rPr>
              <w:t>切割工序外委，本环评不对切割工序产生的颗粒物进行分析。</w:t>
            </w:r>
            <w:r>
              <w:rPr>
                <w:rFonts w:hint="default" w:ascii="Times New Roman" w:hAnsi="Times New Roman" w:eastAsia="宋体" w:cs="Times New Roman"/>
                <w:color w:val="auto"/>
                <w:highlight w:val="none"/>
              </w:rPr>
              <w:t>焊接过程中会产生</w:t>
            </w:r>
            <w:r>
              <w:rPr>
                <w:rFonts w:hint="default" w:ascii="Times New Roman" w:hAnsi="Times New Roman" w:eastAsia="宋体" w:cs="Times New Roman"/>
                <w:color w:val="auto"/>
                <w:highlight w:val="none"/>
                <w:lang w:val="en-US" w:eastAsia="zh-CN"/>
              </w:rPr>
              <w:t>少量的粉尘（金属屑）</w:t>
            </w:r>
            <w:r>
              <w:rPr>
                <w:rFonts w:hint="eastAsia" w:eastAsia="宋体" w:cs="Times New Roman"/>
                <w:color w:val="auto"/>
                <w:highlight w:val="none"/>
                <w:lang w:val="en-US" w:eastAsia="zh-CN"/>
              </w:rPr>
              <w:t>。</w:t>
            </w:r>
            <w:r>
              <w:rPr>
                <w:rFonts w:hint="default" w:ascii="Times New Roman" w:hAnsi="Times New Roman" w:eastAsia="宋体" w:cs="Times New Roman"/>
                <w:color w:val="auto"/>
                <w:highlight w:val="none"/>
              </w:rPr>
              <w:t>焊接过程中会产生颗粒物浓度均极低，根据查阅资料《排放源统计调查产排污核算方法和系数手册》，焊接过程中会产生焊接烟尘，焊接烟尘产污系数为20.2千克/吨-原料，本项目使用焊丝</w:t>
            </w:r>
            <w:r>
              <w:rPr>
                <w:rFonts w:hint="eastAsia" w:eastAsia="宋体" w:cs="Times New Roman"/>
                <w:color w:val="auto"/>
                <w:highlight w:val="none"/>
                <w:lang w:val="en-US" w:eastAsia="zh-CN"/>
              </w:rPr>
              <w:t>3</w:t>
            </w:r>
            <w:r>
              <w:rPr>
                <w:rFonts w:hint="default" w:ascii="Times New Roman" w:hAnsi="Times New Roman" w:eastAsia="宋体" w:cs="Times New Roman"/>
                <w:color w:val="auto"/>
                <w:highlight w:val="none"/>
              </w:rPr>
              <w:t>t/a，则颗粒物产生量</w:t>
            </w:r>
            <w:r>
              <w:rPr>
                <w:rFonts w:hint="eastAsia" w:eastAsia="宋体" w:cs="Times New Roman"/>
                <w:color w:val="auto"/>
                <w:highlight w:val="none"/>
                <w:lang w:val="en-US" w:eastAsia="zh-CN"/>
              </w:rPr>
              <w:t>0.06</w:t>
            </w:r>
            <w:r>
              <w:rPr>
                <w:rFonts w:hint="default" w:ascii="Times New Roman" w:hAnsi="Times New Roman" w:eastAsia="宋体" w:cs="Times New Roman"/>
                <w:color w:val="auto"/>
                <w:highlight w:val="none"/>
              </w:rPr>
              <w:t>t/a。</w:t>
            </w:r>
          </w:p>
          <w:p>
            <w:pPr>
              <w:pStyle w:val="28"/>
              <w:spacing w:line="360" w:lineRule="auto"/>
              <w:ind w:left="0" w:leftChars="0" w:firstLine="0" w:firstLineChars="0"/>
              <w:rPr>
                <w:rFonts w:hint="eastAsia" w:ascii="Times New Roman" w:hAnsi="Times New Roman" w:eastAsia="宋体" w:cs="Times New Roman"/>
                <w:b/>
                <w:bCs/>
                <w:color w:val="auto"/>
                <w:kern w:val="2"/>
                <w:sz w:val="24"/>
                <w:szCs w:val="32"/>
                <w:highlight w:val="none"/>
                <w:lang w:val="en-US" w:eastAsia="zh-CN" w:bidi="ar-SA"/>
              </w:rPr>
            </w:pPr>
            <w:r>
              <w:rPr>
                <w:rFonts w:hint="eastAsia" w:ascii="Times New Roman" w:hAnsi="Times New Roman" w:eastAsia="宋体" w:cs="Times New Roman"/>
                <w:b/>
                <w:bCs/>
                <w:color w:val="auto"/>
                <w:kern w:val="2"/>
                <w:sz w:val="24"/>
                <w:szCs w:val="32"/>
                <w:highlight w:val="none"/>
                <w:lang w:val="en-US" w:eastAsia="zh-CN" w:bidi="ar-SA"/>
              </w:rPr>
              <w:t>1.</w:t>
            </w:r>
            <w:r>
              <w:rPr>
                <w:rFonts w:hint="eastAsia" w:cs="Times New Roman"/>
                <w:b/>
                <w:bCs/>
                <w:color w:val="auto"/>
                <w:kern w:val="2"/>
                <w:sz w:val="24"/>
                <w:szCs w:val="32"/>
                <w:highlight w:val="none"/>
                <w:lang w:val="en-US" w:eastAsia="zh-CN" w:bidi="ar-SA"/>
              </w:rPr>
              <w:t>2</w:t>
            </w:r>
            <w:r>
              <w:rPr>
                <w:rFonts w:hint="eastAsia" w:ascii="Times New Roman" w:hAnsi="Times New Roman" w:eastAsia="宋体" w:cs="Times New Roman"/>
                <w:b/>
                <w:bCs/>
                <w:color w:val="auto"/>
                <w:kern w:val="2"/>
                <w:sz w:val="24"/>
                <w:szCs w:val="32"/>
                <w:highlight w:val="none"/>
                <w:lang w:val="en-US" w:eastAsia="zh-CN" w:bidi="ar-SA"/>
              </w:rPr>
              <w:t>污染物排放情况</w:t>
            </w:r>
          </w:p>
          <w:p>
            <w:pPr>
              <w:spacing w:line="360" w:lineRule="auto"/>
              <w:ind w:firstLine="480" w:firstLineChars="200"/>
              <w:rPr>
                <w:rFonts w:hint="default" w:eastAsia="宋体" w:cs="Times New Roman"/>
                <w:color w:val="auto"/>
                <w:highlight w:val="none"/>
                <w:lang w:val="en-US" w:eastAsia="zh-CN"/>
              </w:rPr>
            </w:pPr>
            <w:r>
              <w:rPr>
                <w:rFonts w:hint="eastAsia" w:cs="Times New Roman"/>
                <w:color w:val="auto"/>
                <w:highlight w:val="none"/>
                <w:lang w:eastAsia="zh-CN"/>
              </w:rPr>
              <w:t>（</w:t>
            </w:r>
            <w:r>
              <w:rPr>
                <w:rFonts w:hint="eastAsia" w:cs="Times New Roman"/>
                <w:color w:val="auto"/>
                <w:highlight w:val="none"/>
                <w:lang w:val="en-US" w:eastAsia="zh-CN"/>
              </w:rPr>
              <w:t>1</w:t>
            </w:r>
            <w:r>
              <w:rPr>
                <w:rFonts w:hint="eastAsia" w:cs="Times New Roman"/>
                <w:color w:val="auto"/>
                <w:highlight w:val="none"/>
                <w:lang w:eastAsia="zh-CN"/>
              </w:rPr>
              <w:t>）</w:t>
            </w:r>
            <w:r>
              <w:rPr>
                <w:rFonts w:hint="eastAsia" w:cs="Times New Roman"/>
                <w:color w:val="auto"/>
                <w:highlight w:val="none"/>
                <w:lang w:val="en-US" w:eastAsia="zh-CN"/>
              </w:rPr>
              <w:t>有组织废气</w:t>
            </w:r>
          </w:p>
          <w:p>
            <w:pPr>
              <w:spacing w:line="360" w:lineRule="auto"/>
              <w:ind w:firstLine="480" w:firstLineChars="200"/>
              <w:rPr>
                <w:rFonts w:hint="default" w:eastAsia="宋体" w:cs="Times New Roman"/>
                <w:color w:val="auto"/>
                <w:highlight w:val="none"/>
                <w:lang w:val="en-US" w:eastAsia="zh-CN"/>
              </w:rPr>
            </w:pPr>
            <w:r>
              <w:rPr>
                <w:rFonts w:hint="eastAsia" w:cs="Times New Roman"/>
                <w:color w:val="auto"/>
                <w:highlight w:val="none"/>
                <w:lang w:val="en-US" w:eastAsia="zh-CN"/>
              </w:rPr>
              <w:t>A.非甲烷总烃</w:t>
            </w:r>
          </w:p>
          <w:p>
            <w:pPr>
              <w:widowControl/>
              <w:spacing w:line="360" w:lineRule="auto"/>
              <w:ind w:firstLine="480" w:firstLineChars="200"/>
              <w:rPr>
                <w:rFonts w:hint="default"/>
                <w:color w:val="auto"/>
                <w:highlight w:val="none"/>
                <w:lang w:val="en-US" w:eastAsia="zh-CN"/>
              </w:rPr>
            </w:pPr>
            <w:r>
              <w:rPr>
                <w:rFonts w:hint="eastAsia" w:cs="Times New Roman"/>
                <w:color w:val="auto"/>
                <w:sz w:val="24"/>
                <w:highlight w:val="none"/>
                <w:lang w:val="en-US" w:eastAsia="zh-CN"/>
              </w:rPr>
              <w:t>本项目年工作330天，调漆时长为10min/d、喷漆时长为1h/d、晾干时长为2h50min/d，则工作总时长为4h/d，共1320h/a。</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eastAsia="宋体" w:cs="Times New Roman"/>
                <w:color w:val="auto"/>
                <w:kern w:val="2"/>
                <w:sz w:val="24"/>
                <w:szCs w:val="24"/>
                <w:highlight w:val="none"/>
                <w:lang w:val="en-US" w:eastAsia="zh-CN" w:bidi="ar-SA"/>
              </w:rPr>
            </w:pPr>
            <w:r>
              <w:rPr>
                <w:rFonts w:hint="eastAsia" w:cs="Times New Roman"/>
                <w:color w:val="auto"/>
                <w:kern w:val="2"/>
                <w:sz w:val="24"/>
                <w:szCs w:val="24"/>
                <w:highlight w:val="none"/>
                <w:lang w:val="en-US" w:eastAsia="zh-CN" w:bidi="ar-SA"/>
              </w:rPr>
              <w:t>非甲烷总烃有组织排放量为0.07t/a，排放速率为0.055kg/h，排放浓度为3.75mg/m</w:t>
            </w:r>
            <w:r>
              <w:rPr>
                <w:rFonts w:hint="eastAsia" w:cs="Times New Roman"/>
                <w:color w:val="auto"/>
                <w:kern w:val="2"/>
                <w:sz w:val="24"/>
                <w:szCs w:val="24"/>
                <w:highlight w:val="none"/>
                <w:vertAlign w:val="superscript"/>
                <w:lang w:val="en-US" w:eastAsia="zh-CN" w:bidi="ar-SA"/>
              </w:rPr>
              <w:t>3</w:t>
            </w:r>
            <w:r>
              <w:rPr>
                <w:rFonts w:hint="eastAsia" w:cs="Times New Roman"/>
                <w:color w:val="auto"/>
                <w:kern w:val="2"/>
                <w:sz w:val="24"/>
                <w:szCs w:val="24"/>
                <w:highlight w:val="none"/>
                <w:lang w:val="en-US" w:eastAsia="zh-CN" w:bidi="ar-SA"/>
              </w:rPr>
              <w:t>。</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eastAsia="宋体" w:cs="Times New Roman"/>
                <w:color w:val="auto"/>
                <w:kern w:val="2"/>
                <w:sz w:val="24"/>
                <w:szCs w:val="24"/>
                <w:highlight w:val="none"/>
                <w:lang w:val="en-US" w:eastAsia="zh-CN" w:bidi="ar-SA"/>
              </w:rPr>
            </w:pPr>
            <w:r>
              <w:rPr>
                <w:rFonts w:hint="eastAsia" w:cs="Times New Roman"/>
                <w:color w:val="auto"/>
                <w:kern w:val="2"/>
                <w:sz w:val="24"/>
                <w:szCs w:val="24"/>
                <w:highlight w:val="none"/>
                <w:lang w:val="en-US" w:eastAsia="zh-CN" w:bidi="ar-SA"/>
              </w:rPr>
              <w:t>B.颗粒物有组织排放量为0.09t/a，排放速率为0.068kg/h，排放浓度为4.5mg/m</w:t>
            </w:r>
            <w:r>
              <w:rPr>
                <w:rFonts w:hint="eastAsia" w:cs="Times New Roman"/>
                <w:color w:val="auto"/>
                <w:kern w:val="2"/>
                <w:sz w:val="24"/>
                <w:szCs w:val="24"/>
                <w:highlight w:val="none"/>
                <w:vertAlign w:val="superscript"/>
                <w:lang w:val="en-US" w:eastAsia="zh-CN" w:bidi="ar-SA"/>
              </w:rPr>
              <w:t>3</w:t>
            </w:r>
            <w:r>
              <w:rPr>
                <w:rFonts w:hint="eastAsia" w:cs="Times New Roman"/>
                <w:color w:val="auto"/>
                <w:kern w:val="2"/>
                <w:sz w:val="24"/>
                <w:szCs w:val="24"/>
                <w:highlight w:val="none"/>
                <w:lang w:val="en-US" w:eastAsia="zh-CN" w:bidi="ar-SA"/>
              </w:rPr>
              <w:t>。</w:t>
            </w:r>
          </w:p>
          <w:p>
            <w:pPr>
              <w:spacing w:line="360" w:lineRule="auto"/>
              <w:ind w:firstLine="480" w:firstLineChars="200"/>
              <w:rPr>
                <w:rFonts w:hint="default" w:eastAsia="宋体" w:cs="Times New Roman"/>
                <w:color w:val="auto"/>
                <w:highlight w:val="none"/>
                <w:lang w:val="en-US" w:eastAsia="zh-CN"/>
              </w:rPr>
            </w:pPr>
            <w:r>
              <w:rPr>
                <w:rFonts w:hint="eastAsia" w:cs="Times New Roman"/>
                <w:color w:val="auto"/>
                <w:highlight w:val="none"/>
                <w:lang w:val="en-US" w:eastAsia="zh-CN"/>
              </w:rPr>
              <w:t>（2）无组织废气</w:t>
            </w:r>
          </w:p>
          <w:p>
            <w:pPr>
              <w:spacing w:line="360" w:lineRule="auto"/>
              <w:ind w:firstLine="480" w:firstLineChars="200"/>
              <w:rPr>
                <w:rFonts w:hint="default" w:eastAsia="宋体" w:cs="Times New Roman"/>
                <w:color w:val="auto"/>
                <w:highlight w:val="none"/>
                <w:lang w:val="en-US" w:eastAsia="zh-CN"/>
              </w:rPr>
            </w:pPr>
            <w:r>
              <w:rPr>
                <w:rFonts w:hint="eastAsia" w:cs="Times New Roman"/>
                <w:color w:val="auto"/>
                <w:highlight w:val="none"/>
                <w:lang w:val="en-US" w:eastAsia="zh-CN"/>
              </w:rPr>
              <w:t>A.非甲烷总烃</w:t>
            </w:r>
          </w:p>
          <w:p>
            <w:pPr>
              <w:spacing w:line="360" w:lineRule="auto"/>
              <w:ind w:firstLine="480" w:firstLineChars="200"/>
              <w:rPr>
                <w:rFonts w:hint="default" w:ascii="Times New Roman" w:hAnsi="Times New Roman" w:eastAsia="宋体" w:cs="Times New Roman"/>
                <w:color w:val="auto"/>
                <w:highlight w:val="none"/>
              </w:rPr>
            </w:pPr>
            <w:r>
              <w:rPr>
                <w:rFonts w:hint="eastAsia" w:cs="Times New Roman"/>
                <w:color w:val="auto"/>
                <w:sz w:val="24"/>
                <w:szCs w:val="24"/>
                <w:highlight w:val="none"/>
                <w:lang w:val="en-US" w:eastAsia="zh-CN"/>
              </w:rPr>
              <w:t>非甲烷总无组织排放量为0.03t/a，排放速率为0.025kg/h，</w:t>
            </w:r>
            <w:r>
              <w:rPr>
                <w:rFonts w:hint="eastAsia" w:ascii="Times New Roman" w:hAnsi="Times New Roman" w:eastAsia="宋体" w:cs="Times New Roman"/>
                <w:color w:val="auto"/>
                <w:highlight w:val="none"/>
                <w:lang w:val="en-US" w:eastAsia="zh-CN"/>
              </w:rPr>
              <w:t>根据《环境影响评价技术导则 大气环境》（HJ2.2-2018）的规定，选择项目污染源正常排放的主要污染物及排放系数，采用附录 A 推荐的 AERSCREEN 估算模型计算项目污染源的最大环境影响，经估算，最大落地浓度为</w:t>
            </w:r>
            <w:r>
              <w:rPr>
                <w:rFonts w:hint="eastAsia" w:cs="Times New Roman"/>
                <w:color w:val="auto"/>
                <w:highlight w:val="none"/>
                <w:lang w:val="en-US" w:eastAsia="zh-CN"/>
              </w:rPr>
              <w:t>235.35</w:t>
            </w:r>
            <w:r>
              <w:rPr>
                <w:rFonts w:hint="eastAsia" w:ascii="Times New Roman" w:hAnsi="Times New Roman" w:eastAsia="宋体" w:cs="Times New Roman"/>
                <w:color w:val="auto"/>
                <w:highlight w:val="none"/>
                <w:lang w:val="en-US" w:eastAsia="zh-CN"/>
              </w:rPr>
              <w:t>ug/m³，落地距离为厂房外</w:t>
            </w:r>
            <w:r>
              <w:rPr>
                <w:rFonts w:hint="eastAsia" w:cs="Times New Roman"/>
                <w:color w:val="auto"/>
                <w:highlight w:val="none"/>
                <w:lang w:val="en-US" w:eastAsia="zh-CN"/>
              </w:rPr>
              <w:t>25</w:t>
            </w:r>
            <w:r>
              <w:rPr>
                <w:rFonts w:hint="eastAsia" w:ascii="Times New Roman" w:hAnsi="Times New Roman" w:eastAsia="宋体" w:cs="Times New Roman"/>
                <w:color w:val="auto"/>
                <w:highlight w:val="none"/>
                <w:lang w:val="en-US" w:eastAsia="zh-CN"/>
              </w:rPr>
              <w:t>m，满足相关标准要求</w:t>
            </w:r>
            <w:r>
              <w:rPr>
                <w:rFonts w:hint="default" w:ascii="Times New Roman" w:hAnsi="Times New Roman" w:eastAsia="宋体" w:cs="Times New Roman"/>
                <w:color w:val="auto"/>
                <w:highlight w:val="none"/>
              </w:rPr>
              <w:t>。</w:t>
            </w:r>
          </w:p>
          <w:p>
            <w:pPr>
              <w:pStyle w:val="2"/>
              <w:pageBreakBefore w:val="0"/>
              <w:kinsoku/>
              <w:wordWrap/>
              <w:overflowPunct/>
              <w:topLinePunct w:val="0"/>
              <w:autoSpaceDE/>
              <w:autoSpaceDN/>
              <w:bidi w:val="0"/>
              <w:adjustRightInd w:val="0"/>
              <w:snapToGrid w:val="0"/>
              <w:spacing w:after="0" w:line="360" w:lineRule="auto"/>
              <w:ind w:left="0" w:leftChars="0" w:right="0" w:firstLine="480" w:firstLineChars="200"/>
              <w:jc w:val="both"/>
              <w:textAlignment w:val="auto"/>
              <w:outlineLvl w:val="9"/>
              <w:rPr>
                <w:rFonts w:hint="default" w:eastAsia="宋体" w:cs="Times New Roman"/>
                <w:color w:val="auto"/>
                <w:sz w:val="24"/>
                <w:szCs w:val="24"/>
                <w:highlight w:val="none"/>
                <w:lang w:val="en-US" w:eastAsia="zh-CN"/>
              </w:rPr>
            </w:pPr>
            <w:r>
              <w:rPr>
                <w:rFonts w:hint="eastAsia" w:cs="Times New Roman"/>
                <w:color w:val="auto"/>
                <w:sz w:val="24"/>
                <w:szCs w:val="24"/>
                <w:highlight w:val="none"/>
                <w:lang w:val="en-US" w:eastAsia="zh-CN"/>
              </w:rPr>
              <w:t>B.无组织颗粒物</w:t>
            </w:r>
          </w:p>
          <w:p>
            <w:pPr>
              <w:spacing w:line="360" w:lineRule="auto"/>
              <w:ind w:firstLine="480" w:firstLineChars="200"/>
              <w:rPr>
                <w:rFonts w:hint="default" w:ascii="Times New Roman" w:hAnsi="Times New Roman" w:eastAsia="宋体" w:cs="Times New Roman"/>
                <w:color w:val="auto"/>
                <w:highlight w:val="none"/>
              </w:rPr>
            </w:pPr>
            <w:r>
              <w:rPr>
                <w:rFonts w:hint="eastAsia" w:cs="Times New Roman"/>
                <w:b w:val="0"/>
                <w:color w:val="auto"/>
                <w:kern w:val="2"/>
                <w:sz w:val="24"/>
                <w:szCs w:val="24"/>
                <w:highlight w:val="none"/>
                <w:lang w:val="en-US" w:eastAsia="zh-CN" w:bidi="ar-SA"/>
              </w:rPr>
              <w:t>喷漆房无组织颗粒物排放量为0.04t/a，焊接工序排放无组织颗粒物为0.01t/a，则本项目无组织颗粒物排放速率为0.037kg/h，</w:t>
            </w:r>
            <w:r>
              <w:rPr>
                <w:rFonts w:hint="eastAsia" w:ascii="Times New Roman" w:hAnsi="Times New Roman" w:eastAsia="宋体" w:cs="Times New Roman"/>
                <w:color w:val="auto"/>
                <w:highlight w:val="none"/>
                <w:lang w:val="en-US" w:eastAsia="zh-CN"/>
              </w:rPr>
              <w:t>根据《环境影响评价技术导则 大气环境》（HJ2.2-2018）的规定，选择项目污染源正常排放的主要污染物及排放系数，采用附录 A 推荐的 AERSCREEN 估算模型计算项目污染源的最大环境影响，经估算，最大落地浓度为</w:t>
            </w:r>
            <w:r>
              <w:rPr>
                <w:rFonts w:hint="eastAsia" w:cs="Times New Roman"/>
                <w:color w:val="auto"/>
                <w:highlight w:val="none"/>
                <w:lang w:val="en-US" w:eastAsia="zh-CN"/>
              </w:rPr>
              <w:t>19.176</w:t>
            </w:r>
            <w:r>
              <w:rPr>
                <w:rFonts w:hint="eastAsia" w:ascii="Times New Roman" w:hAnsi="Times New Roman" w:eastAsia="宋体" w:cs="Times New Roman"/>
                <w:color w:val="auto"/>
                <w:highlight w:val="none"/>
                <w:lang w:val="en-US" w:eastAsia="zh-CN"/>
              </w:rPr>
              <w:t>ug/m³，落地距离为厂房外</w:t>
            </w:r>
            <w:r>
              <w:rPr>
                <w:rFonts w:hint="eastAsia" w:cs="Times New Roman"/>
                <w:color w:val="auto"/>
                <w:highlight w:val="none"/>
                <w:lang w:val="en-US" w:eastAsia="zh-CN"/>
              </w:rPr>
              <w:t>70</w:t>
            </w:r>
            <w:r>
              <w:rPr>
                <w:rFonts w:hint="eastAsia" w:ascii="Times New Roman" w:hAnsi="Times New Roman" w:eastAsia="宋体" w:cs="Times New Roman"/>
                <w:color w:val="auto"/>
                <w:highlight w:val="none"/>
                <w:lang w:val="en-US" w:eastAsia="zh-CN"/>
              </w:rPr>
              <w:t>m，满足相关标准要求</w:t>
            </w:r>
            <w:r>
              <w:rPr>
                <w:rFonts w:hint="default" w:ascii="Times New Roman" w:hAnsi="Times New Roman" w:eastAsia="宋体" w:cs="Times New Roman"/>
                <w:color w:val="auto"/>
                <w:highlight w:val="none"/>
              </w:rPr>
              <w:t>。</w:t>
            </w:r>
          </w:p>
          <w:p>
            <w:pPr>
              <w:pStyle w:val="28"/>
              <w:spacing w:line="240" w:lineRule="auto"/>
              <w:ind w:left="0" w:leftChars="0" w:firstLine="0" w:firstLineChars="0"/>
              <w:jc w:val="center"/>
              <w:rPr>
                <w:rFonts w:hint="default" w:cs="Times New Roman"/>
                <w:b/>
                <w:bCs/>
                <w:color w:val="auto"/>
                <w:kern w:val="2"/>
                <w:sz w:val="24"/>
                <w:szCs w:val="32"/>
                <w:highlight w:val="none"/>
                <w:lang w:val="en-US" w:eastAsia="zh-CN" w:bidi="ar-SA"/>
              </w:rPr>
            </w:pPr>
            <w:r>
              <w:rPr>
                <w:rFonts w:hint="eastAsia" w:cs="Times New Roman"/>
                <w:b/>
                <w:bCs/>
                <w:color w:val="auto"/>
                <w:kern w:val="2"/>
                <w:sz w:val="24"/>
                <w:szCs w:val="32"/>
                <w:highlight w:val="none"/>
                <w:lang w:val="en-US" w:eastAsia="zh-CN" w:bidi="ar-SA"/>
              </w:rPr>
              <w:t>表4-1  本项目污染物排放情况一览表</w:t>
            </w:r>
          </w:p>
          <w:tbl>
            <w:tblPr>
              <w:tblStyle w:val="32"/>
              <w:tblpPr w:leftFromText="180" w:rightFromText="180" w:vertAnchor="text" w:tblpXSpec="center" w:tblpY="1"/>
              <w:tblOverlap w:val="never"/>
              <w:tblW w:w="4997" w:type="pct"/>
              <w:tblInd w:w="0" w:type="dxa"/>
              <w:tblBorders>
                <w:top w:val="single" w:color="auto" w:sz="2" w:space="0"/>
                <w:left w:val="single" w:color="auto" w:sz="2" w:space="0"/>
                <w:bottom w:val="single" w:color="auto" w:sz="2" w:space="0"/>
                <w:right w:val="single" w:color="auto" w:sz="2" w:space="0"/>
                <w:insideH w:val="single" w:color="auto" w:sz="4" w:space="0"/>
                <w:insideV w:val="single" w:color="auto" w:sz="4" w:space="0"/>
              </w:tblBorders>
              <w:tblLayout w:type="fixed"/>
              <w:tblCellMar>
                <w:top w:w="0" w:type="dxa"/>
                <w:left w:w="108" w:type="dxa"/>
                <w:bottom w:w="0" w:type="dxa"/>
                <w:right w:w="108" w:type="dxa"/>
              </w:tblCellMar>
            </w:tblPr>
            <w:tblGrid>
              <w:gridCol w:w="1439"/>
              <w:gridCol w:w="1356"/>
              <w:gridCol w:w="1391"/>
              <w:gridCol w:w="1105"/>
              <w:gridCol w:w="1464"/>
              <w:gridCol w:w="1647"/>
            </w:tblGrid>
            <w:tr>
              <w:tblPrEx>
                <w:tblBorders>
                  <w:top w:val="single" w:color="auto" w:sz="2" w:space="0"/>
                  <w:left w:val="single" w:color="auto" w:sz="2" w:space="0"/>
                  <w:bottom w:val="single" w:color="auto" w:sz="2" w:space="0"/>
                  <w:right w:val="single" w:color="auto" w:sz="2"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856" w:type="pct"/>
                  <w:noWrap/>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rPr>
                  </w:pPr>
                  <w:r>
                    <w:rPr>
                      <w:rFonts w:hint="eastAsia" w:cs="Times New Roman"/>
                      <w:color w:val="auto"/>
                      <w:sz w:val="21"/>
                      <w:szCs w:val="21"/>
                      <w:highlight w:val="none"/>
                      <w:lang w:val="en-US" w:eastAsia="zh-CN"/>
                    </w:rPr>
                    <w:t>类型</w:t>
                  </w:r>
                </w:p>
              </w:tc>
              <w:tc>
                <w:tcPr>
                  <w:tcW w:w="806" w:type="pct"/>
                  <w:noWrap/>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产污环节</w:t>
                  </w:r>
                </w:p>
              </w:tc>
              <w:tc>
                <w:tcPr>
                  <w:tcW w:w="827" w:type="pct"/>
                  <w:noWrap/>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污染因子</w:t>
                  </w:r>
                </w:p>
              </w:tc>
              <w:tc>
                <w:tcPr>
                  <w:tcW w:w="657" w:type="pct"/>
                  <w:noWrap/>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排放量t/a</w:t>
                  </w:r>
                </w:p>
              </w:tc>
              <w:tc>
                <w:tcPr>
                  <w:tcW w:w="871" w:type="pct"/>
                  <w:noWrap/>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排放速率kg/h</w:t>
                  </w:r>
                </w:p>
              </w:tc>
              <w:tc>
                <w:tcPr>
                  <w:tcW w:w="980" w:type="pct"/>
                  <w:noWrap/>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排放浓度mg/m</w:t>
                  </w:r>
                  <w:r>
                    <w:rPr>
                      <w:rFonts w:hint="default" w:ascii="Times New Roman" w:hAnsi="Times New Roman" w:eastAsia="宋体" w:cs="Times New Roman"/>
                      <w:color w:val="auto"/>
                      <w:sz w:val="21"/>
                      <w:szCs w:val="21"/>
                      <w:highlight w:val="none"/>
                      <w:vertAlign w:val="superscript"/>
                    </w:rPr>
                    <w:t>3</w:t>
                  </w:r>
                </w:p>
              </w:tc>
            </w:tr>
            <w:tr>
              <w:tblPrEx>
                <w:tblBorders>
                  <w:top w:val="single" w:color="auto" w:sz="2" w:space="0"/>
                  <w:left w:val="single" w:color="auto" w:sz="2" w:space="0"/>
                  <w:bottom w:val="single" w:color="auto" w:sz="2" w:space="0"/>
                  <w:right w:val="single" w:color="auto" w:sz="2" w:space="0"/>
                  <w:insideH w:val="single" w:color="auto" w:sz="4" w:space="0"/>
                  <w:insideV w:val="single" w:color="auto" w:sz="4" w:space="0"/>
                </w:tblBorders>
                <w:tblCellMar>
                  <w:top w:w="0" w:type="dxa"/>
                  <w:left w:w="108" w:type="dxa"/>
                  <w:bottom w:w="0" w:type="dxa"/>
                  <w:right w:w="108" w:type="dxa"/>
                </w:tblCellMar>
              </w:tblPrEx>
              <w:trPr>
                <w:trHeight w:val="178" w:hRule="atLeast"/>
              </w:trPr>
              <w:tc>
                <w:tcPr>
                  <w:tcW w:w="856" w:type="pct"/>
                  <w:vMerge w:val="restart"/>
                  <w:noWrap/>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有组织废气</w:t>
                  </w:r>
                </w:p>
              </w:tc>
              <w:tc>
                <w:tcPr>
                  <w:tcW w:w="806" w:type="pct"/>
                  <w:vMerge w:val="restart"/>
                  <w:noWrap/>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eastAsia="宋体" w:cs="Times New Roman"/>
                      <w:color w:val="auto"/>
                      <w:sz w:val="21"/>
                      <w:szCs w:val="21"/>
                      <w:highlight w:val="none"/>
                      <w:lang w:val="en-US" w:eastAsia="zh-CN"/>
                    </w:rPr>
                  </w:pPr>
                  <w:r>
                    <w:rPr>
                      <w:rFonts w:hint="eastAsia" w:eastAsia="宋体" w:cs="Times New Roman"/>
                      <w:color w:val="auto"/>
                      <w:sz w:val="21"/>
                      <w:szCs w:val="21"/>
                      <w:highlight w:val="none"/>
                      <w:lang w:val="en-US" w:eastAsia="zh-CN"/>
                    </w:rPr>
                    <w:t>喷涂（调漆、喷漆、晾干）</w:t>
                  </w:r>
                </w:p>
              </w:tc>
              <w:tc>
                <w:tcPr>
                  <w:tcW w:w="827" w:type="pct"/>
                  <w:noWrap/>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eastAsia" w:eastAsia="宋体" w:cs="Times New Roman"/>
                      <w:color w:val="auto"/>
                      <w:sz w:val="21"/>
                      <w:szCs w:val="21"/>
                      <w:highlight w:val="none"/>
                      <w:lang w:val="en-US" w:eastAsia="zh-CN"/>
                    </w:rPr>
                    <w:t>颗粒物</w:t>
                  </w:r>
                </w:p>
              </w:tc>
              <w:tc>
                <w:tcPr>
                  <w:tcW w:w="657" w:type="pct"/>
                  <w:noWrap/>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0.09</w:t>
                  </w:r>
                </w:p>
              </w:tc>
              <w:tc>
                <w:tcPr>
                  <w:tcW w:w="871" w:type="pct"/>
                  <w:noWrap/>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0.068</w:t>
                  </w:r>
                </w:p>
              </w:tc>
              <w:tc>
                <w:tcPr>
                  <w:tcW w:w="980" w:type="pct"/>
                  <w:noWrap/>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4.5</w:t>
                  </w:r>
                </w:p>
              </w:tc>
            </w:tr>
            <w:tr>
              <w:tblPrEx>
                <w:tblBorders>
                  <w:top w:val="single" w:color="auto" w:sz="2" w:space="0"/>
                  <w:left w:val="single" w:color="auto" w:sz="2" w:space="0"/>
                  <w:bottom w:val="single" w:color="auto" w:sz="2" w:space="0"/>
                  <w:right w:val="single" w:color="auto" w:sz="2" w:space="0"/>
                  <w:insideH w:val="single" w:color="auto" w:sz="4" w:space="0"/>
                  <w:insideV w:val="single" w:color="auto" w:sz="4" w:space="0"/>
                </w:tblBorders>
                <w:tblCellMar>
                  <w:top w:w="0" w:type="dxa"/>
                  <w:left w:w="108" w:type="dxa"/>
                  <w:bottom w:w="0" w:type="dxa"/>
                  <w:right w:w="108" w:type="dxa"/>
                </w:tblCellMar>
              </w:tblPrEx>
              <w:trPr>
                <w:trHeight w:val="521" w:hRule="atLeast"/>
              </w:trPr>
              <w:tc>
                <w:tcPr>
                  <w:tcW w:w="856" w:type="pct"/>
                  <w:vMerge w:val="continue"/>
                  <w:noWrap/>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color w:val="auto"/>
                      <w:sz w:val="21"/>
                      <w:szCs w:val="21"/>
                      <w:highlight w:val="none"/>
                    </w:rPr>
                  </w:pPr>
                </w:p>
              </w:tc>
              <w:tc>
                <w:tcPr>
                  <w:tcW w:w="806" w:type="pct"/>
                  <w:vMerge w:val="continue"/>
                  <w:noWrap/>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eastAsia" w:cs="Times New Roman"/>
                      <w:color w:val="auto"/>
                      <w:sz w:val="21"/>
                      <w:szCs w:val="21"/>
                      <w:highlight w:val="none"/>
                      <w:lang w:val="en-US" w:eastAsia="zh-CN"/>
                    </w:rPr>
                  </w:pPr>
                </w:p>
              </w:tc>
              <w:tc>
                <w:tcPr>
                  <w:tcW w:w="827" w:type="pct"/>
                  <w:noWrap/>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非甲烷总烃</w:t>
                  </w:r>
                </w:p>
              </w:tc>
              <w:tc>
                <w:tcPr>
                  <w:tcW w:w="657" w:type="pct"/>
                  <w:noWrap/>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auto"/>
                    <w:rPr>
                      <w:rFonts w:hint="default" w:eastAsia="宋体" w:cs="Times New Roman"/>
                      <w:color w:val="auto"/>
                      <w:sz w:val="21"/>
                      <w:szCs w:val="21"/>
                      <w:highlight w:val="none"/>
                      <w:lang w:val="en-US" w:eastAsia="zh-CN"/>
                    </w:rPr>
                  </w:pPr>
                  <w:r>
                    <w:rPr>
                      <w:rFonts w:hint="eastAsia" w:cs="Times New Roman"/>
                      <w:color w:val="auto"/>
                      <w:kern w:val="2"/>
                      <w:sz w:val="21"/>
                      <w:szCs w:val="21"/>
                      <w:highlight w:val="none"/>
                      <w:lang w:val="en-US" w:eastAsia="zh-CN" w:bidi="ar-SA"/>
                    </w:rPr>
                    <w:t>0.07</w:t>
                  </w:r>
                </w:p>
              </w:tc>
              <w:tc>
                <w:tcPr>
                  <w:tcW w:w="871" w:type="pct"/>
                  <w:noWrap/>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0.055</w:t>
                  </w:r>
                </w:p>
              </w:tc>
              <w:tc>
                <w:tcPr>
                  <w:tcW w:w="980" w:type="pct"/>
                  <w:noWrap/>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3.75</w:t>
                  </w:r>
                </w:p>
              </w:tc>
            </w:tr>
            <w:tr>
              <w:tblPrEx>
                <w:tblBorders>
                  <w:top w:val="single" w:color="auto" w:sz="2" w:space="0"/>
                  <w:left w:val="single" w:color="auto" w:sz="2" w:space="0"/>
                  <w:bottom w:val="single" w:color="auto" w:sz="2" w:space="0"/>
                  <w:right w:val="single" w:color="auto" w:sz="2" w:space="0"/>
                  <w:insideH w:val="single" w:color="auto" w:sz="4" w:space="0"/>
                  <w:insideV w:val="single" w:color="auto" w:sz="4" w:space="0"/>
                </w:tblBorders>
                <w:tblCellMar>
                  <w:top w:w="0" w:type="dxa"/>
                  <w:left w:w="108" w:type="dxa"/>
                  <w:bottom w:w="0" w:type="dxa"/>
                  <w:right w:w="108" w:type="dxa"/>
                </w:tblCellMar>
              </w:tblPrEx>
              <w:trPr>
                <w:trHeight w:val="191" w:hRule="atLeast"/>
              </w:trPr>
              <w:tc>
                <w:tcPr>
                  <w:tcW w:w="856" w:type="pct"/>
                  <w:vMerge w:val="restart"/>
                  <w:noWrap/>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无组织废气</w:t>
                  </w:r>
                </w:p>
              </w:tc>
              <w:tc>
                <w:tcPr>
                  <w:tcW w:w="806" w:type="pct"/>
                  <w:noWrap/>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焊接</w:t>
                  </w:r>
                </w:p>
              </w:tc>
              <w:tc>
                <w:tcPr>
                  <w:tcW w:w="827" w:type="pct"/>
                  <w:noWrap/>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颗粒物</w:t>
                  </w:r>
                </w:p>
              </w:tc>
              <w:tc>
                <w:tcPr>
                  <w:tcW w:w="657" w:type="pct"/>
                  <w:noWrap/>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0.01</w:t>
                  </w:r>
                </w:p>
              </w:tc>
              <w:tc>
                <w:tcPr>
                  <w:tcW w:w="871" w:type="pct"/>
                  <w:noWrap/>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0.0075</w:t>
                  </w:r>
                </w:p>
              </w:tc>
              <w:tc>
                <w:tcPr>
                  <w:tcW w:w="980" w:type="pct"/>
                  <w:noWrap/>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w:t>
                  </w:r>
                </w:p>
              </w:tc>
            </w:tr>
            <w:tr>
              <w:tblPrEx>
                <w:tblBorders>
                  <w:top w:val="single" w:color="auto" w:sz="2" w:space="0"/>
                  <w:left w:val="single" w:color="auto" w:sz="2" w:space="0"/>
                  <w:bottom w:val="single" w:color="auto" w:sz="2" w:space="0"/>
                  <w:right w:val="single" w:color="auto" w:sz="2" w:space="0"/>
                  <w:insideH w:val="single" w:color="auto" w:sz="4" w:space="0"/>
                  <w:insideV w:val="single" w:color="auto" w:sz="4" w:space="0"/>
                </w:tblBorders>
                <w:tblCellMar>
                  <w:top w:w="0" w:type="dxa"/>
                  <w:left w:w="108" w:type="dxa"/>
                  <w:bottom w:w="0" w:type="dxa"/>
                  <w:right w:w="108" w:type="dxa"/>
                </w:tblCellMar>
              </w:tblPrEx>
              <w:trPr>
                <w:trHeight w:val="194" w:hRule="atLeast"/>
              </w:trPr>
              <w:tc>
                <w:tcPr>
                  <w:tcW w:w="856" w:type="pct"/>
                  <w:vMerge w:val="continue"/>
                  <w:noWrap/>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eastAsia" w:cs="Times New Roman"/>
                      <w:color w:val="auto"/>
                      <w:sz w:val="21"/>
                      <w:szCs w:val="21"/>
                      <w:highlight w:val="none"/>
                      <w:lang w:val="en-US" w:eastAsia="zh-CN"/>
                    </w:rPr>
                  </w:pPr>
                </w:p>
              </w:tc>
              <w:tc>
                <w:tcPr>
                  <w:tcW w:w="806" w:type="pct"/>
                  <w:vMerge w:val="restart"/>
                  <w:noWrap/>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喷漆房</w:t>
                  </w:r>
                </w:p>
              </w:tc>
              <w:tc>
                <w:tcPr>
                  <w:tcW w:w="827" w:type="pct"/>
                  <w:noWrap/>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颗粒物</w:t>
                  </w:r>
                </w:p>
              </w:tc>
              <w:tc>
                <w:tcPr>
                  <w:tcW w:w="657" w:type="pct"/>
                  <w:noWrap/>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0.04</w:t>
                  </w:r>
                </w:p>
              </w:tc>
              <w:tc>
                <w:tcPr>
                  <w:tcW w:w="871" w:type="pct"/>
                  <w:noWrap/>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0.03</w:t>
                  </w:r>
                </w:p>
              </w:tc>
              <w:tc>
                <w:tcPr>
                  <w:tcW w:w="980" w:type="pct"/>
                  <w:noWrap/>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w:t>
                  </w:r>
                </w:p>
              </w:tc>
            </w:tr>
            <w:tr>
              <w:tblPrEx>
                <w:tblBorders>
                  <w:top w:val="single" w:color="auto" w:sz="2" w:space="0"/>
                  <w:left w:val="single" w:color="auto" w:sz="2" w:space="0"/>
                  <w:bottom w:val="single" w:color="auto" w:sz="2" w:space="0"/>
                  <w:right w:val="single" w:color="auto" w:sz="2" w:space="0"/>
                  <w:insideH w:val="single" w:color="auto" w:sz="4" w:space="0"/>
                  <w:insideV w:val="single" w:color="auto" w:sz="4" w:space="0"/>
                </w:tblBorders>
                <w:tblCellMar>
                  <w:top w:w="0" w:type="dxa"/>
                  <w:left w:w="108" w:type="dxa"/>
                  <w:bottom w:w="0" w:type="dxa"/>
                  <w:right w:w="108" w:type="dxa"/>
                </w:tblCellMar>
              </w:tblPrEx>
              <w:trPr>
                <w:trHeight w:val="183" w:hRule="atLeast"/>
              </w:trPr>
              <w:tc>
                <w:tcPr>
                  <w:tcW w:w="856" w:type="pct"/>
                  <w:vMerge w:val="continue"/>
                  <w:noWrap/>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eastAsia" w:cs="Times New Roman"/>
                      <w:color w:val="auto"/>
                      <w:sz w:val="21"/>
                      <w:szCs w:val="21"/>
                      <w:highlight w:val="none"/>
                      <w:lang w:val="en-US" w:eastAsia="zh-CN"/>
                    </w:rPr>
                  </w:pPr>
                </w:p>
              </w:tc>
              <w:tc>
                <w:tcPr>
                  <w:tcW w:w="806" w:type="pct"/>
                  <w:vMerge w:val="continue"/>
                  <w:noWrap/>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eastAsia" w:cs="Times New Roman"/>
                      <w:color w:val="auto"/>
                      <w:sz w:val="21"/>
                      <w:szCs w:val="21"/>
                      <w:highlight w:val="none"/>
                      <w:lang w:val="en-US" w:eastAsia="zh-CN"/>
                    </w:rPr>
                  </w:pPr>
                </w:p>
              </w:tc>
              <w:tc>
                <w:tcPr>
                  <w:tcW w:w="827" w:type="pct"/>
                  <w:noWrap/>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非甲烷总烃</w:t>
                  </w:r>
                </w:p>
              </w:tc>
              <w:tc>
                <w:tcPr>
                  <w:tcW w:w="657" w:type="pct"/>
                  <w:noWrap/>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0.03</w:t>
                  </w:r>
                </w:p>
              </w:tc>
              <w:tc>
                <w:tcPr>
                  <w:tcW w:w="871" w:type="pct"/>
                  <w:noWrap/>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0.025</w:t>
                  </w:r>
                </w:p>
              </w:tc>
              <w:tc>
                <w:tcPr>
                  <w:tcW w:w="980" w:type="pct"/>
                  <w:noWrap/>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w:t>
                  </w:r>
                </w:p>
              </w:tc>
            </w:tr>
          </w:tbl>
          <w:p>
            <w:pPr>
              <w:pStyle w:val="28"/>
              <w:spacing w:line="360" w:lineRule="auto"/>
              <w:ind w:left="0" w:leftChars="0" w:firstLine="0" w:firstLineChars="0"/>
              <w:rPr>
                <w:rFonts w:hint="default" w:ascii="Times New Roman" w:hAnsi="Times New Roman" w:eastAsia="宋体" w:cs="Times New Roman"/>
                <w:b/>
                <w:bCs/>
                <w:color w:val="auto"/>
                <w:kern w:val="2"/>
                <w:sz w:val="24"/>
                <w:szCs w:val="32"/>
                <w:highlight w:val="none"/>
                <w:lang w:val="en-US" w:eastAsia="zh-CN" w:bidi="ar-SA"/>
              </w:rPr>
            </w:pPr>
            <w:r>
              <w:rPr>
                <w:rFonts w:hint="eastAsia" w:cs="Times New Roman"/>
                <w:b/>
                <w:bCs/>
                <w:color w:val="auto"/>
                <w:kern w:val="2"/>
                <w:sz w:val="24"/>
                <w:szCs w:val="32"/>
                <w:highlight w:val="none"/>
                <w:lang w:val="en-US" w:eastAsia="zh-CN" w:bidi="ar-SA"/>
              </w:rPr>
              <w:t>1.3大气污染物治理可行性分析</w:t>
            </w:r>
          </w:p>
          <w:p>
            <w:pPr>
              <w:spacing w:line="360" w:lineRule="auto"/>
              <w:ind w:firstLine="480" w:firstLineChars="200"/>
              <w:rPr>
                <w:rFonts w:hint="eastAsia" w:cs="Times New Roman"/>
                <w:color w:val="auto"/>
                <w:sz w:val="24"/>
                <w:highlight w:val="none"/>
                <w:lang w:val="en-US" w:eastAsia="zh-CN"/>
              </w:rPr>
            </w:pPr>
            <w:r>
              <w:rPr>
                <w:rFonts w:hint="eastAsia" w:cs="Times New Roman"/>
                <w:color w:val="auto"/>
                <w:sz w:val="24"/>
                <w:highlight w:val="none"/>
                <w:lang w:val="en-US" w:eastAsia="zh-CN"/>
              </w:rPr>
              <w:t>焊接：本项目所使用的均为小型焊机，焊机最多同时运转2台，因此在车间内安放2台自动焊烟净化器，净化后在车间内无组织排放，对周围大气环境影响不大。</w:t>
            </w:r>
          </w:p>
          <w:p>
            <w:pPr>
              <w:widowControl/>
              <w:spacing w:line="360" w:lineRule="auto"/>
              <w:ind w:firstLine="480" w:firstLineChars="200"/>
              <w:jc w:val="both"/>
              <w:rPr>
                <w:rFonts w:hint="eastAsia"/>
                <w:color w:val="auto"/>
                <w:highlight w:val="none"/>
                <w:lang w:val="en-US" w:eastAsia="zh-CN"/>
              </w:rPr>
            </w:pPr>
          </w:p>
          <w:p>
            <w:pPr>
              <w:widowControl/>
              <w:spacing w:line="360" w:lineRule="auto"/>
              <w:ind w:firstLine="480" w:firstLineChars="200"/>
              <w:jc w:val="both"/>
              <w:rPr>
                <w:rFonts w:hint="eastAsia"/>
                <w:color w:val="auto"/>
                <w:highlight w:val="none"/>
                <w:lang w:val="en-US" w:eastAsia="zh-CN"/>
              </w:rPr>
            </w:pPr>
            <w:r>
              <w:rPr>
                <w:rFonts w:hint="eastAsia"/>
                <w:color w:val="auto"/>
                <w:highlight w:val="none"/>
                <w:lang w:val="en-US" w:eastAsia="zh-CN"/>
              </w:rPr>
              <w:t>本项目使用油漆共1.25t/a，其中水性漆0.85t/a，高固份油漆0.4t/a，稀释剂用量为0.05t/a，喷漆房为微负压设计，调漆、喷漆、晾干均在喷漆房中进行，废气经下方出风口进入“干式过滤器+二级活性炭吸附设施”进行治理，治理后的废气经1根15m排气筒排放（DA001）。</w:t>
            </w:r>
          </w:p>
          <w:p>
            <w:pPr>
              <w:widowControl/>
              <w:spacing w:line="360" w:lineRule="auto"/>
              <w:ind w:firstLine="480" w:firstLineChars="200"/>
              <w:jc w:val="both"/>
              <w:rPr>
                <w:rFonts w:hint="default"/>
                <w:color w:val="auto"/>
                <w:highlight w:val="none"/>
                <w:lang w:val="en-US" w:eastAsia="zh-CN"/>
              </w:rPr>
            </w:pPr>
            <w:r>
              <w:rPr>
                <w:rFonts w:hint="eastAsia"/>
                <w:color w:val="auto"/>
                <w:highlight w:val="none"/>
                <w:lang w:val="en-US" w:eastAsia="zh-CN"/>
              </w:rPr>
              <w:t>类比同类项目，油漆（高固份油漆）使用量为0.77t/a、稀释剂使用量为0.39t/a，调漆、喷漆、晾干等工序均在密闭喷漆房内进行，产生的废气收集后，经“过滤棉+二级活性炭吸附装置”处理后，通过1 根15m 高排气筒排放（DA001）。根据验收监测报告可知，有组织非甲烷总烃最大排放浓度为10.6</w:t>
            </w:r>
            <w:r>
              <w:rPr>
                <w:rFonts w:hint="default" w:ascii="Times New Roman" w:hAnsi="Times New Roman" w:eastAsia="宋体" w:cs="Times New Roman"/>
                <w:color w:val="auto"/>
                <w:sz w:val="24"/>
                <w:szCs w:val="24"/>
                <w:highlight w:val="none"/>
              </w:rPr>
              <w:t>mg/m</w:t>
            </w:r>
            <w:r>
              <w:rPr>
                <w:rFonts w:hint="default" w:ascii="Times New Roman" w:hAnsi="Times New Roman" w:eastAsia="宋体" w:cs="Times New Roman"/>
                <w:color w:val="auto"/>
                <w:sz w:val="24"/>
                <w:szCs w:val="24"/>
                <w:highlight w:val="none"/>
                <w:vertAlign w:val="superscript"/>
              </w:rPr>
              <w:t>3</w:t>
            </w:r>
            <w:r>
              <w:rPr>
                <w:rFonts w:hint="eastAsia"/>
                <w:color w:val="auto"/>
                <w:highlight w:val="none"/>
                <w:lang w:val="en-US" w:eastAsia="zh-CN"/>
              </w:rPr>
              <w:t>，满足</w:t>
            </w:r>
            <w:r>
              <w:rPr>
                <w:rFonts w:hint="default" w:ascii="Times New Roman" w:hAnsi="Times New Roman" w:eastAsia="宋体" w:cs="Times New Roman"/>
                <w:color w:val="auto"/>
                <w:highlight w:val="none"/>
                <w:lang w:val="en-US" w:eastAsia="zh-CN"/>
              </w:rPr>
              <w:t>《工业企业挥发性有机物排放控制标准》（DB13/2322-2016）表1中</w:t>
            </w:r>
            <w:r>
              <w:rPr>
                <w:rFonts w:hint="eastAsia" w:ascii="Times New Roman" w:hAnsi="Times New Roman" w:eastAsia="宋体" w:cs="Times New Roman"/>
                <w:color w:val="auto"/>
                <w:highlight w:val="none"/>
                <w:lang w:val="en-US" w:eastAsia="zh-CN"/>
              </w:rPr>
              <w:t>表面涂装业</w:t>
            </w:r>
            <w:r>
              <w:rPr>
                <w:rFonts w:hint="default" w:ascii="Times New Roman" w:hAnsi="Times New Roman" w:eastAsia="宋体" w:cs="Times New Roman"/>
                <w:color w:val="auto"/>
                <w:highlight w:val="none"/>
                <w:lang w:val="en-US" w:eastAsia="zh-CN"/>
              </w:rPr>
              <w:t>最高允许排放浓度</w:t>
            </w:r>
            <w:r>
              <w:rPr>
                <w:rFonts w:hint="eastAsia" w:cs="Times New Roman"/>
                <w:color w:val="auto"/>
                <w:highlight w:val="none"/>
                <w:lang w:val="en-US" w:eastAsia="zh-CN"/>
              </w:rPr>
              <w:t>；</w:t>
            </w:r>
            <w:r>
              <w:rPr>
                <w:rFonts w:hint="eastAsia"/>
                <w:color w:val="auto"/>
                <w:highlight w:val="none"/>
                <w:lang w:val="en-US" w:eastAsia="zh-CN"/>
              </w:rPr>
              <w:t>有组织颗粒物最大排放浓度为3.8</w:t>
            </w:r>
            <w:r>
              <w:rPr>
                <w:rFonts w:hint="default" w:ascii="Times New Roman" w:hAnsi="Times New Roman" w:eastAsia="宋体" w:cs="Times New Roman"/>
                <w:color w:val="auto"/>
                <w:sz w:val="24"/>
                <w:szCs w:val="24"/>
                <w:highlight w:val="none"/>
              </w:rPr>
              <w:t>mg/m</w:t>
            </w:r>
            <w:r>
              <w:rPr>
                <w:rFonts w:hint="default" w:ascii="Times New Roman" w:hAnsi="Times New Roman" w:eastAsia="宋体" w:cs="Times New Roman"/>
                <w:color w:val="auto"/>
                <w:sz w:val="24"/>
                <w:szCs w:val="24"/>
                <w:highlight w:val="none"/>
                <w:vertAlign w:val="superscript"/>
              </w:rPr>
              <w:t>3</w:t>
            </w:r>
            <w:r>
              <w:rPr>
                <w:rFonts w:hint="eastAsia"/>
                <w:color w:val="auto"/>
                <w:highlight w:val="none"/>
                <w:lang w:val="en-US" w:eastAsia="zh-CN"/>
              </w:rPr>
              <w:t>，</w:t>
            </w:r>
            <w:r>
              <w:rPr>
                <w:rFonts w:hint="eastAsia" w:ascii="Times New Roman" w:hAnsi="Times New Roman" w:eastAsia="宋体" w:cs="Times New Roman"/>
                <w:color w:val="auto"/>
                <w:highlight w:val="none"/>
                <w:lang w:val="en-US" w:eastAsia="zh-CN"/>
              </w:rPr>
              <w:t>满足</w:t>
            </w:r>
            <w:r>
              <w:rPr>
                <w:rFonts w:hint="default" w:ascii="Times New Roman" w:hAnsi="Times New Roman" w:eastAsia="宋体" w:cs="Times New Roman"/>
                <w:color w:val="auto"/>
                <w:highlight w:val="none"/>
                <w:lang w:val="en-US" w:eastAsia="zh-CN"/>
              </w:rPr>
              <w:t>《大气污染物综合排放标准》（GB16297-1996）表2中颗粒物（染料尘）二级最高允许排放速率和最高允许排放浓度要求</w:t>
            </w:r>
            <w:r>
              <w:rPr>
                <w:rFonts w:hint="eastAsia" w:cs="Times New Roman"/>
                <w:color w:val="auto"/>
                <w:highlight w:val="none"/>
                <w:lang w:val="en-US" w:eastAsia="zh-CN"/>
              </w:rPr>
              <w:t>（监测报告详见附件9）。</w:t>
            </w:r>
          </w:p>
          <w:p>
            <w:pPr>
              <w:widowControl/>
              <w:spacing w:line="360" w:lineRule="auto"/>
              <w:ind w:firstLine="480" w:firstLineChars="200"/>
              <w:jc w:val="both"/>
              <w:rPr>
                <w:rFonts w:hint="default"/>
                <w:color w:val="auto"/>
                <w:highlight w:val="none"/>
                <w:lang w:val="en-US" w:eastAsia="zh-CN"/>
              </w:rPr>
            </w:pPr>
            <w:r>
              <w:rPr>
                <w:rFonts w:hint="eastAsia"/>
                <w:color w:val="auto"/>
                <w:highlight w:val="none"/>
                <w:lang w:val="en-US" w:eastAsia="zh-CN"/>
              </w:rPr>
              <w:t>通过类比可知，本项目使用水性漆及高固份油漆，且稀释剂用量较少，故本项目喷漆房废气采用“干式过滤器+二级活性炭吸附设施”的治理措施可行。</w:t>
            </w:r>
          </w:p>
          <w:p>
            <w:pPr>
              <w:widowControl/>
              <w:spacing w:line="360" w:lineRule="auto"/>
              <w:ind w:firstLine="480" w:firstLineChars="200"/>
              <w:jc w:val="both"/>
              <w:rPr>
                <w:rFonts w:hint="default" w:eastAsia="宋体"/>
                <w:color w:val="auto"/>
                <w:highlight w:val="none"/>
                <w:lang w:val="en-US" w:eastAsia="zh-CN"/>
              </w:rPr>
            </w:pPr>
            <w:r>
              <w:rPr>
                <w:rFonts w:hint="eastAsia"/>
                <w:color w:val="auto"/>
                <w:highlight w:val="none"/>
                <w:lang w:eastAsia="zh-CN"/>
              </w:rPr>
              <w:t>（</w:t>
            </w:r>
            <w:r>
              <w:rPr>
                <w:rFonts w:hint="eastAsia"/>
                <w:color w:val="auto"/>
                <w:highlight w:val="none"/>
                <w:lang w:val="en-US" w:eastAsia="zh-CN"/>
              </w:rPr>
              <w:t>1</w:t>
            </w:r>
            <w:r>
              <w:rPr>
                <w:rFonts w:hint="eastAsia"/>
                <w:color w:val="auto"/>
                <w:highlight w:val="none"/>
                <w:lang w:eastAsia="zh-CN"/>
              </w:rPr>
              <w:t>）</w:t>
            </w:r>
            <w:r>
              <w:rPr>
                <w:rFonts w:hint="eastAsia"/>
                <w:color w:val="auto"/>
                <w:highlight w:val="none"/>
                <w:lang w:val="en-US" w:eastAsia="zh-CN"/>
              </w:rPr>
              <w:t>有组织废气</w:t>
            </w:r>
          </w:p>
          <w:p>
            <w:pPr>
              <w:keepNext w:val="0"/>
              <w:keepLines w:val="0"/>
              <w:pageBreakBefore w:val="0"/>
              <w:widowControl/>
              <w:kinsoku/>
              <w:wordWrap/>
              <w:overflowPunct/>
              <w:topLinePunct w:val="0"/>
              <w:autoSpaceDE/>
              <w:autoSpaceDN/>
              <w:bidi w:val="0"/>
              <w:snapToGrid/>
              <w:spacing w:line="360" w:lineRule="auto"/>
              <w:ind w:firstLine="480" w:firstLineChars="200"/>
              <w:jc w:val="both"/>
              <w:textAlignment w:val="auto"/>
              <w:rPr>
                <w:rFonts w:hint="eastAsia" w:ascii="Times New Roman" w:hAnsi="Times New Roman" w:eastAsia="宋体" w:cs="Times New Roman"/>
                <w:color w:val="auto"/>
                <w:highlight w:val="none"/>
                <w:lang w:val="en-US" w:eastAsia="zh-CN"/>
              </w:rPr>
            </w:pPr>
            <w:r>
              <w:rPr>
                <w:rFonts w:hint="eastAsia" w:cs="Times New Roman"/>
                <w:color w:val="auto"/>
                <w:highlight w:val="none"/>
                <w:lang w:val="en-US" w:eastAsia="zh-CN"/>
              </w:rPr>
              <w:t>本项目</w:t>
            </w:r>
            <w:r>
              <w:rPr>
                <w:rFonts w:hint="default" w:ascii="Times New Roman" w:hAnsi="Times New Roman" w:eastAsia="宋体" w:cs="Times New Roman"/>
                <w:color w:val="auto"/>
                <w:highlight w:val="none"/>
                <w:lang w:val="en-US" w:eastAsia="zh-CN"/>
              </w:rPr>
              <w:t>非甲烷总烃</w:t>
            </w:r>
            <w:r>
              <w:rPr>
                <w:rFonts w:hint="eastAsia" w:cs="Times New Roman"/>
                <w:color w:val="auto"/>
                <w:highlight w:val="none"/>
                <w:lang w:val="en-US" w:eastAsia="zh-CN"/>
              </w:rPr>
              <w:t>经治理后排放浓度</w:t>
            </w:r>
            <w:r>
              <w:rPr>
                <w:rFonts w:hint="eastAsia" w:ascii="Times New Roman" w:hAnsi="Times New Roman" w:eastAsia="宋体" w:cs="Times New Roman"/>
                <w:color w:val="auto"/>
                <w:highlight w:val="none"/>
                <w:lang w:val="en-US" w:eastAsia="zh-CN"/>
              </w:rPr>
              <w:t>满足</w:t>
            </w:r>
            <w:r>
              <w:rPr>
                <w:rFonts w:hint="default" w:ascii="Times New Roman" w:hAnsi="Times New Roman" w:eastAsia="宋体" w:cs="Times New Roman"/>
                <w:color w:val="auto"/>
                <w:highlight w:val="none"/>
                <w:lang w:val="en-US" w:eastAsia="zh-CN"/>
              </w:rPr>
              <w:t>《工业企业挥发性有机物排放控制标准》（DB13/2322-2016）表1中</w:t>
            </w:r>
            <w:r>
              <w:rPr>
                <w:rFonts w:hint="eastAsia" w:ascii="Times New Roman" w:hAnsi="Times New Roman" w:eastAsia="宋体" w:cs="Times New Roman"/>
                <w:color w:val="auto"/>
                <w:highlight w:val="none"/>
                <w:lang w:val="en-US" w:eastAsia="zh-CN"/>
              </w:rPr>
              <w:t>表面涂装业</w:t>
            </w:r>
            <w:r>
              <w:rPr>
                <w:rFonts w:hint="default" w:ascii="Times New Roman" w:hAnsi="Times New Roman" w:eastAsia="宋体" w:cs="Times New Roman"/>
                <w:color w:val="auto"/>
                <w:highlight w:val="none"/>
                <w:lang w:val="en-US" w:eastAsia="zh-CN"/>
              </w:rPr>
              <w:t>最高允许排放浓度</w:t>
            </w:r>
            <w:r>
              <w:rPr>
                <w:rFonts w:hint="eastAsia" w:ascii="Times New Roman" w:hAnsi="Times New Roman" w:eastAsia="宋体" w:cs="Times New Roman"/>
                <w:color w:val="auto"/>
                <w:highlight w:val="none"/>
                <w:lang w:val="en-US" w:eastAsia="zh-CN"/>
              </w:rPr>
              <w:t>与最低去除效率</w:t>
            </w:r>
            <w:r>
              <w:rPr>
                <w:rFonts w:hint="eastAsia" w:cs="Times New Roman"/>
                <w:color w:val="auto"/>
                <w:highlight w:val="none"/>
                <w:lang w:val="en-US" w:eastAsia="zh-CN"/>
              </w:rPr>
              <w:t>；</w:t>
            </w:r>
          </w:p>
          <w:p>
            <w:pPr>
              <w:keepNext w:val="0"/>
              <w:keepLines w:val="0"/>
              <w:pageBreakBefore w:val="0"/>
              <w:widowControl/>
              <w:kinsoku/>
              <w:wordWrap/>
              <w:overflowPunct/>
              <w:topLinePunct w:val="0"/>
              <w:autoSpaceDE/>
              <w:autoSpaceDN/>
              <w:bidi w:val="0"/>
              <w:snapToGrid/>
              <w:spacing w:line="360" w:lineRule="auto"/>
              <w:ind w:firstLine="480" w:firstLineChars="200"/>
              <w:jc w:val="both"/>
              <w:textAlignment w:val="auto"/>
              <w:rPr>
                <w:rFonts w:hint="eastAsia" w:ascii="Times New Roman" w:hAnsi="Times New Roman" w:eastAsia="宋体" w:cs="Times New Roman"/>
                <w:color w:val="auto"/>
                <w:highlight w:val="none"/>
                <w:lang w:val="en-US" w:eastAsia="zh-CN"/>
              </w:rPr>
            </w:pPr>
            <w:r>
              <w:rPr>
                <w:rFonts w:hint="eastAsia" w:cs="Times New Roman"/>
                <w:color w:val="auto"/>
                <w:highlight w:val="none"/>
                <w:lang w:val="en-US" w:eastAsia="zh-CN"/>
              </w:rPr>
              <w:t>本项目</w:t>
            </w:r>
            <w:r>
              <w:rPr>
                <w:rFonts w:hint="eastAsia" w:ascii="Times New Roman" w:hAnsi="Times New Roman" w:eastAsia="宋体" w:cs="Times New Roman"/>
                <w:color w:val="auto"/>
                <w:highlight w:val="none"/>
                <w:lang w:val="en-US" w:eastAsia="zh-CN"/>
              </w:rPr>
              <w:t>颗粒物</w:t>
            </w:r>
            <w:r>
              <w:rPr>
                <w:rFonts w:hint="eastAsia" w:eastAsia="宋体" w:cs="Times New Roman"/>
                <w:color w:val="auto"/>
                <w:highlight w:val="none"/>
                <w:lang w:val="en-US" w:eastAsia="zh-CN"/>
              </w:rPr>
              <w:t>（漆雾）</w:t>
            </w:r>
            <w:r>
              <w:rPr>
                <w:rFonts w:hint="eastAsia" w:cs="Times New Roman"/>
                <w:color w:val="auto"/>
                <w:highlight w:val="none"/>
                <w:lang w:val="en-US" w:eastAsia="zh-CN"/>
              </w:rPr>
              <w:t>经治理后排放浓度</w:t>
            </w:r>
            <w:r>
              <w:rPr>
                <w:rFonts w:hint="eastAsia" w:ascii="Times New Roman" w:hAnsi="Times New Roman" w:eastAsia="宋体" w:cs="Times New Roman"/>
                <w:color w:val="auto"/>
                <w:highlight w:val="none"/>
                <w:lang w:val="en-US" w:eastAsia="zh-CN"/>
              </w:rPr>
              <w:t>满足</w:t>
            </w:r>
            <w:r>
              <w:rPr>
                <w:rFonts w:hint="default" w:ascii="Times New Roman" w:hAnsi="Times New Roman" w:eastAsia="宋体" w:cs="Times New Roman"/>
                <w:color w:val="auto"/>
                <w:highlight w:val="none"/>
                <w:lang w:val="en-US" w:eastAsia="zh-CN"/>
              </w:rPr>
              <w:t>《大气污染物综合排放标准》（GB16297-1996）表2中颗粒物（染料尘）二级最高允许排放速率和最高允许排放浓度要求</w:t>
            </w:r>
            <w:r>
              <w:rPr>
                <w:rFonts w:hint="eastAsia" w:cs="Times New Roman"/>
                <w:color w:val="auto"/>
                <w:highlight w:val="none"/>
                <w:lang w:val="en-US" w:eastAsia="zh-CN"/>
              </w:rPr>
              <w:t>。</w:t>
            </w:r>
          </w:p>
          <w:p>
            <w:pPr>
              <w:keepNext w:val="0"/>
              <w:keepLines w:val="0"/>
              <w:pageBreakBefore w:val="0"/>
              <w:widowControl/>
              <w:kinsoku/>
              <w:wordWrap/>
              <w:overflowPunct/>
              <w:topLinePunct w:val="0"/>
              <w:autoSpaceDE/>
              <w:autoSpaceDN/>
              <w:bidi w:val="0"/>
              <w:snapToGrid/>
              <w:spacing w:line="360" w:lineRule="auto"/>
              <w:ind w:firstLine="480" w:firstLineChars="200"/>
              <w:jc w:val="both"/>
              <w:textAlignment w:val="auto"/>
              <w:rPr>
                <w:rFonts w:hint="default" w:ascii="Times New Roman" w:hAnsi="Times New Roman" w:eastAsia="宋体" w:cs="Times New Roman"/>
                <w:color w:val="auto"/>
                <w:highlight w:val="none"/>
                <w:lang w:val="en-US" w:eastAsia="zh-CN"/>
              </w:rPr>
            </w:pPr>
            <w:r>
              <w:rPr>
                <w:rFonts w:hint="eastAsia" w:cs="Times New Roman"/>
                <w:color w:val="auto"/>
                <w:highlight w:val="none"/>
                <w:lang w:val="en-US" w:eastAsia="zh-CN"/>
              </w:rPr>
              <w:t>（2）无组织废气</w:t>
            </w:r>
          </w:p>
          <w:p>
            <w:pPr>
              <w:keepNext w:val="0"/>
              <w:keepLines w:val="0"/>
              <w:pageBreakBefore w:val="0"/>
              <w:widowControl/>
              <w:kinsoku/>
              <w:wordWrap/>
              <w:overflowPunct/>
              <w:topLinePunct w:val="0"/>
              <w:autoSpaceDE/>
              <w:autoSpaceDN/>
              <w:bidi w:val="0"/>
              <w:snapToGrid/>
              <w:spacing w:line="360" w:lineRule="auto"/>
              <w:ind w:firstLine="480" w:firstLineChars="200"/>
              <w:jc w:val="both"/>
              <w:textAlignment w:val="auto"/>
              <w:rPr>
                <w:rFonts w:hint="eastAsia" w:ascii="Times New Roman" w:hAnsi="Times New Roman" w:eastAsia="宋体" w:cs="Times New Roman"/>
                <w:b/>
                <w:bCs/>
                <w:color w:val="auto"/>
                <w:kern w:val="2"/>
                <w:sz w:val="24"/>
                <w:szCs w:val="32"/>
                <w:highlight w:val="none"/>
                <w:lang w:val="en-US" w:eastAsia="zh-CN" w:bidi="ar-SA"/>
              </w:rPr>
            </w:pPr>
            <w:r>
              <w:rPr>
                <w:rFonts w:hint="eastAsia" w:eastAsia="宋体" w:cs="Times New Roman"/>
                <w:color w:val="auto"/>
                <w:kern w:val="2"/>
                <w:sz w:val="24"/>
                <w:szCs w:val="24"/>
                <w:highlight w:val="none"/>
                <w:lang w:val="en-US" w:eastAsia="zh-CN" w:bidi="ar-SA"/>
              </w:rPr>
              <w:t>非甲烷总烃</w:t>
            </w:r>
            <w:r>
              <w:rPr>
                <w:rFonts w:hint="eastAsia" w:ascii="Times New Roman" w:hAnsi="Times New Roman" w:eastAsia="宋体" w:cs="Times New Roman"/>
                <w:color w:val="auto"/>
                <w:kern w:val="2"/>
                <w:sz w:val="24"/>
                <w:szCs w:val="24"/>
                <w:highlight w:val="none"/>
                <w:lang w:val="en-US" w:eastAsia="zh-CN" w:bidi="ar-SA"/>
              </w:rPr>
              <w:t>无组织排放满足</w:t>
            </w:r>
            <w:r>
              <w:rPr>
                <w:rFonts w:hint="default" w:ascii="Times New Roman" w:hAnsi="Times New Roman" w:eastAsia="宋体" w:cs="Times New Roman"/>
                <w:color w:val="auto"/>
                <w:kern w:val="2"/>
                <w:sz w:val="24"/>
                <w:szCs w:val="24"/>
                <w:highlight w:val="none"/>
                <w:lang w:val="en-US" w:eastAsia="zh-CN" w:bidi="ar-SA"/>
              </w:rPr>
              <w:t>《挥发性有机物无组织排放控制标准》（GB37822-2019）</w:t>
            </w:r>
            <w:r>
              <w:rPr>
                <w:rFonts w:hint="eastAsia" w:eastAsia="宋体" w:cs="Times New Roman"/>
                <w:color w:val="auto"/>
                <w:kern w:val="2"/>
                <w:sz w:val="24"/>
                <w:szCs w:val="24"/>
                <w:highlight w:val="none"/>
                <w:lang w:val="en-US" w:eastAsia="zh-CN" w:bidi="ar-SA"/>
              </w:rPr>
              <w:t>和</w:t>
            </w:r>
            <w:r>
              <w:rPr>
                <w:rFonts w:hint="default" w:ascii="Times New Roman" w:hAnsi="Times New Roman" w:eastAsia="宋体" w:cs="Times New Roman"/>
                <w:color w:val="auto"/>
                <w:highlight w:val="none"/>
                <w:lang w:val="en-US" w:eastAsia="zh-CN"/>
              </w:rPr>
              <w:t>《工业企业挥发性有机物排放控制标准》（DB13/2322-2016）</w:t>
            </w:r>
            <w:r>
              <w:rPr>
                <w:rFonts w:hint="eastAsia" w:ascii="Times New Roman" w:hAnsi="Times New Roman" w:eastAsia="宋体" w:cs="Times New Roman"/>
                <w:color w:val="auto"/>
                <w:highlight w:val="none"/>
                <w:lang w:val="en-US" w:eastAsia="zh-CN"/>
              </w:rPr>
              <w:t>相关要求。</w:t>
            </w:r>
          </w:p>
          <w:p>
            <w:pPr>
              <w:widowControl/>
              <w:spacing w:line="360" w:lineRule="auto"/>
              <w:ind w:firstLine="480" w:firstLineChars="200"/>
              <w:jc w:val="both"/>
              <w:rPr>
                <w:rFonts w:hint="eastAsia" w:ascii="Times New Roman" w:hAnsi="Times New Roman" w:eastAsia="宋体" w:cs="Times New Roman"/>
                <w:color w:val="auto"/>
                <w:highlight w:val="none"/>
                <w:lang w:val="en-US" w:eastAsia="zh-CN"/>
              </w:rPr>
            </w:pPr>
            <w:r>
              <w:rPr>
                <w:rFonts w:hint="eastAsia" w:eastAsia="宋体"/>
                <w:color w:val="auto"/>
                <w:highlight w:val="none"/>
              </w:rPr>
              <w:t>无组织</w:t>
            </w:r>
            <w:r>
              <w:rPr>
                <w:rFonts w:eastAsia="宋体"/>
                <w:color w:val="auto"/>
                <w:highlight w:val="none"/>
              </w:rPr>
              <w:t>颗粒物排放浓度满足《大气污染物综合排放标准》（GB16297-1996）表2颗粒物无组织浓度限值要求</w:t>
            </w:r>
            <w:r>
              <w:rPr>
                <w:rFonts w:hint="eastAsia" w:eastAsia="宋体"/>
                <w:color w:val="auto"/>
                <w:highlight w:val="none"/>
              </w:rPr>
              <w:t>同时满足</w:t>
            </w:r>
            <w:r>
              <w:rPr>
                <w:rFonts w:eastAsia="宋体"/>
                <w:color w:val="auto"/>
                <w:highlight w:val="none"/>
              </w:rPr>
              <w:t>厂界无组织颗粒物执行</w:t>
            </w:r>
            <w:r>
              <w:rPr>
                <w:rFonts w:hint="eastAsia" w:eastAsia="宋体"/>
                <w:color w:val="auto"/>
                <w:highlight w:val="none"/>
              </w:rPr>
              <w:t>《秦皇岛市人民政府办公室关于执行钢铁等行业大气污染物排放特别要求的通知》（2021-10）中无组织排放浓度特别管控要求，即0.3mg/m³</w:t>
            </w:r>
            <w:r>
              <w:rPr>
                <w:rFonts w:hint="eastAsia" w:ascii="Times New Roman" w:hAnsi="Times New Roman" w:eastAsia="宋体" w:cs="Times New Roman"/>
                <w:color w:val="auto"/>
                <w:kern w:val="2"/>
                <w:sz w:val="24"/>
                <w:szCs w:val="24"/>
                <w:highlight w:val="none"/>
                <w:lang w:val="en-US" w:eastAsia="zh-CN" w:bidi="ar-SA"/>
              </w:rPr>
              <w:t>。</w:t>
            </w:r>
          </w:p>
          <w:p>
            <w:pPr>
              <w:pStyle w:val="28"/>
              <w:spacing w:line="360" w:lineRule="auto"/>
              <w:ind w:left="0" w:leftChars="0" w:firstLine="0" w:firstLineChars="0"/>
              <w:rPr>
                <w:rFonts w:hint="eastAsia" w:ascii="Times New Roman" w:hAnsi="Times New Roman" w:eastAsia="宋体" w:cs="Times New Roman"/>
                <w:b/>
                <w:bCs/>
                <w:color w:val="auto"/>
                <w:kern w:val="2"/>
                <w:sz w:val="24"/>
                <w:szCs w:val="32"/>
                <w:highlight w:val="none"/>
                <w:lang w:val="en-US" w:eastAsia="zh-CN" w:bidi="ar-SA"/>
              </w:rPr>
            </w:pPr>
            <w:r>
              <w:rPr>
                <w:rFonts w:hint="eastAsia" w:ascii="Times New Roman" w:hAnsi="Times New Roman" w:eastAsia="宋体" w:cs="Times New Roman"/>
                <w:b/>
                <w:bCs/>
                <w:color w:val="auto"/>
                <w:kern w:val="2"/>
                <w:sz w:val="24"/>
                <w:szCs w:val="32"/>
                <w:highlight w:val="none"/>
                <w:lang w:val="en-US" w:eastAsia="zh-CN" w:bidi="ar-SA"/>
              </w:rPr>
              <w:t>1.</w:t>
            </w:r>
            <w:r>
              <w:rPr>
                <w:rFonts w:hint="eastAsia" w:cs="Times New Roman"/>
                <w:b/>
                <w:bCs/>
                <w:color w:val="auto"/>
                <w:kern w:val="2"/>
                <w:sz w:val="24"/>
                <w:szCs w:val="32"/>
                <w:highlight w:val="none"/>
                <w:lang w:val="en-US" w:eastAsia="zh-CN" w:bidi="ar-SA"/>
              </w:rPr>
              <w:t>4</w:t>
            </w:r>
            <w:r>
              <w:rPr>
                <w:rFonts w:hint="eastAsia" w:ascii="Times New Roman" w:hAnsi="Times New Roman" w:eastAsia="宋体" w:cs="Times New Roman"/>
                <w:b/>
                <w:bCs/>
                <w:color w:val="auto"/>
                <w:kern w:val="2"/>
                <w:sz w:val="24"/>
                <w:szCs w:val="32"/>
                <w:highlight w:val="none"/>
                <w:lang w:val="en-US" w:eastAsia="zh-CN" w:bidi="ar-SA"/>
              </w:rPr>
              <w:t>排放口情况</w:t>
            </w:r>
          </w:p>
          <w:p>
            <w:pPr>
              <w:numPr>
                <w:ilvl w:val="0"/>
                <w:numId w:val="0"/>
              </w:numPr>
              <w:spacing w:line="240" w:lineRule="auto"/>
              <w:ind w:leftChars="0"/>
              <w:jc w:val="center"/>
              <w:rPr>
                <w:rFonts w:hint="default" w:ascii="Times New Roman" w:hAnsi="Times New Roman" w:eastAsia="宋体" w:cs="Times New Roman"/>
                <w:b/>
                <w:bCs/>
                <w:color w:val="auto"/>
                <w:sz w:val="24"/>
                <w:szCs w:val="24"/>
                <w:highlight w:val="none"/>
                <w:lang w:val="en-US" w:eastAsia="zh-CN"/>
              </w:rPr>
            </w:pPr>
          </w:p>
          <w:p>
            <w:pPr>
              <w:numPr>
                <w:ilvl w:val="0"/>
                <w:numId w:val="0"/>
              </w:numPr>
              <w:spacing w:line="240" w:lineRule="auto"/>
              <w:ind w:leftChars="0"/>
              <w:jc w:val="center"/>
              <w:rPr>
                <w:rFonts w:hint="default" w:ascii="Times New Roman" w:hAnsi="Times New Roman" w:eastAsia="宋体" w:cs="Times New Roman"/>
                <w:b/>
                <w:bCs/>
                <w:color w:val="auto"/>
                <w:sz w:val="24"/>
                <w:szCs w:val="24"/>
                <w:highlight w:val="none"/>
                <w:lang w:val="en-US" w:eastAsia="zh-CN"/>
              </w:rPr>
            </w:pPr>
          </w:p>
          <w:p>
            <w:pPr>
              <w:numPr>
                <w:ilvl w:val="0"/>
                <w:numId w:val="0"/>
              </w:numPr>
              <w:spacing w:line="240" w:lineRule="auto"/>
              <w:ind w:leftChars="0"/>
              <w:jc w:val="center"/>
              <w:rPr>
                <w:rFonts w:hint="default" w:ascii="Times New Roman" w:hAnsi="Times New Roman" w:eastAsia="宋体" w:cs="Times New Roman"/>
                <w:b/>
                <w:bCs/>
                <w:color w:val="auto"/>
                <w:sz w:val="24"/>
                <w:szCs w:val="24"/>
                <w:highlight w:val="none"/>
                <w:lang w:val="en-US" w:eastAsia="zh-CN"/>
              </w:rPr>
            </w:pPr>
            <w:r>
              <w:rPr>
                <w:rFonts w:hint="default" w:ascii="Times New Roman" w:hAnsi="Times New Roman" w:eastAsia="宋体" w:cs="Times New Roman"/>
                <w:b/>
                <w:bCs/>
                <w:color w:val="auto"/>
                <w:sz w:val="24"/>
                <w:szCs w:val="24"/>
                <w:highlight w:val="none"/>
                <w:lang w:val="en-US" w:eastAsia="zh-CN"/>
              </w:rPr>
              <w:t>表</w:t>
            </w:r>
            <w:r>
              <w:rPr>
                <w:rFonts w:hint="eastAsia" w:cs="Times New Roman"/>
                <w:b/>
                <w:bCs/>
                <w:color w:val="auto"/>
                <w:sz w:val="24"/>
                <w:szCs w:val="24"/>
                <w:highlight w:val="none"/>
                <w:lang w:val="en-US" w:eastAsia="zh-CN"/>
              </w:rPr>
              <w:t xml:space="preserve">4-2 </w:t>
            </w:r>
            <w:r>
              <w:rPr>
                <w:rFonts w:hint="default" w:ascii="Times New Roman" w:hAnsi="Times New Roman" w:eastAsia="宋体" w:cs="Times New Roman"/>
                <w:b/>
                <w:bCs/>
                <w:color w:val="auto"/>
                <w:sz w:val="24"/>
                <w:szCs w:val="24"/>
                <w:highlight w:val="none"/>
                <w:lang w:val="en-US" w:eastAsia="zh-CN"/>
              </w:rPr>
              <w:t xml:space="preserve"> 有组织排放口基本情况一览表</w:t>
            </w:r>
          </w:p>
          <w:tbl>
            <w:tblPr>
              <w:tblStyle w:val="33"/>
              <w:tblW w:w="850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7"/>
              <w:gridCol w:w="980"/>
              <w:gridCol w:w="1377"/>
              <w:gridCol w:w="1327"/>
              <w:gridCol w:w="1196"/>
              <w:gridCol w:w="867"/>
              <w:gridCol w:w="816"/>
              <w:gridCol w:w="106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1" w:hRule="atLeast"/>
                <w:jc w:val="center"/>
              </w:trPr>
              <w:tc>
                <w:tcPr>
                  <w:tcW w:w="877" w:type="dxa"/>
                  <w:vMerge w:val="restart"/>
                  <w:vAlign w:val="center"/>
                </w:tcPr>
                <w:p>
                  <w:pPr>
                    <w:pStyle w:val="11"/>
                    <w:pageBreakBefore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color w:val="auto"/>
                      <w:sz w:val="21"/>
                      <w:highlight w:val="none"/>
                      <w:vertAlign w:val="baseline"/>
                      <w:lang w:val="en-US" w:eastAsia="zh-CN"/>
                    </w:rPr>
                  </w:pPr>
                  <w:r>
                    <w:rPr>
                      <w:rFonts w:hint="default" w:ascii="Times New Roman" w:hAnsi="Times New Roman" w:eastAsia="宋体" w:cs="Times New Roman"/>
                      <w:b w:val="0"/>
                      <w:bCs/>
                      <w:color w:val="auto"/>
                      <w:sz w:val="21"/>
                      <w:highlight w:val="none"/>
                      <w:vertAlign w:val="baseline"/>
                      <w:lang w:val="en-US" w:eastAsia="zh-CN"/>
                    </w:rPr>
                    <w:t>编号</w:t>
                  </w:r>
                </w:p>
              </w:tc>
              <w:tc>
                <w:tcPr>
                  <w:tcW w:w="980" w:type="dxa"/>
                  <w:vMerge w:val="restart"/>
                  <w:vAlign w:val="center"/>
                </w:tcPr>
                <w:p>
                  <w:pPr>
                    <w:pStyle w:val="11"/>
                    <w:pageBreakBefore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color w:val="auto"/>
                      <w:sz w:val="21"/>
                      <w:highlight w:val="none"/>
                      <w:vertAlign w:val="baseline"/>
                      <w:lang w:val="en-US" w:eastAsia="zh-CN"/>
                    </w:rPr>
                  </w:pPr>
                  <w:r>
                    <w:rPr>
                      <w:rFonts w:hint="default" w:ascii="Times New Roman" w:hAnsi="Times New Roman" w:eastAsia="宋体" w:cs="Times New Roman"/>
                      <w:b w:val="0"/>
                      <w:bCs/>
                      <w:color w:val="auto"/>
                      <w:sz w:val="21"/>
                      <w:highlight w:val="none"/>
                      <w:vertAlign w:val="baseline"/>
                      <w:lang w:val="en-US" w:eastAsia="zh-CN"/>
                    </w:rPr>
                    <w:t>名称</w:t>
                  </w:r>
                </w:p>
              </w:tc>
              <w:tc>
                <w:tcPr>
                  <w:tcW w:w="1377" w:type="dxa"/>
                  <w:vMerge w:val="restart"/>
                  <w:vAlign w:val="center"/>
                </w:tcPr>
                <w:p>
                  <w:pPr>
                    <w:pStyle w:val="11"/>
                    <w:pageBreakBefore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color w:val="auto"/>
                      <w:sz w:val="21"/>
                      <w:highlight w:val="none"/>
                      <w:vertAlign w:val="baseline"/>
                      <w:lang w:val="en-US" w:eastAsia="zh-CN"/>
                    </w:rPr>
                  </w:pPr>
                  <w:r>
                    <w:rPr>
                      <w:rFonts w:hint="default" w:ascii="Times New Roman" w:hAnsi="Times New Roman" w:eastAsia="宋体" w:cs="Times New Roman"/>
                      <w:b w:val="0"/>
                      <w:bCs/>
                      <w:color w:val="auto"/>
                      <w:sz w:val="21"/>
                      <w:highlight w:val="none"/>
                      <w:vertAlign w:val="baseline"/>
                      <w:lang w:val="en-US" w:eastAsia="zh-CN"/>
                    </w:rPr>
                    <w:t>污染物</w:t>
                  </w:r>
                </w:p>
              </w:tc>
              <w:tc>
                <w:tcPr>
                  <w:tcW w:w="2523" w:type="dxa"/>
                  <w:gridSpan w:val="2"/>
                  <w:vAlign w:val="center"/>
                </w:tcPr>
                <w:p>
                  <w:pPr>
                    <w:pStyle w:val="11"/>
                    <w:pageBreakBefore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color w:val="auto"/>
                      <w:sz w:val="21"/>
                      <w:highlight w:val="none"/>
                      <w:vertAlign w:val="baseline"/>
                      <w:lang w:val="en-US" w:eastAsia="zh-CN"/>
                    </w:rPr>
                  </w:pPr>
                  <w:r>
                    <w:rPr>
                      <w:rFonts w:hint="default" w:ascii="Times New Roman" w:hAnsi="Times New Roman" w:eastAsia="宋体" w:cs="Times New Roman"/>
                      <w:b w:val="0"/>
                      <w:bCs/>
                      <w:color w:val="auto"/>
                      <w:sz w:val="21"/>
                      <w:highlight w:val="none"/>
                      <w:vertAlign w:val="baseline"/>
                      <w:lang w:val="en-US" w:eastAsia="zh-CN"/>
                    </w:rPr>
                    <w:t>坐标</w:t>
                  </w:r>
                </w:p>
              </w:tc>
              <w:tc>
                <w:tcPr>
                  <w:tcW w:w="867" w:type="dxa"/>
                  <w:vMerge w:val="restart"/>
                  <w:vAlign w:val="center"/>
                </w:tcPr>
                <w:p>
                  <w:pPr>
                    <w:pStyle w:val="11"/>
                    <w:pageBreakBefore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color w:val="auto"/>
                      <w:sz w:val="21"/>
                      <w:highlight w:val="none"/>
                      <w:vertAlign w:val="baseline"/>
                      <w:lang w:val="en-US" w:eastAsia="zh-CN"/>
                    </w:rPr>
                  </w:pPr>
                  <w:r>
                    <w:rPr>
                      <w:rFonts w:hint="default" w:ascii="Times New Roman" w:hAnsi="Times New Roman" w:eastAsia="宋体" w:cs="Times New Roman"/>
                      <w:b w:val="0"/>
                      <w:bCs/>
                      <w:color w:val="auto"/>
                      <w:sz w:val="21"/>
                      <w:highlight w:val="none"/>
                      <w:vertAlign w:val="baseline"/>
                      <w:lang w:val="en-US" w:eastAsia="zh-CN"/>
                    </w:rPr>
                    <w:t>出口内径/m</w:t>
                  </w:r>
                </w:p>
              </w:tc>
              <w:tc>
                <w:tcPr>
                  <w:tcW w:w="816" w:type="dxa"/>
                  <w:vMerge w:val="restart"/>
                  <w:vAlign w:val="center"/>
                </w:tcPr>
                <w:p>
                  <w:pPr>
                    <w:pStyle w:val="11"/>
                    <w:pageBreakBefore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color w:val="auto"/>
                      <w:sz w:val="21"/>
                      <w:highlight w:val="none"/>
                      <w:vertAlign w:val="baseline"/>
                      <w:lang w:val="en-US" w:eastAsia="zh-CN"/>
                    </w:rPr>
                  </w:pPr>
                  <w:r>
                    <w:rPr>
                      <w:rFonts w:hint="default" w:ascii="Times New Roman" w:hAnsi="Times New Roman" w:eastAsia="宋体" w:cs="Times New Roman"/>
                      <w:b w:val="0"/>
                      <w:bCs/>
                      <w:color w:val="auto"/>
                      <w:sz w:val="21"/>
                      <w:highlight w:val="none"/>
                      <w:vertAlign w:val="baseline"/>
                      <w:lang w:val="en-US" w:eastAsia="zh-CN"/>
                    </w:rPr>
                    <w:t>排放高度</w:t>
                  </w:r>
                </w:p>
              </w:tc>
              <w:tc>
                <w:tcPr>
                  <w:tcW w:w="1064" w:type="dxa"/>
                  <w:vMerge w:val="restart"/>
                  <w:vAlign w:val="center"/>
                </w:tcPr>
                <w:p>
                  <w:pPr>
                    <w:pStyle w:val="11"/>
                    <w:pageBreakBefore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color w:val="auto"/>
                      <w:sz w:val="21"/>
                      <w:highlight w:val="none"/>
                      <w:vertAlign w:val="baseline"/>
                      <w:lang w:val="en-US" w:eastAsia="zh-CN"/>
                    </w:rPr>
                  </w:pPr>
                  <w:r>
                    <w:rPr>
                      <w:rFonts w:hint="default" w:ascii="Times New Roman" w:hAnsi="Times New Roman" w:eastAsia="宋体" w:cs="Times New Roman"/>
                      <w:b w:val="0"/>
                      <w:bCs/>
                      <w:color w:val="auto"/>
                      <w:sz w:val="21"/>
                      <w:highlight w:val="none"/>
                      <w:vertAlign w:val="baseline"/>
                      <w:lang w:val="en-US" w:eastAsia="zh-CN"/>
                    </w:rPr>
                    <w:t>烟气流速/温度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6" w:hRule="atLeast"/>
                <w:jc w:val="center"/>
              </w:trPr>
              <w:tc>
                <w:tcPr>
                  <w:tcW w:w="877" w:type="dxa"/>
                  <w:vMerge w:val="continue"/>
                  <w:vAlign w:val="center"/>
                </w:tcPr>
                <w:p>
                  <w:pPr>
                    <w:pStyle w:val="11"/>
                    <w:pageBreakBefore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color w:val="auto"/>
                      <w:sz w:val="21"/>
                      <w:highlight w:val="none"/>
                      <w:vertAlign w:val="baseline"/>
                      <w:lang w:val="en-US" w:eastAsia="zh-CN"/>
                    </w:rPr>
                  </w:pPr>
                </w:p>
              </w:tc>
              <w:tc>
                <w:tcPr>
                  <w:tcW w:w="980" w:type="dxa"/>
                  <w:vMerge w:val="continue"/>
                  <w:vAlign w:val="center"/>
                </w:tcPr>
                <w:p>
                  <w:pPr>
                    <w:pStyle w:val="11"/>
                    <w:pageBreakBefore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color w:val="auto"/>
                      <w:sz w:val="21"/>
                      <w:highlight w:val="none"/>
                      <w:vertAlign w:val="baseline"/>
                      <w:lang w:val="en-US" w:eastAsia="zh-CN"/>
                    </w:rPr>
                  </w:pPr>
                </w:p>
              </w:tc>
              <w:tc>
                <w:tcPr>
                  <w:tcW w:w="1377" w:type="dxa"/>
                  <w:vMerge w:val="continue"/>
                  <w:vAlign w:val="center"/>
                </w:tcPr>
                <w:p>
                  <w:pPr>
                    <w:pStyle w:val="11"/>
                    <w:pageBreakBefore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color w:val="auto"/>
                      <w:sz w:val="21"/>
                      <w:highlight w:val="none"/>
                      <w:vertAlign w:val="baseline"/>
                      <w:lang w:val="en-US" w:eastAsia="zh-CN"/>
                    </w:rPr>
                  </w:pPr>
                </w:p>
              </w:tc>
              <w:tc>
                <w:tcPr>
                  <w:tcW w:w="1327" w:type="dxa"/>
                  <w:vAlign w:val="center"/>
                </w:tcPr>
                <w:p>
                  <w:pPr>
                    <w:pStyle w:val="11"/>
                    <w:pageBreakBefore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color w:val="auto"/>
                      <w:sz w:val="21"/>
                      <w:highlight w:val="none"/>
                      <w:vertAlign w:val="baseline"/>
                      <w:lang w:val="en-US" w:eastAsia="zh-CN"/>
                    </w:rPr>
                  </w:pPr>
                  <w:r>
                    <w:rPr>
                      <w:rFonts w:hint="default" w:ascii="Times New Roman" w:hAnsi="Times New Roman" w:eastAsia="宋体" w:cs="Times New Roman"/>
                      <w:b w:val="0"/>
                      <w:bCs/>
                      <w:color w:val="auto"/>
                      <w:sz w:val="21"/>
                      <w:highlight w:val="none"/>
                      <w:vertAlign w:val="baseline"/>
                      <w:lang w:val="en-US" w:eastAsia="zh-CN"/>
                    </w:rPr>
                    <w:t>东经</w:t>
                  </w:r>
                </w:p>
              </w:tc>
              <w:tc>
                <w:tcPr>
                  <w:tcW w:w="1196" w:type="dxa"/>
                  <w:vAlign w:val="center"/>
                </w:tcPr>
                <w:p>
                  <w:pPr>
                    <w:pStyle w:val="11"/>
                    <w:pageBreakBefore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color w:val="auto"/>
                      <w:sz w:val="21"/>
                      <w:highlight w:val="none"/>
                      <w:vertAlign w:val="baseline"/>
                      <w:lang w:val="en-US" w:eastAsia="zh-CN"/>
                    </w:rPr>
                  </w:pPr>
                  <w:r>
                    <w:rPr>
                      <w:rFonts w:hint="default" w:ascii="Times New Roman" w:hAnsi="Times New Roman" w:eastAsia="宋体" w:cs="Times New Roman"/>
                      <w:b w:val="0"/>
                      <w:bCs/>
                      <w:color w:val="auto"/>
                      <w:sz w:val="21"/>
                      <w:highlight w:val="none"/>
                      <w:vertAlign w:val="baseline"/>
                      <w:lang w:val="en-US" w:eastAsia="zh-CN"/>
                    </w:rPr>
                    <w:t>北纬</w:t>
                  </w:r>
                </w:p>
              </w:tc>
              <w:tc>
                <w:tcPr>
                  <w:tcW w:w="867" w:type="dxa"/>
                  <w:vMerge w:val="continue"/>
                  <w:vAlign w:val="center"/>
                </w:tcPr>
                <w:p>
                  <w:pPr>
                    <w:pStyle w:val="11"/>
                    <w:pageBreakBefore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color w:val="auto"/>
                      <w:sz w:val="21"/>
                      <w:highlight w:val="none"/>
                      <w:vertAlign w:val="baseline"/>
                      <w:lang w:val="en-US" w:eastAsia="zh-CN"/>
                    </w:rPr>
                  </w:pPr>
                </w:p>
              </w:tc>
              <w:tc>
                <w:tcPr>
                  <w:tcW w:w="816" w:type="dxa"/>
                  <w:vMerge w:val="continue"/>
                  <w:vAlign w:val="center"/>
                </w:tcPr>
                <w:p>
                  <w:pPr>
                    <w:pStyle w:val="11"/>
                    <w:pageBreakBefore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color w:val="auto"/>
                      <w:sz w:val="21"/>
                      <w:highlight w:val="none"/>
                      <w:vertAlign w:val="baseline"/>
                      <w:lang w:val="en-US" w:eastAsia="zh-CN"/>
                    </w:rPr>
                  </w:pPr>
                </w:p>
              </w:tc>
              <w:tc>
                <w:tcPr>
                  <w:tcW w:w="1064" w:type="dxa"/>
                  <w:vMerge w:val="continue"/>
                  <w:vAlign w:val="center"/>
                </w:tcPr>
                <w:p>
                  <w:pPr>
                    <w:pStyle w:val="11"/>
                    <w:pageBreakBefore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color w:val="auto"/>
                      <w:sz w:val="21"/>
                      <w:highlight w:val="none"/>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877" w:type="dxa"/>
                  <w:vAlign w:val="center"/>
                </w:tcPr>
                <w:p>
                  <w:pPr>
                    <w:pStyle w:val="11"/>
                    <w:pageBreakBefore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color w:val="auto"/>
                      <w:sz w:val="21"/>
                      <w:highlight w:val="none"/>
                      <w:vertAlign w:val="baseline"/>
                      <w:lang w:val="en-US" w:eastAsia="zh-CN"/>
                    </w:rPr>
                  </w:pPr>
                  <w:r>
                    <w:rPr>
                      <w:rFonts w:hint="default" w:ascii="Times New Roman" w:hAnsi="Times New Roman" w:eastAsia="宋体" w:cs="Times New Roman"/>
                      <w:b w:val="0"/>
                      <w:bCs/>
                      <w:color w:val="auto"/>
                      <w:sz w:val="21"/>
                      <w:highlight w:val="none"/>
                      <w:vertAlign w:val="baseline"/>
                      <w:lang w:val="en-US" w:eastAsia="zh-CN"/>
                    </w:rPr>
                    <w:t>DA001</w:t>
                  </w:r>
                </w:p>
              </w:tc>
              <w:tc>
                <w:tcPr>
                  <w:tcW w:w="980" w:type="dxa"/>
                  <w:vAlign w:val="center"/>
                </w:tcPr>
                <w:p>
                  <w:pPr>
                    <w:pStyle w:val="11"/>
                    <w:pageBreakBefore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color w:val="auto"/>
                      <w:sz w:val="21"/>
                      <w:highlight w:val="none"/>
                      <w:vertAlign w:val="baseline"/>
                      <w:lang w:val="en-US" w:eastAsia="zh-CN"/>
                    </w:rPr>
                  </w:pPr>
                  <w:r>
                    <w:rPr>
                      <w:rFonts w:hint="eastAsia" w:ascii="Times New Roman" w:hAnsi="Times New Roman" w:cs="Times New Roman"/>
                      <w:b w:val="0"/>
                      <w:bCs/>
                      <w:color w:val="auto"/>
                      <w:sz w:val="21"/>
                      <w:highlight w:val="none"/>
                      <w:vertAlign w:val="baseline"/>
                      <w:lang w:val="en-US" w:eastAsia="zh-CN"/>
                    </w:rPr>
                    <w:t>排气筒</w:t>
                  </w:r>
                </w:p>
              </w:tc>
              <w:tc>
                <w:tcPr>
                  <w:tcW w:w="1377" w:type="dxa"/>
                  <w:vAlign w:val="center"/>
                </w:tcPr>
                <w:p>
                  <w:pPr>
                    <w:pStyle w:val="11"/>
                    <w:pageBreakBefore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color w:val="auto"/>
                      <w:sz w:val="21"/>
                      <w:highlight w:val="none"/>
                      <w:vertAlign w:val="baseline"/>
                      <w:lang w:val="en-US" w:eastAsia="zh-CN"/>
                    </w:rPr>
                  </w:pPr>
                  <w:r>
                    <w:rPr>
                      <w:rFonts w:hint="default" w:ascii="Times New Roman" w:hAnsi="Times New Roman" w:eastAsia="宋体" w:cs="Times New Roman"/>
                      <w:b w:val="0"/>
                      <w:bCs/>
                      <w:color w:val="auto"/>
                      <w:sz w:val="21"/>
                      <w:highlight w:val="none"/>
                      <w:vertAlign w:val="baseline"/>
                      <w:lang w:val="en-US" w:eastAsia="zh-CN"/>
                    </w:rPr>
                    <w:t>非甲烷总烃</w:t>
                  </w:r>
                </w:p>
              </w:tc>
              <w:tc>
                <w:tcPr>
                  <w:tcW w:w="1327" w:type="dxa"/>
                  <w:vAlign w:val="center"/>
                </w:tcPr>
                <w:p>
                  <w:pPr>
                    <w:pStyle w:val="11"/>
                    <w:pageBreakBefore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i w:val="0"/>
                      <w:iCs w:val="0"/>
                      <w:color w:val="auto"/>
                      <w:sz w:val="21"/>
                      <w:highlight w:val="none"/>
                      <w:lang w:val="en-US" w:eastAsia="zh-CN"/>
                    </w:rPr>
                  </w:pPr>
                  <w:r>
                    <w:rPr>
                      <w:rFonts w:hint="eastAsia" w:cs="Times New Roman"/>
                      <w:b w:val="0"/>
                      <w:bCs/>
                      <w:i w:val="0"/>
                      <w:iCs w:val="0"/>
                      <w:color w:val="auto"/>
                      <w:sz w:val="21"/>
                      <w:highlight w:val="none"/>
                      <w:lang w:val="en-US" w:eastAsia="zh-CN"/>
                    </w:rPr>
                    <w:t>119.231728</w:t>
                  </w:r>
                </w:p>
              </w:tc>
              <w:tc>
                <w:tcPr>
                  <w:tcW w:w="1196" w:type="dxa"/>
                  <w:vAlign w:val="center"/>
                </w:tcPr>
                <w:p>
                  <w:pPr>
                    <w:pStyle w:val="11"/>
                    <w:pageBreakBefore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i w:val="0"/>
                      <w:iCs w:val="0"/>
                      <w:color w:val="auto"/>
                      <w:sz w:val="21"/>
                      <w:highlight w:val="none"/>
                      <w:lang w:val="en-US" w:eastAsia="zh-CN"/>
                    </w:rPr>
                  </w:pPr>
                  <w:r>
                    <w:rPr>
                      <w:rFonts w:hint="eastAsia" w:cs="Times New Roman"/>
                      <w:b w:val="0"/>
                      <w:bCs/>
                      <w:i w:val="0"/>
                      <w:iCs w:val="0"/>
                      <w:color w:val="auto"/>
                      <w:sz w:val="21"/>
                      <w:highlight w:val="none"/>
                      <w:lang w:val="en-US" w:eastAsia="zh-CN"/>
                    </w:rPr>
                    <w:t>39.921421</w:t>
                  </w:r>
                </w:p>
              </w:tc>
              <w:tc>
                <w:tcPr>
                  <w:tcW w:w="867" w:type="dxa"/>
                  <w:vAlign w:val="center"/>
                </w:tcPr>
                <w:p>
                  <w:pPr>
                    <w:pStyle w:val="11"/>
                    <w:pageBreakBefore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i w:val="0"/>
                      <w:iCs w:val="0"/>
                      <w:color w:val="auto"/>
                      <w:sz w:val="21"/>
                      <w:highlight w:val="none"/>
                      <w:lang w:val="en-US" w:eastAsia="zh-CN"/>
                    </w:rPr>
                  </w:pPr>
                  <w:r>
                    <w:rPr>
                      <w:rFonts w:hint="eastAsia" w:ascii="Times New Roman" w:hAnsi="Times New Roman" w:eastAsia="宋体" w:cs="Times New Roman"/>
                      <w:b w:val="0"/>
                      <w:bCs/>
                      <w:i w:val="0"/>
                      <w:iCs w:val="0"/>
                      <w:color w:val="auto"/>
                      <w:sz w:val="21"/>
                      <w:highlight w:val="none"/>
                      <w:lang w:val="en-US" w:eastAsia="zh-CN"/>
                    </w:rPr>
                    <w:t>0.</w:t>
                  </w:r>
                  <w:r>
                    <w:rPr>
                      <w:rFonts w:hint="eastAsia" w:cs="Times New Roman"/>
                      <w:b w:val="0"/>
                      <w:bCs/>
                      <w:i w:val="0"/>
                      <w:iCs w:val="0"/>
                      <w:color w:val="auto"/>
                      <w:sz w:val="21"/>
                      <w:highlight w:val="none"/>
                      <w:lang w:val="en-US" w:eastAsia="zh-CN"/>
                    </w:rPr>
                    <w:t>5</w:t>
                  </w:r>
                </w:p>
              </w:tc>
              <w:tc>
                <w:tcPr>
                  <w:tcW w:w="816" w:type="dxa"/>
                  <w:vAlign w:val="center"/>
                </w:tcPr>
                <w:p>
                  <w:pPr>
                    <w:pStyle w:val="11"/>
                    <w:pageBreakBefore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i w:val="0"/>
                      <w:iCs w:val="0"/>
                      <w:color w:val="auto"/>
                      <w:sz w:val="21"/>
                      <w:highlight w:val="none"/>
                      <w:lang w:val="en-US" w:eastAsia="zh-CN"/>
                    </w:rPr>
                  </w:pPr>
                  <w:r>
                    <w:rPr>
                      <w:rFonts w:hint="default" w:ascii="Times New Roman" w:hAnsi="Times New Roman" w:eastAsia="宋体" w:cs="Times New Roman"/>
                      <w:b w:val="0"/>
                      <w:bCs/>
                      <w:i w:val="0"/>
                      <w:iCs w:val="0"/>
                      <w:color w:val="auto"/>
                      <w:sz w:val="21"/>
                      <w:highlight w:val="none"/>
                      <w:lang w:val="en-US" w:eastAsia="zh-CN"/>
                    </w:rPr>
                    <w:t>15</w:t>
                  </w:r>
                </w:p>
              </w:tc>
              <w:tc>
                <w:tcPr>
                  <w:tcW w:w="1064" w:type="dxa"/>
                  <w:vAlign w:val="center"/>
                </w:tcPr>
                <w:p>
                  <w:pPr>
                    <w:pStyle w:val="11"/>
                    <w:pageBreakBefore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i w:val="0"/>
                      <w:iCs w:val="0"/>
                      <w:color w:val="auto"/>
                      <w:sz w:val="21"/>
                      <w:highlight w:val="none"/>
                      <w:lang w:val="en-US" w:eastAsia="zh-CN"/>
                    </w:rPr>
                  </w:pPr>
                  <w:r>
                    <w:rPr>
                      <w:rFonts w:hint="eastAsia" w:cs="Times New Roman"/>
                      <w:b w:val="0"/>
                      <w:bCs/>
                      <w:i w:val="0"/>
                      <w:iCs w:val="0"/>
                      <w:color w:val="auto"/>
                      <w:sz w:val="21"/>
                      <w:highlight w:val="none"/>
                      <w:lang w:val="en-US" w:eastAsia="zh-CN"/>
                    </w:rPr>
                    <w:t>常温</w:t>
                  </w:r>
                </w:p>
              </w:tc>
            </w:tr>
          </w:tbl>
          <w:p>
            <w:pPr>
              <w:pStyle w:val="28"/>
              <w:spacing w:line="360" w:lineRule="auto"/>
              <w:ind w:left="0" w:leftChars="0" w:firstLine="0" w:firstLineChars="0"/>
              <w:rPr>
                <w:rFonts w:hint="eastAsia" w:cs="Times New Roman"/>
                <w:b/>
                <w:bCs/>
                <w:color w:val="auto"/>
                <w:kern w:val="2"/>
                <w:sz w:val="24"/>
                <w:szCs w:val="32"/>
                <w:highlight w:val="none"/>
                <w:lang w:val="en-US" w:eastAsia="zh-CN" w:bidi="ar-SA"/>
              </w:rPr>
            </w:pPr>
            <w:r>
              <w:rPr>
                <w:rFonts w:hint="eastAsia" w:cs="Times New Roman"/>
                <w:b/>
                <w:bCs/>
                <w:color w:val="auto"/>
                <w:kern w:val="2"/>
                <w:sz w:val="24"/>
                <w:szCs w:val="32"/>
                <w:highlight w:val="none"/>
                <w:lang w:val="en-US" w:eastAsia="zh-CN" w:bidi="ar-SA"/>
              </w:rPr>
              <w:t>1.5非正常工况</w:t>
            </w:r>
          </w:p>
          <w:p>
            <w:pPr>
              <w:widowControl/>
              <w:spacing w:line="360" w:lineRule="auto"/>
              <w:ind w:firstLine="480" w:firstLineChars="200"/>
              <w:rPr>
                <w:rFonts w:hint="default" w:ascii="Times New Roman" w:hAnsi="Times New Roman" w:eastAsia="宋体" w:cs="Times New Roman"/>
                <w:b/>
                <w:bCs/>
                <w:color w:val="auto"/>
                <w:highlight w:val="none"/>
              </w:rPr>
            </w:pPr>
            <w:r>
              <w:rPr>
                <w:rFonts w:hint="default" w:ascii="Times New Roman" w:hAnsi="Times New Roman" w:eastAsia="宋体" w:cs="Times New Roman"/>
                <w:color w:val="auto"/>
                <w:highlight w:val="none"/>
              </w:rPr>
              <w:t>非正常工况是指项目生产运行阶段开车、停车、检修等情况下的生产状况，非正常排放是指在非正常工况的情况下的污染物排放。本项目治理设备要先于生产设备开机，并且晚于生产设备关机。本项目在环保设施故障时，立即采取停产措施，避免造成污染物超标排放的情况。</w:t>
            </w:r>
          </w:p>
          <w:p>
            <w:pPr>
              <w:numPr>
                <w:ilvl w:val="0"/>
                <w:numId w:val="0"/>
              </w:numPr>
              <w:spacing w:line="240" w:lineRule="auto"/>
              <w:ind w:leftChars="0"/>
              <w:jc w:val="center"/>
              <w:rPr>
                <w:rFonts w:hint="default" w:ascii="Times New Roman" w:hAnsi="Times New Roman" w:eastAsia="宋体" w:cs="Times New Roman"/>
                <w:b/>
                <w:bCs/>
                <w:color w:val="auto"/>
                <w:sz w:val="24"/>
                <w:szCs w:val="24"/>
                <w:highlight w:val="none"/>
                <w:lang w:val="en-US" w:eastAsia="zh-CN"/>
              </w:rPr>
            </w:pPr>
            <w:r>
              <w:rPr>
                <w:rFonts w:hint="default" w:ascii="Times New Roman" w:hAnsi="Times New Roman" w:eastAsia="宋体" w:cs="Times New Roman"/>
                <w:b/>
                <w:bCs/>
                <w:color w:val="auto"/>
                <w:sz w:val="24"/>
                <w:szCs w:val="24"/>
                <w:highlight w:val="none"/>
                <w:lang w:val="en-US" w:eastAsia="zh-CN"/>
              </w:rPr>
              <w:t>表</w:t>
            </w:r>
            <w:r>
              <w:rPr>
                <w:rFonts w:hint="eastAsia" w:cs="Times New Roman"/>
                <w:b/>
                <w:bCs/>
                <w:color w:val="auto"/>
                <w:sz w:val="24"/>
                <w:szCs w:val="24"/>
                <w:highlight w:val="none"/>
                <w:lang w:val="en-US" w:eastAsia="zh-CN"/>
              </w:rPr>
              <w:t>4-3</w:t>
            </w:r>
            <w:r>
              <w:rPr>
                <w:rFonts w:hint="default" w:ascii="Times New Roman" w:hAnsi="Times New Roman" w:eastAsia="宋体" w:cs="Times New Roman"/>
                <w:b/>
                <w:bCs/>
                <w:color w:val="auto"/>
                <w:sz w:val="24"/>
                <w:szCs w:val="24"/>
                <w:highlight w:val="none"/>
                <w:lang w:val="en-US" w:eastAsia="zh-CN"/>
              </w:rPr>
              <w:t xml:space="preserve">  项目非正常工况大气污染物源强表</w:t>
            </w:r>
          </w:p>
          <w:tbl>
            <w:tblPr>
              <w:tblStyle w:val="32"/>
              <w:tblpPr w:leftFromText="180" w:rightFromText="180" w:vertAnchor="text" w:tblpXSpec="center" w:tblpY="1"/>
              <w:tblOverlap w:val="never"/>
              <w:tblW w:w="8435" w:type="dxa"/>
              <w:tblInd w:w="0" w:type="dxa"/>
              <w:tblBorders>
                <w:top w:val="single" w:color="auto" w:sz="2" w:space="0"/>
                <w:left w:val="single" w:color="auto" w:sz="2" w:space="0"/>
                <w:bottom w:val="single" w:color="auto" w:sz="2" w:space="0"/>
                <w:right w:val="single" w:color="auto" w:sz="2" w:space="0"/>
                <w:insideH w:val="single" w:color="auto" w:sz="4" w:space="0"/>
                <w:insideV w:val="single" w:color="auto" w:sz="4" w:space="0"/>
              </w:tblBorders>
              <w:tblLayout w:type="fixed"/>
              <w:tblCellMar>
                <w:top w:w="0" w:type="dxa"/>
                <w:left w:w="108" w:type="dxa"/>
                <w:bottom w:w="0" w:type="dxa"/>
                <w:right w:w="108" w:type="dxa"/>
              </w:tblCellMar>
            </w:tblPr>
            <w:tblGrid>
              <w:gridCol w:w="995"/>
              <w:gridCol w:w="1187"/>
              <w:gridCol w:w="1163"/>
              <w:gridCol w:w="1387"/>
              <w:gridCol w:w="1450"/>
              <w:gridCol w:w="1194"/>
              <w:gridCol w:w="1059"/>
            </w:tblGrid>
            <w:tr>
              <w:tblPrEx>
                <w:tblBorders>
                  <w:top w:val="single" w:color="auto" w:sz="2" w:space="0"/>
                  <w:left w:val="single" w:color="auto" w:sz="2" w:space="0"/>
                  <w:bottom w:val="single" w:color="auto" w:sz="2" w:space="0"/>
                  <w:right w:val="single" w:color="auto" w:sz="2"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995" w:type="dxa"/>
                  <w:noWrap/>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产污环节</w:t>
                  </w:r>
                </w:p>
              </w:tc>
              <w:tc>
                <w:tcPr>
                  <w:tcW w:w="1187" w:type="dxa"/>
                  <w:noWrap/>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污染因子</w:t>
                  </w:r>
                </w:p>
              </w:tc>
              <w:tc>
                <w:tcPr>
                  <w:tcW w:w="1163" w:type="dxa"/>
                  <w:noWrap/>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产生量t/a</w:t>
                  </w:r>
                </w:p>
              </w:tc>
              <w:tc>
                <w:tcPr>
                  <w:tcW w:w="1387" w:type="dxa"/>
                  <w:noWrap/>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排放量t/a</w:t>
                  </w:r>
                </w:p>
              </w:tc>
              <w:tc>
                <w:tcPr>
                  <w:tcW w:w="1450" w:type="dxa"/>
                  <w:noWrap/>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排放速率kg/h</w:t>
                  </w:r>
                </w:p>
              </w:tc>
              <w:tc>
                <w:tcPr>
                  <w:tcW w:w="1194" w:type="dxa"/>
                  <w:noWrap/>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排放浓度mg/m</w:t>
                  </w:r>
                  <w:r>
                    <w:rPr>
                      <w:rFonts w:hint="default" w:ascii="Times New Roman" w:hAnsi="Times New Roman" w:eastAsia="宋体" w:cs="Times New Roman"/>
                      <w:color w:val="auto"/>
                      <w:sz w:val="21"/>
                      <w:szCs w:val="21"/>
                      <w:highlight w:val="none"/>
                      <w:vertAlign w:val="superscript"/>
                    </w:rPr>
                    <w:t>3</w:t>
                  </w:r>
                </w:p>
              </w:tc>
              <w:tc>
                <w:tcPr>
                  <w:tcW w:w="1059" w:type="dxa"/>
                  <w:noWrap/>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措施效率</w:t>
                  </w:r>
                </w:p>
              </w:tc>
            </w:tr>
            <w:tr>
              <w:tblPrEx>
                <w:tblBorders>
                  <w:top w:val="single" w:color="auto" w:sz="2" w:space="0"/>
                  <w:left w:val="single" w:color="auto" w:sz="2" w:space="0"/>
                  <w:bottom w:val="single" w:color="auto" w:sz="2" w:space="0"/>
                  <w:right w:val="single" w:color="auto" w:sz="2" w:space="0"/>
                  <w:insideH w:val="single" w:color="auto" w:sz="4" w:space="0"/>
                  <w:insideV w:val="single" w:color="auto" w:sz="4" w:space="0"/>
                </w:tblBorders>
                <w:tblCellMar>
                  <w:top w:w="0" w:type="dxa"/>
                  <w:left w:w="108" w:type="dxa"/>
                  <w:bottom w:w="0" w:type="dxa"/>
                  <w:right w:w="108" w:type="dxa"/>
                </w:tblCellMar>
              </w:tblPrEx>
              <w:trPr>
                <w:trHeight w:val="178" w:hRule="atLeast"/>
              </w:trPr>
              <w:tc>
                <w:tcPr>
                  <w:tcW w:w="995" w:type="dxa"/>
                  <w:vMerge w:val="restart"/>
                  <w:noWrap/>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eastAsia" w:eastAsia="宋体" w:cs="Times New Roman"/>
                      <w:color w:val="auto"/>
                      <w:sz w:val="21"/>
                      <w:szCs w:val="21"/>
                      <w:highlight w:val="none"/>
                      <w:lang w:val="en-US" w:eastAsia="zh-CN"/>
                    </w:rPr>
                    <w:t>喷涂（调漆、喷漆、晾干）</w:t>
                  </w:r>
                </w:p>
              </w:tc>
              <w:tc>
                <w:tcPr>
                  <w:tcW w:w="1187" w:type="dxa"/>
                  <w:noWrap/>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eastAsia" w:eastAsia="宋体" w:cs="Times New Roman"/>
                      <w:color w:val="auto"/>
                      <w:sz w:val="21"/>
                      <w:szCs w:val="21"/>
                      <w:highlight w:val="none"/>
                      <w:lang w:val="en-US" w:eastAsia="zh-CN"/>
                    </w:rPr>
                    <w:t>颗粒物</w:t>
                  </w:r>
                </w:p>
              </w:tc>
              <w:tc>
                <w:tcPr>
                  <w:tcW w:w="1163" w:type="dxa"/>
                  <w:noWrap/>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0.4</w:t>
                  </w:r>
                </w:p>
              </w:tc>
              <w:tc>
                <w:tcPr>
                  <w:tcW w:w="1387" w:type="dxa"/>
                  <w:noWrap/>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0.4</w:t>
                  </w:r>
                </w:p>
              </w:tc>
              <w:tc>
                <w:tcPr>
                  <w:tcW w:w="1450" w:type="dxa"/>
                  <w:noWrap/>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0.3</w:t>
                  </w:r>
                </w:p>
              </w:tc>
              <w:tc>
                <w:tcPr>
                  <w:tcW w:w="1194" w:type="dxa"/>
                  <w:noWrap/>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15.03</w:t>
                  </w:r>
                </w:p>
              </w:tc>
              <w:tc>
                <w:tcPr>
                  <w:tcW w:w="1059" w:type="dxa"/>
                  <w:vMerge w:val="restart"/>
                  <w:noWrap/>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eastAsia" w:eastAsia="宋体" w:cs="Times New Roman"/>
                      <w:color w:val="auto"/>
                      <w:sz w:val="21"/>
                      <w:szCs w:val="21"/>
                      <w:highlight w:val="none"/>
                      <w:lang w:val="en-US" w:eastAsia="zh-CN"/>
                    </w:rPr>
                    <w:t>治理效率为0%</w:t>
                  </w:r>
                </w:p>
              </w:tc>
            </w:tr>
            <w:tr>
              <w:tblPrEx>
                <w:tblBorders>
                  <w:top w:val="single" w:color="auto" w:sz="2" w:space="0"/>
                  <w:left w:val="single" w:color="auto" w:sz="2" w:space="0"/>
                  <w:bottom w:val="single" w:color="auto" w:sz="2" w:space="0"/>
                  <w:right w:val="single" w:color="auto" w:sz="2" w:space="0"/>
                  <w:insideH w:val="single" w:color="auto" w:sz="4" w:space="0"/>
                  <w:insideV w:val="single" w:color="auto" w:sz="4" w:space="0"/>
                </w:tblBorders>
                <w:tblCellMar>
                  <w:top w:w="0" w:type="dxa"/>
                  <w:left w:w="108" w:type="dxa"/>
                  <w:bottom w:w="0" w:type="dxa"/>
                  <w:right w:w="108" w:type="dxa"/>
                </w:tblCellMar>
              </w:tblPrEx>
              <w:trPr>
                <w:trHeight w:val="521" w:hRule="atLeast"/>
              </w:trPr>
              <w:tc>
                <w:tcPr>
                  <w:tcW w:w="995" w:type="dxa"/>
                  <w:vMerge w:val="continue"/>
                  <w:noWrap/>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color w:val="auto"/>
                      <w:sz w:val="21"/>
                      <w:szCs w:val="21"/>
                      <w:highlight w:val="none"/>
                    </w:rPr>
                  </w:pPr>
                </w:p>
              </w:tc>
              <w:tc>
                <w:tcPr>
                  <w:tcW w:w="1187" w:type="dxa"/>
                  <w:noWrap/>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非甲烷总烃</w:t>
                  </w:r>
                </w:p>
              </w:tc>
              <w:tc>
                <w:tcPr>
                  <w:tcW w:w="1163" w:type="dxa"/>
                  <w:noWrap/>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auto"/>
                    <w:rPr>
                      <w:rFonts w:hint="default" w:eastAsia="宋体" w:cs="Times New Roman"/>
                      <w:color w:val="auto"/>
                      <w:sz w:val="21"/>
                      <w:szCs w:val="21"/>
                      <w:highlight w:val="none"/>
                      <w:lang w:val="en-US" w:eastAsia="zh-CN"/>
                    </w:rPr>
                  </w:pPr>
                  <w:r>
                    <w:rPr>
                      <w:rFonts w:hint="eastAsia" w:cs="Times New Roman"/>
                      <w:color w:val="auto"/>
                      <w:kern w:val="2"/>
                      <w:sz w:val="21"/>
                      <w:szCs w:val="21"/>
                      <w:highlight w:val="none"/>
                      <w:lang w:val="en-US" w:eastAsia="zh-CN" w:bidi="ar-SA"/>
                    </w:rPr>
                    <w:t>0.323</w:t>
                  </w:r>
                </w:p>
              </w:tc>
              <w:tc>
                <w:tcPr>
                  <w:tcW w:w="1387" w:type="dxa"/>
                  <w:noWrap/>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auto"/>
                    <w:rPr>
                      <w:rFonts w:hint="default" w:eastAsia="宋体" w:cs="Times New Roman"/>
                      <w:color w:val="auto"/>
                      <w:sz w:val="21"/>
                      <w:szCs w:val="21"/>
                      <w:highlight w:val="none"/>
                      <w:lang w:val="en-US" w:eastAsia="zh-CN"/>
                    </w:rPr>
                  </w:pPr>
                  <w:r>
                    <w:rPr>
                      <w:rFonts w:hint="eastAsia" w:cs="Times New Roman"/>
                      <w:color w:val="auto"/>
                      <w:kern w:val="2"/>
                      <w:sz w:val="21"/>
                      <w:szCs w:val="21"/>
                      <w:highlight w:val="none"/>
                      <w:lang w:val="en-US" w:eastAsia="zh-CN" w:bidi="ar-SA"/>
                    </w:rPr>
                    <w:t>0.323</w:t>
                  </w:r>
                </w:p>
              </w:tc>
              <w:tc>
                <w:tcPr>
                  <w:tcW w:w="1450" w:type="dxa"/>
                  <w:noWrap/>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0.25</w:t>
                  </w:r>
                </w:p>
              </w:tc>
              <w:tc>
                <w:tcPr>
                  <w:tcW w:w="1194" w:type="dxa"/>
                  <w:noWrap/>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16.18</w:t>
                  </w:r>
                </w:p>
              </w:tc>
              <w:tc>
                <w:tcPr>
                  <w:tcW w:w="1059" w:type="dxa"/>
                  <w:vMerge w:val="continue"/>
                  <w:noWrap/>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eastAsia="宋体" w:cs="Times New Roman"/>
                      <w:color w:val="auto"/>
                      <w:sz w:val="21"/>
                      <w:szCs w:val="21"/>
                      <w:highlight w:val="none"/>
                      <w:lang w:val="en-US" w:eastAsia="zh-CN"/>
                    </w:rPr>
                  </w:pPr>
                </w:p>
              </w:tc>
            </w:tr>
            <w:tr>
              <w:tblPrEx>
                <w:tblBorders>
                  <w:top w:val="single" w:color="auto" w:sz="2" w:space="0"/>
                  <w:left w:val="single" w:color="auto" w:sz="2" w:space="0"/>
                  <w:bottom w:val="single" w:color="auto" w:sz="2" w:space="0"/>
                  <w:right w:val="single" w:color="auto" w:sz="2" w:space="0"/>
                  <w:insideH w:val="single" w:color="auto" w:sz="4" w:space="0"/>
                  <w:insideV w:val="single" w:color="auto" w:sz="4" w:space="0"/>
                </w:tblBorders>
                <w:tblCellMar>
                  <w:top w:w="0" w:type="dxa"/>
                  <w:left w:w="108" w:type="dxa"/>
                  <w:bottom w:w="0" w:type="dxa"/>
                  <w:right w:w="108" w:type="dxa"/>
                </w:tblCellMar>
              </w:tblPrEx>
              <w:trPr>
                <w:trHeight w:val="178" w:hRule="atLeast"/>
              </w:trPr>
              <w:tc>
                <w:tcPr>
                  <w:tcW w:w="995" w:type="dxa"/>
                  <w:noWrap/>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焊接</w:t>
                  </w:r>
                </w:p>
              </w:tc>
              <w:tc>
                <w:tcPr>
                  <w:tcW w:w="1187" w:type="dxa"/>
                  <w:noWrap/>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颗粒物</w:t>
                  </w:r>
                </w:p>
              </w:tc>
              <w:tc>
                <w:tcPr>
                  <w:tcW w:w="1163" w:type="dxa"/>
                  <w:noWrap/>
                  <w:vAlign w:val="center"/>
                </w:tcPr>
                <w:p>
                  <w:pPr>
                    <w:keepNext w:val="0"/>
                    <w:keepLines w:val="0"/>
                    <w:pageBreakBefore w:val="0"/>
                    <w:widowControl/>
                    <w:suppressLineNumbers w:val="0"/>
                    <w:kinsoku/>
                    <w:wordWrap/>
                    <w:overflowPunct/>
                    <w:topLinePunct w:val="0"/>
                    <w:autoSpaceDE/>
                    <w:autoSpaceDN/>
                    <w:bidi w:val="0"/>
                    <w:adjustRightInd w:val="0"/>
                    <w:snapToGrid w:val="0"/>
                    <w:jc w:val="center"/>
                    <w:textAlignment w:val="auto"/>
                    <w:rPr>
                      <w:rFonts w:hint="default" w:eastAsia="宋体" w:cs="Times New Roman"/>
                      <w:i w:val="0"/>
                      <w:iCs w:val="0"/>
                      <w:color w:val="auto"/>
                      <w:kern w:val="0"/>
                      <w:sz w:val="21"/>
                      <w:szCs w:val="21"/>
                      <w:highlight w:val="none"/>
                      <w:u w:val="none"/>
                      <w:lang w:val="en-US" w:eastAsia="zh-CN" w:bidi="ar"/>
                    </w:rPr>
                  </w:pPr>
                  <w:r>
                    <w:rPr>
                      <w:rFonts w:hint="eastAsia" w:cs="Times New Roman"/>
                      <w:i w:val="0"/>
                      <w:iCs w:val="0"/>
                      <w:color w:val="auto"/>
                      <w:kern w:val="0"/>
                      <w:sz w:val="21"/>
                      <w:szCs w:val="21"/>
                      <w:highlight w:val="none"/>
                      <w:u w:val="none"/>
                      <w:lang w:val="en-US" w:eastAsia="zh-CN" w:bidi="ar"/>
                    </w:rPr>
                    <w:t>0.06</w:t>
                  </w:r>
                </w:p>
              </w:tc>
              <w:tc>
                <w:tcPr>
                  <w:tcW w:w="1387" w:type="dxa"/>
                  <w:noWrap/>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0.06</w:t>
                  </w:r>
                </w:p>
              </w:tc>
              <w:tc>
                <w:tcPr>
                  <w:tcW w:w="1450" w:type="dxa"/>
                  <w:noWrap/>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0.02</w:t>
                  </w:r>
                </w:p>
              </w:tc>
              <w:tc>
                <w:tcPr>
                  <w:tcW w:w="1194" w:type="dxa"/>
                  <w:noWrap/>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w:t>
                  </w:r>
                </w:p>
              </w:tc>
              <w:tc>
                <w:tcPr>
                  <w:tcW w:w="1059" w:type="dxa"/>
                  <w:vMerge w:val="continue"/>
                  <w:noWrap/>
                  <w:vAlign w:val="center"/>
                </w:tcPr>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eastAsia="宋体" w:cs="Times New Roman"/>
                      <w:color w:val="auto"/>
                      <w:sz w:val="21"/>
                      <w:szCs w:val="21"/>
                      <w:highlight w:val="none"/>
                      <w:lang w:val="en-US" w:eastAsia="zh-CN"/>
                    </w:rPr>
                  </w:pPr>
                </w:p>
              </w:tc>
            </w:tr>
          </w:tbl>
          <w:p>
            <w:pPr>
              <w:keepNext w:val="0"/>
              <w:keepLines w:val="0"/>
              <w:pageBreakBefore w:val="0"/>
              <w:widowControl w:val="0"/>
              <w:kinsoku/>
              <w:wordWrap/>
              <w:overflowPunct/>
              <w:topLinePunct w:val="0"/>
              <w:autoSpaceDE/>
              <w:autoSpaceDN/>
              <w:bidi w:val="0"/>
              <w:adjustRightInd/>
              <w:snapToGrid/>
              <w:spacing w:line="240" w:lineRule="auto"/>
              <w:ind w:firstLine="420" w:firstLineChars="200"/>
              <w:textAlignment w:val="auto"/>
              <w:rPr>
                <w:rFonts w:hint="eastAsia" w:eastAsia="宋体"/>
                <w:color w:val="auto"/>
                <w:sz w:val="21"/>
                <w:szCs w:val="21"/>
                <w:highlight w:val="none"/>
                <w:lang w:val="en-US" w:eastAsia="zh-CN"/>
              </w:rPr>
            </w:pPr>
            <w:r>
              <w:rPr>
                <w:rFonts w:hint="default" w:ascii="Times New Roman" w:hAnsi="Times New Roman" w:cs="Times New Roman"/>
                <w:bCs/>
                <w:color w:val="auto"/>
                <w:sz w:val="21"/>
                <w:szCs w:val="21"/>
                <w:highlight w:val="none"/>
              </w:rPr>
              <w:t>建议：建设单位在正常生产时应合理安排环保设施的检修时间，同时应加强各环保设施的日常维护的保养，一旦环保设施出现报警或自动停机的情况，企业必须马</w:t>
            </w:r>
            <w:r>
              <w:rPr>
                <w:rFonts w:hint="default" w:ascii="Times New Roman" w:hAnsi="Times New Roman" w:eastAsia="宋体" w:cs="Times New Roman"/>
                <w:bCs/>
                <w:color w:val="auto"/>
                <w:sz w:val="21"/>
                <w:szCs w:val="21"/>
                <w:highlight w:val="none"/>
              </w:rPr>
              <w:t>上停止生产，待其正常运行后，方可开机生产</w:t>
            </w:r>
            <w:r>
              <w:rPr>
                <w:rFonts w:hint="eastAsia" w:eastAsia="宋体" w:cs="Times New Roman"/>
                <w:bCs/>
                <w:color w:val="auto"/>
                <w:sz w:val="21"/>
                <w:szCs w:val="21"/>
                <w:highlight w:val="none"/>
                <w:lang w:eastAsia="zh-CN"/>
              </w:rPr>
              <w:t>。</w:t>
            </w:r>
          </w:p>
          <w:p>
            <w:pPr>
              <w:pStyle w:val="28"/>
              <w:spacing w:line="360" w:lineRule="auto"/>
              <w:ind w:left="0" w:leftChars="0" w:firstLine="0" w:firstLineChars="0"/>
              <w:rPr>
                <w:rFonts w:hint="default" w:ascii="Times New Roman" w:hAnsi="Times New Roman" w:eastAsia="宋体" w:cs="Times New Roman"/>
                <w:b/>
                <w:bCs/>
                <w:color w:val="auto"/>
                <w:kern w:val="2"/>
                <w:sz w:val="24"/>
                <w:szCs w:val="32"/>
                <w:highlight w:val="none"/>
                <w:lang w:val="en-US" w:eastAsia="zh-CN" w:bidi="ar-SA"/>
              </w:rPr>
            </w:pPr>
            <w:r>
              <w:rPr>
                <w:rFonts w:hint="default" w:ascii="Times New Roman" w:hAnsi="Times New Roman" w:eastAsia="宋体" w:cs="Times New Roman"/>
                <w:b/>
                <w:bCs/>
                <w:color w:val="auto"/>
                <w:kern w:val="2"/>
                <w:sz w:val="24"/>
                <w:szCs w:val="32"/>
                <w:highlight w:val="none"/>
                <w:lang w:val="en-US" w:eastAsia="zh-CN" w:bidi="ar-SA"/>
              </w:rPr>
              <w:t>1.</w:t>
            </w:r>
            <w:r>
              <w:rPr>
                <w:rFonts w:hint="eastAsia" w:cs="Times New Roman"/>
                <w:b/>
                <w:bCs/>
                <w:color w:val="auto"/>
                <w:kern w:val="2"/>
                <w:sz w:val="24"/>
                <w:szCs w:val="32"/>
                <w:highlight w:val="none"/>
                <w:lang w:val="en-US" w:eastAsia="zh-CN" w:bidi="ar-SA"/>
              </w:rPr>
              <w:t>6</w:t>
            </w:r>
            <w:r>
              <w:rPr>
                <w:rFonts w:hint="default" w:ascii="Times New Roman" w:hAnsi="Times New Roman" w:eastAsia="宋体" w:cs="Times New Roman"/>
                <w:b/>
                <w:bCs/>
                <w:color w:val="auto"/>
                <w:kern w:val="2"/>
                <w:sz w:val="24"/>
                <w:szCs w:val="32"/>
                <w:highlight w:val="none"/>
                <w:lang w:val="en-US" w:eastAsia="zh-CN" w:bidi="ar-SA"/>
              </w:rPr>
              <w:t>监测要求</w:t>
            </w:r>
          </w:p>
          <w:p>
            <w:pPr>
              <w:ind w:firstLine="480" w:firstLineChars="200"/>
              <w:jc w:val="both"/>
              <w:rPr>
                <w:rFonts w:hint="default" w:cs="Times New Roman"/>
                <w:b w:val="0"/>
                <w:bCs w:val="0"/>
                <w:color w:val="auto"/>
                <w:sz w:val="24"/>
                <w:szCs w:val="24"/>
                <w:highlight w:val="none"/>
                <w:lang w:val="en-US" w:eastAsia="zh-CN"/>
              </w:rPr>
            </w:pPr>
            <w:r>
              <w:rPr>
                <w:rFonts w:hint="eastAsia" w:cs="Times New Roman"/>
                <w:b w:val="0"/>
                <w:bCs w:val="0"/>
                <w:color w:val="auto"/>
                <w:sz w:val="24"/>
                <w:szCs w:val="24"/>
                <w:highlight w:val="none"/>
                <w:lang w:val="en-US" w:eastAsia="zh-CN"/>
              </w:rPr>
              <w:t>按照《排污许可申请与核发技术规范 总则》中监测点位、指标以及频次要求确定本项目废气要求。</w:t>
            </w:r>
          </w:p>
          <w:p>
            <w:pPr>
              <w:numPr>
                <w:ilvl w:val="0"/>
                <w:numId w:val="0"/>
              </w:numPr>
              <w:spacing w:line="240" w:lineRule="auto"/>
              <w:ind w:leftChars="0"/>
              <w:jc w:val="center"/>
              <w:rPr>
                <w:rFonts w:hint="default" w:ascii="Times New Roman" w:hAnsi="Times New Roman" w:eastAsia="宋体" w:cs="Times New Roman"/>
                <w:b/>
                <w:bCs/>
                <w:color w:val="auto"/>
                <w:sz w:val="24"/>
                <w:szCs w:val="24"/>
                <w:highlight w:val="none"/>
                <w:lang w:val="en-US" w:eastAsia="zh-CN"/>
              </w:rPr>
            </w:pPr>
            <w:r>
              <w:rPr>
                <w:rFonts w:hint="default" w:ascii="Times New Roman" w:hAnsi="Times New Roman" w:eastAsia="宋体" w:cs="Times New Roman"/>
                <w:b/>
                <w:bCs/>
                <w:color w:val="auto"/>
                <w:sz w:val="24"/>
                <w:szCs w:val="24"/>
                <w:highlight w:val="none"/>
                <w:lang w:val="en-US" w:eastAsia="zh-CN"/>
              </w:rPr>
              <w:t>表</w:t>
            </w:r>
            <w:r>
              <w:rPr>
                <w:rFonts w:hint="eastAsia" w:cs="Times New Roman"/>
                <w:b/>
                <w:bCs/>
                <w:color w:val="auto"/>
                <w:sz w:val="24"/>
                <w:szCs w:val="24"/>
                <w:highlight w:val="none"/>
                <w:lang w:val="en-US" w:eastAsia="zh-CN"/>
              </w:rPr>
              <w:t xml:space="preserve">4-4 </w:t>
            </w:r>
            <w:r>
              <w:rPr>
                <w:rFonts w:hint="default" w:ascii="Times New Roman" w:hAnsi="Times New Roman" w:eastAsia="宋体" w:cs="Times New Roman"/>
                <w:b/>
                <w:bCs/>
                <w:color w:val="auto"/>
                <w:sz w:val="24"/>
                <w:szCs w:val="24"/>
                <w:highlight w:val="none"/>
                <w:lang w:val="en-US" w:eastAsia="zh-CN"/>
              </w:rPr>
              <w:t xml:space="preserve"> 监测要求一览表</w:t>
            </w:r>
          </w:p>
          <w:tbl>
            <w:tblPr>
              <w:tblStyle w:val="32"/>
              <w:tblW w:w="843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87"/>
              <w:gridCol w:w="2976"/>
              <w:gridCol w:w="2039"/>
              <w:gridCol w:w="212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287" w:type="dxa"/>
                  <w:noWrap/>
                  <w:vAlign w:val="center"/>
                </w:tcPr>
                <w:p>
                  <w:pPr>
                    <w:pStyle w:val="11"/>
                    <w:spacing w:line="240" w:lineRule="auto"/>
                    <w:rPr>
                      <w:rFonts w:hint="default" w:ascii="Times New Roman" w:hAnsi="Times New Roman" w:eastAsia="宋体" w:cs="Times New Roman"/>
                      <w:b w:val="0"/>
                      <w:bCs/>
                      <w:color w:val="auto"/>
                      <w:sz w:val="21"/>
                      <w:highlight w:val="none"/>
                    </w:rPr>
                  </w:pPr>
                  <w:r>
                    <w:rPr>
                      <w:rFonts w:hint="default" w:ascii="Times New Roman" w:hAnsi="Times New Roman" w:eastAsia="宋体" w:cs="Times New Roman"/>
                      <w:b w:val="0"/>
                      <w:bCs/>
                      <w:color w:val="auto"/>
                      <w:sz w:val="21"/>
                      <w:highlight w:val="none"/>
                    </w:rPr>
                    <w:t>监测项目</w:t>
                  </w:r>
                </w:p>
              </w:tc>
              <w:tc>
                <w:tcPr>
                  <w:tcW w:w="2976" w:type="dxa"/>
                  <w:noWrap/>
                  <w:vAlign w:val="center"/>
                </w:tcPr>
                <w:p>
                  <w:pPr>
                    <w:pStyle w:val="11"/>
                    <w:spacing w:line="240" w:lineRule="auto"/>
                    <w:rPr>
                      <w:rFonts w:hint="default" w:ascii="Times New Roman" w:hAnsi="Times New Roman" w:eastAsia="宋体" w:cs="Times New Roman"/>
                      <w:b w:val="0"/>
                      <w:bCs/>
                      <w:color w:val="auto"/>
                      <w:sz w:val="21"/>
                      <w:highlight w:val="none"/>
                    </w:rPr>
                  </w:pPr>
                  <w:r>
                    <w:rPr>
                      <w:rFonts w:hint="default" w:ascii="Times New Roman" w:hAnsi="Times New Roman" w:eastAsia="宋体" w:cs="Times New Roman"/>
                      <w:b w:val="0"/>
                      <w:bCs/>
                      <w:color w:val="auto"/>
                      <w:sz w:val="21"/>
                      <w:highlight w:val="none"/>
                    </w:rPr>
                    <w:t>监测点位</w:t>
                  </w:r>
                </w:p>
              </w:tc>
              <w:tc>
                <w:tcPr>
                  <w:tcW w:w="2039" w:type="dxa"/>
                  <w:noWrap/>
                  <w:vAlign w:val="center"/>
                </w:tcPr>
                <w:p>
                  <w:pPr>
                    <w:pStyle w:val="11"/>
                    <w:spacing w:line="240" w:lineRule="auto"/>
                    <w:jc w:val="center"/>
                    <w:rPr>
                      <w:rFonts w:hint="default" w:ascii="Times New Roman" w:hAnsi="Times New Roman" w:eastAsia="宋体" w:cs="Times New Roman"/>
                      <w:b w:val="0"/>
                      <w:bCs/>
                      <w:color w:val="auto"/>
                      <w:sz w:val="21"/>
                      <w:highlight w:val="none"/>
                    </w:rPr>
                  </w:pPr>
                  <w:r>
                    <w:rPr>
                      <w:rFonts w:hint="default" w:ascii="Times New Roman" w:hAnsi="Times New Roman" w:eastAsia="宋体" w:cs="Times New Roman"/>
                      <w:b w:val="0"/>
                      <w:bCs/>
                      <w:color w:val="auto"/>
                      <w:sz w:val="21"/>
                      <w:highlight w:val="none"/>
                    </w:rPr>
                    <w:t>监测因子</w:t>
                  </w:r>
                </w:p>
              </w:tc>
              <w:tc>
                <w:tcPr>
                  <w:tcW w:w="2128" w:type="dxa"/>
                  <w:noWrap/>
                  <w:vAlign w:val="center"/>
                </w:tcPr>
                <w:p>
                  <w:pPr>
                    <w:pStyle w:val="11"/>
                    <w:spacing w:line="240" w:lineRule="auto"/>
                    <w:jc w:val="center"/>
                    <w:rPr>
                      <w:rFonts w:hint="default" w:ascii="Times New Roman" w:hAnsi="Times New Roman" w:eastAsia="宋体" w:cs="Times New Roman"/>
                      <w:b w:val="0"/>
                      <w:bCs/>
                      <w:color w:val="auto"/>
                      <w:sz w:val="21"/>
                      <w:highlight w:val="none"/>
                    </w:rPr>
                  </w:pPr>
                  <w:r>
                    <w:rPr>
                      <w:rFonts w:hint="default" w:ascii="Times New Roman" w:hAnsi="Times New Roman" w:eastAsia="宋体" w:cs="Times New Roman"/>
                      <w:b w:val="0"/>
                      <w:bCs/>
                      <w:color w:val="auto"/>
                      <w:sz w:val="21"/>
                      <w:highlight w:val="none"/>
                    </w:rPr>
                    <w:t>监测频次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287" w:type="dxa"/>
                  <w:noWrap/>
                  <w:vAlign w:val="center"/>
                </w:tcPr>
                <w:p>
                  <w:pPr>
                    <w:pStyle w:val="30"/>
                    <w:spacing w:line="240" w:lineRule="auto"/>
                    <w:jc w:val="center"/>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废气</w:t>
                  </w:r>
                </w:p>
              </w:tc>
              <w:tc>
                <w:tcPr>
                  <w:tcW w:w="2976" w:type="dxa"/>
                  <w:noWrap/>
                  <w:vAlign w:val="center"/>
                </w:tcPr>
                <w:p>
                  <w:pPr>
                    <w:pStyle w:val="30"/>
                    <w:spacing w:line="240" w:lineRule="auto"/>
                    <w:jc w:val="center"/>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rPr>
                    <w:t>厂界</w:t>
                  </w:r>
                </w:p>
              </w:tc>
              <w:tc>
                <w:tcPr>
                  <w:tcW w:w="2039" w:type="dxa"/>
                  <w:noWrap/>
                  <w:vAlign w:val="center"/>
                </w:tcPr>
                <w:p>
                  <w:pPr>
                    <w:pStyle w:val="30"/>
                    <w:spacing w:line="240" w:lineRule="auto"/>
                    <w:jc w:val="center"/>
                    <w:rPr>
                      <w:rFonts w:hint="default" w:ascii="Times New Roman" w:hAnsi="Times New Roman" w:eastAsia="宋体" w:cs="Times New Roman"/>
                      <w:bCs/>
                      <w:color w:val="auto"/>
                      <w:sz w:val="21"/>
                      <w:szCs w:val="21"/>
                      <w:highlight w:val="none"/>
                      <w:lang w:val="en-US" w:eastAsia="zh-CN"/>
                    </w:rPr>
                  </w:pPr>
                  <w:r>
                    <w:rPr>
                      <w:rFonts w:hint="default" w:ascii="Times New Roman" w:hAnsi="Times New Roman" w:eastAsia="宋体" w:cs="Times New Roman"/>
                      <w:bCs/>
                      <w:color w:val="auto"/>
                      <w:sz w:val="21"/>
                      <w:szCs w:val="21"/>
                      <w:highlight w:val="none"/>
                    </w:rPr>
                    <w:t>颗粒物</w:t>
                  </w:r>
                  <w:r>
                    <w:rPr>
                      <w:rFonts w:hint="eastAsia" w:ascii="Times New Roman" w:hAnsi="Times New Roman" w:eastAsia="宋体" w:cs="Times New Roman"/>
                      <w:bCs/>
                      <w:color w:val="auto"/>
                      <w:sz w:val="21"/>
                      <w:szCs w:val="21"/>
                      <w:highlight w:val="none"/>
                      <w:lang w:eastAsia="zh-CN"/>
                    </w:rPr>
                    <w:t>、</w:t>
                  </w:r>
                  <w:r>
                    <w:rPr>
                      <w:rFonts w:hint="eastAsia" w:ascii="Times New Roman" w:hAnsi="Times New Roman" w:eastAsia="宋体" w:cs="Times New Roman"/>
                      <w:bCs/>
                      <w:color w:val="auto"/>
                      <w:sz w:val="21"/>
                      <w:szCs w:val="21"/>
                      <w:highlight w:val="none"/>
                      <w:lang w:val="en-US" w:eastAsia="zh-CN"/>
                    </w:rPr>
                    <w:t>非甲烷总烃</w:t>
                  </w:r>
                </w:p>
              </w:tc>
              <w:tc>
                <w:tcPr>
                  <w:tcW w:w="2128" w:type="dxa"/>
                  <w:noWrap/>
                  <w:vAlign w:val="center"/>
                </w:tcPr>
                <w:p>
                  <w:pPr>
                    <w:pStyle w:val="30"/>
                    <w:spacing w:line="240" w:lineRule="auto"/>
                    <w:jc w:val="center"/>
                    <w:rPr>
                      <w:rFonts w:hint="default" w:ascii="Times New Roman" w:hAnsi="Times New Roman" w:eastAsia="宋体" w:cs="Times New Roman"/>
                      <w:bCs/>
                      <w:color w:val="auto"/>
                      <w:kern w:val="2"/>
                      <w:sz w:val="21"/>
                      <w:szCs w:val="21"/>
                      <w:highlight w:val="none"/>
                    </w:rPr>
                  </w:pPr>
                  <w:r>
                    <w:rPr>
                      <w:rFonts w:hint="default" w:ascii="Times New Roman" w:hAnsi="Times New Roman" w:eastAsia="宋体" w:cs="Times New Roman"/>
                      <w:bCs/>
                      <w:color w:val="auto"/>
                      <w:kern w:val="2"/>
                      <w:sz w:val="21"/>
                      <w:szCs w:val="21"/>
                      <w:highlight w:val="none"/>
                    </w:rPr>
                    <w:t>每年一次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287" w:type="dxa"/>
                  <w:noWrap/>
                  <w:vAlign w:val="center"/>
                </w:tcPr>
                <w:p>
                  <w:pPr>
                    <w:pStyle w:val="30"/>
                    <w:spacing w:line="240" w:lineRule="auto"/>
                    <w:jc w:val="center"/>
                    <w:rPr>
                      <w:rFonts w:hint="eastAsia" w:ascii="Times New Roman" w:hAnsi="Times New Roman" w:eastAsia="宋体" w:cs="Times New Roman"/>
                      <w:bCs/>
                      <w:color w:val="auto"/>
                      <w:sz w:val="21"/>
                      <w:szCs w:val="21"/>
                      <w:highlight w:val="none"/>
                      <w:lang w:val="en-US" w:eastAsia="zh-CN"/>
                    </w:rPr>
                  </w:pPr>
                  <w:r>
                    <w:rPr>
                      <w:rFonts w:hint="eastAsia" w:ascii="Times New Roman" w:hAnsi="Times New Roman" w:eastAsia="宋体" w:cs="Times New Roman"/>
                      <w:bCs/>
                      <w:color w:val="auto"/>
                      <w:sz w:val="21"/>
                      <w:szCs w:val="21"/>
                      <w:highlight w:val="none"/>
                      <w:lang w:val="en-US" w:eastAsia="zh-CN"/>
                    </w:rPr>
                    <w:t>废气</w:t>
                  </w:r>
                </w:p>
              </w:tc>
              <w:tc>
                <w:tcPr>
                  <w:tcW w:w="2976" w:type="dxa"/>
                  <w:noWrap/>
                  <w:vAlign w:val="center"/>
                </w:tcPr>
                <w:p>
                  <w:pPr>
                    <w:pStyle w:val="30"/>
                    <w:spacing w:line="240" w:lineRule="auto"/>
                    <w:jc w:val="center"/>
                    <w:rPr>
                      <w:rFonts w:hint="default" w:ascii="Times New Roman" w:hAnsi="Times New Roman" w:eastAsia="宋体" w:cs="Times New Roman"/>
                      <w:bCs/>
                      <w:color w:val="auto"/>
                      <w:sz w:val="21"/>
                      <w:szCs w:val="21"/>
                      <w:highlight w:val="none"/>
                      <w:lang w:val="en-US" w:eastAsia="zh-CN"/>
                    </w:rPr>
                  </w:pPr>
                  <w:r>
                    <w:rPr>
                      <w:rFonts w:hint="eastAsia" w:ascii="Times New Roman" w:hAnsi="Times New Roman" w:eastAsia="宋体" w:cs="Times New Roman"/>
                      <w:bCs/>
                      <w:color w:val="auto"/>
                      <w:sz w:val="21"/>
                      <w:szCs w:val="21"/>
                      <w:highlight w:val="none"/>
                      <w:lang w:val="en-US" w:eastAsia="zh-CN"/>
                    </w:rPr>
                    <w:t>喷涂工序所在生产车间外</w:t>
                  </w:r>
                </w:p>
              </w:tc>
              <w:tc>
                <w:tcPr>
                  <w:tcW w:w="2039" w:type="dxa"/>
                  <w:noWrap/>
                  <w:vAlign w:val="center"/>
                </w:tcPr>
                <w:p>
                  <w:pPr>
                    <w:pStyle w:val="30"/>
                    <w:spacing w:line="240" w:lineRule="auto"/>
                    <w:jc w:val="center"/>
                    <w:rPr>
                      <w:rFonts w:hint="default" w:ascii="Times New Roman" w:hAnsi="Times New Roman" w:eastAsia="宋体" w:cs="Times New Roman"/>
                      <w:bCs/>
                      <w:color w:val="auto"/>
                      <w:sz w:val="21"/>
                      <w:szCs w:val="21"/>
                      <w:highlight w:val="none"/>
                      <w:lang w:val="en-US" w:eastAsia="zh-CN"/>
                    </w:rPr>
                  </w:pPr>
                  <w:r>
                    <w:rPr>
                      <w:rFonts w:hint="eastAsia" w:ascii="Times New Roman" w:hAnsi="Times New Roman" w:eastAsia="宋体" w:cs="Times New Roman"/>
                      <w:bCs/>
                      <w:color w:val="auto"/>
                      <w:sz w:val="21"/>
                      <w:szCs w:val="21"/>
                      <w:highlight w:val="none"/>
                      <w:lang w:val="en-US" w:eastAsia="zh-CN"/>
                    </w:rPr>
                    <w:t>非甲烷总烃</w:t>
                  </w:r>
                </w:p>
              </w:tc>
              <w:tc>
                <w:tcPr>
                  <w:tcW w:w="2128" w:type="dxa"/>
                  <w:noWrap/>
                  <w:vAlign w:val="center"/>
                </w:tcPr>
                <w:p>
                  <w:pPr>
                    <w:pStyle w:val="30"/>
                    <w:spacing w:line="240" w:lineRule="auto"/>
                    <w:jc w:val="center"/>
                    <w:rPr>
                      <w:rFonts w:hint="eastAsia" w:ascii="Times New Roman" w:hAnsi="Times New Roman" w:eastAsia="宋体" w:cs="Times New Roman"/>
                      <w:bCs/>
                      <w:color w:val="auto"/>
                      <w:kern w:val="2"/>
                      <w:sz w:val="21"/>
                      <w:szCs w:val="21"/>
                      <w:highlight w:val="none"/>
                      <w:lang w:val="en-US" w:eastAsia="zh-CN"/>
                    </w:rPr>
                  </w:pPr>
                  <w:r>
                    <w:rPr>
                      <w:rFonts w:hint="eastAsia" w:ascii="Times New Roman" w:hAnsi="Times New Roman" w:eastAsia="宋体" w:cs="Times New Roman"/>
                      <w:bCs/>
                      <w:color w:val="auto"/>
                      <w:kern w:val="2"/>
                      <w:sz w:val="21"/>
                      <w:szCs w:val="21"/>
                      <w:highlight w:val="none"/>
                      <w:lang w:val="en-US" w:eastAsia="zh-CN"/>
                    </w:rPr>
                    <w:t>每年一次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287" w:type="dxa"/>
                  <w:noWrap/>
                  <w:vAlign w:val="center"/>
                </w:tcPr>
                <w:p>
                  <w:pPr>
                    <w:pStyle w:val="30"/>
                    <w:spacing w:line="240" w:lineRule="auto"/>
                    <w:jc w:val="center"/>
                    <w:rPr>
                      <w:rFonts w:hint="default" w:ascii="Times New Roman" w:hAnsi="Times New Roman" w:eastAsia="宋体" w:cs="Times New Roman"/>
                      <w:bCs/>
                      <w:color w:val="auto"/>
                      <w:sz w:val="21"/>
                      <w:szCs w:val="21"/>
                      <w:highlight w:val="none"/>
                      <w:lang w:val="en-US" w:eastAsia="zh-CN"/>
                    </w:rPr>
                  </w:pPr>
                  <w:r>
                    <w:rPr>
                      <w:rFonts w:hint="eastAsia" w:ascii="Times New Roman" w:hAnsi="Times New Roman" w:eastAsia="宋体" w:cs="Times New Roman"/>
                      <w:bCs/>
                      <w:color w:val="auto"/>
                      <w:sz w:val="21"/>
                      <w:szCs w:val="21"/>
                      <w:highlight w:val="none"/>
                      <w:lang w:val="en-US" w:eastAsia="zh-CN"/>
                    </w:rPr>
                    <w:t>废气</w:t>
                  </w:r>
                </w:p>
              </w:tc>
              <w:tc>
                <w:tcPr>
                  <w:tcW w:w="2976" w:type="dxa"/>
                  <w:noWrap/>
                  <w:vAlign w:val="center"/>
                </w:tcPr>
                <w:p>
                  <w:pPr>
                    <w:pStyle w:val="30"/>
                    <w:spacing w:line="240" w:lineRule="auto"/>
                    <w:jc w:val="center"/>
                    <w:rPr>
                      <w:rFonts w:hint="default" w:ascii="Times New Roman" w:hAnsi="Times New Roman" w:eastAsia="宋体" w:cs="Times New Roman"/>
                      <w:bCs/>
                      <w:color w:val="auto"/>
                      <w:sz w:val="21"/>
                      <w:szCs w:val="21"/>
                      <w:highlight w:val="none"/>
                      <w:lang w:val="en-US" w:eastAsia="zh-CN"/>
                    </w:rPr>
                  </w:pPr>
                  <w:r>
                    <w:rPr>
                      <w:rFonts w:hint="eastAsia" w:ascii="Times New Roman" w:hAnsi="Times New Roman" w:eastAsia="宋体" w:cs="Times New Roman"/>
                      <w:bCs/>
                      <w:color w:val="auto"/>
                      <w:sz w:val="21"/>
                      <w:szCs w:val="21"/>
                      <w:highlight w:val="none"/>
                      <w:lang w:val="en-US" w:eastAsia="zh-CN"/>
                    </w:rPr>
                    <w:t>DA001排气筒</w:t>
                  </w:r>
                </w:p>
              </w:tc>
              <w:tc>
                <w:tcPr>
                  <w:tcW w:w="2039" w:type="dxa"/>
                  <w:noWrap/>
                  <w:vAlign w:val="center"/>
                </w:tcPr>
                <w:p>
                  <w:pPr>
                    <w:pStyle w:val="30"/>
                    <w:spacing w:line="240" w:lineRule="auto"/>
                    <w:jc w:val="center"/>
                    <w:rPr>
                      <w:rFonts w:hint="default" w:ascii="Times New Roman" w:hAnsi="Times New Roman" w:eastAsia="仿宋" w:cs="Times New Roman"/>
                      <w:bCs/>
                      <w:color w:val="auto"/>
                      <w:sz w:val="21"/>
                      <w:szCs w:val="21"/>
                      <w:highlight w:val="none"/>
                      <w:lang w:val="en-US" w:eastAsia="zh-CN"/>
                    </w:rPr>
                  </w:pPr>
                  <w:r>
                    <w:rPr>
                      <w:rFonts w:hint="eastAsia" w:ascii="Times New Roman" w:hAnsi="Times New Roman" w:eastAsia="宋体" w:cs="Times New Roman"/>
                      <w:bCs/>
                      <w:color w:val="auto"/>
                      <w:sz w:val="21"/>
                      <w:szCs w:val="21"/>
                      <w:highlight w:val="none"/>
                      <w:lang w:val="en-US" w:eastAsia="zh-CN"/>
                    </w:rPr>
                    <w:t>非甲烷总烃、颗粒物</w:t>
                  </w:r>
                </w:p>
              </w:tc>
              <w:tc>
                <w:tcPr>
                  <w:tcW w:w="2128" w:type="dxa"/>
                  <w:noWrap/>
                  <w:vAlign w:val="center"/>
                </w:tcPr>
                <w:p>
                  <w:pPr>
                    <w:pStyle w:val="30"/>
                    <w:spacing w:line="240" w:lineRule="auto"/>
                    <w:jc w:val="center"/>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kern w:val="2"/>
                      <w:sz w:val="21"/>
                      <w:szCs w:val="21"/>
                      <w:highlight w:val="none"/>
                    </w:rPr>
                    <w:t>每年一次</w:t>
                  </w:r>
                </w:p>
              </w:tc>
            </w:tr>
          </w:tbl>
          <w:p>
            <w:pPr>
              <w:pStyle w:val="110"/>
              <w:snapToGrid w:val="0"/>
              <w:ind w:firstLine="480"/>
              <w:rPr>
                <w:rFonts w:hint="default" w:ascii="Times New Roman" w:hAnsi="Times New Roman" w:cs="Times New Roman"/>
                <w:color w:val="auto"/>
                <w:highlight w:val="none"/>
              </w:rPr>
            </w:pPr>
            <w:r>
              <w:rPr>
                <w:rFonts w:hint="eastAsia"/>
                <w:color w:val="auto"/>
                <w:highlight w:val="none"/>
              </w:rPr>
              <w:t>注：根据河北省环保厅《关于加强重点工业源挥发性有机物排放在线监控工作的通知》</w:t>
            </w:r>
            <w:r>
              <w:rPr>
                <w:color w:val="auto"/>
                <w:highlight w:val="none"/>
              </w:rPr>
              <w:t>(</w:t>
            </w:r>
            <w:r>
              <w:rPr>
                <w:rFonts w:hint="eastAsia"/>
                <w:color w:val="auto"/>
                <w:highlight w:val="none"/>
              </w:rPr>
              <w:t>冀环办字函〔</w:t>
            </w:r>
            <w:r>
              <w:rPr>
                <w:color w:val="auto"/>
                <w:highlight w:val="none"/>
              </w:rPr>
              <w:t>2017</w:t>
            </w:r>
            <w:r>
              <w:rPr>
                <w:rFonts w:hint="eastAsia"/>
                <w:color w:val="auto"/>
                <w:highlight w:val="none"/>
              </w:rPr>
              <w:t>〕</w:t>
            </w:r>
            <w:r>
              <w:rPr>
                <w:color w:val="auto"/>
                <w:highlight w:val="none"/>
              </w:rPr>
              <w:t>544</w:t>
            </w:r>
            <w:r>
              <w:rPr>
                <w:rFonts w:hint="eastAsia"/>
                <w:color w:val="auto"/>
                <w:highlight w:val="none"/>
              </w:rPr>
              <w:t>号</w:t>
            </w:r>
            <w:r>
              <w:rPr>
                <w:color w:val="auto"/>
                <w:highlight w:val="none"/>
              </w:rPr>
              <w:t>)</w:t>
            </w:r>
            <w:r>
              <w:rPr>
                <w:rFonts w:hint="eastAsia"/>
                <w:color w:val="auto"/>
                <w:highlight w:val="none"/>
              </w:rPr>
              <w:t>：“排气筒</w:t>
            </w:r>
            <w:r>
              <w:rPr>
                <w:color w:val="auto"/>
                <w:highlight w:val="none"/>
              </w:rPr>
              <w:t>VOCs</w:t>
            </w:r>
            <w:r>
              <w:rPr>
                <w:rFonts w:hint="eastAsia"/>
                <w:color w:val="auto"/>
                <w:highlight w:val="none"/>
              </w:rPr>
              <w:t>排放速率（包括等效排气筒等效排放速率）大于</w:t>
            </w:r>
            <w:r>
              <w:rPr>
                <w:color w:val="auto"/>
                <w:highlight w:val="none"/>
              </w:rPr>
              <w:t>2.5kg/h</w:t>
            </w:r>
            <w:r>
              <w:rPr>
                <w:rFonts w:hint="eastAsia"/>
                <w:color w:val="auto"/>
                <w:highlight w:val="none"/>
              </w:rPr>
              <w:t>或排气量大于</w:t>
            </w:r>
            <w:r>
              <w:rPr>
                <w:rFonts w:hint="eastAsia"/>
                <w:color w:val="auto"/>
                <w:highlight w:val="none"/>
                <w:lang w:val="en-US" w:eastAsia="zh-CN"/>
              </w:rPr>
              <w:t>2</w:t>
            </w:r>
            <w:r>
              <w:rPr>
                <w:color w:val="auto"/>
                <w:highlight w:val="none"/>
              </w:rPr>
              <w:t>0000m</w:t>
            </w:r>
            <w:r>
              <w:rPr>
                <w:color w:val="auto"/>
                <w:highlight w:val="none"/>
                <w:vertAlign w:val="superscript"/>
              </w:rPr>
              <w:t>3</w:t>
            </w:r>
            <w:r>
              <w:rPr>
                <w:color w:val="auto"/>
                <w:highlight w:val="none"/>
              </w:rPr>
              <w:t>/h</w:t>
            </w:r>
            <w:r>
              <w:rPr>
                <w:rFonts w:hint="eastAsia"/>
                <w:color w:val="auto"/>
                <w:highlight w:val="none"/>
              </w:rPr>
              <w:t>的固定排放源，安装</w:t>
            </w:r>
            <w:r>
              <w:rPr>
                <w:color w:val="auto"/>
                <w:highlight w:val="none"/>
              </w:rPr>
              <w:t>VOCs</w:t>
            </w:r>
            <w:r>
              <w:rPr>
                <w:rFonts w:hint="eastAsia"/>
                <w:color w:val="auto"/>
                <w:highlight w:val="none"/>
              </w:rPr>
              <w:t>在线监测设施。对不符合上述条件企业的车间及厂界，安装环境在线监测设施或超标报警传感装置。企业</w:t>
            </w:r>
            <w:r>
              <w:rPr>
                <w:rFonts w:hint="eastAsia"/>
                <w:color w:val="auto"/>
                <w:highlight w:val="none"/>
                <w:lang w:val="en-US" w:eastAsia="zh-CN"/>
              </w:rPr>
              <w:t>建设完成后</w:t>
            </w:r>
            <w:r>
              <w:rPr>
                <w:rFonts w:hint="eastAsia"/>
                <w:color w:val="auto"/>
                <w:highlight w:val="none"/>
              </w:rPr>
              <w:t>厂区</w:t>
            </w:r>
            <w:r>
              <w:rPr>
                <w:rFonts w:hint="eastAsia"/>
                <w:color w:val="auto"/>
                <w:highlight w:val="none"/>
                <w:lang w:val="en-US" w:eastAsia="zh-CN"/>
              </w:rPr>
              <w:t>将</w:t>
            </w:r>
            <w:r>
              <w:rPr>
                <w:rFonts w:hint="eastAsia"/>
                <w:color w:val="auto"/>
                <w:highlight w:val="none"/>
              </w:rPr>
              <w:t>设置非甲烷总烃超标报警装置。</w:t>
            </w:r>
          </w:p>
          <w:p>
            <w:pPr>
              <w:pStyle w:val="10"/>
              <w:bidi w:val="0"/>
              <w:rPr>
                <w:rFonts w:hint="default" w:ascii="Times New Roman" w:hAnsi="Times New Roman" w:cs="Times New Roman"/>
                <w:color w:val="auto"/>
                <w:highlight w:val="none"/>
              </w:rPr>
            </w:pPr>
            <w:r>
              <w:rPr>
                <w:rFonts w:hint="default" w:ascii="Times New Roman" w:hAnsi="Times New Roman" w:cs="Times New Roman"/>
                <w:color w:val="auto"/>
                <w:highlight w:val="none"/>
              </w:rPr>
              <w:t>2</w:t>
            </w:r>
            <w:r>
              <w:rPr>
                <w:rFonts w:hint="default" w:ascii="Times New Roman" w:hAnsi="Times New Roman" w:cs="Times New Roman"/>
                <w:color w:val="auto"/>
                <w:highlight w:val="none"/>
                <w:lang w:val="en-US" w:eastAsia="zh-CN"/>
              </w:rPr>
              <w:t xml:space="preserve"> </w:t>
            </w:r>
            <w:r>
              <w:rPr>
                <w:rFonts w:hint="default" w:ascii="Times New Roman" w:hAnsi="Times New Roman" w:cs="Times New Roman"/>
                <w:color w:val="auto"/>
                <w:highlight w:val="none"/>
              </w:rPr>
              <w:t>水环境影响分析</w:t>
            </w:r>
          </w:p>
          <w:p>
            <w:pPr>
              <w:pStyle w:val="50"/>
              <w:numPr>
                <w:ilvl w:val="0"/>
                <w:numId w:val="0"/>
              </w:numPr>
              <w:bidi w:val="0"/>
              <w:ind w:firstLine="480" w:firstLineChars="200"/>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本项目不新增劳动定员，不涉及生活用水的变化。无生产废水产生，</w:t>
            </w:r>
            <w:r>
              <w:rPr>
                <w:rFonts w:hint="default" w:ascii="Times New Roman" w:hAnsi="Times New Roman" w:cs="Times New Roman"/>
                <w:color w:val="auto"/>
                <w:highlight w:val="none"/>
                <w:lang w:val="en-US" w:eastAsia="zh-CN"/>
              </w:rPr>
              <w:t>综上所述，对周围环境</w:t>
            </w:r>
            <w:r>
              <w:rPr>
                <w:rFonts w:hint="default" w:ascii="Times New Roman" w:hAnsi="Times New Roman" w:cs="Times New Roman"/>
                <w:color w:val="auto"/>
                <w:highlight w:val="none"/>
              </w:rPr>
              <w:t>影响较小</w:t>
            </w:r>
            <w:r>
              <w:rPr>
                <w:rFonts w:hint="default" w:ascii="Times New Roman" w:hAnsi="Times New Roman" w:cs="Times New Roman"/>
                <w:color w:val="auto"/>
                <w:highlight w:val="none"/>
                <w:lang w:eastAsia="zh-CN"/>
              </w:rPr>
              <w:t>。</w:t>
            </w:r>
          </w:p>
          <w:p>
            <w:pPr>
              <w:pStyle w:val="10"/>
              <w:bidi w:val="0"/>
              <w:rPr>
                <w:rFonts w:hint="default" w:ascii="Times New Roman" w:hAnsi="Times New Roman" w:cs="Times New Roman"/>
                <w:color w:val="auto"/>
                <w:highlight w:val="none"/>
              </w:rPr>
            </w:pPr>
            <w:r>
              <w:rPr>
                <w:rFonts w:hint="default" w:ascii="Times New Roman" w:hAnsi="Times New Roman" w:cs="Times New Roman"/>
                <w:color w:val="auto"/>
                <w:highlight w:val="none"/>
              </w:rPr>
              <w:t>3</w:t>
            </w:r>
            <w:r>
              <w:rPr>
                <w:rFonts w:hint="default" w:ascii="Times New Roman" w:hAnsi="Times New Roman" w:cs="Times New Roman"/>
                <w:color w:val="auto"/>
                <w:highlight w:val="none"/>
                <w:lang w:val="en-US" w:eastAsia="zh-CN"/>
              </w:rPr>
              <w:t xml:space="preserve"> </w:t>
            </w:r>
            <w:r>
              <w:rPr>
                <w:rFonts w:hint="default" w:ascii="Times New Roman" w:hAnsi="Times New Roman" w:cs="Times New Roman"/>
                <w:color w:val="auto"/>
                <w:highlight w:val="none"/>
              </w:rPr>
              <w:t>声环境影响分析</w:t>
            </w:r>
          </w:p>
          <w:p>
            <w:pPr>
              <w:pStyle w:val="28"/>
              <w:spacing w:line="360" w:lineRule="auto"/>
              <w:ind w:left="0" w:leftChars="0" w:firstLine="0" w:firstLineChars="0"/>
              <w:rPr>
                <w:rFonts w:hint="default" w:ascii="Times New Roman" w:hAnsi="Times New Roman" w:eastAsia="宋体" w:cs="Times New Roman"/>
                <w:b/>
                <w:bCs/>
                <w:color w:val="auto"/>
                <w:kern w:val="2"/>
                <w:sz w:val="24"/>
                <w:szCs w:val="32"/>
                <w:highlight w:val="none"/>
                <w:lang w:val="en-US" w:eastAsia="zh-CN" w:bidi="ar-SA"/>
              </w:rPr>
            </w:pPr>
            <w:r>
              <w:rPr>
                <w:rFonts w:hint="eastAsia" w:ascii="Times New Roman" w:hAnsi="Times New Roman" w:eastAsia="宋体" w:cs="Times New Roman"/>
                <w:b/>
                <w:bCs/>
                <w:color w:val="auto"/>
                <w:kern w:val="2"/>
                <w:sz w:val="24"/>
                <w:szCs w:val="32"/>
                <w:highlight w:val="none"/>
                <w:lang w:val="en-US" w:eastAsia="zh-CN" w:bidi="ar-SA"/>
              </w:rPr>
              <w:t>3.1预测模式</w:t>
            </w:r>
          </w:p>
          <w:p>
            <w:pPr>
              <w:adjustRightInd w:val="0"/>
              <w:snapToGrid w:val="0"/>
              <w:spacing w:line="360" w:lineRule="auto"/>
              <w:ind w:firstLine="480" w:firstLineChars="200"/>
              <w:jc w:val="both"/>
              <w:rPr>
                <w:rFonts w:hint="default" w:ascii="Times New Roman" w:hAnsi="Times New Roman" w:eastAsia="宋体" w:cs="Times New Roman"/>
                <w:bCs/>
                <w:color w:val="auto"/>
                <w:sz w:val="24"/>
                <w:szCs w:val="24"/>
                <w:highlight w:val="none"/>
              </w:rPr>
            </w:pPr>
            <w:r>
              <w:rPr>
                <w:rFonts w:hint="default" w:ascii="Times New Roman" w:hAnsi="Times New Roman" w:eastAsia="宋体" w:cs="Times New Roman"/>
                <w:bCs/>
                <w:color w:val="auto"/>
                <w:sz w:val="24"/>
                <w:szCs w:val="24"/>
                <w:highlight w:val="none"/>
              </w:rPr>
              <w:t>（1）单个室外点声源在预测点产生的声级计算基本公式</w:t>
            </w:r>
          </w:p>
          <w:p>
            <w:pPr>
              <w:adjustRightInd w:val="0"/>
              <w:snapToGrid w:val="0"/>
              <w:spacing w:line="360" w:lineRule="auto"/>
              <w:ind w:firstLine="480" w:firstLineChars="200"/>
              <w:jc w:val="both"/>
              <w:rPr>
                <w:rFonts w:hint="default" w:ascii="Times New Roman" w:hAnsi="Times New Roman" w:eastAsia="宋体" w:cs="Times New Roman"/>
                <w:bCs/>
                <w:color w:val="auto"/>
                <w:sz w:val="24"/>
                <w:szCs w:val="24"/>
                <w:highlight w:val="none"/>
              </w:rPr>
            </w:pPr>
            <w:r>
              <w:rPr>
                <w:rFonts w:hint="eastAsia" w:ascii="Times New Roman" w:hAnsi="Times New Roman" w:eastAsia="宋体" w:cs="Times New Roman"/>
                <w:bCs/>
                <w:color w:val="auto"/>
                <w:sz w:val="24"/>
                <w:szCs w:val="24"/>
                <w:highlight w:val="none"/>
                <w:lang w:val="en-US" w:eastAsia="zh-CN"/>
              </w:rPr>
              <w:t>户外声传播衰减包括几何发散（</w:t>
            </w:r>
            <w:r>
              <w:rPr>
                <w:rFonts w:hint="default" w:ascii="Times New Roman" w:hAnsi="Times New Roman" w:eastAsia="宋体" w:cs="Times New Roman"/>
                <w:bCs/>
                <w:color w:val="auto"/>
                <w:sz w:val="24"/>
                <w:szCs w:val="24"/>
                <w:highlight w:val="none"/>
                <w:lang w:val="en-US" w:eastAsia="zh-CN"/>
              </w:rPr>
              <w:t>Adiv</w:t>
            </w:r>
            <w:r>
              <w:rPr>
                <w:rFonts w:hint="eastAsia" w:ascii="Times New Roman" w:hAnsi="Times New Roman" w:eastAsia="宋体" w:cs="Times New Roman"/>
                <w:bCs/>
                <w:color w:val="auto"/>
                <w:sz w:val="24"/>
                <w:szCs w:val="24"/>
                <w:highlight w:val="none"/>
                <w:lang w:val="en-US" w:eastAsia="zh-CN"/>
              </w:rPr>
              <w:t>）、大气吸收（</w:t>
            </w:r>
            <w:r>
              <w:rPr>
                <w:rFonts w:hint="default" w:ascii="Times New Roman" w:hAnsi="Times New Roman" w:eastAsia="宋体" w:cs="Times New Roman"/>
                <w:bCs/>
                <w:color w:val="auto"/>
                <w:sz w:val="24"/>
                <w:szCs w:val="24"/>
                <w:highlight w:val="none"/>
                <w:lang w:val="en-US" w:eastAsia="zh-CN"/>
              </w:rPr>
              <w:t>Aatm</w:t>
            </w:r>
            <w:r>
              <w:rPr>
                <w:rFonts w:hint="eastAsia" w:ascii="Times New Roman" w:hAnsi="Times New Roman" w:eastAsia="宋体" w:cs="Times New Roman"/>
                <w:bCs/>
                <w:color w:val="auto"/>
                <w:sz w:val="24"/>
                <w:szCs w:val="24"/>
                <w:highlight w:val="none"/>
                <w:lang w:val="en-US" w:eastAsia="zh-CN"/>
              </w:rPr>
              <w:t>）、地面效应（</w:t>
            </w:r>
            <w:r>
              <w:rPr>
                <w:rFonts w:hint="default" w:ascii="Times New Roman" w:hAnsi="Times New Roman" w:eastAsia="宋体" w:cs="Times New Roman"/>
                <w:bCs/>
                <w:color w:val="auto"/>
                <w:sz w:val="24"/>
                <w:szCs w:val="24"/>
                <w:highlight w:val="none"/>
                <w:lang w:val="en-US" w:eastAsia="zh-CN"/>
              </w:rPr>
              <w:t>Agr</w:t>
            </w:r>
            <w:r>
              <w:rPr>
                <w:rFonts w:hint="eastAsia" w:ascii="Times New Roman" w:hAnsi="Times New Roman" w:eastAsia="宋体" w:cs="Times New Roman"/>
                <w:bCs/>
                <w:color w:val="auto"/>
                <w:sz w:val="24"/>
                <w:szCs w:val="24"/>
                <w:highlight w:val="none"/>
                <w:lang w:val="en-US" w:eastAsia="zh-CN"/>
              </w:rPr>
              <w:t>）、障碍物屏蔽（</w:t>
            </w:r>
            <w:r>
              <w:rPr>
                <w:rFonts w:hint="default" w:ascii="Times New Roman" w:hAnsi="Times New Roman" w:eastAsia="宋体" w:cs="Times New Roman"/>
                <w:bCs/>
                <w:color w:val="auto"/>
                <w:sz w:val="24"/>
                <w:szCs w:val="24"/>
                <w:highlight w:val="none"/>
                <w:lang w:val="en-US" w:eastAsia="zh-CN"/>
              </w:rPr>
              <w:t>Abar</w:t>
            </w:r>
            <w:r>
              <w:rPr>
                <w:rFonts w:hint="eastAsia" w:ascii="Times New Roman" w:hAnsi="Times New Roman" w:eastAsia="宋体" w:cs="Times New Roman"/>
                <w:bCs/>
                <w:color w:val="auto"/>
                <w:sz w:val="24"/>
                <w:szCs w:val="24"/>
                <w:highlight w:val="none"/>
                <w:lang w:val="en-US" w:eastAsia="zh-CN"/>
              </w:rPr>
              <w:t>）、其他多方面效应（</w:t>
            </w:r>
            <w:r>
              <w:rPr>
                <w:rFonts w:hint="default" w:ascii="Times New Roman" w:hAnsi="Times New Roman" w:eastAsia="宋体" w:cs="Times New Roman"/>
                <w:bCs/>
                <w:color w:val="auto"/>
                <w:sz w:val="24"/>
                <w:szCs w:val="24"/>
                <w:highlight w:val="none"/>
                <w:lang w:val="en-US" w:eastAsia="zh-CN"/>
              </w:rPr>
              <w:t>Amisc</w:t>
            </w:r>
            <w:r>
              <w:rPr>
                <w:rFonts w:hint="eastAsia" w:ascii="Times New Roman" w:hAnsi="Times New Roman" w:eastAsia="宋体" w:cs="Times New Roman"/>
                <w:bCs/>
                <w:color w:val="auto"/>
                <w:sz w:val="24"/>
                <w:szCs w:val="24"/>
                <w:highlight w:val="none"/>
                <w:lang w:val="en-US" w:eastAsia="zh-CN"/>
              </w:rPr>
              <w:t xml:space="preserve">）引起的衰减。 </w:t>
            </w:r>
          </w:p>
          <w:p>
            <w:pPr>
              <w:adjustRightInd w:val="0"/>
              <w:snapToGrid w:val="0"/>
              <w:spacing w:line="360" w:lineRule="auto"/>
              <w:jc w:val="center"/>
              <w:rPr>
                <w:rFonts w:hint="default" w:ascii="Times New Roman" w:hAnsi="Times New Roman" w:eastAsia="宋体" w:cs="Times New Roman"/>
                <w:bCs/>
                <w:color w:val="auto"/>
                <w:sz w:val="24"/>
                <w:szCs w:val="24"/>
                <w:highlight w:val="none"/>
              </w:rPr>
            </w:pPr>
            <w:r>
              <w:rPr>
                <w:rFonts w:hint="default" w:ascii="Times New Roman" w:hAnsi="Times New Roman" w:eastAsia="宋体" w:cs="Times New Roman"/>
                <w:bCs/>
                <w:color w:val="auto"/>
                <w:sz w:val="24"/>
                <w:szCs w:val="24"/>
                <w:highlight w:val="none"/>
                <w:lang w:val="pt-BR"/>
              </w:rPr>
              <w:object>
                <v:shape id="_x0000_i1026" o:spt="75" type="#_x0000_t75" style="height:18.8pt;width:234.35pt;" o:ole="t" filled="f" o:preferrelative="t" stroked="f" coordsize="21600,21600">
                  <v:path/>
                  <v:fill on="f" focussize="0,0"/>
                  <v:stroke on="f"/>
                  <v:imagedata r:id="rId19" o:title=""/>
                  <o:lock v:ext="edit" aspectratio="t"/>
                  <w10:wrap type="none"/>
                  <w10:anchorlock/>
                </v:shape>
                <o:OLEObject Type="Embed" ProgID="Equation.3" ShapeID="_x0000_i1026" DrawAspect="Content" ObjectID="_1468075726" r:id="rId18">
                  <o:LockedField>false</o:LockedField>
                </o:OLEObject>
              </w:objec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eastAsia="宋体" w:cs="Times New Roman"/>
                <w:bCs/>
                <w:color w:val="auto"/>
                <w:sz w:val="24"/>
                <w:szCs w:val="24"/>
                <w:highlight w:val="none"/>
                <w:lang w:val="pt-BR" w:eastAsia="zh-CN"/>
              </w:rPr>
            </w:pPr>
            <w:r>
              <w:rPr>
                <w:rFonts w:hint="default" w:ascii="Times New Roman" w:hAnsi="Times New Roman" w:eastAsia="宋体" w:cs="Times New Roman"/>
                <w:bCs/>
                <w:color w:val="auto"/>
                <w:sz w:val="24"/>
                <w:szCs w:val="24"/>
                <w:highlight w:val="none"/>
                <w:lang w:val="en-US" w:eastAsia="zh-CN"/>
              </w:rPr>
              <w:t>式中</w:t>
            </w:r>
            <w:r>
              <w:rPr>
                <w:rFonts w:hint="default" w:ascii="Times New Roman" w:hAnsi="Times New Roman" w:eastAsia="宋体" w:cs="Times New Roman"/>
                <w:bCs/>
                <w:color w:val="auto"/>
                <w:sz w:val="24"/>
                <w:szCs w:val="24"/>
                <w:highlight w:val="none"/>
                <w:lang w:val="pt-BR" w:eastAsia="zh-CN"/>
              </w:rPr>
              <w:t>：</w:t>
            </w:r>
            <w:r>
              <w:rPr>
                <w:rFonts w:hint="default" w:ascii="Times New Roman" w:hAnsi="Times New Roman" w:eastAsia="宋体" w:cs="Times New Roman"/>
                <w:bCs/>
                <w:color w:val="auto"/>
                <w:sz w:val="24"/>
                <w:szCs w:val="24"/>
                <w:highlight w:val="none"/>
                <w:lang w:val="pt-BR" w:eastAsia="zh-CN"/>
              </w:rPr>
              <w:object>
                <v:shape id="_x0000_i1027" o:spt="75" type="#_x0000_t75" style="height:18.75pt;width:30pt;" o:ole="t" filled="f" o:preferrelative="t" stroked="f" coordsize="21600,21600">
                  <v:path/>
                  <v:fill on="f" focussize="0,0"/>
                  <v:stroke on="f" joinstyle="miter"/>
                  <v:imagedata r:id="rId21" o:title=""/>
                  <o:lock v:ext="edit" aspectratio="t"/>
                  <w10:wrap type="none"/>
                  <w10:anchorlock/>
                </v:shape>
                <o:OLEObject Type="Embed" ProgID="Equation.3" ShapeID="_x0000_i1027" DrawAspect="Content" ObjectID="_1468075727" r:id="rId20">
                  <o:LockedField>false</o:LockedField>
                </o:OLEObject>
              </w:object>
            </w:r>
            <w:r>
              <w:rPr>
                <w:rFonts w:hint="default" w:ascii="Times New Roman" w:hAnsi="Times New Roman" w:eastAsia="宋体" w:cs="Times New Roman"/>
                <w:bCs/>
                <w:color w:val="auto"/>
                <w:sz w:val="24"/>
                <w:szCs w:val="24"/>
                <w:highlight w:val="none"/>
                <w:lang w:val="pt-BR" w:eastAsia="zh-CN"/>
              </w:rPr>
              <w:t>——</w:t>
            </w:r>
            <w:r>
              <w:rPr>
                <w:rFonts w:hint="eastAsia" w:ascii="Times New Roman" w:hAnsi="Times New Roman" w:eastAsia="宋体" w:cs="Times New Roman"/>
                <w:bCs/>
                <w:color w:val="auto"/>
                <w:sz w:val="24"/>
                <w:szCs w:val="24"/>
                <w:highlight w:val="none"/>
                <w:lang w:val="en-US" w:eastAsia="zh-CN"/>
              </w:rPr>
              <w:t>预测点处声压级</w:t>
            </w:r>
            <w:r>
              <w:rPr>
                <w:rFonts w:hint="default" w:ascii="Times New Roman" w:hAnsi="Times New Roman" w:eastAsia="宋体" w:cs="Times New Roman"/>
                <w:bCs/>
                <w:color w:val="auto"/>
                <w:sz w:val="24"/>
                <w:szCs w:val="24"/>
                <w:highlight w:val="none"/>
                <w:lang w:val="pt-BR" w:eastAsia="zh-CN"/>
              </w:rPr>
              <w:t>，dB；</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eastAsia="宋体" w:cs="Times New Roman"/>
                <w:bCs/>
                <w:color w:val="auto"/>
                <w:sz w:val="24"/>
                <w:szCs w:val="24"/>
                <w:highlight w:val="none"/>
                <w:lang w:val="pt-BR" w:eastAsia="zh-CN"/>
              </w:rPr>
            </w:pPr>
            <w:r>
              <w:rPr>
                <w:rFonts w:hint="default" w:ascii="Times New Roman" w:hAnsi="Times New Roman" w:eastAsia="宋体" w:cs="Times New Roman"/>
                <w:bCs/>
                <w:color w:val="auto"/>
                <w:sz w:val="24"/>
                <w:szCs w:val="24"/>
                <w:highlight w:val="none"/>
                <w:lang w:val="pt-BR" w:eastAsia="zh-CN"/>
              </w:rPr>
              <w:object>
                <v:shape id="_x0000_i1028" o:spt="75" type="#_x0000_t75" style="height:19.8pt;width:28.6pt;" o:ole="t" filled="f" o:preferrelative="t" stroked="f" coordsize="21600,21600">
                  <v:path/>
                  <v:fill on="f" focussize="0,0"/>
                  <v:stroke on="f"/>
                  <v:imagedata r:id="rId23" o:title=""/>
                  <o:lock v:ext="edit" aspectratio="t"/>
                  <w10:wrap type="none"/>
                  <w10:anchorlock/>
                </v:shape>
                <o:OLEObject Type="Embed" ProgID="Equation.3" ShapeID="_x0000_i1028" DrawAspect="Content" ObjectID="_1468075728" r:id="rId22">
                  <o:LockedField>false</o:LockedField>
                </o:OLEObject>
              </w:object>
            </w:r>
            <w:r>
              <w:rPr>
                <w:rFonts w:hint="default" w:ascii="Times New Roman" w:hAnsi="Times New Roman" w:eastAsia="宋体" w:cs="Times New Roman"/>
                <w:bCs/>
                <w:color w:val="auto"/>
                <w:sz w:val="24"/>
                <w:szCs w:val="24"/>
                <w:highlight w:val="none"/>
                <w:lang w:val="pt-BR" w:eastAsia="zh-CN"/>
              </w:rPr>
              <w:t>——</w:t>
            </w:r>
            <w:r>
              <w:rPr>
                <w:rFonts w:hint="eastAsia" w:ascii="Times New Roman" w:hAnsi="Times New Roman" w:eastAsia="宋体" w:cs="Times New Roman"/>
                <w:bCs/>
                <w:color w:val="auto"/>
                <w:sz w:val="24"/>
                <w:szCs w:val="24"/>
                <w:highlight w:val="none"/>
                <w:lang w:val="en-US" w:eastAsia="zh-CN"/>
              </w:rPr>
              <w:t>参考位置</w:t>
            </w:r>
            <w:r>
              <w:rPr>
                <w:rFonts w:hint="default" w:ascii="Times New Roman" w:hAnsi="Times New Roman" w:eastAsia="宋体" w:cs="Times New Roman"/>
                <w:bCs/>
                <w:color w:val="auto"/>
                <w:sz w:val="24"/>
                <w:szCs w:val="24"/>
                <w:highlight w:val="none"/>
                <w:lang w:val="en-US" w:eastAsia="zh-CN"/>
              </w:rPr>
              <w:t>r0</w:t>
            </w:r>
            <w:r>
              <w:rPr>
                <w:rFonts w:hint="eastAsia" w:ascii="Times New Roman" w:hAnsi="Times New Roman" w:eastAsia="宋体" w:cs="Times New Roman"/>
                <w:bCs/>
                <w:color w:val="auto"/>
                <w:sz w:val="24"/>
                <w:szCs w:val="24"/>
                <w:highlight w:val="none"/>
                <w:lang w:val="en-US" w:eastAsia="zh-CN"/>
              </w:rPr>
              <w:t>处的声压级</w:t>
            </w:r>
            <w:r>
              <w:rPr>
                <w:rFonts w:hint="default" w:ascii="Times New Roman" w:hAnsi="Times New Roman" w:eastAsia="宋体" w:cs="Times New Roman"/>
                <w:bCs/>
                <w:color w:val="auto"/>
                <w:sz w:val="24"/>
                <w:szCs w:val="24"/>
                <w:highlight w:val="none"/>
                <w:lang w:val="pt-BR" w:eastAsia="zh-CN"/>
              </w:rPr>
              <w:t>，dB；</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eastAsia="宋体" w:cs="Times New Roman"/>
                <w:bCs/>
                <w:color w:val="auto"/>
                <w:sz w:val="24"/>
                <w:szCs w:val="24"/>
                <w:highlight w:val="none"/>
                <w:lang w:val="pt-BR" w:eastAsia="zh-CN"/>
              </w:rPr>
            </w:pPr>
            <w:r>
              <w:rPr>
                <w:rFonts w:hint="default" w:ascii="Times New Roman" w:hAnsi="Times New Roman" w:eastAsia="宋体" w:cs="Times New Roman"/>
                <w:bCs/>
                <w:color w:val="auto"/>
                <w:sz w:val="24"/>
                <w:szCs w:val="24"/>
                <w:highlight w:val="none"/>
                <w:lang w:val="pt-BR" w:eastAsia="zh-CN"/>
              </w:rPr>
              <w:object>
                <v:shape id="_x0000_i1029" o:spt="75" type="#_x0000_t75" style="height:18.75pt;width:16.5pt;" o:ole="t" filled="f" o:preferrelative="t" stroked="f" coordsize="21600,21600">
                  <v:path/>
                  <v:fill on="f" focussize="0,0"/>
                  <v:stroke on="f" joinstyle="miter"/>
                  <v:imagedata r:id="rId25" o:title=""/>
                  <o:lock v:ext="edit" aspectratio="t"/>
                  <w10:wrap type="none"/>
                  <w10:anchorlock/>
                </v:shape>
                <o:OLEObject Type="Embed" ProgID="Equation.3" ShapeID="_x0000_i1029" DrawAspect="Content" ObjectID="_1468075729" r:id="rId24">
                  <o:LockedField>false</o:LockedField>
                </o:OLEObject>
              </w:object>
            </w:r>
            <w:r>
              <w:rPr>
                <w:rFonts w:hint="default" w:ascii="Times New Roman" w:hAnsi="Times New Roman" w:eastAsia="宋体" w:cs="Times New Roman"/>
                <w:bCs/>
                <w:color w:val="auto"/>
                <w:sz w:val="24"/>
                <w:szCs w:val="24"/>
                <w:highlight w:val="none"/>
                <w:lang w:val="pt-BR" w:eastAsia="zh-CN"/>
              </w:rPr>
              <w:t>——指向性校正，</w:t>
            </w:r>
            <w:r>
              <w:rPr>
                <w:rFonts w:hint="eastAsia" w:ascii="Times New Roman" w:hAnsi="Times New Roman" w:eastAsia="宋体" w:cs="Times New Roman"/>
                <w:bCs/>
                <w:color w:val="auto"/>
                <w:sz w:val="24"/>
                <w:szCs w:val="24"/>
                <w:highlight w:val="none"/>
                <w:lang w:val="en-US" w:eastAsia="zh-CN"/>
              </w:rPr>
              <w:t>它描述点声源的等效连续声压级与产生声功率级</w:t>
            </w:r>
            <w:r>
              <w:rPr>
                <w:rFonts w:hint="default" w:ascii="Times New Roman" w:hAnsi="Times New Roman" w:eastAsia="宋体" w:cs="Times New Roman"/>
                <w:bCs/>
                <w:color w:val="auto"/>
                <w:sz w:val="24"/>
                <w:szCs w:val="24"/>
                <w:highlight w:val="none"/>
                <w:lang w:val="en-US" w:eastAsia="zh-CN"/>
              </w:rPr>
              <w:t>Lw</w:t>
            </w:r>
            <w:r>
              <w:rPr>
                <w:rFonts w:hint="eastAsia" w:ascii="Times New Roman" w:hAnsi="Times New Roman" w:eastAsia="宋体" w:cs="Times New Roman"/>
                <w:bCs/>
                <w:color w:val="auto"/>
                <w:sz w:val="24"/>
                <w:szCs w:val="24"/>
                <w:highlight w:val="none"/>
                <w:lang w:val="en-US" w:eastAsia="zh-CN"/>
              </w:rPr>
              <w:t>的全向点声源在规定方向的声级的偏差程度，</w:t>
            </w:r>
            <w:r>
              <w:rPr>
                <w:rFonts w:hint="default" w:ascii="Times New Roman" w:hAnsi="Times New Roman" w:eastAsia="宋体" w:cs="Times New Roman"/>
                <w:bCs/>
                <w:color w:val="auto"/>
                <w:sz w:val="24"/>
                <w:szCs w:val="24"/>
                <w:highlight w:val="none"/>
                <w:lang w:val="pt-BR" w:eastAsia="zh-CN"/>
              </w:rPr>
              <w:t>dB；</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pt-BR" w:eastAsia="zh-CN"/>
              </w:rPr>
              <w:object>
                <v:shape id="_x0000_i1030" o:spt="75" type="#_x0000_t75" style="height:18.75pt;width:22.5pt;" o:ole="t" filled="f" o:preferrelative="t" stroked="f" coordsize="21600,21600">
                  <v:path/>
                  <v:fill on="f" focussize="0,0"/>
                  <v:stroke on="f" joinstyle="miter"/>
                  <v:imagedata r:id="rId27" o:title=""/>
                  <o:lock v:ext="edit" aspectratio="t"/>
                  <w10:wrap type="none"/>
                  <w10:anchorlock/>
                </v:shape>
                <o:OLEObject Type="Embed" ProgID="Equation.3" ShapeID="_x0000_i1030" DrawAspect="Content" ObjectID="_1468075730" r:id="rId26">
                  <o:LockedField>false</o:LockedField>
                </o:OLEObject>
              </w:object>
            </w:r>
            <w:r>
              <w:rPr>
                <w:rFonts w:hint="default" w:ascii="Times New Roman" w:hAnsi="Times New Roman" w:eastAsia="宋体" w:cs="Times New Roman"/>
                <w:bCs/>
                <w:color w:val="auto"/>
                <w:sz w:val="24"/>
                <w:szCs w:val="24"/>
                <w:highlight w:val="none"/>
                <w:lang w:val="en-US" w:eastAsia="zh-CN"/>
              </w:rPr>
              <w:t>——几何发散引起的衰减，</w:t>
            </w:r>
            <w:r>
              <w:rPr>
                <w:rFonts w:hint="default" w:ascii="Times New Roman" w:hAnsi="Times New Roman" w:eastAsia="宋体" w:cs="Times New Roman"/>
                <w:bCs/>
                <w:color w:val="auto"/>
                <w:sz w:val="24"/>
                <w:szCs w:val="24"/>
                <w:highlight w:val="none"/>
                <w:lang w:val="pt-BR" w:eastAsia="zh-CN"/>
              </w:rPr>
              <w:t>dB；</w:t>
            </w:r>
          </w:p>
          <w:p>
            <w:pPr>
              <w:adjustRightInd w:val="0"/>
              <w:snapToGrid w:val="0"/>
              <w:spacing w:line="360" w:lineRule="auto"/>
              <w:ind w:firstLine="480" w:firstLineChars="200"/>
              <w:jc w:val="both"/>
              <w:rPr>
                <w:rFonts w:hint="default" w:ascii="Times New Roman" w:hAnsi="Times New Roman" w:eastAsia="宋体" w:cs="Times New Roman"/>
                <w:bCs/>
                <w:color w:val="auto"/>
                <w:sz w:val="24"/>
                <w:szCs w:val="24"/>
                <w:highlight w:val="none"/>
                <w:lang w:val="pt-BR" w:eastAsia="zh-CN"/>
              </w:rPr>
            </w:pPr>
            <w:r>
              <w:rPr>
                <w:rFonts w:hint="default" w:ascii="Times New Roman" w:hAnsi="Times New Roman" w:eastAsia="宋体" w:cs="Times New Roman"/>
                <w:bCs/>
                <w:color w:val="auto"/>
                <w:sz w:val="24"/>
                <w:szCs w:val="24"/>
                <w:highlight w:val="none"/>
                <w:lang w:val="pt-BR" w:eastAsia="zh-CN"/>
              </w:rPr>
              <w:object>
                <v:shape id="_x0000_i1031" o:spt="75" type="#_x0000_t75" style="height:19.5pt;width:18.75pt;" o:ole="t" filled="f" o:preferrelative="t" stroked="f" coordsize="21600,21600">
                  <v:path/>
                  <v:fill on="f" focussize="0,0"/>
                  <v:stroke on="f" joinstyle="miter"/>
                  <v:imagedata r:id="rId29" o:title=""/>
                  <o:lock v:ext="edit" aspectratio="t"/>
                  <w10:wrap type="none"/>
                  <w10:anchorlock/>
                </v:shape>
                <o:OLEObject Type="Embed" ProgID="Equation.3" ShapeID="_x0000_i1031" DrawAspect="Content" ObjectID="_1468075731" r:id="rId28">
                  <o:LockedField>false</o:LockedField>
                </o:OLEObject>
              </w:object>
            </w:r>
            <w:r>
              <w:rPr>
                <w:rFonts w:hint="default" w:ascii="Times New Roman" w:hAnsi="Times New Roman" w:eastAsia="宋体" w:cs="Times New Roman"/>
                <w:bCs/>
                <w:color w:val="auto"/>
                <w:sz w:val="24"/>
                <w:szCs w:val="24"/>
                <w:highlight w:val="none"/>
                <w:lang w:val="en-US" w:eastAsia="zh-CN"/>
              </w:rPr>
              <w:t>——地面效应引起的衰减，</w:t>
            </w:r>
            <w:r>
              <w:rPr>
                <w:rFonts w:hint="default" w:ascii="Times New Roman" w:hAnsi="Times New Roman" w:eastAsia="宋体" w:cs="Times New Roman"/>
                <w:bCs/>
                <w:color w:val="auto"/>
                <w:sz w:val="24"/>
                <w:szCs w:val="24"/>
                <w:highlight w:val="none"/>
                <w:lang w:val="pt-BR" w:eastAsia="zh-CN"/>
              </w:rPr>
              <w:t>dB；</w:t>
            </w:r>
          </w:p>
          <w:p>
            <w:pPr>
              <w:adjustRightInd w:val="0"/>
              <w:snapToGrid w:val="0"/>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pt-BR" w:eastAsia="zh-CN"/>
              </w:rPr>
              <w:object>
                <v:shape id="_x0000_i1032" o:spt="75" type="#_x0000_t75" style="height:18.75pt;width:22.5pt;" o:ole="t" filled="f" o:preferrelative="t" stroked="f" coordsize="21600,21600">
                  <v:path/>
                  <v:fill on="f" focussize="0,0"/>
                  <v:stroke on="f" joinstyle="miter"/>
                  <v:imagedata r:id="rId31" o:title=""/>
                  <o:lock v:ext="edit" aspectratio="t"/>
                  <w10:wrap type="none"/>
                  <w10:anchorlock/>
                </v:shape>
                <o:OLEObject Type="Embed" ProgID="Equation.3" ShapeID="_x0000_i1032" DrawAspect="Content" ObjectID="_1468075732" r:id="rId30">
                  <o:LockedField>false</o:LockedField>
                </o:OLEObject>
              </w:object>
            </w:r>
            <w:r>
              <w:rPr>
                <w:rFonts w:hint="default" w:ascii="Times New Roman" w:hAnsi="Times New Roman" w:eastAsia="宋体" w:cs="Times New Roman"/>
                <w:bCs/>
                <w:color w:val="auto"/>
                <w:sz w:val="24"/>
                <w:szCs w:val="24"/>
                <w:highlight w:val="none"/>
                <w:lang w:val="en-US" w:eastAsia="zh-CN"/>
              </w:rPr>
              <w:t>——大气吸收引起的衰减，</w:t>
            </w:r>
            <w:r>
              <w:rPr>
                <w:rFonts w:hint="default" w:ascii="Times New Roman" w:hAnsi="Times New Roman" w:eastAsia="宋体" w:cs="Times New Roman"/>
                <w:bCs/>
                <w:color w:val="auto"/>
                <w:sz w:val="24"/>
                <w:szCs w:val="24"/>
                <w:highlight w:val="none"/>
                <w:lang w:val="pt-BR" w:eastAsia="zh-CN"/>
              </w:rPr>
              <w:t>dB；</w:t>
            </w:r>
          </w:p>
          <w:p>
            <w:pPr>
              <w:adjustRightInd w:val="0"/>
              <w:snapToGrid w:val="0"/>
              <w:spacing w:line="360" w:lineRule="auto"/>
              <w:ind w:firstLine="480" w:firstLineChars="200"/>
              <w:jc w:val="both"/>
              <w:rPr>
                <w:rFonts w:hint="default" w:ascii="Times New Roman" w:hAnsi="Times New Roman" w:eastAsia="宋体" w:cs="Times New Roman"/>
                <w:bCs/>
                <w:color w:val="auto"/>
                <w:sz w:val="24"/>
                <w:szCs w:val="24"/>
                <w:highlight w:val="none"/>
                <w:lang w:val="pt-BR" w:eastAsia="zh-CN"/>
              </w:rPr>
            </w:pPr>
            <w:r>
              <w:rPr>
                <w:rFonts w:hint="default" w:ascii="Times New Roman" w:hAnsi="Times New Roman" w:eastAsia="宋体" w:cs="Times New Roman"/>
                <w:bCs/>
                <w:color w:val="auto"/>
                <w:sz w:val="24"/>
                <w:szCs w:val="24"/>
                <w:highlight w:val="none"/>
                <w:lang w:val="pt-BR" w:eastAsia="zh-CN"/>
              </w:rPr>
              <w:object>
                <v:shape id="_x0000_i1033" o:spt="75" type="#_x0000_t75" style="height:18.75pt;width:22.5pt;" o:ole="t" filled="f" o:preferrelative="t" stroked="f" coordsize="21600,21600">
                  <v:path/>
                  <v:fill on="f" focussize="0,0"/>
                  <v:stroke on="f" joinstyle="miter"/>
                  <v:imagedata r:id="rId33" o:title=""/>
                  <o:lock v:ext="edit" aspectratio="t"/>
                  <w10:wrap type="none"/>
                  <w10:anchorlock/>
                </v:shape>
                <o:OLEObject Type="Embed" ProgID="Equation.3" ShapeID="_x0000_i1033" DrawAspect="Content" ObjectID="_1468075733" r:id="rId32">
                  <o:LockedField>false</o:LockedField>
                </o:OLEObject>
              </w:object>
            </w:r>
            <w:r>
              <w:rPr>
                <w:rFonts w:hint="default" w:ascii="Times New Roman" w:hAnsi="Times New Roman" w:eastAsia="宋体" w:cs="Times New Roman"/>
                <w:bCs/>
                <w:color w:val="auto"/>
                <w:sz w:val="24"/>
                <w:szCs w:val="24"/>
                <w:highlight w:val="none"/>
                <w:lang w:val="pt-BR" w:eastAsia="zh-CN"/>
              </w:rPr>
              <w:t>——</w:t>
            </w:r>
            <w:r>
              <w:rPr>
                <w:rFonts w:hint="eastAsia" w:ascii="Times New Roman" w:hAnsi="Times New Roman" w:eastAsia="宋体" w:cs="Times New Roman"/>
                <w:bCs/>
                <w:color w:val="auto"/>
                <w:sz w:val="24"/>
                <w:szCs w:val="24"/>
                <w:highlight w:val="none"/>
                <w:lang w:val="en-US" w:eastAsia="zh-CN"/>
              </w:rPr>
              <w:t>障碍物屏蔽</w:t>
            </w:r>
            <w:r>
              <w:rPr>
                <w:rFonts w:hint="default" w:ascii="Times New Roman" w:hAnsi="Times New Roman" w:eastAsia="宋体" w:cs="Times New Roman"/>
                <w:bCs/>
                <w:color w:val="auto"/>
                <w:sz w:val="24"/>
                <w:szCs w:val="24"/>
                <w:highlight w:val="none"/>
                <w:lang w:val="en-US" w:eastAsia="zh-CN"/>
              </w:rPr>
              <w:t>引起的衰减，</w:t>
            </w:r>
            <w:r>
              <w:rPr>
                <w:rFonts w:hint="default" w:ascii="Times New Roman" w:hAnsi="Times New Roman" w:eastAsia="宋体" w:cs="Times New Roman"/>
                <w:bCs/>
                <w:color w:val="auto"/>
                <w:sz w:val="24"/>
                <w:szCs w:val="24"/>
                <w:highlight w:val="none"/>
                <w:lang w:val="pt-BR" w:eastAsia="zh-CN"/>
              </w:rPr>
              <w:t>dB；</w:t>
            </w:r>
          </w:p>
          <w:p>
            <w:pPr>
              <w:adjustRightInd w:val="0"/>
              <w:snapToGrid w:val="0"/>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pt-BR" w:eastAsia="zh-CN"/>
              </w:rPr>
              <w:object>
                <v:shape id="_x0000_i1034" o:spt="75" type="#_x0000_t75" style="height:18.75pt;width:24.75pt;" o:ole="t" filled="f" o:preferrelative="t" stroked="f" coordsize="21600,21600">
                  <v:path/>
                  <v:fill on="f" focussize="0,0"/>
                  <v:stroke on="f" joinstyle="miter"/>
                  <v:imagedata r:id="rId35" o:title=""/>
                  <o:lock v:ext="edit" aspectratio="t"/>
                  <w10:wrap type="none"/>
                  <w10:anchorlock/>
                </v:shape>
                <o:OLEObject Type="Embed" ProgID="Equation.3" ShapeID="_x0000_i1034" DrawAspect="Content" ObjectID="_1468075734" r:id="rId34">
                  <o:LockedField>false</o:LockedField>
                </o:OLEObject>
              </w:object>
            </w:r>
            <w:r>
              <w:rPr>
                <w:rFonts w:hint="default" w:ascii="Times New Roman" w:hAnsi="Times New Roman" w:eastAsia="宋体" w:cs="Times New Roman"/>
                <w:bCs/>
                <w:color w:val="auto"/>
                <w:sz w:val="24"/>
                <w:szCs w:val="24"/>
                <w:highlight w:val="none"/>
                <w:lang w:val="pt-BR" w:eastAsia="zh-CN"/>
              </w:rPr>
              <w:t>——</w:t>
            </w:r>
            <w:r>
              <w:rPr>
                <w:rFonts w:hint="default" w:ascii="Times New Roman" w:hAnsi="Times New Roman" w:eastAsia="宋体" w:cs="Times New Roman"/>
                <w:bCs/>
                <w:color w:val="auto"/>
                <w:sz w:val="24"/>
                <w:szCs w:val="24"/>
                <w:highlight w:val="none"/>
                <w:lang w:val="en-US" w:eastAsia="zh-CN"/>
              </w:rPr>
              <w:t>其他多方面效应引起的衰减，</w:t>
            </w:r>
            <w:r>
              <w:rPr>
                <w:rFonts w:hint="default" w:ascii="Times New Roman" w:hAnsi="Times New Roman" w:eastAsia="宋体" w:cs="Times New Roman"/>
                <w:bCs/>
                <w:color w:val="auto"/>
                <w:sz w:val="24"/>
                <w:szCs w:val="24"/>
                <w:highlight w:val="none"/>
                <w:lang w:val="pt-BR" w:eastAsia="zh-CN"/>
              </w:rPr>
              <w:t>dB</w:t>
            </w:r>
            <w:r>
              <w:rPr>
                <w:rFonts w:hint="default" w:ascii="Times New Roman" w:hAnsi="Times New Roman" w:eastAsia="宋体" w:cs="Times New Roman"/>
                <w:bCs/>
                <w:color w:val="auto"/>
                <w:sz w:val="24"/>
                <w:szCs w:val="24"/>
                <w:highlight w:val="none"/>
                <w:lang w:val="en-US" w:eastAsia="zh-CN"/>
              </w:rPr>
              <w:t>。</w:t>
            </w:r>
          </w:p>
          <w:p>
            <w:pPr>
              <w:adjustRightInd w:val="0"/>
              <w:snapToGrid w:val="0"/>
              <w:spacing w:line="360" w:lineRule="auto"/>
              <w:ind w:firstLine="480" w:firstLineChars="200"/>
              <w:jc w:val="both"/>
              <w:rPr>
                <w:rFonts w:hint="default" w:ascii="Times New Roman" w:hAnsi="Times New Roman" w:eastAsia="宋体" w:cs="Times New Roman"/>
                <w:bCs/>
                <w:color w:val="auto"/>
                <w:sz w:val="24"/>
                <w:szCs w:val="24"/>
                <w:highlight w:val="none"/>
              </w:rPr>
            </w:pPr>
            <w:r>
              <w:rPr>
                <w:rFonts w:hint="default" w:ascii="Times New Roman" w:hAnsi="Times New Roman" w:eastAsia="宋体" w:cs="Times New Roman"/>
                <w:bCs/>
                <w:color w:val="auto"/>
                <w:sz w:val="24"/>
                <w:szCs w:val="24"/>
                <w:highlight w:val="none"/>
              </w:rPr>
              <w:t>（2）室内点声源对厂界噪声预测点贡献值预测模式</w:t>
            </w:r>
          </w:p>
          <w:p>
            <w:pPr>
              <w:adjustRightInd w:val="0"/>
              <w:snapToGrid w:val="0"/>
              <w:spacing w:line="360" w:lineRule="auto"/>
              <w:ind w:firstLine="480" w:firstLineChars="200"/>
              <w:jc w:val="both"/>
              <w:rPr>
                <w:rFonts w:hint="default" w:ascii="Times New Roman" w:hAnsi="Times New Roman" w:eastAsia="宋体" w:cs="Times New Roman"/>
                <w:bCs/>
                <w:color w:val="auto"/>
                <w:sz w:val="24"/>
                <w:szCs w:val="24"/>
                <w:highlight w:val="none"/>
              </w:rPr>
            </w:pPr>
            <w:r>
              <w:rPr>
                <w:rFonts w:hint="default" w:ascii="Times New Roman" w:hAnsi="Times New Roman" w:eastAsia="宋体" w:cs="Times New Roman"/>
                <w:bCs/>
                <w:color w:val="auto"/>
                <w:sz w:val="24"/>
                <w:szCs w:val="24"/>
                <w:highlight w:val="none"/>
              </w:rPr>
              <w:t>室内声源首先换算为等效室外声源，再按各类声源模式计算。</w:t>
            </w:r>
          </w:p>
          <w:p>
            <w:pPr>
              <w:adjustRightInd w:val="0"/>
              <w:snapToGrid w:val="0"/>
              <w:spacing w:line="360" w:lineRule="auto"/>
              <w:ind w:firstLine="480" w:firstLineChars="200"/>
              <w:jc w:val="both"/>
              <w:rPr>
                <w:rFonts w:hint="default" w:ascii="Times New Roman" w:hAnsi="Times New Roman" w:eastAsia="宋体" w:cs="Times New Roman"/>
                <w:bCs/>
                <w:color w:val="auto"/>
                <w:sz w:val="24"/>
                <w:szCs w:val="24"/>
                <w:highlight w:val="none"/>
              </w:rPr>
            </w:pPr>
            <w:r>
              <w:rPr>
                <w:rFonts w:hint="default" w:ascii="Times New Roman" w:hAnsi="Times New Roman" w:eastAsia="宋体" w:cs="Times New Roman"/>
                <w:bCs/>
                <w:color w:val="auto"/>
                <w:sz w:val="24"/>
                <w:szCs w:val="24"/>
                <w:highlight w:val="none"/>
              </w:rPr>
              <w:t>①首先计算出某个室内声源靠近围护结构处的倍频带声压级：</w:t>
            </w:r>
          </w:p>
          <w:p>
            <w:pPr>
              <w:adjustRightInd w:val="0"/>
              <w:snapToGrid w:val="0"/>
              <w:spacing w:line="360" w:lineRule="auto"/>
              <w:jc w:val="center"/>
              <w:rPr>
                <w:rFonts w:hint="default" w:ascii="Times New Roman" w:hAnsi="Times New Roman" w:eastAsia="宋体" w:cs="Times New Roman"/>
                <w:bCs/>
                <w:color w:val="auto"/>
                <w:sz w:val="24"/>
                <w:szCs w:val="24"/>
                <w:highlight w:val="none"/>
              </w:rPr>
            </w:pPr>
            <w:r>
              <w:rPr>
                <w:rFonts w:hint="default" w:ascii="Times New Roman" w:hAnsi="Times New Roman" w:eastAsia="宋体" w:cs="Times New Roman"/>
                <w:bCs/>
                <w:color w:val="auto"/>
                <w:sz w:val="24"/>
                <w:szCs w:val="24"/>
                <w:highlight w:val="none"/>
              </w:rPr>
              <w:object>
                <v:shape id="_x0000_i1035" o:spt="75" type="#_x0000_t75" style="height:29.7pt;width:135.15pt;" o:ole="t" filled="f" o:preferrelative="t" stroked="f" coordsize="21600,21600">
                  <v:path/>
                  <v:fill on="f" focussize="0,0"/>
                  <v:stroke on="f"/>
                  <v:imagedata r:id="rId37" o:title=""/>
                  <o:lock v:ext="edit" aspectratio="t"/>
                  <w10:wrap type="none"/>
                  <w10:anchorlock/>
                </v:shape>
                <o:OLEObject Type="Embed" ProgID="Equation.3" ShapeID="_x0000_i1035" DrawAspect="Content" ObjectID="_1468075735" r:id="rId36">
                  <o:LockedField>false</o:LockedField>
                </o:OLEObject>
              </w:object>
            </w:r>
          </w:p>
          <w:p>
            <w:pPr>
              <w:adjustRightInd w:val="0"/>
              <w:snapToGrid w:val="0"/>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式中：</w:t>
            </w:r>
            <w:r>
              <w:rPr>
                <w:rFonts w:hint="default" w:ascii="Times New Roman" w:hAnsi="Times New Roman" w:eastAsia="宋体" w:cs="Times New Roman"/>
                <w:bCs/>
                <w:color w:val="auto"/>
                <w:sz w:val="24"/>
                <w:szCs w:val="24"/>
                <w:highlight w:val="none"/>
                <w:lang w:val="en-US" w:eastAsia="zh-CN"/>
              </w:rPr>
              <w:object>
                <v:shape id="_x0000_i1036" o:spt="75" type="#_x0000_t75" style="height:18.75pt;width:18.75pt;" o:ole="t" filled="f" o:preferrelative="t" stroked="f" coordsize="21600,21600">
                  <v:path/>
                  <v:fill on="f" focussize="0,0"/>
                  <v:stroke on="f" joinstyle="miter"/>
                  <v:imagedata r:id="rId39" o:title=""/>
                  <o:lock v:ext="edit" aspectratio="t"/>
                  <w10:wrap type="none"/>
                  <w10:anchorlock/>
                </v:shape>
                <o:OLEObject Type="Embed" ProgID="Equation.3" ShapeID="_x0000_i1036" DrawAspect="Content" ObjectID="_1468075736" r:id="rId38">
                  <o:LockedField>false</o:LockedField>
                </o:OLEObject>
              </w:object>
            </w:r>
            <w:r>
              <w:rPr>
                <w:rFonts w:hint="default" w:ascii="Times New Roman" w:hAnsi="Times New Roman" w:eastAsia="宋体" w:cs="Times New Roman"/>
                <w:bCs/>
                <w:color w:val="auto"/>
                <w:sz w:val="24"/>
                <w:szCs w:val="24"/>
                <w:highlight w:val="none"/>
                <w:lang w:val="pt-BR" w:eastAsia="zh-CN"/>
              </w:rPr>
              <w:t>——</w:t>
            </w:r>
            <w:r>
              <w:rPr>
                <w:rFonts w:hint="eastAsia" w:ascii="Times New Roman" w:hAnsi="Times New Roman" w:eastAsia="宋体" w:cs="Times New Roman"/>
                <w:bCs/>
                <w:color w:val="auto"/>
                <w:sz w:val="24"/>
                <w:szCs w:val="24"/>
                <w:highlight w:val="none"/>
                <w:lang w:val="en-US" w:eastAsia="zh-CN"/>
              </w:rPr>
              <w:t xml:space="preserve">靠近开口处（或窗户）室内某倍频带的声压级或 </w:t>
            </w:r>
            <w:r>
              <w:rPr>
                <w:rFonts w:hint="default" w:ascii="Times New Roman" w:hAnsi="Times New Roman" w:eastAsia="宋体" w:cs="Times New Roman"/>
                <w:bCs/>
                <w:color w:val="auto"/>
                <w:sz w:val="24"/>
                <w:szCs w:val="24"/>
                <w:highlight w:val="none"/>
                <w:lang w:val="en-US" w:eastAsia="zh-CN"/>
              </w:rPr>
              <w:t xml:space="preserve">A </w:t>
            </w:r>
            <w:r>
              <w:rPr>
                <w:rFonts w:hint="eastAsia" w:ascii="Times New Roman" w:hAnsi="Times New Roman" w:eastAsia="宋体" w:cs="Times New Roman"/>
                <w:bCs/>
                <w:color w:val="auto"/>
                <w:sz w:val="24"/>
                <w:szCs w:val="24"/>
                <w:highlight w:val="none"/>
                <w:lang w:val="en-US" w:eastAsia="zh-CN"/>
              </w:rPr>
              <w:t>声级</w:t>
            </w:r>
            <w:r>
              <w:rPr>
                <w:rFonts w:hint="default" w:ascii="Times New Roman" w:hAnsi="Times New Roman" w:eastAsia="宋体" w:cs="Times New Roman"/>
                <w:bCs/>
                <w:color w:val="auto"/>
                <w:sz w:val="24"/>
                <w:szCs w:val="24"/>
                <w:highlight w:val="none"/>
                <w:lang w:val="en-US" w:eastAsia="zh-CN"/>
              </w:rPr>
              <w:t>，</w:t>
            </w:r>
            <w:r>
              <w:rPr>
                <w:rFonts w:hint="default" w:ascii="Times New Roman" w:hAnsi="Times New Roman" w:eastAsia="宋体" w:cs="Times New Roman"/>
                <w:bCs/>
                <w:color w:val="auto"/>
                <w:sz w:val="24"/>
                <w:szCs w:val="24"/>
                <w:highlight w:val="none"/>
                <w:lang w:val="pt-BR" w:eastAsia="zh-CN"/>
              </w:rPr>
              <w:t>dB；</w:t>
            </w:r>
          </w:p>
          <w:p>
            <w:pPr>
              <w:adjustRightInd w:val="0"/>
              <w:snapToGrid w:val="0"/>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object>
                <v:shape id="_x0000_i1037" o:spt="75" type="#_x0000_t75" style="height:18.75pt;width:16.5pt;" o:ole="t" filled="f" o:preferrelative="t" stroked="f" coordsize="21600,21600">
                  <v:path/>
                  <v:fill on="f" focussize="0,0"/>
                  <v:stroke on="f" joinstyle="miter"/>
                  <v:imagedata r:id="rId41" o:title=""/>
                  <o:lock v:ext="edit" aspectratio="t"/>
                  <w10:wrap type="none"/>
                  <w10:anchorlock/>
                </v:shape>
                <o:OLEObject Type="Embed" ProgID="Equation.3" ShapeID="_x0000_i1037" DrawAspect="Content" ObjectID="_1468075737" r:id="rId40">
                  <o:LockedField>false</o:LockedField>
                </o:OLEObject>
              </w:object>
            </w:r>
            <w:r>
              <w:rPr>
                <w:rFonts w:hint="default" w:ascii="Times New Roman" w:hAnsi="Times New Roman" w:eastAsia="宋体" w:cs="Times New Roman"/>
                <w:bCs/>
                <w:color w:val="auto"/>
                <w:sz w:val="24"/>
                <w:szCs w:val="24"/>
                <w:highlight w:val="none"/>
                <w:lang w:val="pt-BR" w:eastAsia="zh-CN"/>
              </w:rPr>
              <w:t>——</w:t>
            </w:r>
            <w:r>
              <w:rPr>
                <w:rFonts w:hint="eastAsia" w:ascii="Times New Roman" w:hAnsi="Times New Roman" w:eastAsia="宋体" w:cs="Times New Roman"/>
                <w:bCs/>
                <w:color w:val="auto"/>
                <w:sz w:val="24"/>
                <w:szCs w:val="24"/>
                <w:highlight w:val="none"/>
                <w:lang w:val="en-US" w:eastAsia="zh-CN"/>
              </w:rPr>
              <w:t>点声源声功率级（</w:t>
            </w:r>
            <w:r>
              <w:rPr>
                <w:rFonts w:hint="default" w:ascii="Times New Roman" w:hAnsi="Times New Roman" w:eastAsia="宋体" w:cs="Times New Roman"/>
                <w:bCs/>
                <w:color w:val="auto"/>
                <w:sz w:val="24"/>
                <w:szCs w:val="24"/>
                <w:highlight w:val="none"/>
                <w:lang w:val="en-US" w:eastAsia="zh-CN"/>
              </w:rPr>
              <w:t xml:space="preserve">A </w:t>
            </w:r>
            <w:r>
              <w:rPr>
                <w:rFonts w:hint="eastAsia" w:ascii="Times New Roman" w:hAnsi="Times New Roman" w:eastAsia="宋体" w:cs="Times New Roman"/>
                <w:bCs/>
                <w:color w:val="auto"/>
                <w:sz w:val="24"/>
                <w:szCs w:val="24"/>
                <w:highlight w:val="none"/>
                <w:lang w:val="en-US" w:eastAsia="zh-CN"/>
              </w:rPr>
              <w:t>计权或倍频带）</w:t>
            </w:r>
            <w:r>
              <w:rPr>
                <w:rFonts w:hint="default" w:ascii="Times New Roman" w:hAnsi="Times New Roman" w:eastAsia="宋体" w:cs="Times New Roman"/>
                <w:bCs/>
                <w:color w:val="auto"/>
                <w:sz w:val="24"/>
                <w:szCs w:val="24"/>
                <w:highlight w:val="none"/>
                <w:lang w:val="en-US" w:eastAsia="zh-CN"/>
              </w:rPr>
              <w:t>，</w:t>
            </w:r>
            <w:r>
              <w:rPr>
                <w:rFonts w:hint="default" w:ascii="Times New Roman" w:hAnsi="Times New Roman" w:eastAsia="宋体" w:cs="Times New Roman"/>
                <w:bCs/>
                <w:color w:val="auto"/>
                <w:sz w:val="24"/>
                <w:szCs w:val="24"/>
                <w:highlight w:val="none"/>
                <w:lang w:val="pt-BR" w:eastAsia="zh-CN"/>
              </w:rPr>
              <w:t>dB；</w:t>
            </w:r>
          </w:p>
          <w:p>
            <w:pPr>
              <w:adjustRightInd w:val="0"/>
              <w:snapToGrid w:val="0"/>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object>
                <v:shape id="_x0000_i1038" o:spt="75" type="#_x0000_t75" style="height:7.5pt;width:7.5pt;" o:ole="t" filled="f" o:preferrelative="t" stroked="f" coordsize="21600,21600">
                  <v:path/>
                  <v:fill on="f" focussize="0,0"/>
                  <v:stroke on="f" joinstyle="miter"/>
                  <v:imagedata r:id="rId43" o:title=""/>
                  <o:lock v:ext="edit" aspectratio="t"/>
                  <w10:wrap type="none"/>
                  <w10:anchorlock/>
                </v:shape>
                <o:OLEObject Type="Embed" ProgID="Equation.3" ShapeID="_x0000_i1038" DrawAspect="Content" ObjectID="_1468075738" r:id="rId42">
                  <o:LockedField>false</o:LockedField>
                </o:OLEObject>
              </w:object>
            </w:r>
            <w:r>
              <w:rPr>
                <w:rFonts w:hint="default" w:ascii="Times New Roman" w:hAnsi="Times New Roman" w:eastAsia="宋体" w:cs="Times New Roman"/>
                <w:bCs/>
                <w:color w:val="auto"/>
                <w:sz w:val="24"/>
                <w:szCs w:val="24"/>
                <w:highlight w:val="none"/>
                <w:lang w:val="pt-BR" w:eastAsia="zh-CN"/>
              </w:rPr>
              <w:t>——</w:t>
            </w:r>
            <w:r>
              <w:rPr>
                <w:rFonts w:hint="default" w:ascii="Times New Roman" w:hAnsi="Times New Roman" w:eastAsia="宋体" w:cs="Times New Roman"/>
                <w:bCs/>
                <w:color w:val="auto"/>
                <w:sz w:val="24"/>
                <w:szCs w:val="24"/>
                <w:highlight w:val="none"/>
                <w:lang w:val="en-US" w:eastAsia="zh-CN"/>
              </w:rPr>
              <w:t>声源到靠近围护结构某点处的距离，m；</w:t>
            </w:r>
          </w:p>
          <w:p>
            <w:pPr>
              <w:adjustRightInd w:val="0"/>
              <w:snapToGrid w:val="0"/>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object>
                <v:shape id="_x0000_i1039" o:spt="75" type="#_x0000_t75" style="height:16.5pt;width:12pt;" o:ole="t" filled="f" o:preferrelative="t" stroked="f" coordsize="21600,21600">
                  <v:path/>
                  <v:fill on="f" focussize="0,0"/>
                  <v:stroke on="f" joinstyle="miter"/>
                  <v:imagedata r:id="rId45" o:title=""/>
                  <o:lock v:ext="edit" aspectratio="t"/>
                  <w10:wrap type="none"/>
                  <w10:anchorlock/>
                </v:shape>
                <o:OLEObject Type="Embed" ProgID="Equation.3" ShapeID="_x0000_i1039" DrawAspect="Content" ObjectID="_1468075739" r:id="rId44">
                  <o:LockedField>false</o:LockedField>
                </o:OLEObject>
              </w:object>
            </w:r>
            <w:r>
              <w:rPr>
                <w:rFonts w:hint="default" w:ascii="Times New Roman" w:hAnsi="Times New Roman" w:eastAsia="宋体" w:cs="Times New Roman"/>
                <w:bCs/>
                <w:color w:val="auto"/>
                <w:sz w:val="24"/>
                <w:szCs w:val="24"/>
                <w:highlight w:val="none"/>
                <w:lang w:val="pt-BR" w:eastAsia="zh-CN"/>
              </w:rPr>
              <w:t>——</w:t>
            </w:r>
            <w:r>
              <w:rPr>
                <w:rFonts w:hint="eastAsia" w:ascii="Times New Roman" w:hAnsi="Times New Roman" w:eastAsia="宋体" w:cs="Times New Roman"/>
                <w:bCs/>
                <w:color w:val="auto"/>
                <w:sz w:val="24"/>
                <w:szCs w:val="24"/>
                <w:highlight w:val="none"/>
                <w:lang w:val="en-US" w:eastAsia="zh-CN"/>
              </w:rPr>
              <w:t>指向性因数；通常对无指向性声源，当声源放在房间中心时，</w:t>
            </w:r>
            <w:r>
              <w:rPr>
                <w:rFonts w:hint="default" w:ascii="Times New Roman" w:hAnsi="Times New Roman" w:eastAsia="宋体" w:cs="Times New Roman"/>
                <w:bCs/>
                <w:color w:val="auto"/>
                <w:sz w:val="24"/>
                <w:szCs w:val="24"/>
                <w:highlight w:val="none"/>
                <w:lang w:val="en-US" w:eastAsia="zh-CN"/>
              </w:rPr>
              <w:t>Q=1</w:t>
            </w:r>
            <w:r>
              <w:rPr>
                <w:rFonts w:hint="eastAsia" w:ascii="Times New Roman" w:hAnsi="Times New Roman" w:eastAsia="宋体" w:cs="Times New Roman"/>
                <w:bCs/>
                <w:color w:val="auto"/>
                <w:sz w:val="24"/>
                <w:szCs w:val="24"/>
                <w:highlight w:val="none"/>
                <w:lang w:val="en-US" w:eastAsia="zh-CN"/>
              </w:rPr>
              <w:t xml:space="preserve">；当放在一面墙的中 </w:t>
            </w:r>
          </w:p>
          <w:p>
            <w:pPr>
              <w:adjustRightInd w:val="0"/>
              <w:snapToGrid w:val="0"/>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eastAsia" w:ascii="Times New Roman" w:hAnsi="Times New Roman" w:eastAsia="宋体" w:cs="Times New Roman"/>
                <w:bCs/>
                <w:color w:val="auto"/>
                <w:sz w:val="24"/>
                <w:szCs w:val="24"/>
                <w:highlight w:val="none"/>
                <w:lang w:val="en-US" w:eastAsia="zh-CN"/>
              </w:rPr>
              <w:t>心时，</w:t>
            </w:r>
            <w:r>
              <w:rPr>
                <w:rFonts w:hint="default" w:ascii="Times New Roman" w:hAnsi="Times New Roman" w:eastAsia="宋体" w:cs="Times New Roman"/>
                <w:bCs/>
                <w:color w:val="auto"/>
                <w:sz w:val="24"/>
                <w:szCs w:val="24"/>
                <w:highlight w:val="none"/>
                <w:lang w:val="en-US" w:eastAsia="zh-CN"/>
              </w:rPr>
              <w:t>Q=2</w:t>
            </w:r>
            <w:r>
              <w:rPr>
                <w:rFonts w:hint="eastAsia" w:ascii="Times New Roman" w:hAnsi="Times New Roman" w:eastAsia="宋体" w:cs="Times New Roman"/>
                <w:bCs/>
                <w:color w:val="auto"/>
                <w:sz w:val="24"/>
                <w:szCs w:val="24"/>
                <w:highlight w:val="none"/>
                <w:lang w:val="en-US" w:eastAsia="zh-CN"/>
              </w:rPr>
              <w:t>；当放在两面墙夹角处时，</w:t>
            </w:r>
            <w:r>
              <w:rPr>
                <w:rFonts w:hint="default" w:ascii="Times New Roman" w:hAnsi="Times New Roman" w:eastAsia="宋体" w:cs="Times New Roman"/>
                <w:bCs/>
                <w:color w:val="auto"/>
                <w:sz w:val="24"/>
                <w:szCs w:val="24"/>
                <w:highlight w:val="none"/>
                <w:lang w:val="en-US" w:eastAsia="zh-CN"/>
              </w:rPr>
              <w:t>Q=4</w:t>
            </w:r>
            <w:r>
              <w:rPr>
                <w:rFonts w:hint="eastAsia" w:ascii="Times New Roman" w:hAnsi="Times New Roman" w:eastAsia="宋体" w:cs="Times New Roman"/>
                <w:bCs/>
                <w:color w:val="auto"/>
                <w:sz w:val="24"/>
                <w:szCs w:val="24"/>
                <w:highlight w:val="none"/>
                <w:lang w:val="en-US" w:eastAsia="zh-CN"/>
              </w:rPr>
              <w:t>；当放在三面墙夹角处时，</w:t>
            </w:r>
            <w:r>
              <w:rPr>
                <w:rFonts w:hint="default" w:ascii="Times New Roman" w:hAnsi="Times New Roman" w:eastAsia="宋体" w:cs="Times New Roman"/>
                <w:bCs/>
                <w:color w:val="auto"/>
                <w:sz w:val="24"/>
                <w:szCs w:val="24"/>
                <w:highlight w:val="none"/>
                <w:lang w:val="en-US" w:eastAsia="zh-CN"/>
              </w:rPr>
              <w:t>Q=8；</w:t>
            </w:r>
          </w:p>
          <w:p>
            <w:pPr>
              <w:adjustRightInd w:val="0"/>
              <w:snapToGrid w:val="0"/>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object>
                <v:shape id="_x0000_i1040" o:spt="75" type="#_x0000_t75" style="height:12pt;width:12pt;" o:ole="t" filled="f" o:preferrelative="t" stroked="f" coordsize="21600,21600">
                  <v:path/>
                  <v:fill on="f" focussize="0,0"/>
                  <v:stroke on="f" joinstyle="miter"/>
                  <v:imagedata r:id="rId47" o:title=""/>
                  <o:lock v:ext="edit" aspectratio="t"/>
                  <w10:wrap type="none"/>
                  <w10:anchorlock/>
                </v:shape>
                <o:OLEObject Type="Embed" ProgID="Equation.3" ShapeID="_x0000_i1040" DrawAspect="Content" ObjectID="_1468075740" r:id="rId46">
                  <o:LockedField>false</o:LockedField>
                </o:OLEObject>
              </w:object>
            </w:r>
            <w:r>
              <w:rPr>
                <w:rFonts w:hint="default" w:ascii="Times New Roman" w:hAnsi="Times New Roman" w:eastAsia="宋体" w:cs="Times New Roman"/>
                <w:bCs/>
                <w:color w:val="auto"/>
                <w:sz w:val="24"/>
                <w:szCs w:val="24"/>
                <w:highlight w:val="none"/>
                <w:lang w:val="pt-BR" w:eastAsia="zh-CN"/>
              </w:rPr>
              <w:t>——</w:t>
            </w:r>
            <w:r>
              <w:rPr>
                <w:rFonts w:hint="default" w:ascii="Times New Roman" w:hAnsi="Times New Roman" w:eastAsia="宋体" w:cs="Times New Roman"/>
                <w:bCs/>
                <w:color w:val="auto"/>
                <w:sz w:val="24"/>
                <w:szCs w:val="24"/>
                <w:highlight w:val="none"/>
                <w:lang w:val="en-US" w:eastAsia="zh-CN"/>
              </w:rPr>
              <w:t>房间常数，</w:t>
            </w:r>
            <w:r>
              <w:rPr>
                <w:rFonts w:hint="default" w:ascii="Times New Roman" w:hAnsi="Times New Roman" w:eastAsia="宋体" w:cs="Times New Roman"/>
                <w:bCs/>
                <w:color w:val="auto"/>
                <w:sz w:val="24"/>
                <w:szCs w:val="24"/>
                <w:highlight w:val="none"/>
                <w:lang w:val="en-US" w:eastAsia="zh-CN"/>
              </w:rPr>
              <w:object>
                <v:shape id="_x0000_i1041" o:spt="75" type="#_x0000_t75" style="height:16.5pt;width:77.25pt;" o:ole="t" filled="f" o:preferrelative="t" stroked="f" coordsize="21600,21600">
                  <v:path/>
                  <v:fill on="f" focussize="0,0"/>
                  <v:stroke on="f" joinstyle="miter"/>
                  <v:imagedata r:id="rId49" o:title=""/>
                  <o:lock v:ext="edit" aspectratio="t"/>
                  <w10:wrap type="none"/>
                  <w10:anchorlock/>
                </v:shape>
                <o:OLEObject Type="Embed" ProgID="Equation.3" ShapeID="_x0000_i1041" DrawAspect="Content" ObjectID="_1468075741" r:id="rId48">
                  <o:LockedField>false</o:LockedField>
                </o:OLEObject>
              </w:object>
            </w:r>
            <w:r>
              <w:rPr>
                <w:rFonts w:hint="default" w:ascii="Times New Roman" w:hAnsi="Times New Roman" w:eastAsia="宋体" w:cs="Times New Roman"/>
                <w:bCs/>
                <w:color w:val="auto"/>
                <w:sz w:val="24"/>
                <w:szCs w:val="24"/>
                <w:highlight w:val="none"/>
                <w:lang w:val="en-US" w:eastAsia="zh-CN"/>
              </w:rPr>
              <w:t>，</w:t>
            </w:r>
            <w:r>
              <w:rPr>
                <w:rFonts w:hint="default" w:ascii="Times New Roman" w:hAnsi="Times New Roman" w:eastAsia="宋体" w:cs="Times New Roman"/>
                <w:bCs/>
                <w:color w:val="auto"/>
                <w:sz w:val="24"/>
                <w:szCs w:val="24"/>
                <w:highlight w:val="none"/>
                <w:lang w:val="en-US" w:eastAsia="zh-CN"/>
              </w:rPr>
              <w:object>
                <v:shape id="_x0000_i1042" o:spt="75" type="#_x0000_t75" style="height:13.5pt;width:11.25pt;" o:ole="t" filled="f" o:preferrelative="t" stroked="f" coordsize="21600,21600">
                  <v:path/>
                  <v:fill on="f" focussize="0,0"/>
                  <v:stroke on="f" joinstyle="miter"/>
                  <v:imagedata r:id="rId51" o:title=""/>
                  <o:lock v:ext="edit" aspectratio="t"/>
                  <w10:wrap type="none"/>
                  <w10:anchorlock/>
                </v:shape>
                <o:OLEObject Type="Embed" ProgID="Equation.3" ShapeID="_x0000_i1042" DrawAspect="Content" ObjectID="_1468075742" r:id="rId50">
                  <o:LockedField>false</o:LockedField>
                </o:OLEObject>
              </w:object>
            </w:r>
            <w:r>
              <w:rPr>
                <w:rFonts w:hint="default" w:ascii="Times New Roman" w:hAnsi="Times New Roman" w:eastAsia="宋体" w:cs="Times New Roman"/>
                <w:bCs/>
                <w:color w:val="auto"/>
                <w:sz w:val="24"/>
                <w:szCs w:val="24"/>
                <w:highlight w:val="none"/>
                <w:lang w:val="en-US" w:eastAsia="zh-CN"/>
              </w:rPr>
              <w:t>为房间内表面面积，㎡，</w:t>
            </w:r>
            <w:r>
              <w:rPr>
                <w:rFonts w:hint="default" w:ascii="Times New Roman" w:hAnsi="Times New Roman" w:eastAsia="宋体" w:cs="Times New Roman"/>
                <w:bCs/>
                <w:color w:val="auto"/>
                <w:sz w:val="24"/>
                <w:szCs w:val="24"/>
                <w:highlight w:val="none"/>
                <w:lang w:val="en-US" w:eastAsia="zh-CN"/>
              </w:rPr>
              <w:object>
                <v:shape id="_x0000_i1043" o:spt="75" type="#_x0000_t75" style="height:11.25pt;width:12pt;" o:ole="t" filled="f" o:preferrelative="t" stroked="f" coordsize="21600,21600">
                  <v:path/>
                  <v:fill on="f" focussize="0,0"/>
                  <v:stroke on="f" joinstyle="miter"/>
                  <v:imagedata r:id="rId53" o:title=""/>
                  <o:lock v:ext="edit" aspectratio="t"/>
                  <w10:wrap type="none"/>
                  <w10:anchorlock/>
                </v:shape>
                <o:OLEObject Type="Embed" ProgID="Equation.3" ShapeID="_x0000_i1043" DrawAspect="Content" ObjectID="_1468075743" r:id="rId52">
                  <o:LockedField>false</o:LockedField>
                </o:OLEObject>
              </w:object>
            </w:r>
            <w:r>
              <w:rPr>
                <w:rFonts w:hint="default" w:ascii="Times New Roman" w:hAnsi="Times New Roman" w:eastAsia="宋体" w:cs="Times New Roman"/>
                <w:bCs/>
                <w:color w:val="auto"/>
                <w:sz w:val="24"/>
                <w:szCs w:val="24"/>
                <w:highlight w:val="none"/>
                <w:lang w:val="en-US" w:eastAsia="zh-CN"/>
              </w:rPr>
              <w:t>为平均吸声系数。</w:t>
            </w:r>
          </w:p>
          <w:p>
            <w:pPr>
              <w:adjustRightInd w:val="0"/>
              <w:snapToGrid w:val="0"/>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②计算出所有室内声源在靠近围护结构处产生的</w:t>
            </w:r>
            <w:r>
              <w:rPr>
                <w:rFonts w:hint="default" w:ascii="Times New Roman" w:hAnsi="Times New Roman" w:eastAsia="宋体" w:cs="Times New Roman"/>
                <w:bCs/>
                <w:color w:val="auto"/>
                <w:sz w:val="24"/>
                <w:szCs w:val="24"/>
                <w:highlight w:val="none"/>
                <w:lang w:val="en-US" w:eastAsia="zh-CN"/>
              </w:rPr>
              <w:object>
                <v:shape id="_x0000_i1044" o:spt="75" type="#_x0000_t75" style="height:12pt;width:6.75pt;" o:ole="t" filled="f" o:preferrelative="t" stroked="f" coordsize="21600,21600">
                  <v:path/>
                  <v:fill on="f" focussize="0,0"/>
                  <v:stroke on="f" joinstyle="miter"/>
                  <v:imagedata r:id="rId55" o:title=""/>
                  <o:lock v:ext="edit" aspectratio="t"/>
                  <w10:wrap type="none"/>
                  <w10:anchorlock/>
                </v:shape>
                <o:OLEObject Type="Embed" ProgID="Equation.3" ShapeID="_x0000_i1044" DrawAspect="Content" ObjectID="_1468075744" r:id="rId54">
                  <o:LockedField>false</o:LockedField>
                </o:OLEObject>
              </w:object>
            </w:r>
            <w:r>
              <w:rPr>
                <w:rFonts w:hint="default" w:ascii="Times New Roman" w:hAnsi="Times New Roman" w:eastAsia="宋体" w:cs="Times New Roman"/>
                <w:bCs/>
                <w:color w:val="auto"/>
                <w:sz w:val="24"/>
                <w:szCs w:val="24"/>
                <w:highlight w:val="none"/>
                <w:lang w:val="en-US" w:eastAsia="zh-CN"/>
              </w:rPr>
              <w:t>倍频带叠加声压级：</w:t>
            </w:r>
          </w:p>
          <w:p>
            <w:pPr>
              <w:adjustRightInd w:val="0"/>
              <w:snapToGrid w:val="0"/>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object>
                <v:shape id="_x0000_i1045" o:spt="75" type="#_x0000_t75" style="height:35.25pt;width:130.5pt;" o:ole="t" filled="f" o:preferrelative="t" stroked="f" coordsize="21600,21600">
                  <v:path/>
                  <v:fill on="f" focussize="0,0"/>
                  <v:stroke on="f" joinstyle="miter"/>
                  <v:imagedata r:id="rId57" o:title=""/>
                  <o:lock v:ext="edit" aspectratio="t"/>
                  <w10:wrap type="none"/>
                  <w10:anchorlock/>
                </v:shape>
                <o:OLEObject Type="Embed" ProgID="Equation.3" ShapeID="_x0000_i1045" DrawAspect="Content" ObjectID="_1468075745" r:id="rId56">
                  <o:LockedField>false</o:LockedField>
                </o:OLEObject>
              </w:object>
            </w:r>
          </w:p>
          <w:p>
            <w:pPr>
              <w:adjustRightInd w:val="0"/>
              <w:snapToGrid w:val="0"/>
              <w:spacing w:line="360" w:lineRule="auto"/>
              <w:ind w:firstLine="480" w:firstLineChars="200"/>
              <w:jc w:val="both"/>
              <w:rPr>
                <w:rFonts w:hint="default" w:ascii="Times New Roman" w:hAnsi="Times New Roman" w:eastAsia="宋体" w:cs="Times New Roman"/>
                <w:bCs/>
                <w:color w:val="auto"/>
                <w:sz w:val="24"/>
                <w:szCs w:val="24"/>
                <w:highlight w:val="none"/>
                <w:lang w:val="pt-BR" w:eastAsia="zh-CN"/>
              </w:rPr>
            </w:pPr>
            <w:r>
              <w:rPr>
                <w:rFonts w:hint="default" w:ascii="Times New Roman" w:hAnsi="Times New Roman" w:eastAsia="宋体" w:cs="Times New Roman"/>
                <w:bCs/>
                <w:color w:val="auto"/>
                <w:sz w:val="24"/>
                <w:szCs w:val="24"/>
                <w:highlight w:val="none"/>
                <w:lang w:val="en-US" w:eastAsia="zh-CN"/>
              </w:rPr>
              <w:t>式中：</w:t>
            </w:r>
            <w:r>
              <w:rPr>
                <w:rFonts w:hint="default" w:ascii="Times New Roman" w:hAnsi="Times New Roman" w:eastAsia="宋体" w:cs="Times New Roman"/>
                <w:bCs/>
                <w:color w:val="auto"/>
                <w:sz w:val="24"/>
                <w:szCs w:val="24"/>
                <w:highlight w:val="none"/>
                <w:lang w:val="en-US" w:eastAsia="zh-CN"/>
              </w:rPr>
              <w:object>
                <v:shape id="_x0000_i1046" o:spt="75" type="#_x0000_t75" style="height:18.75pt;width:36.75pt;" o:ole="t" filled="f" o:preferrelative="t" stroked="f" coordsize="21600,21600">
                  <v:path/>
                  <v:fill on="f" focussize="0,0"/>
                  <v:stroke on="f" joinstyle="miter"/>
                  <v:imagedata r:id="rId59" o:title=""/>
                  <o:lock v:ext="edit" aspectratio="t"/>
                  <w10:wrap type="none"/>
                  <w10:anchorlock/>
                </v:shape>
                <o:OLEObject Type="Embed" ProgID="Equation.3" ShapeID="_x0000_i1046" DrawAspect="Content" ObjectID="_1468075746" r:id="rId58">
                  <o:LockedField>false</o:LockedField>
                </o:OLEObject>
              </w:object>
            </w:r>
            <w:r>
              <w:rPr>
                <w:rFonts w:hint="default" w:ascii="Times New Roman" w:hAnsi="Times New Roman" w:eastAsia="宋体" w:cs="Times New Roman"/>
                <w:bCs/>
                <w:color w:val="auto"/>
                <w:sz w:val="24"/>
                <w:szCs w:val="24"/>
                <w:highlight w:val="none"/>
                <w:lang w:val="pt-BR" w:eastAsia="zh-CN"/>
              </w:rPr>
              <w:t>——靠近围护结构处室内N个声源</w:t>
            </w:r>
            <w:r>
              <w:rPr>
                <w:rFonts w:hint="default" w:ascii="Times New Roman" w:hAnsi="Times New Roman" w:eastAsia="宋体" w:cs="Times New Roman"/>
                <w:bCs/>
                <w:color w:val="auto"/>
                <w:sz w:val="24"/>
                <w:szCs w:val="24"/>
                <w:highlight w:val="none"/>
                <w:lang w:val="en-US" w:eastAsia="zh-CN"/>
              </w:rPr>
              <w:object>
                <v:shape id="_x0000_i1047" o:spt="75" type="#_x0000_t75" style="height:12pt;width:6.75pt;" o:ole="t" filled="f" o:preferrelative="t" stroked="f" coordsize="21600,21600">
                  <v:path/>
                  <v:fill on="f" focussize="0,0"/>
                  <v:stroke on="f" joinstyle="miter"/>
                  <v:imagedata r:id="rId61" o:title=""/>
                  <o:lock v:ext="edit" aspectratio="t"/>
                  <w10:wrap type="none"/>
                  <w10:anchorlock/>
                </v:shape>
                <o:OLEObject Type="Embed" ProgID="Equation.3" ShapeID="_x0000_i1047" DrawAspect="Content" ObjectID="_1468075747" r:id="rId60">
                  <o:LockedField>false</o:LockedField>
                </o:OLEObject>
              </w:object>
            </w:r>
            <w:r>
              <w:rPr>
                <w:rFonts w:hint="default" w:ascii="Times New Roman" w:hAnsi="Times New Roman" w:eastAsia="宋体" w:cs="Times New Roman"/>
                <w:bCs/>
                <w:color w:val="auto"/>
                <w:sz w:val="24"/>
                <w:szCs w:val="24"/>
                <w:highlight w:val="none"/>
                <w:lang w:val="pt-BR" w:eastAsia="zh-CN"/>
              </w:rPr>
              <w:t>倍频带的叠加声压级，dB；</w:t>
            </w:r>
          </w:p>
          <w:p>
            <w:pPr>
              <w:adjustRightInd w:val="0"/>
              <w:snapToGrid w:val="0"/>
              <w:spacing w:line="360" w:lineRule="auto"/>
              <w:ind w:firstLine="480" w:firstLineChars="200"/>
              <w:jc w:val="both"/>
              <w:rPr>
                <w:rFonts w:hint="default" w:ascii="Times New Roman" w:hAnsi="Times New Roman" w:eastAsia="宋体" w:cs="Times New Roman"/>
                <w:bCs/>
                <w:color w:val="auto"/>
                <w:sz w:val="24"/>
                <w:szCs w:val="24"/>
                <w:highlight w:val="none"/>
                <w:lang w:val="pt-BR" w:eastAsia="zh-CN"/>
              </w:rPr>
            </w:pPr>
            <w:r>
              <w:rPr>
                <w:rFonts w:hint="default" w:ascii="Times New Roman" w:hAnsi="Times New Roman" w:eastAsia="宋体" w:cs="Times New Roman"/>
                <w:bCs/>
                <w:color w:val="auto"/>
                <w:sz w:val="24"/>
                <w:szCs w:val="24"/>
                <w:highlight w:val="none"/>
                <w:lang w:val="en-US" w:eastAsia="zh-CN"/>
              </w:rPr>
              <w:object>
                <v:shape id="_x0000_i1048" o:spt="75" type="#_x0000_t75" style="height:18.75pt;width:24pt;" o:ole="t" filled="f" o:preferrelative="t" stroked="f" coordsize="21600,21600">
                  <v:path/>
                  <v:fill on="f" focussize="0,0"/>
                  <v:stroke on="f" joinstyle="miter"/>
                  <v:imagedata r:id="rId63" o:title=""/>
                  <o:lock v:ext="edit" aspectratio="t"/>
                  <w10:wrap type="none"/>
                  <w10:anchorlock/>
                </v:shape>
                <o:OLEObject Type="Embed" ProgID="Equation.3" ShapeID="_x0000_i1048" DrawAspect="Content" ObjectID="_1468075748" r:id="rId62">
                  <o:LockedField>false</o:LockedField>
                </o:OLEObject>
              </w:object>
            </w:r>
            <w:r>
              <w:rPr>
                <w:rFonts w:hint="default" w:ascii="Times New Roman" w:hAnsi="Times New Roman" w:eastAsia="宋体" w:cs="Times New Roman"/>
                <w:bCs/>
                <w:color w:val="auto"/>
                <w:sz w:val="24"/>
                <w:szCs w:val="24"/>
                <w:highlight w:val="none"/>
                <w:lang w:val="pt-BR" w:eastAsia="zh-CN"/>
              </w:rPr>
              <w:t>——室内</w:t>
            </w:r>
            <w:r>
              <w:rPr>
                <w:rFonts w:hint="default" w:ascii="Times New Roman" w:hAnsi="Times New Roman" w:eastAsia="宋体" w:cs="Times New Roman"/>
                <w:bCs/>
                <w:color w:val="auto"/>
                <w:sz w:val="24"/>
                <w:szCs w:val="24"/>
                <w:highlight w:val="none"/>
                <w:lang w:val="en-US" w:eastAsia="zh-CN"/>
              </w:rPr>
              <w:object>
                <v:shape id="_x0000_i1049" o:spt="75" type="#_x0000_t75" style="height:13.5pt;width:7.5pt;" o:ole="t" filled="f" o:preferrelative="t" stroked="f" coordsize="21600,21600">
                  <v:path/>
                  <v:fill on="f" focussize="0,0"/>
                  <v:stroke on="f" joinstyle="miter"/>
                  <v:imagedata r:id="rId65" o:title=""/>
                  <o:lock v:ext="edit" aspectratio="t"/>
                  <w10:wrap type="none"/>
                  <w10:anchorlock/>
                </v:shape>
                <o:OLEObject Type="Embed" ProgID="Equation.3" ShapeID="_x0000_i1049" DrawAspect="Content" ObjectID="_1468075749" r:id="rId64">
                  <o:LockedField>false</o:LockedField>
                </o:OLEObject>
              </w:object>
            </w:r>
            <w:r>
              <w:rPr>
                <w:rFonts w:hint="default" w:ascii="Times New Roman" w:hAnsi="Times New Roman" w:eastAsia="宋体" w:cs="Times New Roman"/>
                <w:bCs/>
                <w:color w:val="auto"/>
                <w:sz w:val="24"/>
                <w:szCs w:val="24"/>
                <w:highlight w:val="none"/>
                <w:lang w:val="pt-BR" w:eastAsia="zh-CN"/>
              </w:rPr>
              <w:t>声源</w:t>
            </w:r>
            <w:r>
              <w:rPr>
                <w:rFonts w:hint="default" w:ascii="Times New Roman" w:hAnsi="Times New Roman" w:eastAsia="宋体" w:cs="Times New Roman"/>
                <w:bCs/>
                <w:color w:val="auto"/>
                <w:sz w:val="24"/>
                <w:szCs w:val="24"/>
                <w:highlight w:val="none"/>
                <w:lang w:val="en-US" w:eastAsia="zh-CN"/>
              </w:rPr>
              <w:object>
                <v:shape id="_x0000_i1050" o:spt="75" type="#_x0000_t75" style="height:12pt;width:6.75pt;" o:ole="t" filled="f" o:preferrelative="t" stroked="f" coordsize="21600,21600">
                  <v:path/>
                  <v:fill on="f" focussize="0,0"/>
                  <v:stroke on="f" joinstyle="miter"/>
                  <v:imagedata r:id="rId61" o:title=""/>
                  <o:lock v:ext="edit" aspectratio="t"/>
                  <w10:wrap type="none"/>
                  <w10:anchorlock/>
                </v:shape>
                <o:OLEObject Type="Embed" ProgID="Equation.3" ShapeID="_x0000_i1050" DrawAspect="Content" ObjectID="_1468075750" r:id="rId66">
                  <o:LockedField>false</o:LockedField>
                </o:OLEObject>
              </w:object>
            </w:r>
            <w:r>
              <w:rPr>
                <w:rFonts w:hint="default" w:ascii="Times New Roman" w:hAnsi="Times New Roman" w:eastAsia="宋体" w:cs="Times New Roman"/>
                <w:bCs/>
                <w:color w:val="auto"/>
                <w:sz w:val="24"/>
                <w:szCs w:val="24"/>
                <w:highlight w:val="none"/>
                <w:lang w:val="pt-BR" w:eastAsia="zh-CN"/>
              </w:rPr>
              <w:t>倍频带的声压级，dB；</w:t>
            </w:r>
          </w:p>
          <w:p>
            <w:pPr>
              <w:adjustRightInd w:val="0"/>
              <w:snapToGrid w:val="0"/>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object>
                <v:shape id="_x0000_i1051" o:spt="75" type="#_x0000_t75" style="height:13.5pt;width:13.5pt;" o:ole="t" filled="f" o:preferrelative="t" stroked="f" coordsize="21600,21600">
                  <v:path/>
                  <v:fill on="f" focussize="0,0"/>
                  <v:stroke on="f" joinstyle="miter"/>
                  <v:imagedata r:id="rId68" o:title=""/>
                  <o:lock v:ext="edit" aspectratio="t"/>
                  <w10:wrap type="none"/>
                  <w10:anchorlock/>
                </v:shape>
                <o:OLEObject Type="Embed" ProgID="Equation.3" ShapeID="_x0000_i1051" DrawAspect="Content" ObjectID="_1468075751" r:id="rId67">
                  <o:LockedField>false</o:LockedField>
                </o:OLEObject>
              </w:object>
            </w:r>
            <w:r>
              <w:rPr>
                <w:rFonts w:hint="default" w:ascii="Times New Roman" w:hAnsi="Times New Roman" w:eastAsia="宋体" w:cs="Times New Roman"/>
                <w:bCs/>
                <w:color w:val="auto"/>
                <w:sz w:val="24"/>
                <w:szCs w:val="24"/>
                <w:highlight w:val="none"/>
                <w:lang w:val="pt-BR" w:eastAsia="zh-CN"/>
              </w:rPr>
              <w:t>——室内声源总数。</w:t>
            </w:r>
          </w:p>
          <w:p>
            <w:pPr>
              <w:adjustRightInd w:val="0"/>
              <w:snapToGrid w:val="0"/>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③计算出室外靠近围护结构处的声压级：</w:t>
            </w:r>
          </w:p>
          <w:p>
            <w:pPr>
              <w:adjustRightInd w:val="0"/>
              <w:snapToGrid w:val="0"/>
              <w:spacing w:line="360" w:lineRule="auto"/>
              <w:jc w:val="center"/>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object>
                <v:shape id="_x0000_i1052" o:spt="75" type="#_x0000_t75" style="height:18.75pt;width:138.75pt;" o:ole="t" filled="f" o:preferrelative="t" stroked="f" coordsize="21600,21600">
                  <v:path/>
                  <v:fill on="f" focussize="0,0"/>
                  <v:stroke on="f" joinstyle="miter"/>
                  <v:imagedata r:id="rId70" o:title=""/>
                  <o:lock v:ext="edit" aspectratio="t"/>
                  <w10:wrap type="none"/>
                  <w10:anchorlock/>
                </v:shape>
                <o:OLEObject Type="Embed" ProgID="Equation.3" ShapeID="_x0000_i1052" DrawAspect="Content" ObjectID="_1468075752" r:id="rId69">
                  <o:LockedField>false</o:LockedField>
                </o:OLEObject>
              </w:object>
            </w:r>
          </w:p>
          <w:p>
            <w:pPr>
              <w:adjustRightInd w:val="0"/>
              <w:snapToGrid w:val="0"/>
              <w:spacing w:line="360" w:lineRule="auto"/>
              <w:ind w:firstLine="480" w:firstLineChars="200"/>
              <w:jc w:val="both"/>
              <w:rPr>
                <w:rFonts w:hint="default" w:ascii="Times New Roman" w:hAnsi="Times New Roman" w:eastAsia="宋体" w:cs="Times New Roman"/>
                <w:bCs/>
                <w:color w:val="auto"/>
                <w:sz w:val="24"/>
                <w:szCs w:val="24"/>
                <w:highlight w:val="none"/>
                <w:lang w:val="pt-BR" w:eastAsia="zh-CN"/>
              </w:rPr>
            </w:pPr>
            <w:r>
              <w:rPr>
                <w:rFonts w:hint="default" w:ascii="Times New Roman" w:hAnsi="Times New Roman" w:eastAsia="宋体" w:cs="Times New Roman"/>
                <w:bCs/>
                <w:color w:val="auto"/>
                <w:sz w:val="24"/>
                <w:szCs w:val="24"/>
                <w:highlight w:val="none"/>
                <w:lang w:val="en-US" w:eastAsia="zh-CN"/>
              </w:rPr>
              <w:t>式中：</w:t>
            </w:r>
            <w:r>
              <w:rPr>
                <w:rFonts w:hint="default" w:ascii="Times New Roman" w:hAnsi="Times New Roman" w:eastAsia="宋体" w:cs="Times New Roman"/>
                <w:bCs/>
                <w:color w:val="auto"/>
                <w:sz w:val="24"/>
                <w:szCs w:val="24"/>
                <w:highlight w:val="none"/>
                <w:lang w:val="en-US" w:eastAsia="zh-CN"/>
              </w:rPr>
              <w:object>
                <v:shape id="_x0000_i1053" o:spt="75" type="#_x0000_t75" style="height:18.75pt;width:41.25pt;" o:ole="t" filled="f" o:preferrelative="t" stroked="f" coordsize="21600,21600">
                  <v:path/>
                  <v:fill on="f" focussize="0,0"/>
                  <v:stroke on="f" joinstyle="miter"/>
                  <v:imagedata r:id="rId72" o:title=""/>
                  <o:lock v:ext="edit" aspectratio="t"/>
                  <w10:wrap type="none"/>
                  <w10:anchorlock/>
                </v:shape>
                <o:OLEObject Type="Embed" ProgID="Equation.3" ShapeID="_x0000_i1053" DrawAspect="Content" ObjectID="_1468075753" r:id="rId71">
                  <o:LockedField>false</o:LockedField>
                </o:OLEObject>
              </w:object>
            </w:r>
            <w:r>
              <w:rPr>
                <w:rFonts w:hint="default" w:ascii="Times New Roman" w:hAnsi="Times New Roman" w:eastAsia="宋体" w:cs="Times New Roman"/>
                <w:bCs/>
                <w:color w:val="auto"/>
                <w:sz w:val="24"/>
                <w:szCs w:val="24"/>
                <w:highlight w:val="none"/>
                <w:lang w:val="pt-BR" w:eastAsia="zh-CN"/>
              </w:rPr>
              <w:t>——靠近围护结构处室外N个声源</w:t>
            </w:r>
            <w:r>
              <w:rPr>
                <w:rFonts w:hint="default" w:ascii="Times New Roman" w:hAnsi="Times New Roman" w:eastAsia="宋体" w:cs="Times New Roman"/>
                <w:bCs/>
                <w:color w:val="auto"/>
                <w:sz w:val="24"/>
                <w:szCs w:val="24"/>
                <w:highlight w:val="none"/>
                <w:lang w:val="en-US" w:eastAsia="zh-CN"/>
              </w:rPr>
              <w:object>
                <v:shape id="_x0000_i1054" o:spt="75" type="#_x0000_t75" style="height:12pt;width:6.75pt;" o:ole="t" filled="f" o:preferrelative="t" stroked="f" coordsize="21600,21600">
                  <v:path/>
                  <v:fill on="f" focussize="0,0"/>
                  <v:stroke on="f" joinstyle="miter"/>
                  <v:imagedata r:id="rId61" o:title=""/>
                  <o:lock v:ext="edit" aspectratio="t"/>
                  <w10:wrap type="none"/>
                  <w10:anchorlock/>
                </v:shape>
                <o:OLEObject Type="Embed" ProgID="Equation.3" ShapeID="_x0000_i1054" DrawAspect="Content" ObjectID="_1468075754" r:id="rId73">
                  <o:LockedField>false</o:LockedField>
                </o:OLEObject>
              </w:object>
            </w:r>
            <w:r>
              <w:rPr>
                <w:rFonts w:hint="default" w:ascii="Times New Roman" w:hAnsi="Times New Roman" w:eastAsia="宋体" w:cs="Times New Roman"/>
                <w:bCs/>
                <w:color w:val="auto"/>
                <w:sz w:val="24"/>
                <w:szCs w:val="24"/>
                <w:highlight w:val="none"/>
                <w:lang w:val="pt-BR" w:eastAsia="zh-CN"/>
              </w:rPr>
              <w:t>倍频带的叠加声压级，dB；</w:t>
            </w:r>
          </w:p>
          <w:p>
            <w:pPr>
              <w:adjustRightInd w:val="0"/>
              <w:snapToGrid w:val="0"/>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object>
                <v:shape id="_x0000_i1055" o:spt="75" type="#_x0000_t75" style="height:18.75pt;width:18.75pt;" o:ole="t" filled="f" o:preferrelative="t" stroked="f" coordsize="21600,21600">
                  <v:path/>
                  <v:fill on="f" focussize="0,0"/>
                  <v:stroke on="f" joinstyle="miter"/>
                  <v:imagedata r:id="rId75" o:title=""/>
                  <o:lock v:ext="edit" aspectratio="t"/>
                  <w10:wrap type="none"/>
                  <w10:anchorlock/>
                </v:shape>
                <o:OLEObject Type="Embed" ProgID="Equation.3" ShapeID="_x0000_i1055" DrawAspect="Content" ObjectID="_1468075755" r:id="rId74">
                  <o:LockedField>false</o:LockedField>
                </o:OLEObject>
              </w:object>
            </w:r>
            <w:r>
              <w:rPr>
                <w:rFonts w:hint="default" w:ascii="Times New Roman" w:hAnsi="Times New Roman" w:eastAsia="宋体" w:cs="Times New Roman"/>
                <w:bCs/>
                <w:color w:val="auto"/>
                <w:sz w:val="24"/>
                <w:szCs w:val="24"/>
                <w:highlight w:val="none"/>
                <w:lang w:val="pt-BR" w:eastAsia="zh-CN"/>
              </w:rPr>
              <w:t>——围护结构</w:t>
            </w:r>
            <w:r>
              <w:rPr>
                <w:rFonts w:hint="default" w:ascii="Times New Roman" w:hAnsi="Times New Roman" w:eastAsia="宋体" w:cs="Times New Roman"/>
                <w:bCs/>
                <w:color w:val="auto"/>
                <w:sz w:val="24"/>
                <w:szCs w:val="24"/>
                <w:highlight w:val="none"/>
                <w:lang w:val="en-US" w:eastAsia="zh-CN"/>
              </w:rPr>
              <w:object>
                <v:shape id="_x0000_i1056" o:spt="75" type="#_x0000_t75" style="height:12pt;width:6.75pt;" o:ole="t" filled="f" o:preferrelative="t" stroked="f" coordsize="21600,21600">
                  <v:path/>
                  <v:fill on="f" focussize="0,0"/>
                  <v:stroke on="f" joinstyle="miter"/>
                  <v:imagedata r:id="rId61" o:title=""/>
                  <o:lock v:ext="edit" aspectratio="t"/>
                  <w10:wrap type="none"/>
                  <w10:anchorlock/>
                </v:shape>
                <o:OLEObject Type="Embed" ProgID="Equation.3" ShapeID="_x0000_i1056" DrawAspect="Content" ObjectID="_1468075756" r:id="rId76">
                  <o:LockedField>false</o:LockedField>
                </o:OLEObject>
              </w:object>
            </w:r>
            <w:r>
              <w:rPr>
                <w:rFonts w:hint="default" w:ascii="Times New Roman" w:hAnsi="Times New Roman" w:eastAsia="宋体" w:cs="Times New Roman"/>
                <w:bCs/>
                <w:color w:val="auto"/>
                <w:sz w:val="24"/>
                <w:szCs w:val="24"/>
                <w:highlight w:val="none"/>
                <w:lang w:val="pt-BR" w:eastAsia="zh-CN"/>
              </w:rPr>
              <w:t>倍频带的隔声量，dB；</w:t>
            </w:r>
          </w:p>
          <w:p>
            <w:pPr>
              <w:adjustRightInd w:val="0"/>
              <w:snapToGrid w:val="0"/>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rPr>
              <w:pict>
                <v:shape id="_x0000_s2050" o:spid="_x0000_s2050" o:spt="75" type="#_x0000_t75" style="position:absolute;left:0pt;margin-left:131.05pt;margin-top:41.45pt;height:18.75pt;width:106.5pt;z-index:251661312;mso-width-relative:page;mso-height-relative:page;" o:ole="t" filled="f" o:preferrelative="t" stroked="f" coordsize="21600,21600">
                  <v:path/>
                  <v:fill on="f" focussize="0,0"/>
                  <v:stroke on="f" joinstyle="miter"/>
                  <v:imagedata r:id="rId78" o:title=""/>
                  <o:lock v:ext="edit" aspectratio="t"/>
                </v:shape>
                <o:OLEObject Type="Embed" ProgID="Equation.3" ShapeID="_x0000_s2050" DrawAspect="Content" ObjectID="_1468075757" r:id="rId77">
                  <o:LockedField>false</o:LockedField>
                </o:OLEObject>
              </w:pict>
            </w:r>
            <w:r>
              <w:rPr>
                <w:rFonts w:hint="default" w:ascii="Times New Roman" w:hAnsi="Times New Roman" w:eastAsia="宋体" w:cs="Times New Roman"/>
                <w:bCs/>
                <w:color w:val="auto"/>
                <w:sz w:val="24"/>
                <w:szCs w:val="24"/>
                <w:highlight w:val="none"/>
                <w:lang w:val="en-US" w:eastAsia="zh-CN"/>
              </w:rPr>
              <w:t>④将室外声源的声压级和透过面积换算成等效的室外声源，计算出中心位置位于透声面积（S）处的等效声源的倍频带声功率级。</w:t>
            </w:r>
          </w:p>
          <w:p>
            <w:pPr>
              <w:adjustRightInd w:val="0"/>
              <w:snapToGrid w:val="0"/>
              <w:spacing w:line="240" w:lineRule="auto"/>
              <w:jc w:val="center"/>
              <w:rPr>
                <w:rFonts w:hint="default" w:ascii="Times New Roman" w:hAnsi="Times New Roman" w:eastAsia="宋体" w:cs="Times New Roman"/>
                <w:bCs/>
                <w:color w:val="auto"/>
                <w:sz w:val="24"/>
                <w:szCs w:val="24"/>
                <w:highlight w:val="none"/>
              </w:rPr>
            </w:pP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both"/>
              <w:textAlignment w:val="auto"/>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⑤等效室外声源的位置为围护结构的位置，其倍频带声功率级为</w:t>
            </w:r>
            <w:r>
              <w:rPr>
                <w:rFonts w:hint="default" w:ascii="Times New Roman" w:hAnsi="Times New Roman" w:eastAsia="宋体" w:cs="Times New Roman"/>
                <w:bCs/>
                <w:color w:val="auto"/>
                <w:sz w:val="24"/>
                <w:szCs w:val="24"/>
                <w:highlight w:val="none"/>
                <w:lang w:val="en-US" w:eastAsia="zh-CN"/>
              </w:rPr>
              <w:object>
                <v:shape id="_x0000_i1057" o:spt="75" type="#_x0000_t75" style="height:18.75pt;width:16.5pt;" o:ole="t" filled="f" o:preferrelative="t" stroked="f" coordsize="21600,21600">
                  <v:path/>
                  <v:fill on="f" focussize="0,0"/>
                  <v:stroke on="f" joinstyle="miter"/>
                  <v:imagedata r:id="rId80" o:title=""/>
                  <o:lock v:ext="edit" aspectratio="t"/>
                  <w10:wrap type="none"/>
                  <w10:anchorlock/>
                </v:shape>
                <o:OLEObject Type="Embed" ProgID="Equation.3" ShapeID="_x0000_i1057" DrawAspect="Content" ObjectID="_1468075758" r:id="rId79">
                  <o:LockedField>false</o:LockedField>
                </o:OLEObject>
              </w:object>
            </w:r>
            <w:r>
              <w:rPr>
                <w:rFonts w:hint="default" w:ascii="Times New Roman" w:hAnsi="Times New Roman" w:eastAsia="宋体" w:cs="Times New Roman"/>
                <w:bCs/>
                <w:color w:val="auto"/>
                <w:sz w:val="24"/>
                <w:szCs w:val="24"/>
                <w:highlight w:val="none"/>
                <w:lang w:val="en-US" w:eastAsia="zh-CN"/>
              </w:rPr>
              <w:t>，根据厂房结构（门、窗）和预测点的位置关系，分别按照面声源、线声源和点声源的衰减模式，计算预测点处的声级。</w:t>
            </w:r>
          </w:p>
          <w:p>
            <w:pPr>
              <w:adjustRightInd w:val="0"/>
              <w:snapToGrid w:val="0"/>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假设窗户的宽度为a，高度为b，窗户个数为n；预测点距墙中心的距离为</w:t>
            </w:r>
            <w:r>
              <w:rPr>
                <w:rFonts w:hint="default" w:ascii="Times New Roman" w:hAnsi="Times New Roman" w:eastAsia="宋体" w:cs="Times New Roman"/>
                <w:bCs/>
                <w:color w:val="auto"/>
                <w:sz w:val="24"/>
                <w:szCs w:val="24"/>
                <w:highlight w:val="none"/>
                <w:lang w:val="en-US" w:eastAsia="zh-CN"/>
              </w:rPr>
              <w:object>
                <v:shape id="_x0000_i1058" o:spt="75" type="#_x0000_t75" style="height:7.5pt;width:7.5pt;" o:ole="t" filled="f" o:preferrelative="t" stroked="f" coordsize="21600,21600">
                  <v:path/>
                  <v:fill on="f" focussize="0,0"/>
                  <v:stroke on="f" joinstyle="miter"/>
                  <v:imagedata r:id="rId82" o:title=""/>
                  <o:lock v:ext="edit" aspectratio="t"/>
                  <w10:wrap type="none"/>
                  <w10:anchorlock/>
                </v:shape>
                <o:OLEObject Type="Embed" ProgID="Equation.3" ShapeID="_x0000_i1058" DrawAspect="Content" ObjectID="_1468075759" r:id="rId81">
                  <o:LockedField>false</o:LockedField>
                </o:OLEObject>
              </w:object>
            </w:r>
            <w:r>
              <w:rPr>
                <w:rFonts w:hint="default" w:ascii="Times New Roman" w:hAnsi="Times New Roman" w:eastAsia="宋体" w:cs="Times New Roman"/>
                <w:bCs/>
                <w:color w:val="auto"/>
                <w:sz w:val="24"/>
                <w:szCs w:val="24"/>
                <w:highlight w:val="none"/>
                <w:lang w:val="en-US" w:eastAsia="zh-CN"/>
              </w:rPr>
              <w:t>。预测点的声级按照下述公式进行预测：</w:t>
            </w:r>
          </w:p>
          <w:p>
            <w:pPr>
              <w:adjustRightInd w:val="0"/>
              <w:snapToGrid w:val="0"/>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当</w:t>
            </w:r>
            <w:r>
              <w:rPr>
                <w:rFonts w:hint="default" w:ascii="Times New Roman" w:hAnsi="Times New Roman" w:eastAsia="宋体" w:cs="Times New Roman"/>
                <w:bCs/>
                <w:color w:val="auto"/>
                <w:sz w:val="24"/>
                <w:szCs w:val="24"/>
                <w:highlight w:val="none"/>
                <w:lang w:val="en-US" w:eastAsia="zh-CN"/>
              </w:rPr>
              <w:object>
                <v:shape id="_x0000_i1059" o:spt="75" type="#_x0000_t75" style="height:30pt;width:30pt;" o:ole="t" filled="f" o:preferrelative="t" stroked="f" coordsize="21600,21600">
                  <v:path/>
                  <v:fill on="f" focussize="0,0"/>
                  <v:stroke on="f" joinstyle="miter"/>
                  <v:imagedata r:id="rId84" o:title=""/>
                  <o:lock v:ext="edit" aspectratio="t"/>
                  <w10:wrap type="none"/>
                  <w10:anchorlock/>
                </v:shape>
                <o:OLEObject Type="Embed" ProgID="Equation.3" ShapeID="_x0000_i1059" DrawAspect="Content" ObjectID="_1468075760" r:id="rId83">
                  <o:LockedField>false</o:LockedField>
                </o:OLEObject>
              </w:object>
            </w:r>
            <w:r>
              <w:rPr>
                <w:rFonts w:hint="default" w:ascii="Times New Roman" w:hAnsi="Times New Roman" w:eastAsia="宋体" w:cs="Times New Roman"/>
                <w:bCs/>
                <w:color w:val="auto"/>
                <w:sz w:val="24"/>
                <w:szCs w:val="24"/>
                <w:highlight w:val="none"/>
                <w:lang w:val="en-US" w:eastAsia="zh-CN"/>
              </w:rPr>
              <w:t>时，</w:t>
            </w:r>
            <w:r>
              <w:rPr>
                <w:rFonts w:hint="default" w:ascii="Times New Roman" w:hAnsi="Times New Roman" w:eastAsia="宋体" w:cs="Times New Roman"/>
                <w:bCs/>
                <w:color w:val="auto"/>
                <w:sz w:val="24"/>
                <w:szCs w:val="24"/>
                <w:highlight w:val="none"/>
                <w:lang w:val="en-US" w:eastAsia="zh-CN"/>
              </w:rPr>
              <w:object>
                <v:shape id="_x0000_i1060" o:spt="75" type="#_x0000_t75" style="height:17.25pt;width:54.75pt;" o:ole="t" filled="f" o:preferrelative="t" stroked="f" coordsize="21600,21600">
                  <v:path/>
                  <v:fill on="f" focussize="0,0"/>
                  <v:stroke on="f" joinstyle="miter"/>
                  <v:imagedata r:id="rId86" o:title=""/>
                  <o:lock v:ext="edit" aspectratio="t"/>
                  <w10:wrap type="none"/>
                  <w10:anchorlock/>
                </v:shape>
                <o:OLEObject Type="Embed" ProgID="Equation.3" ShapeID="_x0000_i1060" DrawAspect="Content" ObjectID="_1468075761" r:id="rId85">
                  <o:LockedField>false</o:LockedField>
                </o:OLEObject>
              </w:object>
            </w:r>
            <w:r>
              <w:rPr>
                <w:rFonts w:hint="default" w:ascii="Times New Roman" w:hAnsi="Times New Roman" w:eastAsia="宋体" w:cs="Times New Roman"/>
                <w:bCs/>
                <w:color w:val="auto"/>
                <w:sz w:val="24"/>
                <w:szCs w:val="24"/>
                <w:highlight w:val="none"/>
                <w:lang w:val="en-US" w:eastAsia="zh-CN"/>
              </w:rPr>
              <w:t>（即按面声源处理）；</w:t>
            </w:r>
          </w:p>
          <w:p>
            <w:pPr>
              <w:adjustRightInd w:val="0"/>
              <w:snapToGrid w:val="0"/>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当</w:t>
            </w:r>
            <w:r>
              <w:rPr>
                <w:rFonts w:hint="default" w:ascii="Times New Roman" w:hAnsi="Times New Roman" w:eastAsia="宋体" w:cs="Times New Roman"/>
                <w:bCs/>
                <w:color w:val="auto"/>
                <w:sz w:val="24"/>
                <w:szCs w:val="24"/>
                <w:highlight w:val="none"/>
                <w:lang w:val="en-US" w:eastAsia="zh-CN"/>
              </w:rPr>
              <w:object>
                <v:shape id="_x0000_i1061" o:spt="75" type="#_x0000_t75" style="height:30pt;width:58.5pt;" o:ole="t" filled="f" o:preferrelative="t" stroked="f" coordsize="21600,21600">
                  <v:path/>
                  <v:fill on="f" focussize="0,0"/>
                  <v:stroke on="f" joinstyle="miter"/>
                  <v:imagedata r:id="rId88" o:title=""/>
                  <o:lock v:ext="edit" aspectratio="t"/>
                  <w10:wrap type="none"/>
                  <w10:anchorlock/>
                </v:shape>
                <o:OLEObject Type="Embed" ProgID="Equation.3" ShapeID="_x0000_i1061" DrawAspect="Content" ObjectID="_1468075762" r:id="rId87">
                  <o:LockedField>false</o:LockedField>
                </o:OLEObject>
              </w:object>
            </w:r>
            <w:r>
              <w:rPr>
                <w:rFonts w:hint="default" w:ascii="Times New Roman" w:hAnsi="Times New Roman" w:eastAsia="宋体" w:cs="Times New Roman"/>
                <w:bCs/>
                <w:color w:val="auto"/>
                <w:sz w:val="24"/>
                <w:szCs w:val="24"/>
                <w:highlight w:val="none"/>
                <w:lang w:val="en-US" w:eastAsia="zh-CN"/>
              </w:rPr>
              <w:t>时，</w:t>
            </w:r>
            <w:r>
              <w:rPr>
                <w:rFonts w:hint="default" w:ascii="Times New Roman" w:hAnsi="Times New Roman" w:eastAsia="宋体" w:cs="Times New Roman"/>
                <w:bCs/>
                <w:color w:val="auto"/>
                <w:sz w:val="24"/>
                <w:szCs w:val="24"/>
                <w:highlight w:val="none"/>
                <w:lang w:val="en-US" w:eastAsia="zh-CN"/>
              </w:rPr>
              <w:object>
                <v:shape id="_x0000_i1062" o:spt="75" type="#_x0000_t75" style="height:30pt;width:97.5pt;" o:ole="t" filled="f" o:preferrelative="t" stroked="f" coordsize="21600,21600">
                  <v:path/>
                  <v:fill on="f" focussize="0,0"/>
                  <v:stroke on="f" joinstyle="miter"/>
                  <v:imagedata r:id="rId90" o:title=""/>
                  <o:lock v:ext="edit" aspectratio="t"/>
                  <w10:wrap type="none"/>
                  <w10:anchorlock/>
                </v:shape>
                <o:OLEObject Type="Embed" ProgID="Equation.3" ShapeID="_x0000_i1062" DrawAspect="Content" ObjectID="_1468075763" r:id="rId89">
                  <o:LockedField>false</o:LockedField>
                </o:OLEObject>
              </w:object>
            </w:r>
            <w:r>
              <w:rPr>
                <w:rFonts w:hint="default" w:ascii="Times New Roman" w:hAnsi="Times New Roman" w:eastAsia="宋体" w:cs="Times New Roman"/>
                <w:bCs/>
                <w:color w:val="auto"/>
                <w:sz w:val="24"/>
                <w:szCs w:val="24"/>
                <w:highlight w:val="none"/>
                <w:lang w:val="en-US" w:eastAsia="zh-CN"/>
              </w:rPr>
              <w:t>（即按线声源处理）；</w:t>
            </w:r>
          </w:p>
          <w:p>
            <w:pPr>
              <w:adjustRightInd w:val="0"/>
              <w:snapToGrid w:val="0"/>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当</w:t>
            </w:r>
            <w:r>
              <w:rPr>
                <w:rFonts w:hint="default" w:ascii="Times New Roman" w:hAnsi="Times New Roman" w:eastAsia="宋体" w:cs="Times New Roman"/>
                <w:bCs/>
                <w:color w:val="auto"/>
                <w:sz w:val="24"/>
                <w:szCs w:val="24"/>
                <w:highlight w:val="none"/>
                <w:lang w:val="en-US" w:eastAsia="zh-CN"/>
              </w:rPr>
              <w:object>
                <v:shape id="_x0000_i1063" o:spt="75" type="#_x0000_t75" style="height:30pt;width:36pt;" o:ole="t" filled="f" o:preferrelative="t" stroked="f" coordsize="21600,21600">
                  <v:path/>
                  <v:fill on="f" focussize="0,0"/>
                  <v:stroke on="f" joinstyle="miter"/>
                  <v:imagedata r:id="rId92" o:title=""/>
                  <o:lock v:ext="edit" aspectratio="t"/>
                  <w10:wrap type="none"/>
                  <w10:anchorlock/>
                </v:shape>
                <o:OLEObject Type="Embed" ProgID="Equation.3" ShapeID="_x0000_i1063" DrawAspect="Content" ObjectID="_1468075764" r:id="rId91">
                  <o:LockedField>false</o:LockedField>
                </o:OLEObject>
              </w:object>
            </w:r>
            <w:r>
              <w:rPr>
                <w:rFonts w:hint="default" w:ascii="Times New Roman" w:hAnsi="Times New Roman" w:eastAsia="宋体" w:cs="Times New Roman"/>
                <w:bCs/>
                <w:color w:val="auto"/>
                <w:sz w:val="24"/>
                <w:szCs w:val="24"/>
                <w:highlight w:val="none"/>
                <w:lang w:val="en-US" w:eastAsia="zh-CN"/>
              </w:rPr>
              <w:t>时，</w:t>
            </w:r>
            <w:r>
              <w:rPr>
                <w:rFonts w:hint="default" w:ascii="Times New Roman" w:hAnsi="Times New Roman" w:eastAsia="宋体" w:cs="Times New Roman"/>
                <w:bCs/>
                <w:color w:val="auto"/>
                <w:sz w:val="24"/>
                <w:szCs w:val="24"/>
                <w:highlight w:val="none"/>
                <w:lang w:val="en-US" w:eastAsia="zh-CN"/>
              </w:rPr>
              <w:object>
                <v:shape id="_x0000_i1064" o:spt="75" type="#_x0000_t75" style="height:30pt;width:107.25pt;" o:ole="t" filled="f" o:preferrelative="t" stroked="f" coordsize="21600,21600">
                  <v:path/>
                  <v:fill on="f" focussize="0,0"/>
                  <v:stroke on="f" joinstyle="miter"/>
                  <v:imagedata r:id="rId94" o:title=""/>
                  <o:lock v:ext="edit" aspectratio="t"/>
                  <w10:wrap type="none"/>
                  <w10:anchorlock/>
                </v:shape>
                <o:OLEObject Type="Embed" ProgID="Equation.3" ShapeID="_x0000_i1064" DrawAspect="Content" ObjectID="_1468075765" r:id="rId93">
                  <o:LockedField>false</o:LockedField>
                </o:OLEObject>
              </w:object>
            </w:r>
            <w:r>
              <w:rPr>
                <w:rFonts w:hint="default" w:ascii="Times New Roman" w:hAnsi="Times New Roman" w:eastAsia="宋体" w:cs="Times New Roman"/>
                <w:bCs/>
                <w:color w:val="auto"/>
                <w:sz w:val="24"/>
                <w:szCs w:val="24"/>
                <w:highlight w:val="none"/>
                <w:lang w:val="en-US" w:eastAsia="zh-CN"/>
              </w:rPr>
              <w:t>（即按点声源处理）；</w:t>
            </w:r>
          </w:p>
          <w:p>
            <w:pPr>
              <w:adjustRightInd w:val="0"/>
              <w:snapToGrid w:val="0"/>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eastAsia" w:ascii="Times New Roman" w:hAnsi="Times New Roman" w:eastAsia="宋体" w:cs="Times New Roman"/>
                <w:bCs/>
                <w:color w:val="auto"/>
                <w:sz w:val="24"/>
                <w:szCs w:val="24"/>
                <w:highlight w:val="none"/>
                <w:lang w:val="en-US" w:eastAsia="zh-CN"/>
              </w:rPr>
              <w:t>（3）</w:t>
            </w:r>
            <w:r>
              <w:rPr>
                <w:rFonts w:hint="default" w:ascii="Times New Roman" w:hAnsi="Times New Roman" w:eastAsia="宋体" w:cs="Times New Roman"/>
                <w:bCs/>
                <w:color w:val="auto"/>
                <w:sz w:val="24"/>
                <w:szCs w:val="24"/>
                <w:highlight w:val="none"/>
                <w:lang w:val="en-US" w:eastAsia="zh-CN"/>
              </w:rPr>
              <w:t>计算总声压级</w:t>
            </w:r>
          </w:p>
          <w:p>
            <w:pPr>
              <w:adjustRightInd w:val="0"/>
              <w:snapToGrid w:val="0"/>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①计算本工程各室外噪声源和各含噪声源厂房对各预测点噪声贡献值</w:t>
            </w:r>
          </w:p>
          <w:p>
            <w:pPr>
              <w:adjustRightInd w:val="0"/>
              <w:snapToGrid w:val="0"/>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设第</w:t>
            </w:r>
            <w:r>
              <w:rPr>
                <w:rFonts w:hint="default" w:ascii="Times New Roman" w:hAnsi="Times New Roman" w:eastAsia="宋体" w:cs="Times New Roman"/>
                <w:bCs/>
                <w:color w:val="auto"/>
                <w:sz w:val="24"/>
                <w:szCs w:val="24"/>
                <w:highlight w:val="none"/>
                <w:lang w:val="en-US" w:eastAsia="zh-CN"/>
              </w:rPr>
              <w:object>
                <v:shape id="_x0000_i1065" o:spt="75" type="#_x0000_t75" style="height:12pt;width:6.75pt;" o:ole="t" filled="f" o:preferrelative="t" stroked="f" coordsize="21600,21600">
                  <v:path/>
                  <v:fill on="f" focussize="0,0"/>
                  <v:stroke on="f" joinstyle="miter"/>
                  <v:imagedata r:id="rId61" o:title=""/>
                  <o:lock v:ext="edit" aspectratio="t"/>
                  <w10:wrap type="none"/>
                  <w10:anchorlock/>
                </v:shape>
                <o:OLEObject Type="Embed" ProgID="Equation.3" ShapeID="_x0000_i1065" DrawAspect="Content" ObjectID="_1468075766" r:id="rId95">
                  <o:LockedField>false</o:LockedField>
                </o:OLEObject>
              </w:object>
            </w:r>
            <w:r>
              <w:rPr>
                <w:rFonts w:hint="default" w:ascii="Times New Roman" w:hAnsi="Times New Roman" w:eastAsia="宋体" w:cs="Times New Roman"/>
                <w:bCs/>
                <w:color w:val="auto"/>
                <w:sz w:val="24"/>
                <w:szCs w:val="24"/>
                <w:highlight w:val="none"/>
                <w:lang w:val="en-US" w:eastAsia="zh-CN"/>
              </w:rPr>
              <w:t>个室外声源在预测点产生的A声级为</w:t>
            </w:r>
            <w:r>
              <w:rPr>
                <w:rFonts w:hint="default" w:ascii="Times New Roman" w:hAnsi="Times New Roman" w:eastAsia="宋体" w:cs="Times New Roman"/>
                <w:bCs/>
                <w:color w:val="auto"/>
                <w:sz w:val="24"/>
                <w:szCs w:val="24"/>
                <w:highlight w:val="none"/>
                <w:lang w:val="en-US" w:eastAsia="zh-CN"/>
              </w:rPr>
              <w:object>
                <v:shape id="_x0000_i1066" o:spt="75" type="#_x0000_t75" style="height:18.75pt;width:18.75pt;" o:ole="t" filled="f" o:preferrelative="t" stroked="f" coordsize="21600,21600">
                  <v:path/>
                  <v:fill on="f" focussize="0,0"/>
                  <v:stroke on="f" joinstyle="miter"/>
                  <v:imagedata r:id="rId97" o:title=""/>
                  <o:lock v:ext="edit" aspectratio="t"/>
                  <w10:wrap type="none"/>
                  <w10:anchorlock/>
                </v:shape>
                <o:OLEObject Type="Embed" ProgID="Equation.3" ShapeID="_x0000_i1066" DrawAspect="Content" ObjectID="_1468075767" r:id="rId96">
                  <o:LockedField>false</o:LockedField>
                </o:OLEObject>
              </w:object>
            </w:r>
            <w:r>
              <w:rPr>
                <w:rFonts w:hint="default" w:ascii="Times New Roman" w:hAnsi="Times New Roman" w:eastAsia="宋体" w:cs="Times New Roman"/>
                <w:bCs/>
                <w:color w:val="auto"/>
                <w:sz w:val="24"/>
                <w:szCs w:val="24"/>
                <w:highlight w:val="none"/>
                <w:lang w:val="en-US" w:eastAsia="zh-CN"/>
              </w:rPr>
              <w:t>，在T时间内该声源工作时间为</w:t>
            </w:r>
            <w:r>
              <w:rPr>
                <w:rFonts w:hint="default" w:ascii="Times New Roman" w:hAnsi="Times New Roman" w:eastAsia="宋体" w:cs="Times New Roman"/>
                <w:bCs/>
                <w:color w:val="auto"/>
                <w:sz w:val="24"/>
                <w:szCs w:val="24"/>
                <w:highlight w:val="none"/>
                <w:lang w:val="en-US" w:eastAsia="zh-CN"/>
              </w:rPr>
              <w:object>
                <v:shape id="_x0000_i1067" o:spt="75" type="#_x0000_t75" style="height:18.75pt;width:7.5pt;" o:ole="t" filled="f" o:preferrelative="t" stroked="f" coordsize="21600,21600">
                  <v:path/>
                  <v:fill on="f" focussize="0,0"/>
                  <v:stroke on="f" joinstyle="miter"/>
                  <v:imagedata r:id="rId99" o:title=""/>
                  <o:lock v:ext="edit" aspectratio="t"/>
                  <w10:wrap type="none"/>
                  <w10:anchorlock/>
                </v:shape>
                <o:OLEObject Type="Embed" ProgID="Equation.3" ShapeID="_x0000_i1067" DrawAspect="Content" ObjectID="_1468075768" r:id="rId98">
                  <o:LockedField>false</o:LockedField>
                </o:OLEObject>
              </w:object>
            </w:r>
            <w:r>
              <w:rPr>
                <w:rFonts w:hint="default" w:ascii="Times New Roman" w:hAnsi="Times New Roman" w:eastAsia="宋体" w:cs="Times New Roman"/>
                <w:bCs/>
                <w:color w:val="auto"/>
                <w:sz w:val="24"/>
                <w:szCs w:val="24"/>
                <w:highlight w:val="none"/>
                <w:lang w:val="en-US" w:eastAsia="zh-CN"/>
              </w:rPr>
              <w:t>；第</w:t>
            </w:r>
            <w:r>
              <w:rPr>
                <w:rFonts w:hint="default" w:ascii="Times New Roman" w:hAnsi="Times New Roman" w:eastAsia="宋体" w:cs="Times New Roman"/>
                <w:bCs/>
                <w:color w:val="auto"/>
                <w:sz w:val="24"/>
                <w:szCs w:val="24"/>
                <w:highlight w:val="none"/>
                <w:lang w:val="en-US" w:eastAsia="zh-CN"/>
              </w:rPr>
              <w:object>
                <v:shape id="_x0000_i1068" o:spt="75" type="#_x0000_t75" style="height:13.5pt;width:7.5pt;" o:ole="t" filled="f" o:preferrelative="t" stroked="f" coordsize="21600,21600">
                  <v:path/>
                  <v:fill on="f" focussize="0,0"/>
                  <v:stroke on="f" joinstyle="miter"/>
                  <v:imagedata r:id="rId101" o:title=""/>
                  <o:lock v:ext="edit" aspectratio="t"/>
                  <w10:wrap type="none"/>
                  <w10:anchorlock/>
                </v:shape>
                <o:OLEObject Type="Embed" ProgID="Equation.3" ShapeID="_x0000_i1068" DrawAspect="Content" ObjectID="_1468075769" r:id="rId100">
                  <o:LockedField>false</o:LockedField>
                </o:OLEObject>
              </w:object>
            </w:r>
            <w:r>
              <w:rPr>
                <w:rFonts w:hint="default" w:ascii="Times New Roman" w:hAnsi="Times New Roman" w:eastAsia="宋体" w:cs="Times New Roman"/>
                <w:bCs/>
                <w:color w:val="auto"/>
                <w:sz w:val="24"/>
                <w:szCs w:val="24"/>
                <w:highlight w:val="none"/>
                <w:lang w:val="en-US" w:eastAsia="zh-CN"/>
              </w:rPr>
              <w:t>个等效室外声源在预测点产生的A声级为</w:t>
            </w:r>
            <w:r>
              <w:rPr>
                <w:rFonts w:hint="default" w:ascii="Times New Roman" w:hAnsi="Times New Roman" w:eastAsia="宋体" w:cs="Times New Roman"/>
                <w:bCs/>
                <w:color w:val="auto"/>
                <w:sz w:val="24"/>
                <w:szCs w:val="24"/>
                <w:highlight w:val="none"/>
                <w:lang w:val="en-US" w:eastAsia="zh-CN"/>
              </w:rPr>
              <w:object>
                <v:shape id="_x0000_i1069" o:spt="75" type="#_x0000_t75" style="height:18.75pt;width:18.75pt;" o:ole="t" filled="f" o:preferrelative="t" stroked="f" coordsize="21600,21600">
                  <v:path/>
                  <v:fill on="f" focussize="0,0"/>
                  <v:stroke on="f" joinstyle="miter"/>
                  <v:imagedata r:id="rId103" o:title=""/>
                  <o:lock v:ext="edit" aspectratio="t"/>
                  <w10:wrap type="none"/>
                  <w10:anchorlock/>
                </v:shape>
                <o:OLEObject Type="Embed" ProgID="Equation.3" ShapeID="_x0000_i1069" DrawAspect="Content" ObjectID="_1468075770" r:id="rId102">
                  <o:LockedField>false</o:LockedField>
                </o:OLEObject>
              </w:object>
            </w:r>
            <w:r>
              <w:rPr>
                <w:rFonts w:hint="default" w:ascii="Times New Roman" w:hAnsi="Times New Roman" w:eastAsia="宋体" w:cs="Times New Roman"/>
                <w:bCs/>
                <w:color w:val="auto"/>
                <w:sz w:val="24"/>
                <w:szCs w:val="24"/>
                <w:highlight w:val="none"/>
                <w:lang w:val="en-US" w:eastAsia="zh-CN"/>
              </w:rPr>
              <w:t>，在T时间内该声源工作时间为</w:t>
            </w:r>
            <w:r>
              <w:rPr>
                <w:rFonts w:hint="default" w:ascii="Times New Roman" w:hAnsi="Times New Roman" w:eastAsia="宋体" w:cs="Times New Roman"/>
                <w:bCs/>
                <w:color w:val="auto"/>
                <w:sz w:val="24"/>
                <w:szCs w:val="24"/>
                <w:highlight w:val="none"/>
                <w:lang w:val="en-US" w:eastAsia="zh-CN"/>
              </w:rPr>
              <w:object>
                <v:shape id="_x0000_i1070" o:spt="75" type="#_x0000_t75" style="height:18.75pt;width:11.25pt;" o:ole="t" filled="f" o:preferrelative="t" stroked="f" coordsize="21600,21600">
                  <v:path/>
                  <v:fill on="f" focussize="0,0"/>
                  <v:stroke on="f" joinstyle="miter"/>
                  <v:imagedata r:id="rId105" o:title=""/>
                  <o:lock v:ext="edit" aspectratio="t"/>
                  <w10:wrap type="none"/>
                  <w10:anchorlock/>
                </v:shape>
                <o:OLEObject Type="Embed" ProgID="Equation.3" ShapeID="_x0000_i1070" DrawAspect="Content" ObjectID="_1468075771" r:id="rId104">
                  <o:LockedField>false</o:LockedField>
                </o:OLEObject>
              </w:object>
            </w:r>
            <w:r>
              <w:rPr>
                <w:rFonts w:hint="default" w:ascii="Times New Roman" w:hAnsi="Times New Roman" w:eastAsia="宋体" w:cs="Times New Roman"/>
                <w:bCs/>
                <w:color w:val="auto"/>
                <w:sz w:val="24"/>
                <w:szCs w:val="24"/>
                <w:highlight w:val="none"/>
                <w:lang w:val="en-US" w:eastAsia="zh-CN"/>
              </w:rPr>
              <w:t>，则拟建工程声源对预测点产生的贡献值（</w:t>
            </w:r>
            <w:r>
              <w:rPr>
                <w:rFonts w:hint="default" w:ascii="Times New Roman" w:hAnsi="Times New Roman" w:eastAsia="宋体" w:cs="Times New Roman"/>
                <w:bCs/>
                <w:color w:val="auto"/>
                <w:sz w:val="24"/>
                <w:szCs w:val="24"/>
                <w:highlight w:val="none"/>
                <w:lang w:val="en-US" w:eastAsia="zh-CN"/>
              </w:rPr>
              <w:object>
                <v:shape id="_x0000_i1071" o:spt="75" type="#_x0000_t75" style="height:18.75pt;width:22.5pt;" o:ole="t" filled="f" o:preferrelative="t" stroked="f" coordsize="21600,21600">
                  <v:path/>
                  <v:fill on="f" focussize="0,0"/>
                  <v:stroke on="f" joinstyle="miter"/>
                  <v:imagedata r:id="rId107" o:title=""/>
                  <o:lock v:ext="edit" aspectratio="t"/>
                  <w10:wrap type="none"/>
                  <w10:anchorlock/>
                </v:shape>
                <o:OLEObject Type="Embed" ProgID="Equation.3" ShapeID="_x0000_i1071" DrawAspect="Content" ObjectID="_1468075772" r:id="rId106">
                  <o:LockedField>false</o:LockedField>
                </o:OLEObject>
              </w:object>
            </w:r>
            <w:r>
              <w:rPr>
                <w:rFonts w:hint="default" w:ascii="Times New Roman" w:hAnsi="Times New Roman" w:eastAsia="宋体" w:cs="Times New Roman"/>
                <w:bCs/>
                <w:color w:val="auto"/>
                <w:sz w:val="24"/>
                <w:szCs w:val="24"/>
                <w:highlight w:val="none"/>
                <w:lang w:val="en-US" w:eastAsia="zh-CN"/>
              </w:rPr>
              <w:t>）为:</w:t>
            </w:r>
          </w:p>
          <w:p>
            <w:pPr>
              <w:adjustRightInd w:val="0"/>
              <w:snapToGrid w:val="0"/>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drawing>
                <wp:anchor distT="0" distB="0" distL="114300" distR="114300" simplePos="0" relativeHeight="251662336" behindDoc="0" locked="0" layoutInCell="1" allowOverlap="1">
                  <wp:simplePos x="0" y="0"/>
                  <wp:positionH relativeFrom="column">
                    <wp:posOffset>303530</wp:posOffset>
                  </wp:positionH>
                  <wp:positionV relativeFrom="paragraph">
                    <wp:posOffset>22225</wp:posOffset>
                  </wp:positionV>
                  <wp:extent cx="2637790" cy="466090"/>
                  <wp:effectExtent l="0" t="0" r="10160" b="10795"/>
                  <wp:wrapNone/>
                  <wp:docPr id="1"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25"/>
                          <pic:cNvPicPr>
                            <a:picLocks noChangeAspect="1"/>
                          </pic:cNvPicPr>
                        </pic:nvPicPr>
                        <pic:blipFill>
                          <a:blip r:embed="rId108"/>
                          <a:stretch>
                            <a:fillRect/>
                          </a:stretch>
                        </pic:blipFill>
                        <pic:spPr>
                          <a:xfrm>
                            <a:off x="0" y="0"/>
                            <a:ext cx="2637790" cy="466090"/>
                          </a:xfrm>
                          <a:prstGeom prst="rect">
                            <a:avLst/>
                          </a:prstGeom>
                          <a:noFill/>
                          <a:ln>
                            <a:noFill/>
                          </a:ln>
                        </pic:spPr>
                      </pic:pic>
                    </a:graphicData>
                  </a:graphic>
                </wp:anchor>
              </w:drawing>
            </w:r>
          </w:p>
          <w:p>
            <w:pPr>
              <w:adjustRightInd w:val="0"/>
              <w:snapToGrid w:val="0"/>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p>
          <w:p>
            <w:pPr>
              <w:adjustRightInd w:val="0"/>
              <w:snapToGrid w:val="0"/>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②预测点的噪声预测值</w:t>
            </w:r>
          </w:p>
          <w:p>
            <w:pPr>
              <w:adjustRightInd w:val="0"/>
              <w:snapToGrid w:val="0"/>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object>
                <v:shape id="_x0000_i1072" o:spt="75" type="#_x0000_t75" style="height:22.5pt;width:142.5pt;" o:ole="t" filled="f" o:preferrelative="t" stroked="f" coordsize="21600,21600">
                  <v:path/>
                  <v:fill on="f" focussize="0,0"/>
                  <v:stroke on="f" joinstyle="miter"/>
                  <v:imagedata r:id="rId110" o:title=""/>
                  <o:lock v:ext="edit" aspectratio="t"/>
                  <w10:wrap type="none"/>
                  <w10:anchorlock/>
                </v:shape>
                <o:OLEObject Type="Embed" ProgID="Equation.3" ShapeID="_x0000_i1072" DrawAspect="Content" ObjectID="_1468075773" r:id="rId109">
                  <o:LockedField>false</o:LockedField>
                </o:OLEObject>
              </w:object>
            </w:r>
          </w:p>
          <w:p>
            <w:pPr>
              <w:adjustRightInd w:val="0"/>
              <w:snapToGrid w:val="0"/>
              <w:spacing w:line="360" w:lineRule="auto"/>
              <w:ind w:firstLine="480" w:firstLineChars="200"/>
              <w:jc w:val="both"/>
              <w:rPr>
                <w:rFonts w:hint="default" w:ascii="Times New Roman" w:hAnsi="Times New Roman" w:eastAsia="宋体" w:cs="Times New Roman"/>
                <w:bCs/>
                <w:color w:val="auto"/>
                <w:sz w:val="24"/>
                <w:szCs w:val="24"/>
                <w:highlight w:val="none"/>
                <w:lang w:val="pt-BR" w:eastAsia="zh-CN"/>
              </w:rPr>
            </w:pPr>
            <w:r>
              <w:rPr>
                <w:rFonts w:hint="default" w:ascii="Times New Roman" w:hAnsi="Times New Roman" w:eastAsia="宋体" w:cs="Times New Roman"/>
                <w:bCs/>
                <w:color w:val="auto"/>
                <w:sz w:val="24"/>
                <w:szCs w:val="24"/>
                <w:highlight w:val="none"/>
                <w:lang w:val="en-US" w:eastAsia="zh-CN"/>
              </w:rPr>
              <w:t>式中：</w:t>
            </w:r>
            <w:r>
              <w:rPr>
                <w:rFonts w:hint="default" w:ascii="Times New Roman" w:hAnsi="Times New Roman" w:eastAsia="宋体" w:cs="Times New Roman"/>
                <w:bCs/>
                <w:color w:val="auto"/>
                <w:sz w:val="24"/>
                <w:szCs w:val="24"/>
                <w:highlight w:val="none"/>
                <w:lang w:val="en-US" w:eastAsia="zh-CN"/>
              </w:rPr>
              <w:object>
                <v:shape id="_x0000_i1073" o:spt="75" type="#_x0000_t75" style="height:18.75pt;width:22.5pt;" o:ole="t" filled="f" o:preferrelative="t" stroked="f" coordsize="21600,21600">
                  <v:path/>
                  <v:fill on="f" focussize="0,0"/>
                  <v:stroke on="f" joinstyle="miter"/>
                  <v:imagedata r:id="rId112" o:title=""/>
                  <o:lock v:ext="edit" aspectratio="t"/>
                  <w10:wrap type="none"/>
                  <w10:anchorlock/>
                </v:shape>
                <o:OLEObject Type="Embed" ProgID="Equation.3" ShapeID="_x0000_i1073" DrawAspect="Content" ObjectID="_1468075774" r:id="rId111">
                  <o:LockedField>false</o:LockedField>
                </o:OLEObject>
              </w:object>
            </w:r>
            <w:r>
              <w:rPr>
                <w:rFonts w:hint="default" w:ascii="Times New Roman" w:hAnsi="Times New Roman" w:eastAsia="宋体" w:cs="Times New Roman"/>
                <w:bCs/>
                <w:color w:val="auto"/>
                <w:sz w:val="24"/>
                <w:szCs w:val="24"/>
                <w:highlight w:val="none"/>
                <w:lang w:val="pt-BR" w:eastAsia="zh-CN"/>
              </w:rPr>
              <w:t>——建设项目声源在预测点的等效声级贡献值，dB（A）；</w:t>
            </w:r>
          </w:p>
          <w:p>
            <w:pPr>
              <w:adjustRightInd w:val="0"/>
              <w:snapToGrid w:val="0"/>
              <w:spacing w:line="360" w:lineRule="auto"/>
              <w:ind w:firstLine="480" w:firstLineChars="200"/>
              <w:jc w:val="both"/>
              <w:rPr>
                <w:rFonts w:hint="default" w:ascii="Times New Roman" w:hAnsi="Times New Roman" w:eastAsia="宋体" w:cs="Times New Roman"/>
                <w:bCs/>
                <w:color w:val="auto"/>
                <w:sz w:val="24"/>
                <w:szCs w:val="24"/>
                <w:highlight w:val="none"/>
                <w:lang w:val="pt-BR" w:eastAsia="zh-CN"/>
              </w:rPr>
            </w:pPr>
            <w:r>
              <w:rPr>
                <w:rFonts w:hint="default" w:ascii="Times New Roman" w:hAnsi="Times New Roman" w:eastAsia="宋体" w:cs="Times New Roman"/>
                <w:bCs/>
                <w:color w:val="auto"/>
                <w:sz w:val="24"/>
                <w:szCs w:val="24"/>
                <w:highlight w:val="none"/>
                <w:lang w:val="en-US" w:eastAsia="zh-CN"/>
              </w:rPr>
              <w:object>
                <v:shape id="_x0000_i1074" o:spt="75" type="#_x0000_t75" style="height:18.75pt;width:22.5pt;" o:ole="t" filled="f" o:preferrelative="t" stroked="f" coordsize="21600,21600">
                  <v:path/>
                  <v:fill on="f" focussize="0,0"/>
                  <v:stroke on="f" joinstyle="miter"/>
                  <v:imagedata r:id="rId114" o:title=""/>
                  <o:lock v:ext="edit" aspectratio="t"/>
                  <w10:wrap type="none"/>
                  <w10:anchorlock/>
                </v:shape>
                <o:OLEObject Type="Embed" ProgID="Equation.3" ShapeID="_x0000_i1074" DrawAspect="Content" ObjectID="_1468075775" r:id="rId113">
                  <o:LockedField>false</o:LockedField>
                </o:OLEObject>
              </w:object>
            </w:r>
            <w:r>
              <w:rPr>
                <w:rFonts w:hint="default" w:ascii="Times New Roman" w:hAnsi="Times New Roman" w:eastAsia="宋体" w:cs="Times New Roman"/>
                <w:bCs/>
                <w:color w:val="auto"/>
                <w:sz w:val="24"/>
                <w:szCs w:val="24"/>
                <w:highlight w:val="none"/>
                <w:lang w:val="pt-BR" w:eastAsia="zh-CN"/>
              </w:rPr>
              <w:t>——预测点的背景值，dB（A）。</w:t>
            </w:r>
          </w:p>
          <w:p>
            <w:pPr>
              <w:pStyle w:val="28"/>
              <w:spacing w:line="360" w:lineRule="auto"/>
              <w:ind w:left="0" w:leftChars="0" w:firstLine="0" w:firstLineChars="0"/>
              <w:rPr>
                <w:rFonts w:hint="default" w:ascii="Times New Roman" w:hAnsi="Times New Roman" w:eastAsia="宋体" w:cs="Times New Roman"/>
                <w:b/>
                <w:bCs/>
                <w:color w:val="auto"/>
                <w:kern w:val="2"/>
                <w:sz w:val="24"/>
                <w:szCs w:val="32"/>
                <w:highlight w:val="none"/>
                <w:lang w:val="en-US" w:eastAsia="zh-CN" w:bidi="ar-SA"/>
              </w:rPr>
            </w:pPr>
            <w:r>
              <w:rPr>
                <w:rFonts w:hint="eastAsia" w:ascii="Times New Roman" w:hAnsi="Times New Roman" w:eastAsia="宋体" w:cs="Times New Roman"/>
                <w:b/>
                <w:bCs/>
                <w:color w:val="auto"/>
                <w:kern w:val="2"/>
                <w:sz w:val="24"/>
                <w:szCs w:val="32"/>
                <w:highlight w:val="none"/>
                <w:lang w:val="en-US" w:eastAsia="zh-CN" w:bidi="ar-SA"/>
              </w:rPr>
              <w:t>3.2</w:t>
            </w:r>
            <w:r>
              <w:rPr>
                <w:rFonts w:hint="default" w:ascii="Times New Roman" w:hAnsi="Times New Roman" w:eastAsia="宋体" w:cs="Times New Roman"/>
                <w:b/>
                <w:bCs/>
                <w:color w:val="auto"/>
                <w:kern w:val="2"/>
                <w:sz w:val="24"/>
                <w:szCs w:val="32"/>
                <w:highlight w:val="none"/>
                <w:lang w:val="en-US" w:eastAsia="zh-CN" w:bidi="ar-SA"/>
              </w:rPr>
              <w:t>噪声源参数的确定</w:t>
            </w:r>
          </w:p>
          <w:p>
            <w:pPr>
              <w:adjustRightInd w:val="0"/>
              <w:snapToGrid w:val="0"/>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eastAsia" w:ascii="Times New Roman" w:hAnsi="Times New Roman" w:eastAsia="宋体" w:cs="Times New Roman"/>
                <w:bCs/>
                <w:color w:val="auto"/>
                <w:sz w:val="24"/>
                <w:szCs w:val="24"/>
                <w:highlight w:val="none"/>
                <w:lang w:val="en-US" w:eastAsia="zh-CN"/>
              </w:rPr>
              <w:t>根据各</w:t>
            </w:r>
            <w:r>
              <w:rPr>
                <w:rFonts w:hint="eastAsia" w:eastAsia="宋体" w:cs="Times New Roman"/>
                <w:bCs/>
                <w:color w:val="auto"/>
                <w:sz w:val="24"/>
                <w:szCs w:val="24"/>
                <w:highlight w:val="none"/>
                <w:lang w:val="en-US" w:eastAsia="zh-CN"/>
              </w:rPr>
              <w:t>企业</w:t>
            </w:r>
            <w:r>
              <w:rPr>
                <w:rFonts w:hint="eastAsia" w:ascii="Times New Roman" w:hAnsi="Times New Roman" w:eastAsia="宋体" w:cs="Times New Roman"/>
                <w:bCs/>
                <w:color w:val="auto"/>
                <w:sz w:val="24"/>
                <w:szCs w:val="24"/>
                <w:highlight w:val="none"/>
                <w:lang w:val="en-US" w:eastAsia="zh-CN"/>
              </w:rPr>
              <w:t>以及使用同类型设备企业</w:t>
            </w:r>
            <w:r>
              <w:rPr>
                <w:rFonts w:hint="default" w:ascii="Times New Roman" w:hAnsi="Times New Roman" w:eastAsia="宋体" w:cs="Times New Roman"/>
                <w:bCs/>
                <w:color w:val="auto"/>
                <w:sz w:val="24"/>
                <w:szCs w:val="24"/>
                <w:highlight w:val="none"/>
                <w:lang w:val="en-US" w:eastAsia="zh-CN"/>
              </w:rPr>
              <w:t>的调研，该项目主要设备噪声源强见下表。由表可知，主要生产设备的噪声源为</w:t>
            </w:r>
            <w:r>
              <w:rPr>
                <w:rFonts w:hint="eastAsia" w:ascii="Times New Roman" w:hAnsi="Times New Roman" w:eastAsia="宋体" w:cs="Times New Roman"/>
                <w:bCs/>
                <w:color w:val="auto"/>
                <w:sz w:val="24"/>
                <w:szCs w:val="24"/>
                <w:highlight w:val="none"/>
                <w:lang w:val="en-US" w:eastAsia="zh-CN"/>
              </w:rPr>
              <w:t>85-100</w:t>
            </w:r>
            <w:r>
              <w:rPr>
                <w:rFonts w:hint="default" w:ascii="Times New Roman" w:hAnsi="Times New Roman" w:eastAsia="宋体" w:cs="Times New Roman"/>
                <w:bCs/>
                <w:color w:val="auto"/>
                <w:sz w:val="24"/>
                <w:szCs w:val="24"/>
                <w:highlight w:val="none"/>
                <w:lang w:val="en-US" w:eastAsia="zh-CN"/>
              </w:rPr>
              <w:t>dB(A)。</w:t>
            </w:r>
          </w:p>
          <w:p>
            <w:pPr>
              <w:adjustRightInd w:val="0"/>
              <w:snapToGrid w:val="0"/>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eastAsia" w:ascii="Times New Roman" w:hAnsi="Times New Roman" w:eastAsia="宋体" w:cs="Times New Roman"/>
                <w:bCs/>
                <w:color w:val="auto"/>
                <w:sz w:val="24"/>
                <w:szCs w:val="24"/>
                <w:highlight w:val="none"/>
                <w:lang w:val="en-US" w:eastAsia="zh-CN"/>
              </w:rPr>
              <w:t>建设项目所处区域的年平均风速1.82m/s、主导风向为西南风、年平均气温12.74℃、年平均相对湿度60%、大气压强1050KPa。</w:t>
            </w:r>
          </w:p>
          <w:p>
            <w:pPr>
              <w:adjustRightInd w:val="0"/>
              <w:snapToGrid w:val="0"/>
              <w:spacing w:line="360" w:lineRule="auto"/>
              <w:ind w:firstLine="480" w:firstLineChars="200"/>
              <w:jc w:val="both"/>
              <w:rPr>
                <w:rFonts w:hint="eastAsia" w:eastAsia="宋体" w:cs="Times New Roman"/>
                <w:bCs/>
                <w:color w:val="auto"/>
                <w:sz w:val="24"/>
                <w:szCs w:val="24"/>
                <w:highlight w:val="none"/>
                <w:lang w:val="en-US" w:eastAsia="zh-CN"/>
              </w:rPr>
            </w:pPr>
            <w:r>
              <w:rPr>
                <w:rFonts w:hint="default" w:ascii="Times New Roman" w:hAnsi="Times New Roman" w:eastAsia="宋体" w:cs="Times New Roman"/>
                <w:bCs/>
                <w:color w:val="auto"/>
                <w:sz w:val="24"/>
                <w:szCs w:val="24"/>
                <w:highlight w:val="none"/>
                <w:lang w:val="en-US" w:eastAsia="zh-CN"/>
              </w:rPr>
              <w:t>本项目主要设备噪声源强见下表</w:t>
            </w:r>
            <w:r>
              <w:rPr>
                <w:rFonts w:hint="eastAsia" w:eastAsia="宋体" w:cs="Times New Roman"/>
                <w:bCs/>
                <w:color w:val="auto"/>
                <w:sz w:val="24"/>
                <w:szCs w:val="24"/>
                <w:highlight w:val="none"/>
                <w:lang w:val="en-US" w:eastAsia="zh-CN"/>
              </w:rPr>
              <w:t>：</w:t>
            </w:r>
          </w:p>
          <w:p>
            <w:pPr>
              <w:numPr>
                <w:ilvl w:val="0"/>
                <w:numId w:val="0"/>
              </w:numPr>
              <w:spacing w:line="240" w:lineRule="auto"/>
              <w:ind w:leftChars="0"/>
              <w:jc w:val="center"/>
              <w:rPr>
                <w:rFonts w:hint="default" w:ascii="Times New Roman" w:hAnsi="Times New Roman" w:eastAsia="宋体" w:cs="Times New Roman"/>
                <w:b/>
                <w:bCs/>
                <w:color w:val="auto"/>
                <w:sz w:val="24"/>
                <w:szCs w:val="24"/>
                <w:highlight w:val="none"/>
                <w:lang w:val="en-US" w:eastAsia="zh-CN"/>
              </w:rPr>
            </w:pPr>
            <w:r>
              <w:rPr>
                <w:rFonts w:hint="eastAsia" w:ascii="Times New Roman" w:hAnsi="Times New Roman" w:eastAsia="宋体" w:cs="Times New Roman"/>
                <w:b/>
                <w:bCs/>
                <w:color w:val="auto"/>
                <w:sz w:val="24"/>
                <w:szCs w:val="24"/>
                <w:highlight w:val="none"/>
                <w:lang w:val="en-US" w:eastAsia="zh-CN"/>
              </w:rPr>
              <w:t>表</w:t>
            </w:r>
            <w:r>
              <w:rPr>
                <w:rFonts w:hint="eastAsia" w:cs="Times New Roman"/>
                <w:b/>
                <w:bCs/>
                <w:color w:val="auto"/>
                <w:sz w:val="24"/>
                <w:szCs w:val="24"/>
                <w:highlight w:val="none"/>
                <w:lang w:val="en-US" w:eastAsia="zh-CN"/>
              </w:rPr>
              <w:t>4-5</w:t>
            </w:r>
            <w:r>
              <w:rPr>
                <w:rFonts w:hint="eastAsia" w:ascii="Times New Roman" w:hAnsi="Times New Roman" w:eastAsia="宋体" w:cs="Times New Roman"/>
                <w:b/>
                <w:bCs/>
                <w:color w:val="auto"/>
                <w:sz w:val="24"/>
                <w:szCs w:val="24"/>
                <w:highlight w:val="none"/>
                <w:lang w:val="en-US" w:eastAsia="zh-CN"/>
              </w:rPr>
              <w:t xml:space="preserve">  主要设备噪声源强表</w:t>
            </w:r>
          </w:p>
          <w:tbl>
            <w:tblPr>
              <w:tblStyle w:val="33"/>
              <w:tblpPr w:leftFromText="180" w:rightFromText="180" w:vertAnchor="text" w:tblpXSpec="center" w:tblpY="1"/>
              <w:tblOverlap w:val="never"/>
              <w:tblW w:w="4998" w:type="pct"/>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3"/>
              <w:gridCol w:w="1993"/>
              <w:gridCol w:w="873"/>
              <w:gridCol w:w="818"/>
              <w:gridCol w:w="518"/>
              <w:gridCol w:w="1186"/>
              <w:gridCol w:w="1075"/>
              <w:gridCol w:w="129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2" w:hRule="atLeast"/>
              </w:trPr>
              <w:tc>
                <w:tcPr>
                  <w:tcW w:w="382" w:type="pct"/>
                  <w:vMerge w:val="restart"/>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序号</w:t>
                  </w:r>
                </w:p>
              </w:tc>
              <w:tc>
                <w:tcPr>
                  <w:tcW w:w="1186" w:type="pct"/>
                  <w:vMerge w:val="restart"/>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声源名称</w:t>
                  </w:r>
                </w:p>
              </w:tc>
              <w:tc>
                <w:tcPr>
                  <w:tcW w:w="1314" w:type="pct"/>
                  <w:gridSpan w:val="3"/>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空间相对位置</w:t>
                  </w:r>
                </w:p>
              </w:tc>
              <w:tc>
                <w:tcPr>
                  <w:tcW w:w="705" w:type="pct"/>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声源源强</w:t>
                  </w:r>
                </w:p>
              </w:tc>
              <w:tc>
                <w:tcPr>
                  <w:tcW w:w="639" w:type="pct"/>
                  <w:vMerge w:val="restart"/>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声源控制措施</w:t>
                  </w:r>
                </w:p>
              </w:tc>
              <w:tc>
                <w:tcPr>
                  <w:tcW w:w="770" w:type="pct"/>
                  <w:vMerge w:val="restart"/>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建筑物插入损失/dB(A)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6" w:hRule="atLeast"/>
              </w:trPr>
              <w:tc>
                <w:tcPr>
                  <w:tcW w:w="382" w:type="pct"/>
                  <w:vMerge w:val="continue"/>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p>
              </w:tc>
              <w:tc>
                <w:tcPr>
                  <w:tcW w:w="1186" w:type="pct"/>
                  <w:vMerge w:val="continue"/>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p>
              </w:tc>
              <w:tc>
                <w:tcPr>
                  <w:tcW w:w="519" w:type="pct"/>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X</w:t>
                  </w:r>
                </w:p>
              </w:tc>
              <w:tc>
                <w:tcPr>
                  <w:tcW w:w="486" w:type="pct"/>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Y</w:t>
                  </w:r>
                </w:p>
              </w:tc>
              <w:tc>
                <w:tcPr>
                  <w:tcW w:w="308" w:type="pct"/>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Z</w:t>
                  </w:r>
                </w:p>
              </w:tc>
              <w:tc>
                <w:tcPr>
                  <w:tcW w:w="705" w:type="pct"/>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声功率级/dB(A)</w:t>
                  </w:r>
                </w:p>
              </w:tc>
              <w:tc>
                <w:tcPr>
                  <w:tcW w:w="639" w:type="pct"/>
                  <w:vMerge w:val="continue"/>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p>
              </w:tc>
              <w:tc>
                <w:tcPr>
                  <w:tcW w:w="770" w:type="pct"/>
                  <w:vMerge w:val="continue"/>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2" w:type="pct"/>
                  <w:noWrap w:val="0"/>
                  <w:vAlign w:val="center"/>
                </w:tcPr>
                <w:p>
                  <w:pPr>
                    <w:pStyle w:val="61"/>
                    <w:keepNext w:val="0"/>
                    <w:keepLines w:val="0"/>
                    <w:pageBreakBefore w:val="0"/>
                    <w:widowControl w:val="0"/>
                    <w:kinsoku/>
                    <w:wordWrap/>
                    <w:overflowPunct/>
                    <w:topLinePunct w:val="0"/>
                    <w:autoSpaceDE w:val="0"/>
                    <w:autoSpaceDN w:val="0"/>
                    <w:bidi w:val="0"/>
                    <w:adjustRightInd w:val="0"/>
                    <w:snapToGrid w:val="0"/>
                    <w:spacing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1</w:t>
                  </w:r>
                </w:p>
              </w:tc>
              <w:tc>
                <w:tcPr>
                  <w:tcW w:w="1186" w:type="pct"/>
                  <w:noWrap w:val="0"/>
                  <w:vAlign w:val="center"/>
                </w:tcPr>
                <w:p>
                  <w:pPr>
                    <w:pStyle w:val="61"/>
                    <w:keepNext w:val="0"/>
                    <w:keepLines w:val="0"/>
                    <w:pageBreakBefore w:val="0"/>
                    <w:widowControl w:val="0"/>
                    <w:kinsoku/>
                    <w:wordWrap/>
                    <w:overflowPunct/>
                    <w:topLinePunct w:val="0"/>
                    <w:autoSpaceDE w:val="0"/>
                    <w:autoSpaceDN w:val="0"/>
                    <w:bidi w:val="0"/>
                    <w:adjustRightInd w:val="0"/>
                    <w:snapToGrid w:val="0"/>
                    <w:spacing w:line="240" w:lineRule="auto"/>
                    <w:ind w:left="0" w:leftChars="0" w:firstLine="0" w:firstLineChars="0"/>
                    <w:jc w:val="center"/>
                    <w:textAlignment w:val="auto"/>
                    <w:rPr>
                      <w:rFonts w:hint="default" w:ascii="Times New Roman" w:hAnsi="Times New Roman" w:eastAsia="宋体" w:cs="Times New Roman"/>
                      <w:color w:val="auto"/>
                      <w:kern w:val="0"/>
                      <w:sz w:val="21"/>
                      <w:szCs w:val="21"/>
                      <w:highlight w:val="none"/>
                      <w:lang w:val="en-US" w:eastAsia="zh-CN" w:bidi="ar-SA"/>
                    </w:rPr>
                  </w:pPr>
                  <w:r>
                    <w:rPr>
                      <w:rFonts w:hint="eastAsia" w:eastAsia="宋体" w:cs="Times New Roman"/>
                      <w:color w:val="auto"/>
                      <w:sz w:val="21"/>
                      <w:szCs w:val="21"/>
                      <w:highlight w:val="none"/>
                      <w:lang w:val="en-US" w:eastAsia="zh-CN"/>
                    </w:rPr>
                    <w:t>喷漆设备</w:t>
                  </w:r>
                </w:p>
              </w:tc>
              <w:tc>
                <w:tcPr>
                  <w:tcW w:w="519" w:type="pct"/>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eastAsia="宋体" w:cs="Times New Roman"/>
                      <w:color w:val="auto"/>
                      <w:sz w:val="21"/>
                      <w:szCs w:val="21"/>
                      <w:highlight w:val="none"/>
                      <w:lang w:val="en-US" w:eastAsia="zh-CN"/>
                    </w:rPr>
                    <w:t>-20.82</w:t>
                  </w:r>
                </w:p>
              </w:tc>
              <w:tc>
                <w:tcPr>
                  <w:tcW w:w="486" w:type="pct"/>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eastAsia="宋体" w:cs="Times New Roman"/>
                      <w:color w:val="auto"/>
                      <w:sz w:val="21"/>
                      <w:szCs w:val="21"/>
                      <w:highlight w:val="none"/>
                      <w:lang w:val="en-US" w:eastAsia="zh-CN"/>
                    </w:rPr>
                    <w:t>-11.24</w:t>
                  </w:r>
                </w:p>
              </w:tc>
              <w:tc>
                <w:tcPr>
                  <w:tcW w:w="308" w:type="pct"/>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1</w:t>
                  </w:r>
                </w:p>
              </w:tc>
              <w:tc>
                <w:tcPr>
                  <w:tcW w:w="705" w:type="pct"/>
                  <w:noWrap w:val="0"/>
                  <w:vAlign w:val="center"/>
                </w:tcPr>
                <w:p>
                  <w:pPr>
                    <w:pStyle w:val="61"/>
                    <w:keepNext w:val="0"/>
                    <w:keepLines w:val="0"/>
                    <w:pageBreakBefore w:val="0"/>
                    <w:widowControl w:val="0"/>
                    <w:kinsoku/>
                    <w:wordWrap/>
                    <w:overflowPunct/>
                    <w:topLinePunct w:val="0"/>
                    <w:autoSpaceDE w:val="0"/>
                    <w:autoSpaceDN w:val="0"/>
                    <w:bidi w:val="0"/>
                    <w:adjustRightInd w:val="0"/>
                    <w:snapToGrid w:val="0"/>
                    <w:spacing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eastAsia="宋体" w:cs="Times New Roman"/>
                      <w:color w:val="auto"/>
                      <w:sz w:val="21"/>
                      <w:szCs w:val="21"/>
                      <w:highlight w:val="none"/>
                      <w:lang w:val="en-US" w:eastAsia="zh-CN"/>
                    </w:rPr>
                    <w:t>75</w:t>
                  </w:r>
                </w:p>
              </w:tc>
              <w:tc>
                <w:tcPr>
                  <w:tcW w:w="639" w:type="pct"/>
                  <w:vMerge w:val="restart"/>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r>
                    <w:rPr>
                      <w:rFonts w:hint="eastAsia" w:cs="Times New Roman"/>
                      <w:color w:val="auto"/>
                      <w:sz w:val="21"/>
                      <w:szCs w:val="21"/>
                      <w:highlight w:val="none"/>
                      <w:lang w:val="en-US" w:eastAsia="zh-CN"/>
                    </w:rPr>
                    <w:t>建筑隔声、安装减震基础</w:t>
                  </w:r>
                </w:p>
              </w:tc>
              <w:tc>
                <w:tcPr>
                  <w:tcW w:w="770" w:type="pct"/>
                  <w:vMerge w:val="restart"/>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 w:hRule="atLeast"/>
              </w:trPr>
              <w:tc>
                <w:tcPr>
                  <w:tcW w:w="382" w:type="pct"/>
                  <w:noWrap w:val="0"/>
                  <w:vAlign w:val="center"/>
                </w:tcPr>
                <w:p>
                  <w:pPr>
                    <w:pStyle w:val="61"/>
                    <w:keepNext w:val="0"/>
                    <w:keepLines w:val="0"/>
                    <w:pageBreakBefore w:val="0"/>
                    <w:widowControl w:val="0"/>
                    <w:kinsoku/>
                    <w:wordWrap/>
                    <w:overflowPunct/>
                    <w:topLinePunct w:val="0"/>
                    <w:autoSpaceDE w:val="0"/>
                    <w:autoSpaceDN w:val="0"/>
                    <w:bidi w:val="0"/>
                    <w:adjustRightInd w:val="0"/>
                    <w:snapToGrid w:val="0"/>
                    <w:spacing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2</w:t>
                  </w:r>
                </w:p>
              </w:tc>
              <w:tc>
                <w:tcPr>
                  <w:tcW w:w="1186" w:type="pct"/>
                  <w:noWrap w:val="0"/>
                  <w:vAlign w:val="center"/>
                </w:tcPr>
                <w:p>
                  <w:pPr>
                    <w:pStyle w:val="61"/>
                    <w:keepNext w:val="0"/>
                    <w:keepLines w:val="0"/>
                    <w:pageBreakBefore w:val="0"/>
                    <w:widowControl w:val="0"/>
                    <w:kinsoku/>
                    <w:wordWrap/>
                    <w:overflowPunct/>
                    <w:topLinePunct w:val="0"/>
                    <w:autoSpaceDE w:val="0"/>
                    <w:autoSpaceDN w:val="0"/>
                    <w:bidi w:val="0"/>
                    <w:adjustRightInd w:val="0"/>
                    <w:snapToGrid w:val="0"/>
                    <w:spacing w:line="240" w:lineRule="auto"/>
                    <w:ind w:left="0" w:leftChars="0" w:firstLine="0" w:firstLineChars="0"/>
                    <w:jc w:val="center"/>
                    <w:textAlignment w:val="auto"/>
                    <w:rPr>
                      <w:rFonts w:hint="default" w:ascii="Times New Roman" w:hAnsi="Times New Roman" w:eastAsia="宋体" w:cs="Times New Roman"/>
                      <w:color w:val="auto"/>
                      <w:kern w:val="0"/>
                      <w:sz w:val="21"/>
                      <w:szCs w:val="21"/>
                      <w:highlight w:val="none"/>
                      <w:lang w:val="en-US" w:eastAsia="zh-CN"/>
                    </w:rPr>
                  </w:pPr>
                  <w:r>
                    <w:rPr>
                      <w:rFonts w:hint="eastAsia" w:eastAsia="宋体" w:cs="Times New Roman"/>
                      <w:color w:val="auto"/>
                      <w:kern w:val="0"/>
                      <w:sz w:val="21"/>
                      <w:szCs w:val="21"/>
                      <w:highlight w:val="none"/>
                      <w:lang w:val="en-US" w:eastAsia="zh-CN"/>
                    </w:rPr>
                    <w:t>普通车床</w:t>
                  </w:r>
                </w:p>
              </w:tc>
              <w:tc>
                <w:tcPr>
                  <w:tcW w:w="519" w:type="pct"/>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eastAsia="宋体" w:cs="Times New Roman"/>
                      <w:color w:val="auto"/>
                      <w:sz w:val="21"/>
                      <w:szCs w:val="21"/>
                      <w:highlight w:val="none"/>
                      <w:lang w:val="en-US" w:eastAsia="zh-CN"/>
                    </w:rPr>
                    <w:t>-51.77</w:t>
                  </w:r>
                </w:p>
              </w:tc>
              <w:tc>
                <w:tcPr>
                  <w:tcW w:w="486" w:type="pct"/>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eastAsia="宋体" w:cs="Times New Roman"/>
                      <w:color w:val="auto"/>
                      <w:sz w:val="21"/>
                      <w:szCs w:val="21"/>
                      <w:highlight w:val="none"/>
                      <w:lang w:val="en-US" w:eastAsia="zh-CN"/>
                    </w:rPr>
                    <w:t>21.07</w:t>
                  </w:r>
                </w:p>
              </w:tc>
              <w:tc>
                <w:tcPr>
                  <w:tcW w:w="308" w:type="pct"/>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1</w:t>
                  </w:r>
                </w:p>
              </w:tc>
              <w:tc>
                <w:tcPr>
                  <w:tcW w:w="705" w:type="pct"/>
                  <w:noWrap w:val="0"/>
                  <w:vAlign w:val="center"/>
                </w:tcPr>
                <w:p>
                  <w:pPr>
                    <w:pStyle w:val="61"/>
                    <w:keepNext w:val="0"/>
                    <w:keepLines w:val="0"/>
                    <w:pageBreakBefore w:val="0"/>
                    <w:widowControl w:val="0"/>
                    <w:kinsoku/>
                    <w:wordWrap/>
                    <w:overflowPunct/>
                    <w:topLinePunct w:val="0"/>
                    <w:autoSpaceDE w:val="0"/>
                    <w:autoSpaceDN w:val="0"/>
                    <w:bidi w:val="0"/>
                    <w:adjustRightInd w:val="0"/>
                    <w:snapToGrid w:val="0"/>
                    <w:spacing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eastAsia="宋体" w:cs="Times New Roman"/>
                      <w:color w:val="auto"/>
                      <w:sz w:val="21"/>
                      <w:szCs w:val="21"/>
                      <w:highlight w:val="none"/>
                      <w:lang w:val="en-US" w:eastAsia="zh-CN"/>
                    </w:rPr>
                    <w:t>80</w:t>
                  </w:r>
                </w:p>
              </w:tc>
              <w:tc>
                <w:tcPr>
                  <w:tcW w:w="639" w:type="pct"/>
                  <w:vMerge w:val="continue"/>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p>
              </w:tc>
              <w:tc>
                <w:tcPr>
                  <w:tcW w:w="770" w:type="pct"/>
                  <w:vMerge w:val="continue"/>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382" w:type="pct"/>
                  <w:noWrap w:val="0"/>
                  <w:vAlign w:val="center"/>
                </w:tcPr>
                <w:p>
                  <w:pPr>
                    <w:pStyle w:val="61"/>
                    <w:keepNext w:val="0"/>
                    <w:keepLines w:val="0"/>
                    <w:pageBreakBefore w:val="0"/>
                    <w:widowControl w:val="0"/>
                    <w:kinsoku/>
                    <w:wordWrap/>
                    <w:overflowPunct/>
                    <w:topLinePunct w:val="0"/>
                    <w:autoSpaceDE w:val="0"/>
                    <w:autoSpaceDN w:val="0"/>
                    <w:bidi w:val="0"/>
                    <w:adjustRightInd w:val="0"/>
                    <w:snapToGrid w:val="0"/>
                    <w:spacing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3</w:t>
                  </w:r>
                </w:p>
              </w:tc>
              <w:tc>
                <w:tcPr>
                  <w:tcW w:w="1186" w:type="pct"/>
                  <w:noWrap w:val="0"/>
                  <w:vAlign w:val="center"/>
                </w:tcPr>
                <w:p>
                  <w:pPr>
                    <w:pStyle w:val="104"/>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default" w:cs="Times New Roman"/>
                      <w:color w:val="auto"/>
                      <w:sz w:val="21"/>
                      <w:szCs w:val="21"/>
                      <w:highlight w:val="none"/>
                      <w:vertAlign w:val="baseline"/>
                      <w:lang w:val="en-US" w:eastAsia="zh-CN"/>
                    </w:rPr>
                  </w:pPr>
                  <w:r>
                    <w:rPr>
                      <w:rFonts w:hint="eastAsia" w:eastAsia="宋体" w:cs="Times New Roman"/>
                      <w:color w:val="auto"/>
                      <w:kern w:val="0"/>
                      <w:sz w:val="21"/>
                      <w:szCs w:val="21"/>
                      <w:highlight w:val="none"/>
                      <w:lang w:val="en-US" w:eastAsia="zh-CN"/>
                    </w:rPr>
                    <w:t>普通车床</w:t>
                  </w:r>
                </w:p>
              </w:tc>
              <w:tc>
                <w:tcPr>
                  <w:tcW w:w="519" w:type="pct"/>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-51.99</w:t>
                  </w:r>
                </w:p>
              </w:tc>
              <w:tc>
                <w:tcPr>
                  <w:tcW w:w="486" w:type="pct"/>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17.53</w:t>
                  </w:r>
                </w:p>
              </w:tc>
              <w:tc>
                <w:tcPr>
                  <w:tcW w:w="308" w:type="pct"/>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1</w:t>
                  </w:r>
                </w:p>
              </w:tc>
              <w:tc>
                <w:tcPr>
                  <w:tcW w:w="705" w:type="pct"/>
                  <w:noWrap w:val="0"/>
                  <w:vAlign w:val="center"/>
                </w:tcPr>
                <w:p>
                  <w:pPr>
                    <w:pStyle w:val="61"/>
                    <w:keepNext w:val="0"/>
                    <w:keepLines w:val="0"/>
                    <w:pageBreakBefore w:val="0"/>
                    <w:widowControl w:val="0"/>
                    <w:kinsoku/>
                    <w:wordWrap/>
                    <w:overflowPunct/>
                    <w:topLinePunct w:val="0"/>
                    <w:autoSpaceDE w:val="0"/>
                    <w:autoSpaceDN w:val="0"/>
                    <w:bidi w:val="0"/>
                    <w:adjustRightInd w:val="0"/>
                    <w:snapToGrid w:val="0"/>
                    <w:spacing w:line="240" w:lineRule="auto"/>
                    <w:ind w:left="0" w:leftChars="0" w:firstLine="0" w:firstLineChars="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80</w:t>
                  </w:r>
                </w:p>
              </w:tc>
              <w:tc>
                <w:tcPr>
                  <w:tcW w:w="639" w:type="pct"/>
                  <w:vMerge w:val="continue"/>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p>
              </w:tc>
              <w:tc>
                <w:tcPr>
                  <w:tcW w:w="770" w:type="pct"/>
                  <w:vMerge w:val="continue"/>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382" w:type="pct"/>
                  <w:noWrap w:val="0"/>
                  <w:vAlign w:val="center"/>
                </w:tcPr>
                <w:p>
                  <w:pPr>
                    <w:pStyle w:val="61"/>
                    <w:keepNext w:val="0"/>
                    <w:keepLines w:val="0"/>
                    <w:pageBreakBefore w:val="0"/>
                    <w:widowControl w:val="0"/>
                    <w:kinsoku/>
                    <w:wordWrap/>
                    <w:overflowPunct/>
                    <w:topLinePunct w:val="0"/>
                    <w:autoSpaceDE w:val="0"/>
                    <w:autoSpaceDN w:val="0"/>
                    <w:bidi w:val="0"/>
                    <w:adjustRightInd w:val="0"/>
                    <w:snapToGrid w:val="0"/>
                    <w:spacing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4</w:t>
                  </w:r>
                </w:p>
              </w:tc>
              <w:tc>
                <w:tcPr>
                  <w:tcW w:w="1186" w:type="pct"/>
                  <w:noWrap w:val="0"/>
                  <w:vAlign w:val="center"/>
                </w:tcPr>
                <w:p>
                  <w:pPr>
                    <w:pStyle w:val="104"/>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default" w:cs="Times New Roman"/>
                      <w:color w:val="auto"/>
                      <w:sz w:val="21"/>
                      <w:szCs w:val="21"/>
                      <w:highlight w:val="none"/>
                      <w:vertAlign w:val="baseline"/>
                      <w:lang w:val="en-US" w:eastAsia="zh-CN"/>
                    </w:rPr>
                  </w:pPr>
                  <w:r>
                    <w:rPr>
                      <w:rFonts w:hint="eastAsia" w:cs="Times New Roman"/>
                      <w:color w:val="auto"/>
                      <w:sz w:val="21"/>
                      <w:szCs w:val="21"/>
                      <w:highlight w:val="none"/>
                      <w:vertAlign w:val="baseline"/>
                      <w:lang w:val="en-US" w:eastAsia="zh-CN"/>
                    </w:rPr>
                    <w:t>摇臂钻床</w:t>
                  </w:r>
                </w:p>
              </w:tc>
              <w:tc>
                <w:tcPr>
                  <w:tcW w:w="519" w:type="pct"/>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-23.22</w:t>
                  </w:r>
                </w:p>
              </w:tc>
              <w:tc>
                <w:tcPr>
                  <w:tcW w:w="486" w:type="pct"/>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20.33</w:t>
                  </w:r>
                </w:p>
              </w:tc>
              <w:tc>
                <w:tcPr>
                  <w:tcW w:w="308" w:type="pct"/>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1</w:t>
                  </w:r>
                </w:p>
              </w:tc>
              <w:tc>
                <w:tcPr>
                  <w:tcW w:w="705" w:type="pct"/>
                  <w:noWrap w:val="0"/>
                  <w:vAlign w:val="center"/>
                </w:tcPr>
                <w:p>
                  <w:pPr>
                    <w:pStyle w:val="61"/>
                    <w:keepNext w:val="0"/>
                    <w:keepLines w:val="0"/>
                    <w:pageBreakBefore w:val="0"/>
                    <w:widowControl w:val="0"/>
                    <w:kinsoku/>
                    <w:wordWrap/>
                    <w:overflowPunct/>
                    <w:topLinePunct w:val="0"/>
                    <w:autoSpaceDE w:val="0"/>
                    <w:autoSpaceDN w:val="0"/>
                    <w:bidi w:val="0"/>
                    <w:adjustRightInd w:val="0"/>
                    <w:snapToGrid w:val="0"/>
                    <w:spacing w:line="240" w:lineRule="auto"/>
                    <w:ind w:left="0" w:leftChars="0" w:firstLine="0" w:firstLineChars="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85</w:t>
                  </w:r>
                </w:p>
              </w:tc>
              <w:tc>
                <w:tcPr>
                  <w:tcW w:w="639" w:type="pct"/>
                  <w:vMerge w:val="continue"/>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p>
              </w:tc>
              <w:tc>
                <w:tcPr>
                  <w:tcW w:w="770" w:type="pct"/>
                  <w:vMerge w:val="continue"/>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382" w:type="pct"/>
                  <w:noWrap w:val="0"/>
                  <w:vAlign w:val="center"/>
                </w:tcPr>
                <w:p>
                  <w:pPr>
                    <w:pStyle w:val="61"/>
                    <w:keepNext w:val="0"/>
                    <w:keepLines w:val="0"/>
                    <w:pageBreakBefore w:val="0"/>
                    <w:widowControl w:val="0"/>
                    <w:kinsoku/>
                    <w:wordWrap/>
                    <w:overflowPunct/>
                    <w:topLinePunct w:val="0"/>
                    <w:autoSpaceDE w:val="0"/>
                    <w:autoSpaceDN w:val="0"/>
                    <w:bidi w:val="0"/>
                    <w:adjustRightInd w:val="0"/>
                    <w:snapToGrid w:val="0"/>
                    <w:spacing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5</w:t>
                  </w:r>
                </w:p>
              </w:tc>
              <w:tc>
                <w:tcPr>
                  <w:tcW w:w="1186" w:type="pct"/>
                  <w:noWrap w:val="0"/>
                  <w:vAlign w:val="center"/>
                </w:tcPr>
                <w:p>
                  <w:pPr>
                    <w:pStyle w:val="104"/>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default" w:cs="Times New Roman"/>
                      <w:color w:val="auto"/>
                      <w:sz w:val="21"/>
                      <w:szCs w:val="21"/>
                      <w:highlight w:val="none"/>
                      <w:vertAlign w:val="baseline"/>
                      <w:lang w:val="en-US" w:eastAsia="zh-CN"/>
                    </w:rPr>
                  </w:pPr>
                  <w:r>
                    <w:rPr>
                      <w:rFonts w:hint="eastAsia" w:cs="Times New Roman"/>
                      <w:color w:val="auto"/>
                      <w:sz w:val="21"/>
                      <w:szCs w:val="21"/>
                      <w:highlight w:val="none"/>
                      <w:vertAlign w:val="baseline"/>
                      <w:lang w:val="en-US" w:eastAsia="zh-CN"/>
                    </w:rPr>
                    <w:t>数控加工中心</w:t>
                  </w:r>
                </w:p>
              </w:tc>
              <w:tc>
                <w:tcPr>
                  <w:tcW w:w="519" w:type="pct"/>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-23.6</w:t>
                  </w:r>
                </w:p>
              </w:tc>
              <w:tc>
                <w:tcPr>
                  <w:tcW w:w="486" w:type="pct"/>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13.35</w:t>
                  </w:r>
                </w:p>
              </w:tc>
              <w:tc>
                <w:tcPr>
                  <w:tcW w:w="308" w:type="pct"/>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1</w:t>
                  </w:r>
                </w:p>
              </w:tc>
              <w:tc>
                <w:tcPr>
                  <w:tcW w:w="705" w:type="pct"/>
                  <w:noWrap w:val="0"/>
                  <w:vAlign w:val="center"/>
                </w:tcPr>
                <w:p>
                  <w:pPr>
                    <w:pStyle w:val="61"/>
                    <w:keepNext w:val="0"/>
                    <w:keepLines w:val="0"/>
                    <w:pageBreakBefore w:val="0"/>
                    <w:widowControl w:val="0"/>
                    <w:kinsoku/>
                    <w:wordWrap/>
                    <w:overflowPunct/>
                    <w:topLinePunct w:val="0"/>
                    <w:autoSpaceDE w:val="0"/>
                    <w:autoSpaceDN w:val="0"/>
                    <w:bidi w:val="0"/>
                    <w:adjustRightInd w:val="0"/>
                    <w:snapToGrid w:val="0"/>
                    <w:spacing w:line="240" w:lineRule="auto"/>
                    <w:ind w:left="0" w:leftChars="0" w:firstLine="0" w:firstLineChars="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80</w:t>
                  </w:r>
                </w:p>
              </w:tc>
              <w:tc>
                <w:tcPr>
                  <w:tcW w:w="639" w:type="pct"/>
                  <w:vMerge w:val="continue"/>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p>
              </w:tc>
              <w:tc>
                <w:tcPr>
                  <w:tcW w:w="770" w:type="pct"/>
                  <w:vMerge w:val="continue"/>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382" w:type="pct"/>
                  <w:noWrap w:val="0"/>
                  <w:vAlign w:val="center"/>
                </w:tcPr>
                <w:p>
                  <w:pPr>
                    <w:pStyle w:val="61"/>
                    <w:keepNext w:val="0"/>
                    <w:keepLines w:val="0"/>
                    <w:pageBreakBefore w:val="0"/>
                    <w:widowControl w:val="0"/>
                    <w:kinsoku/>
                    <w:wordWrap/>
                    <w:overflowPunct/>
                    <w:topLinePunct w:val="0"/>
                    <w:autoSpaceDE w:val="0"/>
                    <w:autoSpaceDN w:val="0"/>
                    <w:bidi w:val="0"/>
                    <w:adjustRightInd w:val="0"/>
                    <w:snapToGrid w:val="0"/>
                    <w:spacing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6</w:t>
                  </w:r>
                </w:p>
              </w:tc>
              <w:tc>
                <w:tcPr>
                  <w:tcW w:w="1186" w:type="pct"/>
                  <w:noWrap w:val="0"/>
                  <w:vAlign w:val="center"/>
                </w:tcPr>
                <w:p>
                  <w:pPr>
                    <w:pStyle w:val="104"/>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default" w:cs="Times New Roman"/>
                      <w:color w:val="auto"/>
                      <w:sz w:val="21"/>
                      <w:szCs w:val="21"/>
                      <w:highlight w:val="none"/>
                      <w:vertAlign w:val="baseline"/>
                      <w:lang w:val="en-US" w:eastAsia="zh-CN"/>
                    </w:rPr>
                  </w:pPr>
                  <w:r>
                    <w:rPr>
                      <w:rFonts w:hint="eastAsia" w:cs="Times New Roman"/>
                      <w:color w:val="auto"/>
                      <w:sz w:val="21"/>
                      <w:szCs w:val="21"/>
                      <w:highlight w:val="none"/>
                      <w:vertAlign w:val="baseline"/>
                      <w:lang w:val="en-US" w:eastAsia="zh-CN"/>
                    </w:rPr>
                    <w:t>数控车床</w:t>
                  </w:r>
                </w:p>
              </w:tc>
              <w:tc>
                <w:tcPr>
                  <w:tcW w:w="519" w:type="pct"/>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-52.02</w:t>
                  </w:r>
                </w:p>
              </w:tc>
              <w:tc>
                <w:tcPr>
                  <w:tcW w:w="486" w:type="pct"/>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15.96</w:t>
                  </w:r>
                </w:p>
              </w:tc>
              <w:tc>
                <w:tcPr>
                  <w:tcW w:w="308" w:type="pct"/>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1</w:t>
                  </w:r>
                </w:p>
              </w:tc>
              <w:tc>
                <w:tcPr>
                  <w:tcW w:w="705" w:type="pct"/>
                  <w:noWrap w:val="0"/>
                  <w:vAlign w:val="center"/>
                </w:tcPr>
                <w:p>
                  <w:pPr>
                    <w:pStyle w:val="61"/>
                    <w:keepNext w:val="0"/>
                    <w:keepLines w:val="0"/>
                    <w:pageBreakBefore w:val="0"/>
                    <w:widowControl w:val="0"/>
                    <w:kinsoku/>
                    <w:wordWrap/>
                    <w:overflowPunct/>
                    <w:topLinePunct w:val="0"/>
                    <w:autoSpaceDE w:val="0"/>
                    <w:autoSpaceDN w:val="0"/>
                    <w:bidi w:val="0"/>
                    <w:adjustRightInd w:val="0"/>
                    <w:snapToGrid w:val="0"/>
                    <w:spacing w:line="240" w:lineRule="auto"/>
                    <w:ind w:left="0" w:leftChars="0" w:firstLine="0" w:firstLineChars="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80</w:t>
                  </w:r>
                </w:p>
              </w:tc>
              <w:tc>
                <w:tcPr>
                  <w:tcW w:w="639" w:type="pct"/>
                  <w:vMerge w:val="continue"/>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p>
              </w:tc>
              <w:tc>
                <w:tcPr>
                  <w:tcW w:w="770" w:type="pct"/>
                  <w:vMerge w:val="continue"/>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382" w:type="pct"/>
                  <w:noWrap w:val="0"/>
                  <w:vAlign w:val="center"/>
                </w:tcPr>
                <w:p>
                  <w:pPr>
                    <w:pStyle w:val="61"/>
                    <w:keepNext w:val="0"/>
                    <w:keepLines w:val="0"/>
                    <w:pageBreakBefore w:val="0"/>
                    <w:widowControl w:val="0"/>
                    <w:kinsoku/>
                    <w:wordWrap/>
                    <w:overflowPunct/>
                    <w:topLinePunct w:val="0"/>
                    <w:autoSpaceDE w:val="0"/>
                    <w:autoSpaceDN w:val="0"/>
                    <w:bidi w:val="0"/>
                    <w:adjustRightInd w:val="0"/>
                    <w:snapToGrid w:val="0"/>
                    <w:spacing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7</w:t>
                  </w:r>
                </w:p>
              </w:tc>
              <w:tc>
                <w:tcPr>
                  <w:tcW w:w="1186" w:type="pct"/>
                  <w:noWrap w:val="0"/>
                  <w:vAlign w:val="center"/>
                </w:tcPr>
                <w:p>
                  <w:pPr>
                    <w:pStyle w:val="104"/>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default" w:cs="Times New Roman"/>
                      <w:color w:val="auto"/>
                      <w:sz w:val="21"/>
                      <w:szCs w:val="21"/>
                      <w:highlight w:val="none"/>
                      <w:vertAlign w:val="baseline"/>
                      <w:lang w:val="en-US" w:eastAsia="zh-CN"/>
                    </w:rPr>
                  </w:pPr>
                  <w:r>
                    <w:rPr>
                      <w:rFonts w:hint="default" w:cs="Times New Roman"/>
                      <w:color w:val="auto"/>
                      <w:sz w:val="21"/>
                      <w:szCs w:val="21"/>
                      <w:highlight w:val="none"/>
                      <w:vertAlign w:val="baseline"/>
                      <w:lang w:val="en-US" w:eastAsia="zh-CN"/>
                    </w:rPr>
                    <w:t>CO</w:t>
                  </w:r>
                  <w:r>
                    <w:rPr>
                      <w:rFonts w:hint="default" w:cs="Times New Roman"/>
                      <w:color w:val="auto"/>
                      <w:sz w:val="21"/>
                      <w:szCs w:val="21"/>
                      <w:highlight w:val="none"/>
                      <w:vertAlign w:val="subscript"/>
                      <w:lang w:val="en-US" w:eastAsia="zh-CN"/>
                    </w:rPr>
                    <w:t>2</w:t>
                  </w:r>
                  <w:r>
                    <w:rPr>
                      <w:rFonts w:hint="default" w:cs="Times New Roman"/>
                      <w:color w:val="auto"/>
                      <w:sz w:val="21"/>
                      <w:szCs w:val="21"/>
                      <w:highlight w:val="none"/>
                      <w:vertAlign w:val="baseline"/>
                      <w:lang w:val="en-US" w:eastAsia="zh-CN"/>
                    </w:rPr>
                    <w:t>保护焊机</w:t>
                  </w:r>
                </w:p>
              </w:tc>
              <w:tc>
                <w:tcPr>
                  <w:tcW w:w="519" w:type="pct"/>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-52.27</w:t>
                  </w:r>
                </w:p>
              </w:tc>
              <w:tc>
                <w:tcPr>
                  <w:tcW w:w="486" w:type="pct"/>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24.81</w:t>
                  </w:r>
                </w:p>
              </w:tc>
              <w:tc>
                <w:tcPr>
                  <w:tcW w:w="308" w:type="pct"/>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1</w:t>
                  </w:r>
                </w:p>
              </w:tc>
              <w:tc>
                <w:tcPr>
                  <w:tcW w:w="705" w:type="pct"/>
                  <w:noWrap w:val="0"/>
                  <w:vAlign w:val="center"/>
                </w:tcPr>
                <w:p>
                  <w:pPr>
                    <w:pStyle w:val="61"/>
                    <w:keepNext w:val="0"/>
                    <w:keepLines w:val="0"/>
                    <w:pageBreakBefore w:val="0"/>
                    <w:widowControl w:val="0"/>
                    <w:kinsoku/>
                    <w:wordWrap/>
                    <w:overflowPunct/>
                    <w:topLinePunct w:val="0"/>
                    <w:autoSpaceDE w:val="0"/>
                    <w:autoSpaceDN w:val="0"/>
                    <w:bidi w:val="0"/>
                    <w:adjustRightInd w:val="0"/>
                    <w:snapToGrid w:val="0"/>
                    <w:spacing w:line="240" w:lineRule="auto"/>
                    <w:ind w:left="0" w:leftChars="0" w:firstLine="0" w:firstLineChars="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80</w:t>
                  </w:r>
                </w:p>
              </w:tc>
              <w:tc>
                <w:tcPr>
                  <w:tcW w:w="639" w:type="pct"/>
                  <w:vMerge w:val="continue"/>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p>
              </w:tc>
              <w:tc>
                <w:tcPr>
                  <w:tcW w:w="770" w:type="pct"/>
                  <w:vMerge w:val="continue"/>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382" w:type="pct"/>
                  <w:noWrap w:val="0"/>
                  <w:vAlign w:val="center"/>
                </w:tcPr>
                <w:p>
                  <w:pPr>
                    <w:pStyle w:val="61"/>
                    <w:keepNext w:val="0"/>
                    <w:keepLines w:val="0"/>
                    <w:pageBreakBefore w:val="0"/>
                    <w:widowControl w:val="0"/>
                    <w:kinsoku/>
                    <w:wordWrap/>
                    <w:overflowPunct/>
                    <w:topLinePunct w:val="0"/>
                    <w:autoSpaceDE w:val="0"/>
                    <w:autoSpaceDN w:val="0"/>
                    <w:bidi w:val="0"/>
                    <w:adjustRightInd w:val="0"/>
                    <w:snapToGrid w:val="0"/>
                    <w:spacing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8</w:t>
                  </w:r>
                </w:p>
              </w:tc>
              <w:tc>
                <w:tcPr>
                  <w:tcW w:w="1186" w:type="pct"/>
                  <w:noWrap w:val="0"/>
                  <w:vAlign w:val="center"/>
                </w:tcPr>
                <w:p>
                  <w:pPr>
                    <w:pStyle w:val="104"/>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default" w:cs="Times New Roman"/>
                      <w:color w:val="auto"/>
                      <w:sz w:val="21"/>
                      <w:szCs w:val="21"/>
                      <w:highlight w:val="none"/>
                      <w:vertAlign w:val="baseline"/>
                      <w:lang w:val="en-US" w:eastAsia="zh-CN"/>
                    </w:rPr>
                  </w:pPr>
                  <w:r>
                    <w:rPr>
                      <w:rFonts w:hint="eastAsia" w:cs="Times New Roman"/>
                      <w:color w:val="auto"/>
                      <w:sz w:val="21"/>
                      <w:szCs w:val="21"/>
                      <w:highlight w:val="none"/>
                      <w:vertAlign w:val="baseline"/>
                      <w:lang w:val="en-US" w:eastAsia="zh-CN"/>
                    </w:rPr>
                    <w:t>电火花机</w:t>
                  </w:r>
                </w:p>
              </w:tc>
              <w:tc>
                <w:tcPr>
                  <w:tcW w:w="519" w:type="pct"/>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-52.64</w:t>
                  </w:r>
                </w:p>
              </w:tc>
              <w:tc>
                <w:tcPr>
                  <w:tcW w:w="486" w:type="pct"/>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28.55</w:t>
                  </w:r>
                </w:p>
              </w:tc>
              <w:tc>
                <w:tcPr>
                  <w:tcW w:w="308" w:type="pct"/>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1</w:t>
                  </w:r>
                </w:p>
              </w:tc>
              <w:tc>
                <w:tcPr>
                  <w:tcW w:w="705" w:type="pct"/>
                  <w:noWrap w:val="0"/>
                  <w:vAlign w:val="center"/>
                </w:tcPr>
                <w:p>
                  <w:pPr>
                    <w:pStyle w:val="61"/>
                    <w:keepNext w:val="0"/>
                    <w:keepLines w:val="0"/>
                    <w:pageBreakBefore w:val="0"/>
                    <w:widowControl w:val="0"/>
                    <w:kinsoku/>
                    <w:wordWrap/>
                    <w:overflowPunct/>
                    <w:topLinePunct w:val="0"/>
                    <w:autoSpaceDE w:val="0"/>
                    <w:autoSpaceDN w:val="0"/>
                    <w:bidi w:val="0"/>
                    <w:adjustRightInd w:val="0"/>
                    <w:snapToGrid w:val="0"/>
                    <w:spacing w:line="240" w:lineRule="auto"/>
                    <w:ind w:left="0" w:leftChars="0" w:firstLine="0" w:firstLineChars="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80</w:t>
                  </w:r>
                </w:p>
              </w:tc>
              <w:tc>
                <w:tcPr>
                  <w:tcW w:w="639" w:type="pct"/>
                  <w:vMerge w:val="continue"/>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p>
              </w:tc>
              <w:tc>
                <w:tcPr>
                  <w:tcW w:w="770" w:type="pct"/>
                  <w:vMerge w:val="continue"/>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382" w:type="pct"/>
                  <w:noWrap w:val="0"/>
                  <w:vAlign w:val="center"/>
                </w:tcPr>
                <w:p>
                  <w:pPr>
                    <w:pStyle w:val="61"/>
                    <w:keepNext w:val="0"/>
                    <w:keepLines w:val="0"/>
                    <w:pageBreakBefore w:val="0"/>
                    <w:widowControl w:val="0"/>
                    <w:kinsoku/>
                    <w:wordWrap/>
                    <w:overflowPunct/>
                    <w:topLinePunct w:val="0"/>
                    <w:autoSpaceDE w:val="0"/>
                    <w:autoSpaceDN w:val="0"/>
                    <w:bidi w:val="0"/>
                    <w:adjustRightInd w:val="0"/>
                    <w:snapToGrid w:val="0"/>
                    <w:spacing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9</w:t>
                  </w:r>
                </w:p>
              </w:tc>
              <w:tc>
                <w:tcPr>
                  <w:tcW w:w="1186" w:type="pct"/>
                  <w:noWrap w:val="0"/>
                  <w:vAlign w:val="center"/>
                </w:tcPr>
                <w:p>
                  <w:pPr>
                    <w:pStyle w:val="104"/>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default" w:cs="Times New Roman"/>
                      <w:color w:val="auto"/>
                      <w:sz w:val="21"/>
                      <w:szCs w:val="21"/>
                      <w:highlight w:val="none"/>
                      <w:vertAlign w:val="baseline"/>
                      <w:lang w:val="en-US" w:eastAsia="zh-CN"/>
                    </w:rPr>
                  </w:pPr>
                  <w:r>
                    <w:rPr>
                      <w:rFonts w:hint="default" w:cs="Times New Roman"/>
                      <w:color w:val="auto"/>
                      <w:sz w:val="21"/>
                      <w:szCs w:val="21"/>
                      <w:highlight w:val="none"/>
                      <w:vertAlign w:val="baseline"/>
                      <w:lang w:val="en-US" w:eastAsia="zh-CN"/>
                    </w:rPr>
                    <w:t>卷圆机</w:t>
                  </w:r>
                  <w:r>
                    <w:rPr>
                      <w:rFonts w:hint="eastAsia" w:cs="Times New Roman"/>
                      <w:color w:val="auto"/>
                      <w:sz w:val="21"/>
                      <w:szCs w:val="21"/>
                      <w:highlight w:val="none"/>
                      <w:vertAlign w:val="baseline"/>
                      <w:lang w:val="en-US" w:eastAsia="zh-CN"/>
                    </w:rPr>
                    <w:t xml:space="preserve">    </w:t>
                  </w:r>
                </w:p>
              </w:tc>
              <w:tc>
                <w:tcPr>
                  <w:tcW w:w="519" w:type="pct"/>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-23.35</w:t>
                  </w:r>
                </w:p>
              </w:tc>
              <w:tc>
                <w:tcPr>
                  <w:tcW w:w="486" w:type="pct"/>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8.61</w:t>
                  </w:r>
                </w:p>
              </w:tc>
              <w:tc>
                <w:tcPr>
                  <w:tcW w:w="308" w:type="pct"/>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1</w:t>
                  </w:r>
                </w:p>
              </w:tc>
              <w:tc>
                <w:tcPr>
                  <w:tcW w:w="705" w:type="pct"/>
                  <w:noWrap w:val="0"/>
                  <w:vAlign w:val="center"/>
                </w:tcPr>
                <w:p>
                  <w:pPr>
                    <w:pStyle w:val="61"/>
                    <w:keepNext w:val="0"/>
                    <w:keepLines w:val="0"/>
                    <w:pageBreakBefore w:val="0"/>
                    <w:widowControl w:val="0"/>
                    <w:kinsoku/>
                    <w:wordWrap/>
                    <w:overflowPunct/>
                    <w:topLinePunct w:val="0"/>
                    <w:autoSpaceDE w:val="0"/>
                    <w:autoSpaceDN w:val="0"/>
                    <w:bidi w:val="0"/>
                    <w:adjustRightInd w:val="0"/>
                    <w:snapToGrid w:val="0"/>
                    <w:spacing w:line="240" w:lineRule="auto"/>
                    <w:ind w:left="0" w:leftChars="0" w:firstLine="0" w:firstLineChars="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75</w:t>
                  </w:r>
                </w:p>
              </w:tc>
              <w:tc>
                <w:tcPr>
                  <w:tcW w:w="639" w:type="pct"/>
                  <w:vMerge w:val="continue"/>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p>
              </w:tc>
              <w:tc>
                <w:tcPr>
                  <w:tcW w:w="770" w:type="pct"/>
                  <w:vMerge w:val="continue"/>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382" w:type="pct"/>
                  <w:noWrap w:val="0"/>
                  <w:vAlign w:val="center"/>
                </w:tcPr>
                <w:p>
                  <w:pPr>
                    <w:pStyle w:val="61"/>
                    <w:keepNext w:val="0"/>
                    <w:keepLines w:val="0"/>
                    <w:pageBreakBefore w:val="0"/>
                    <w:widowControl w:val="0"/>
                    <w:kinsoku/>
                    <w:wordWrap/>
                    <w:overflowPunct/>
                    <w:topLinePunct w:val="0"/>
                    <w:autoSpaceDE w:val="0"/>
                    <w:autoSpaceDN w:val="0"/>
                    <w:bidi w:val="0"/>
                    <w:adjustRightInd w:val="0"/>
                    <w:snapToGrid w:val="0"/>
                    <w:spacing w:line="240" w:lineRule="auto"/>
                    <w:ind w:left="0" w:leftChars="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10</w:t>
                  </w:r>
                </w:p>
              </w:tc>
              <w:tc>
                <w:tcPr>
                  <w:tcW w:w="1186" w:type="pct"/>
                  <w:noWrap w:val="0"/>
                  <w:vAlign w:val="center"/>
                </w:tcPr>
                <w:p>
                  <w:pPr>
                    <w:pStyle w:val="104"/>
                    <w:keepNext w:val="0"/>
                    <w:keepLines w:val="0"/>
                    <w:pageBreakBefore w:val="0"/>
                    <w:widowControl w:val="0"/>
                    <w:kinsoku/>
                    <w:wordWrap/>
                    <w:overflowPunct/>
                    <w:topLinePunct w:val="0"/>
                    <w:bidi w:val="0"/>
                    <w:adjustRightInd w:val="0"/>
                    <w:snapToGrid w:val="0"/>
                    <w:spacing w:line="240" w:lineRule="auto"/>
                    <w:ind w:left="0" w:leftChars="0" w:firstLine="0" w:firstLineChars="0"/>
                    <w:jc w:val="center"/>
                    <w:textAlignment w:val="auto"/>
                    <w:rPr>
                      <w:rFonts w:hint="default" w:ascii="Calibri" w:hAnsi="Calibri" w:eastAsia="宋体" w:cs="Times New Roman"/>
                      <w:color w:val="auto"/>
                      <w:kern w:val="2"/>
                      <w:sz w:val="21"/>
                      <w:szCs w:val="21"/>
                      <w:highlight w:val="none"/>
                      <w:vertAlign w:val="baseline"/>
                      <w:lang w:val="en-US" w:eastAsia="zh-CN" w:bidi="ar-SA"/>
                    </w:rPr>
                  </w:pPr>
                  <w:r>
                    <w:rPr>
                      <w:rFonts w:hint="default" w:ascii="Times New Roman" w:hAnsi="Times New Roman" w:eastAsia="宋体" w:cs="Times New Roman"/>
                      <w:color w:val="auto"/>
                      <w:sz w:val="21"/>
                      <w:szCs w:val="21"/>
                      <w:highlight w:val="none"/>
                    </w:rPr>
                    <w:t>环保设备</w:t>
                  </w:r>
                  <w:r>
                    <w:rPr>
                      <w:rFonts w:hint="default" w:ascii="Times New Roman" w:hAnsi="Times New Roman" w:eastAsia="宋体" w:cs="Times New Roman"/>
                      <w:color w:val="auto"/>
                      <w:sz w:val="21"/>
                      <w:szCs w:val="21"/>
                      <w:highlight w:val="none"/>
                      <w:lang w:val="en-US" w:eastAsia="zh-CN"/>
                    </w:rPr>
                    <w:t>风机</w:t>
                  </w:r>
                  <w:r>
                    <w:rPr>
                      <w:rFonts w:hint="eastAsia" w:ascii="Times New Roman" w:hAnsi="Times New Roman" w:cs="Times New Roman"/>
                      <w:color w:val="auto"/>
                      <w:sz w:val="21"/>
                      <w:szCs w:val="21"/>
                      <w:highlight w:val="none"/>
                      <w:lang w:val="en-US" w:eastAsia="zh-CN"/>
                    </w:rPr>
                    <w:t>（室外，运行时段为昼间）</w:t>
                  </w:r>
                </w:p>
              </w:tc>
              <w:tc>
                <w:tcPr>
                  <w:tcW w:w="519" w:type="pct"/>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-22.15</w:t>
                  </w:r>
                </w:p>
              </w:tc>
              <w:tc>
                <w:tcPr>
                  <w:tcW w:w="486" w:type="pct"/>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-10.46</w:t>
                  </w:r>
                </w:p>
              </w:tc>
              <w:tc>
                <w:tcPr>
                  <w:tcW w:w="308" w:type="pct"/>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sz w:val="21"/>
                      <w:szCs w:val="21"/>
                      <w:highlight w:val="none"/>
                      <w:lang w:val="en-US" w:eastAsia="zh-CN"/>
                    </w:rPr>
                    <w:t>1</w:t>
                  </w:r>
                </w:p>
              </w:tc>
              <w:tc>
                <w:tcPr>
                  <w:tcW w:w="705" w:type="pct"/>
                  <w:noWrap w:val="0"/>
                  <w:vAlign w:val="center"/>
                </w:tcPr>
                <w:p>
                  <w:pPr>
                    <w:pStyle w:val="61"/>
                    <w:keepNext w:val="0"/>
                    <w:keepLines w:val="0"/>
                    <w:pageBreakBefore w:val="0"/>
                    <w:widowControl w:val="0"/>
                    <w:kinsoku/>
                    <w:wordWrap/>
                    <w:overflowPunct/>
                    <w:topLinePunct w:val="0"/>
                    <w:autoSpaceDE w:val="0"/>
                    <w:autoSpaceDN w:val="0"/>
                    <w:bidi w:val="0"/>
                    <w:adjustRightInd w:val="0"/>
                    <w:snapToGrid w:val="0"/>
                    <w:spacing w:line="240" w:lineRule="auto"/>
                    <w:ind w:left="0" w:lef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90</w:t>
                  </w:r>
                </w:p>
              </w:tc>
              <w:tc>
                <w:tcPr>
                  <w:tcW w:w="639" w:type="pct"/>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安装基础减振、距离衰减</w:t>
                  </w:r>
                </w:p>
              </w:tc>
              <w:tc>
                <w:tcPr>
                  <w:tcW w:w="770" w:type="pct"/>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w:t>
                  </w:r>
                </w:p>
              </w:tc>
            </w:tr>
          </w:tbl>
          <w:p>
            <w:pPr>
              <w:bidi w:val="0"/>
              <w:ind w:firstLine="480" w:firstLineChars="200"/>
              <w:rPr>
                <w:color w:val="auto"/>
                <w:highlight w:val="none"/>
              </w:rPr>
            </w:pPr>
            <w:r>
              <w:rPr>
                <w:rFonts w:hint="eastAsia"/>
                <w:color w:val="auto"/>
                <w:highlight w:val="none"/>
              </w:rPr>
              <w:t>按照噪声预测模式，结合噪声源到各预测点距离和各现状监测点的监测值，通过计算，</w:t>
            </w:r>
            <w:r>
              <w:rPr>
                <w:rFonts w:hint="eastAsia"/>
                <w:color w:val="auto"/>
                <w:highlight w:val="none"/>
                <w:lang w:val="en-US" w:eastAsia="zh-CN"/>
              </w:rPr>
              <w:t>技改完成后，</w:t>
            </w:r>
            <w:r>
              <w:rPr>
                <w:rFonts w:hint="eastAsia"/>
                <w:color w:val="auto"/>
                <w:highlight w:val="none"/>
              </w:rPr>
              <w:t>厂界噪声预测</w:t>
            </w:r>
            <w:r>
              <w:rPr>
                <w:color w:val="auto"/>
                <w:highlight w:val="none"/>
              </w:rPr>
              <w:t>结果见下表。</w:t>
            </w:r>
          </w:p>
          <w:p>
            <w:pPr>
              <w:numPr>
                <w:ilvl w:val="0"/>
                <w:numId w:val="0"/>
              </w:numPr>
              <w:spacing w:line="240" w:lineRule="auto"/>
              <w:ind w:leftChars="0"/>
              <w:jc w:val="center"/>
              <w:rPr>
                <w:rFonts w:hint="eastAsia" w:ascii="Times New Roman" w:hAnsi="Times New Roman" w:eastAsia="宋体" w:cs="Times New Roman"/>
                <w:b/>
                <w:bCs/>
                <w:color w:val="auto"/>
                <w:sz w:val="24"/>
                <w:szCs w:val="24"/>
                <w:highlight w:val="none"/>
                <w:lang w:val="en-US" w:eastAsia="zh-CN"/>
              </w:rPr>
            </w:pPr>
          </w:p>
          <w:p>
            <w:pPr>
              <w:numPr>
                <w:ilvl w:val="0"/>
                <w:numId w:val="0"/>
              </w:numPr>
              <w:spacing w:line="240" w:lineRule="auto"/>
              <w:ind w:leftChars="0"/>
              <w:jc w:val="center"/>
              <w:rPr>
                <w:rFonts w:hint="eastAsia" w:ascii="Times New Roman" w:hAnsi="Times New Roman" w:eastAsia="宋体" w:cs="Times New Roman"/>
                <w:b/>
                <w:bCs/>
                <w:color w:val="auto"/>
                <w:sz w:val="24"/>
                <w:szCs w:val="24"/>
                <w:highlight w:val="none"/>
                <w:lang w:val="en-US" w:eastAsia="zh-CN"/>
              </w:rPr>
            </w:pPr>
          </w:p>
          <w:p>
            <w:pPr>
              <w:numPr>
                <w:ilvl w:val="0"/>
                <w:numId w:val="0"/>
              </w:numPr>
              <w:spacing w:line="240" w:lineRule="auto"/>
              <w:ind w:leftChars="0"/>
              <w:jc w:val="center"/>
              <w:rPr>
                <w:rFonts w:hint="eastAsia" w:ascii="Times New Roman" w:hAnsi="Times New Roman" w:eastAsia="宋体" w:cs="Times New Roman"/>
                <w:b/>
                <w:bCs/>
                <w:color w:val="auto"/>
                <w:sz w:val="24"/>
                <w:szCs w:val="24"/>
                <w:highlight w:val="none"/>
                <w:lang w:val="en-US" w:eastAsia="zh-CN"/>
              </w:rPr>
            </w:pPr>
          </w:p>
          <w:p>
            <w:pPr>
              <w:numPr>
                <w:ilvl w:val="0"/>
                <w:numId w:val="0"/>
              </w:numPr>
              <w:spacing w:line="240" w:lineRule="auto"/>
              <w:ind w:leftChars="0"/>
              <w:jc w:val="center"/>
              <w:rPr>
                <w:rFonts w:hint="eastAsia" w:ascii="Times New Roman" w:hAnsi="Times New Roman" w:eastAsia="宋体" w:cs="Times New Roman"/>
                <w:b/>
                <w:bCs/>
                <w:color w:val="auto"/>
                <w:sz w:val="24"/>
                <w:szCs w:val="24"/>
                <w:highlight w:val="none"/>
                <w:lang w:val="en-US" w:eastAsia="zh-CN"/>
              </w:rPr>
            </w:pPr>
            <w:r>
              <w:rPr>
                <w:rFonts w:hint="eastAsia" w:ascii="Times New Roman" w:hAnsi="Times New Roman" w:eastAsia="宋体" w:cs="Times New Roman"/>
                <w:b/>
                <w:bCs/>
                <w:color w:val="auto"/>
                <w:sz w:val="24"/>
                <w:szCs w:val="24"/>
                <w:highlight w:val="none"/>
                <w:lang w:val="en-US" w:eastAsia="zh-CN"/>
              </w:rPr>
              <w:t>表4-</w:t>
            </w:r>
            <w:r>
              <w:rPr>
                <w:rFonts w:hint="eastAsia" w:cs="Times New Roman"/>
                <w:b/>
                <w:bCs/>
                <w:color w:val="auto"/>
                <w:sz w:val="24"/>
                <w:szCs w:val="24"/>
                <w:highlight w:val="none"/>
                <w:lang w:val="en-US" w:eastAsia="zh-CN"/>
              </w:rPr>
              <w:t xml:space="preserve">6 </w:t>
            </w:r>
            <w:r>
              <w:rPr>
                <w:rFonts w:hint="eastAsia" w:ascii="Times New Roman" w:hAnsi="Times New Roman" w:eastAsia="宋体" w:cs="Times New Roman"/>
                <w:b/>
                <w:bCs/>
                <w:color w:val="auto"/>
                <w:sz w:val="24"/>
                <w:szCs w:val="24"/>
                <w:highlight w:val="none"/>
                <w:lang w:val="en-US" w:eastAsia="zh-CN"/>
              </w:rPr>
              <w:t xml:space="preserve"> 项目建成后厂界噪声预测结果一览表  单位：dB(A)</w:t>
            </w:r>
          </w:p>
          <w:tbl>
            <w:tblPr>
              <w:tblStyle w:val="3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2"/>
              <w:gridCol w:w="1538"/>
              <w:gridCol w:w="1607"/>
              <w:gridCol w:w="1693"/>
              <w:gridCol w:w="21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 w:hRule="atLeast"/>
              </w:trPr>
              <w:tc>
                <w:tcPr>
                  <w:tcW w:w="1412" w:type="dxa"/>
                  <w:vMerge w:val="restart"/>
                  <w:vAlign w:val="center"/>
                </w:tcPr>
                <w:p>
                  <w:pPr>
                    <w:pStyle w:val="105"/>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rPr>
                      <w:rFonts w:hint="eastAsia"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cs="Times New Roman"/>
                      <w:b w:val="0"/>
                      <w:bCs w:val="0"/>
                      <w:color w:val="auto"/>
                      <w:sz w:val="21"/>
                      <w:szCs w:val="21"/>
                      <w:highlight w:val="none"/>
                      <w:lang w:val="en-US" w:eastAsia="zh-CN"/>
                    </w:rPr>
                    <w:t>设备名称</w:t>
                  </w:r>
                </w:p>
              </w:tc>
              <w:tc>
                <w:tcPr>
                  <w:tcW w:w="6975" w:type="dxa"/>
                  <w:gridSpan w:val="4"/>
                  <w:vAlign w:val="center"/>
                </w:tcPr>
                <w:p>
                  <w:pPr>
                    <w:pStyle w:val="105"/>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cs="Times New Roman"/>
                      <w:b w:val="0"/>
                      <w:bCs w:val="0"/>
                      <w:color w:val="auto"/>
                      <w:sz w:val="21"/>
                      <w:szCs w:val="21"/>
                      <w:highlight w:val="none"/>
                      <w:lang w:val="en-US" w:eastAsia="zh-CN"/>
                    </w:rPr>
                    <w:t>昼间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 w:hRule="atLeast"/>
              </w:trPr>
              <w:tc>
                <w:tcPr>
                  <w:tcW w:w="1412" w:type="dxa"/>
                  <w:vMerge w:val="continue"/>
                  <w:vAlign w:val="center"/>
                </w:tcPr>
                <w:p>
                  <w:pPr>
                    <w:pStyle w:val="105"/>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rPr>
                      <w:rFonts w:hint="default" w:ascii="Times New Roman" w:hAnsi="Times New Roman" w:cs="Times New Roman"/>
                      <w:b w:val="0"/>
                      <w:bCs w:val="0"/>
                      <w:color w:val="auto"/>
                      <w:sz w:val="21"/>
                      <w:szCs w:val="21"/>
                      <w:highlight w:val="none"/>
                      <w:lang w:val="en-US" w:eastAsia="zh-CN"/>
                    </w:rPr>
                  </w:pPr>
                </w:p>
              </w:tc>
              <w:tc>
                <w:tcPr>
                  <w:tcW w:w="1538" w:type="dxa"/>
                  <w:vAlign w:val="center"/>
                </w:tcPr>
                <w:p>
                  <w:pPr>
                    <w:pStyle w:val="105"/>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rPr>
                      <w:rFonts w:hint="eastAsia"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cs="Times New Roman"/>
                      <w:b w:val="0"/>
                      <w:bCs w:val="0"/>
                      <w:color w:val="auto"/>
                      <w:sz w:val="21"/>
                      <w:szCs w:val="21"/>
                      <w:highlight w:val="none"/>
                      <w:lang w:val="en-US" w:eastAsia="zh-CN"/>
                    </w:rPr>
                    <w:t>东侧</w:t>
                  </w:r>
                </w:p>
              </w:tc>
              <w:tc>
                <w:tcPr>
                  <w:tcW w:w="1607" w:type="dxa"/>
                  <w:vAlign w:val="center"/>
                </w:tcPr>
                <w:p>
                  <w:pPr>
                    <w:pStyle w:val="105"/>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rPr>
                      <w:rFonts w:hint="eastAsia"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cs="Times New Roman"/>
                      <w:b w:val="0"/>
                      <w:bCs w:val="0"/>
                      <w:color w:val="auto"/>
                      <w:sz w:val="21"/>
                      <w:szCs w:val="21"/>
                      <w:highlight w:val="none"/>
                      <w:lang w:val="en-US" w:eastAsia="zh-CN"/>
                    </w:rPr>
                    <w:t>西侧</w:t>
                  </w:r>
                </w:p>
              </w:tc>
              <w:tc>
                <w:tcPr>
                  <w:tcW w:w="1693" w:type="dxa"/>
                  <w:vAlign w:val="center"/>
                </w:tcPr>
                <w:p>
                  <w:pPr>
                    <w:pStyle w:val="105"/>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rPr>
                      <w:rFonts w:hint="eastAsia"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cs="Times New Roman"/>
                      <w:b w:val="0"/>
                      <w:bCs w:val="0"/>
                      <w:color w:val="auto"/>
                      <w:sz w:val="21"/>
                      <w:szCs w:val="21"/>
                      <w:highlight w:val="none"/>
                      <w:lang w:val="en-US" w:eastAsia="zh-CN"/>
                    </w:rPr>
                    <w:t>南侧</w:t>
                  </w:r>
                </w:p>
              </w:tc>
              <w:tc>
                <w:tcPr>
                  <w:tcW w:w="2137" w:type="dxa"/>
                  <w:vAlign w:val="center"/>
                </w:tcPr>
                <w:p>
                  <w:pPr>
                    <w:pStyle w:val="105"/>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rPr>
                      <w:rFonts w:hint="eastAsia"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cs="Times New Roman"/>
                      <w:b w:val="0"/>
                      <w:bCs w:val="0"/>
                      <w:color w:val="auto"/>
                      <w:sz w:val="21"/>
                      <w:szCs w:val="21"/>
                      <w:highlight w:val="none"/>
                      <w:lang w:val="en-US" w:eastAsia="zh-CN"/>
                    </w:rPr>
                    <w:t>北侧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2"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rPr>
                      <w:rFonts w:hint="eastAsia"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cs="Times New Roman"/>
                      <w:b w:val="0"/>
                      <w:bCs w:val="0"/>
                      <w:color w:val="auto"/>
                      <w:sz w:val="21"/>
                      <w:szCs w:val="21"/>
                      <w:highlight w:val="none"/>
                    </w:rPr>
                    <w:t>设备贡献值叠加后</w:t>
                  </w:r>
                </w:p>
              </w:tc>
              <w:tc>
                <w:tcPr>
                  <w:tcW w:w="1538"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26.79</w:t>
                  </w:r>
                </w:p>
              </w:tc>
              <w:tc>
                <w:tcPr>
                  <w:tcW w:w="1607"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35.42</w:t>
                  </w:r>
                </w:p>
              </w:tc>
              <w:tc>
                <w:tcPr>
                  <w:tcW w:w="1693"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30.61</w:t>
                  </w:r>
                </w:p>
              </w:tc>
              <w:tc>
                <w:tcPr>
                  <w:tcW w:w="2137"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30.48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2"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rPr>
                      <w:rFonts w:hint="eastAsia"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cs="Times New Roman"/>
                      <w:b w:val="0"/>
                      <w:bCs w:val="0"/>
                      <w:color w:val="auto"/>
                      <w:sz w:val="21"/>
                      <w:szCs w:val="21"/>
                      <w:highlight w:val="none"/>
                    </w:rPr>
                    <w:t>现状监测值</w:t>
                  </w:r>
                </w:p>
              </w:tc>
              <w:tc>
                <w:tcPr>
                  <w:tcW w:w="1538"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57.7</w:t>
                  </w:r>
                </w:p>
              </w:tc>
              <w:tc>
                <w:tcPr>
                  <w:tcW w:w="1607"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58.1</w:t>
                  </w:r>
                </w:p>
              </w:tc>
              <w:tc>
                <w:tcPr>
                  <w:tcW w:w="1693"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58.7</w:t>
                  </w:r>
                </w:p>
              </w:tc>
              <w:tc>
                <w:tcPr>
                  <w:tcW w:w="2137"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57.6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2"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rPr>
                      <w:rFonts w:hint="eastAsia"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cs="Times New Roman"/>
                      <w:b w:val="0"/>
                      <w:bCs w:val="0"/>
                      <w:color w:val="auto"/>
                      <w:sz w:val="21"/>
                      <w:szCs w:val="21"/>
                      <w:highlight w:val="none"/>
                    </w:rPr>
                    <w:t>预测值</w:t>
                  </w:r>
                </w:p>
              </w:tc>
              <w:tc>
                <w:tcPr>
                  <w:tcW w:w="1538"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57.9</w:t>
                  </w:r>
                </w:p>
              </w:tc>
              <w:tc>
                <w:tcPr>
                  <w:tcW w:w="1607"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58.12</w:t>
                  </w:r>
                </w:p>
              </w:tc>
              <w:tc>
                <w:tcPr>
                  <w:tcW w:w="1693"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58.71</w:t>
                  </w:r>
                </w:p>
              </w:tc>
              <w:tc>
                <w:tcPr>
                  <w:tcW w:w="2137"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rPr>
                      <w:rFonts w:hint="default" w:ascii="Times New Roman" w:hAnsi="Times New Roman" w:eastAsia="宋体"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57.61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2"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rPr>
                      <w:rFonts w:hint="eastAsia"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cs="Times New Roman"/>
                      <w:b w:val="0"/>
                      <w:bCs w:val="0"/>
                      <w:color w:val="auto"/>
                      <w:sz w:val="21"/>
                      <w:szCs w:val="21"/>
                      <w:highlight w:val="none"/>
                    </w:rPr>
                    <w:t>标准限值</w:t>
                  </w:r>
                </w:p>
              </w:tc>
              <w:tc>
                <w:tcPr>
                  <w:tcW w:w="6975" w:type="dxa"/>
                  <w:gridSpan w:val="4"/>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240" w:lineRule="auto"/>
                    <w:jc w:val="center"/>
                    <w:rPr>
                      <w:rFonts w:hint="eastAsia"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cs="Times New Roman"/>
                      <w:b w:val="0"/>
                      <w:bCs w:val="0"/>
                      <w:color w:val="auto"/>
                      <w:sz w:val="21"/>
                      <w:szCs w:val="21"/>
                      <w:highlight w:val="none"/>
                      <w:lang w:val="en-US" w:eastAsia="zh-CN"/>
                    </w:rPr>
                    <w:t>昼间≤65</w:t>
                  </w:r>
                  <w:r>
                    <w:rPr>
                      <w:rFonts w:hint="eastAsia" w:cs="Times New Roman"/>
                      <w:b w:val="0"/>
                      <w:bCs w:val="0"/>
                      <w:color w:val="auto"/>
                      <w:sz w:val="21"/>
                      <w:szCs w:val="21"/>
                      <w:highlight w:val="none"/>
                      <w:lang w:val="en-US" w:eastAsia="zh-CN"/>
                    </w:rPr>
                    <w:t>（夜间不生产）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2"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rPr>
                      <w:rFonts w:hint="eastAsia"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cs="Times New Roman"/>
                      <w:b w:val="0"/>
                      <w:bCs w:val="0"/>
                      <w:color w:val="auto"/>
                      <w:sz w:val="21"/>
                      <w:szCs w:val="21"/>
                      <w:highlight w:val="none"/>
                    </w:rPr>
                    <w:t>评价结果</w:t>
                  </w:r>
                </w:p>
              </w:tc>
              <w:tc>
                <w:tcPr>
                  <w:tcW w:w="1538" w:type="dxa"/>
                  <w:vAlign w:val="center"/>
                </w:tcPr>
                <w:p>
                  <w:pPr>
                    <w:pStyle w:val="105"/>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rPr>
                      <w:rFonts w:hint="eastAsia"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cs="Times New Roman"/>
                      <w:b w:val="0"/>
                      <w:bCs w:val="0"/>
                      <w:color w:val="auto"/>
                      <w:sz w:val="21"/>
                      <w:szCs w:val="21"/>
                      <w:highlight w:val="none"/>
                      <w:lang w:val="en-US" w:eastAsia="zh-CN"/>
                    </w:rPr>
                    <w:t>达标</w:t>
                  </w:r>
                </w:p>
              </w:tc>
              <w:tc>
                <w:tcPr>
                  <w:tcW w:w="1607" w:type="dxa"/>
                  <w:vAlign w:val="center"/>
                </w:tcPr>
                <w:p>
                  <w:pPr>
                    <w:pStyle w:val="105"/>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rPr>
                      <w:rFonts w:hint="eastAsia"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cs="Times New Roman"/>
                      <w:b w:val="0"/>
                      <w:bCs w:val="0"/>
                      <w:color w:val="auto"/>
                      <w:sz w:val="21"/>
                      <w:szCs w:val="21"/>
                      <w:highlight w:val="none"/>
                      <w:lang w:val="en-US" w:eastAsia="zh-CN"/>
                    </w:rPr>
                    <w:t>达标</w:t>
                  </w:r>
                </w:p>
              </w:tc>
              <w:tc>
                <w:tcPr>
                  <w:tcW w:w="1693" w:type="dxa"/>
                  <w:vAlign w:val="center"/>
                </w:tcPr>
                <w:p>
                  <w:pPr>
                    <w:pStyle w:val="105"/>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rPr>
                      <w:rFonts w:hint="eastAsia"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cs="Times New Roman"/>
                      <w:b w:val="0"/>
                      <w:bCs w:val="0"/>
                      <w:color w:val="auto"/>
                      <w:sz w:val="21"/>
                      <w:szCs w:val="21"/>
                      <w:highlight w:val="none"/>
                      <w:lang w:val="en-US" w:eastAsia="zh-CN"/>
                    </w:rPr>
                    <w:t>达标</w:t>
                  </w:r>
                </w:p>
              </w:tc>
              <w:tc>
                <w:tcPr>
                  <w:tcW w:w="2137" w:type="dxa"/>
                  <w:vAlign w:val="center"/>
                </w:tcPr>
                <w:p>
                  <w:pPr>
                    <w:pStyle w:val="105"/>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rPr>
                      <w:rFonts w:hint="eastAsia" w:ascii="Times New Roman" w:hAnsi="Times New Roman" w:eastAsia="宋体" w:cs="Times New Roman"/>
                      <w:b w:val="0"/>
                      <w:bCs w:val="0"/>
                      <w:color w:val="auto"/>
                      <w:sz w:val="21"/>
                      <w:szCs w:val="21"/>
                      <w:highlight w:val="none"/>
                      <w:vertAlign w:val="baseline"/>
                      <w:lang w:val="en-US" w:eastAsia="zh-CN"/>
                    </w:rPr>
                  </w:pPr>
                  <w:r>
                    <w:rPr>
                      <w:rFonts w:hint="default" w:ascii="Times New Roman" w:hAnsi="Times New Roman" w:cs="Times New Roman"/>
                      <w:b w:val="0"/>
                      <w:bCs w:val="0"/>
                      <w:color w:val="auto"/>
                      <w:sz w:val="21"/>
                      <w:szCs w:val="21"/>
                      <w:highlight w:val="none"/>
                      <w:lang w:val="en-US" w:eastAsia="zh-CN"/>
                    </w:rPr>
                    <w:t>达标</w:t>
                  </w:r>
                </w:p>
              </w:tc>
            </w:tr>
          </w:tbl>
          <w:p>
            <w:pPr>
              <w:adjustRightInd w:val="0"/>
              <w:snapToGrid w:val="0"/>
              <w:spacing w:line="360" w:lineRule="auto"/>
              <w:ind w:firstLine="480" w:firstLineChars="200"/>
              <w:jc w:val="both"/>
              <w:rPr>
                <w:rFonts w:hint="default" w:ascii="Times New Roman" w:hAnsi="Times New Roman" w:eastAsia="宋体" w:cs="Times New Roman"/>
                <w:bCs/>
                <w:color w:val="auto"/>
                <w:sz w:val="24"/>
                <w:szCs w:val="24"/>
                <w:highlight w:val="none"/>
                <w:lang w:val="en-US" w:eastAsia="zh-CN"/>
              </w:rPr>
            </w:pPr>
            <w:r>
              <w:rPr>
                <w:rFonts w:hint="eastAsia" w:ascii="Times New Roman" w:hAnsi="Times New Roman" w:eastAsia="宋体" w:cs="Times New Roman"/>
                <w:bCs/>
                <w:color w:val="auto"/>
                <w:sz w:val="24"/>
                <w:szCs w:val="24"/>
                <w:highlight w:val="none"/>
                <w:lang w:val="en-US" w:eastAsia="zh-CN"/>
              </w:rPr>
              <w:t>根据噪声预测结果，项目建成后噪声源对四周厂界的噪声贡献值为</w:t>
            </w:r>
            <w:r>
              <w:rPr>
                <w:rFonts w:hint="eastAsia" w:cs="Times New Roman"/>
                <w:bCs/>
                <w:color w:val="auto"/>
                <w:sz w:val="24"/>
                <w:szCs w:val="24"/>
                <w:highlight w:val="none"/>
                <w:lang w:val="en-US" w:eastAsia="zh-CN"/>
              </w:rPr>
              <w:t>26.79-35.42</w:t>
            </w:r>
            <w:r>
              <w:rPr>
                <w:rFonts w:hint="eastAsia" w:ascii="Times New Roman" w:hAnsi="Times New Roman" w:eastAsia="宋体" w:cs="Times New Roman"/>
                <w:bCs/>
                <w:color w:val="auto"/>
                <w:sz w:val="24"/>
                <w:szCs w:val="24"/>
                <w:highlight w:val="none"/>
                <w:lang w:val="en-US" w:eastAsia="zh-CN"/>
              </w:rPr>
              <w:t>dB(A)</w:t>
            </w:r>
            <w:r>
              <w:rPr>
                <w:rFonts w:hint="eastAsia" w:cs="Times New Roman"/>
                <w:bCs/>
                <w:color w:val="auto"/>
                <w:sz w:val="24"/>
                <w:szCs w:val="24"/>
                <w:highlight w:val="none"/>
                <w:lang w:val="en-US" w:eastAsia="zh-CN"/>
              </w:rPr>
              <w:t>，叠加现状监测数据后，厂界噪声范围为57.61-58.71</w:t>
            </w:r>
            <w:r>
              <w:rPr>
                <w:rFonts w:hint="eastAsia" w:ascii="Times New Roman" w:hAnsi="Times New Roman" w:eastAsia="宋体" w:cs="Times New Roman"/>
                <w:bCs/>
                <w:color w:val="auto"/>
                <w:sz w:val="24"/>
                <w:szCs w:val="24"/>
                <w:highlight w:val="none"/>
                <w:lang w:val="en-US" w:eastAsia="zh-CN"/>
              </w:rPr>
              <w:t>dB(A)。综上所述，通过选用低噪声设备、采用减震基础、安装减震装置、车间合理布局等措施后，再经厂房隔声、距离衰减后，厂界噪声满足《工业企业厂界环境噪声排放标准》（GB12348-2008）中的</w:t>
            </w:r>
            <w:r>
              <w:rPr>
                <w:rFonts w:hint="eastAsia" w:cs="Times New Roman"/>
                <w:bCs/>
                <w:color w:val="auto"/>
                <w:sz w:val="24"/>
                <w:szCs w:val="24"/>
                <w:highlight w:val="none"/>
                <w:lang w:val="en-US" w:eastAsia="zh-CN"/>
              </w:rPr>
              <w:t>3</w:t>
            </w:r>
            <w:r>
              <w:rPr>
                <w:rFonts w:hint="eastAsia" w:ascii="Times New Roman" w:hAnsi="Times New Roman" w:eastAsia="宋体" w:cs="Times New Roman"/>
                <w:bCs/>
                <w:color w:val="auto"/>
                <w:sz w:val="24"/>
                <w:szCs w:val="24"/>
                <w:highlight w:val="none"/>
                <w:lang w:val="en-US" w:eastAsia="zh-CN"/>
              </w:rPr>
              <w:t>类标准。</w:t>
            </w:r>
          </w:p>
          <w:p>
            <w:pPr>
              <w:pStyle w:val="28"/>
              <w:spacing w:line="240" w:lineRule="auto"/>
              <w:ind w:left="0" w:leftChars="0" w:firstLine="0" w:firstLineChars="0"/>
              <w:rPr>
                <w:rFonts w:hint="default" w:ascii="Times New Roman" w:hAnsi="Times New Roman" w:eastAsia="宋体" w:cs="Times New Roman"/>
                <w:b/>
                <w:bCs/>
                <w:color w:val="auto"/>
                <w:kern w:val="2"/>
                <w:sz w:val="24"/>
                <w:szCs w:val="32"/>
                <w:highlight w:val="none"/>
                <w:lang w:val="en-US" w:eastAsia="zh-CN" w:bidi="ar-SA"/>
              </w:rPr>
            </w:pPr>
            <w:r>
              <w:rPr>
                <w:rFonts w:hint="default" w:ascii="Times New Roman" w:hAnsi="Times New Roman" w:eastAsia="宋体" w:cs="Times New Roman"/>
                <w:b/>
                <w:bCs/>
                <w:color w:val="auto"/>
                <w:kern w:val="2"/>
                <w:sz w:val="24"/>
                <w:szCs w:val="32"/>
                <w:highlight w:val="none"/>
                <w:lang w:val="en-US" w:eastAsia="zh-CN" w:bidi="ar-SA"/>
              </w:rPr>
              <w:t>3.3监测要求</w:t>
            </w:r>
          </w:p>
          <w:p>
            <w:pPr>
              <w:pStyle w:val="51"/>
              <w:bidi w:val="0"/>
              <w:rPr>
                <w:rFonts w:hint="default" w:ascii="Times New Roman" w:hAnsi="Times New Roman" w:cs="Times New Roman"/>
                <w:color w:val="auto"/>
                <w:sz w:val="40"/>
                <w:szCs w:val="22"/>
                <w:highlight w:val="none"/>
                <w:lang w:val="en-US" w:eastAsia="zh-CN"/>
              </w:rPr>
            </w:pPr>
            <w:r>
              <w:rPr>
                <w:rFonts w:hint="default" w:ascii="Times New Roman" w:hAnsi="Times New Roman" w:eastAsia="宋体" w:cs="Times New Roman"/>
                <w:b/>
                <w:bCs/>
                <w:color w:val="auto"/>
                <w:kern w:val="2"/>
                <w:sz w:val="24"/>
                <w:szCs w:val="24"/>
                <w:highlight w:val="none"/>
                <w:lang w:val="en-US" w:eastAsia="zh-CN" w:bidi="ar-SA"/>
              </w:rPr>
              <w:t>表</w:t>
            </w:r>
            <w:r>
              <w:rPr>
                <w:rFonts w:hint="eastAsia" w:ascii="Times New Roman" w:hAnsi="Times New Roman" w:eastAsia="宋体" w:cs="Times New Roman"/>
                <w:b/>
                <w:bCs/>
                <w:color w:val="auto"/>
                <w:kern w:val="2"/>
                <w:sz w:val="24"/>
                <w:szCs w:val="24"/>
                <w:highlight w:val="none"/>
                <w:lang w:val="en-US" w:eastAsia="zh-CN" w:bidi="ar-SA"/>
              </w:rPr>
              <w:t>4-</w:t>
            </w:r>
            <w:r>
              <w:rPr>
                <w:rFonts w:hint="eastAsia" w:cs="Times New Roman"/>
                <w:b/>
                <w:bCs/>
                <w:color w:val="auto"/>
                <w:kern w:val="2"/>
                <w:sz w:val="24"/>
                <w:szCs w:val="24"/>
                <w:highlight w:val="none"/>
                <w:lang w:val="en-US" w:eastAsia="zh-CN" w:bidi="ar-SA"/>
              </w:rPr>
              <w:t xml:space="preserve">7 </w:t>
            </w:r>
            <w:r>
              <w:rPr>
                <w:rFonts w:hint="default" w:ascii="Times New Roman" w:hAnsi="Times New Roman" w:eastAsia="宋体" w:cs="Times New Roman"/>
                <w:b/>
                <w:bCs/>
                <w:color w:val="auto"/>
                <w:kern w:val="2"/>
                <w:sz w:val="24"/>
                <w:szCs w:val="24"/>
                <w:highlight w:val="none"/>
                <w:lang w:val="en-US" w:eastAsia="zh-CN" w:bidi="ar-SA"/>
              </w:rPr>
              <w:t xml:space="preserve">  监测要求一览表</w:t>
            </w:r>
          </w:p>
          <w:tbl>
            <w:tblPr>
              <w:tblStyle w:val="3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82"/>
              <w:gridCol w:w="2967"/>
              <w:gridCol w:w="2033"/>
              <w:gridCol w:w="21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212" w:type="dxa"/>
                  <w:tcBorders>
                    <w:tl2br w:val="nil"/>
                    <w:tr2bl w:val="nil"/>
                  </w:tcBorders>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监测项目</w:t>
                  </w:r>
                </w:p>
              </w:tc>
              <w:tc>
                <w:tcPr>
                  <w:tcW w:w="2802" w:type="dxa"/>
                  <w:tcBorders>
                    <w:tl2br w:val="nil"/>
                    <w:tr2bl w:val="nil"/>
                  </w:tcBorders>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监测点位</w:t>
                  </w:r>
                </w:p>
              </w:tc>
              <w:tc>
                <w:tcPr>
                  <w:tcW w:w="1920" w:type="dxa"/>
                  <w:tcBorders>
                    <w:tl2br w:val="nil"/>
                    <w:tr2bl w:val="nil"/>
                  </w:tcBorders>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监测因子</w:t>
                  </w:r>
                </w:p>
              </w:tc>
              <w:tc>
                <w:tcPr>
                  <w:tcW w:w="2003" w:type="dxa"/>
                  <w:tcBorders>
                    <w:tl2br w:val="nil"/>
                    <w:tr2bl w:val="nil"/>
                  </w:tcBorders>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监测频次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212" w:type="dxa"/>
                  <w:tcBorders>
                    <w:tl2br w:val="nil"/>
                    <w:tr2bl w:val="nil"/>
                  </w:tcBorders>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噪声</w:t>
                  </w:r>
                </w:p>
              </w:tc>
              <w:tc>
                <w:tcPr>
                  <w:tcW w:w="2802" w:type="dxa"/>
                  <w:tcBorders>
                    <w:tl2br w:val="nil"/>
                    <w:tr2bl w:val="nil"/>
                  </w:tcBorders>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厂界外1米</w:t>
                  </w:r>
                </w:p>
              </w:tc>
              <w:tc>
                <w:tcPr>
                  <w:tcW w:w="1920" w:type="dxa"/>
                  <w:tcBorders>
                    <w:tl2br w:val="nil"/>
                    <w:tr2bl w:val="nil"/>
                  </w:tcBorders>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等效A声级</w:t>
                  </w:r>
                </w:p>
              </w:tc>
              <w:tc>
                <w:tcPr>
                  <w:tcW w:w="2003" w:type="dxa"/>
                  <w:tcBorders>
                    <w:tl2br w:val="nil"/>
                    <w:tr2bl w:val="nil"/>
                  </w:tcBorders>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每年度一次</w:t>
                  </w:r>
                </w:p>
              </w:tc>
            </w:tr>
          </w:tbl>
          <w:p>
            <w:pPr>
              <w:pStyle w:val="10"/>
              <w:bidi w:val="0"/>
              <w:rPr>
                <w:rFonts w:hint="default" w:ascii="Times New Roman" w:hAnsi="Times New Roman" w:cs="Times New Roman"/>
                <w:color w:val="auto"/>
                <w:highlight w:val="none"/>
              </w:rPr>
            </w:pPr>
            <w:r>
              <w:rPr>
                <w:rFonts w:hint="default" w:ascii="Times New Roman" w:hAnsi="Times New Roman" w:cs="Times New Roman"/>
                <w:color w:val="auto"/>
                <w:highlight w:val="none"/>
              </w:rPr>
              <w:t>4</w:t>
            </w:r>
            <w:r>
              <w:rPr>
                <w:rFonts w:hint="default" w:ascii="Times New Roman" w:hAnsi="Times New Roman" w:cs="Times New Roman"/>
                <w:color w:val="auto"/>
                <w:highlight w:val="none"/>
                <w:lang w:val="en-US" w:eastAsia="zh-CN"/>
              </w:rPr>
              <w:t xml:space="preserve"> </w:t>
            </w:r>
            <w:r>
              <w:rPr>
                <w:rFonts w:hint="default" w:ascii="Times New Roman" w:hAnsi="Times New Roman" w:cs="Times New Roman"/>
                <w:color w:val="auto"/>
                <w:highlight w:val="none"/>
              </w:rPr>
              <w:t>固废环境影响分析</w:t>
            </w:r>
          </w:p>
          <w:p>
            <w:pPr>
              <w:pStyle w:val="11"/>
              <w:bidi w:val="0"/>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4.1一般工业固体废物</w:t>
            </w:r>
          </w:p>
          <w:p>
            <w:pPr>
              <w:bidi w:val="0"/>
              <w:ind w:firstLine="480" w:firstLineChars="200"/>
              <w:rPr>
                <w:rFonts w:hint="default"/>
                <w:b w:val="0"/>
                <w:bCs/>
                <w:color w:val="auto"/>
                <w:sz w:val="24"/>
                <w:szCs w:val="24"/>
                <w:highlight w:val="none"/>
                <w:lang w:val="en-US" w:eastAsia="zh-CN"/>
              </w:rPr>
            </w:pPr>
            <w:r>
              <w:rPr>
                <w:rFonts w:hint="eastAsia"/>
                <w:b w:val="0"/>
                <w:bCs/>
                <w:color w:val="auto"/>
                <w:sz w:val="24"/>
                <w:szCs w:val="24"/>
                <w:highlight w:val="none"/>
                <w:lang w:val="en-US" w:eastAsia="zh-CN"/>
              </w:rPr>
              <w:t>一般工业固体废物种类不新增，本项目技改除增加喷漆房所用原辅料料外，其他原辅料增加量较少，技改完成后全厂一般工业固体废物产生量详见下表。</w:t>
            </w:r>
          </w:p>
          <w:p>
            <w:pPr>
              <w:pStyle w:val="81"/>
              <w:bidi w:val="0"/>
              <w:spacing w:line="240" w:lineRule="auto"/>
              <w:rPr>
                <w:rFonts w:hint="default" w:ascii="Times New Roman" w:hAnsi="Times New Roman" w:cs="Times New Roman"/>
                <w:b/>
                <w:color w:val="auto"/>
                <w:sz w:val="24"/>
                <w:szCs w:val="24"/>
                <w:highlight w:val="none"/>
                <w:lang w:val="en-US" w:eastAsia="zh-CN"/>
              </w:rPr>
            </w:pPr>
            <w:r>
              <w:rPr>
                <w:rFonts w:hint="default" w:ascii="Times New Roman" w:hAnsi="Times New Roman" w:cs="Times New Roman"/>
                <w:b/>
                <w:color w:val="auto"/>
                <w:sz w:val="24"/>
                <w:szCs w:val="24"/>
                <w:highlight w:val="none"/>
                <w:lang w:val="en-US" w:eastAsia="zh-CN"/>
              </w:rPr>
              <w:t>表4-</w:t>
            </w:r>
            <w:r>
              <w:rPr>
                <w:rFonts w:hint="eastAsia" w:ascii="Times New Roman" w:hAnsi="Times New Roman" w:cs="Times New Roman"/>
                <w:b/>
                <w:color w:val="auto"/>
                <w:sz w:val="24"/>
                <w:szCs w:val="24"/>
                <w:highlight w:val="none"/>
                <w:lang w:val="en-US" w:eastAsia="zh-CN"/>
              </w:rPr>
              <w:t>8</w:t>
            </w:r>
            <w:r>
              <w:rPr>
                <w:rFonts w:hint="default" w:ascii="Times New Roman" w:hAnsi="Times New Roman" w:cs="Times New Roman"/>
                <w:b/>
                <w:color w:val="auto"/>
                <w:sz w:val="24"/>
                <w:szCs w:val="24"/>
                <w:highlight w:val="none"/>
                <w:lang w:val="en-US" w:eastAsia="zh-CN"/>
              </w:rPr>
              <w:t xml:space="preserve">  </w:t>
            </w:r>
            <w:r>
              <w:rPr>
                <w:rFonts w:hint="eastAsia" w:ascii="Times New Roman" w:hAnsi="Times New Roman" w:cs="Times New Roman"/>
                <w:b/>
                <w:color w:val="auto"/>
                <w:sz w:val="24"/>
                <w:szCs w:val="24"/>
                <w:highlight w:val="none"/>
                <w:lang w:val="en-US" w:eastAsia="zh-CN"/>
              </w:rPr>
              <w:t>技改</w:t>
            </w:r>
            <w:r>
              <w:rPr>
                <w:rFonts w:hint="default" w:ascii="Times New Roman" w:hAnsi="Times New Roman" w:cs="Times New Roman"/>
                <w:b/>
                <w:color w:val="auto"/>
                <w:sz w:val="24"/>
                <w:szCs w:val="24"/>
                <w:highlight w:val="none"/>
                <w:lang w:val="en-US" w:eastAsia="zh-CN"/>
              </w:rPr>
              <w:t>完成后全厂一般工业固体废物情况一览表</w:t>
            </w:r>
          </w:p>
          <w:tbl>
            <w:tblPr>
              <w:tblStyle w:val="33"/>
              <w:tblpPr w:leftFromText="180" w:rightFromText="180" w:vertAnchor="text" w:tblpXSpec="center" w:tblpY="1"/>
              <w:tblOverlap w:val="never"/>
              <w:tblW w:w="499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56"/>
              <w:gridCol w:w="1247"/>
              <w:gridCol w:w="1091"/>
              <w:gridCol w:w="1104"/>
              <w:gridCol w:w="1255"/>
              <w:gridCol w:w="1486"/>
              <w:gridCol w:w="17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1" w:type="pct"/>
                  <w:vAlign w:val="center"/>
                </w:tcPr>
                <w:p>
                  <w:pPr>
                    <w:pStyle w:val="81"/>
                    <w:bidi w:val="0"/>
                    <w:spacing w:line="240" w:lineRule="auto"/>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序号</w:t>
                  </w:r>
                </w:p>
              </w:tc>
              <w:tc>
                <w:tcPr>
                  <w:tcW w:w="742" w:type="pct"/>
                  <w:vAlign w:val="center"/>
                </w:tcPr>
                <w:p>
                  <w:pPr>
                    <w:pStyle w:val="81"/>
                    <w:bidi w:val="0"/>
                    <w:spacing w:line="240" w:lineRule="auto"/>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固废代码</w:t>
                  </w:r>
                </w:p>
              </w:tc>
              <w:tc>
                <w:tcPr>
                  <w:tcW w:w="649" w:type="pct"/>
                  <w:vAlign w:val="center"/>
                </w:tcPr>
                <w:p>
                  <w:pPr>
                    <w:pStyle w:val="81"/>
                    <w:bidi w:val="0"/>
                    <w:spacing w:line="240" w:lineRule="auto"/>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固废名称</w:t>
                  </w:r>
                </w:p>
              </w:tc>
              <w:tc>
                <w:tcPr>
                  <w:tcW w:w="657" w:type="pct"/>
                  <w:vAlign w:val="center"/>
                </w:tcPr>
                <w:p>
                  <w:pPr>
                    <w:pStyle w:val="81"/>
                    <w:bidi w:val="0"/>
                    <w:spacing w:line="240" w:lineRule="auto"/>
                    <w:rPr>
                      <w:rFonts w:hint="default" w:ascii="Times New Roman" w:hAnsi="Times New Roman" w:eastAsia="宋体" w:cs="Times New Roman"/>
                      <w:color w:val="auto"/>
                      <w:highlight w:val="none"/>
                      <w:lang w:val="en-US" w:eastAsia="zh-CN"/>
                    </w:rPr>
                  </w:pPr>
                  <w:r>
                    <w:rPr>
                      <w:rFonts w:hint="eastAsia" w:ascii="Times New Roman" w:hAnsi="Times New Roman" w:cs="Times New Roman"/>
                      <w:color w:val="auto"/>
                      <w:highlight w:val="none"/>
                      <w:lang w:val="en-US" w:eastAsia="zh-CN"/>
                    </w:rPr>
                    <w:t>现有工程产生量</w:t>
                  </w:r>
                </w:p>
              </w:tc>
              <w:tc>
                <w:tcPr>
                  <w:tcW w:w="747" w:type="pct"/>
                  <w:vAlign w:val="center"/>
                </w:tcPr>
                <w:p>
                  <w:pPr>
                    <w:pStyle w:val="81"/>
                    <w:bidi w:val="0"/>
                    <w:spacing w:line="240" w:lineRule="auto"/>
                    <w:rPr>
                      <w:rFonts w:hint="default" w:ascii="Times New Roman" w:hAnsi="Times New Roman" w:eastAsia="宋体" w:cs="Times New Roman"/>
                      <w:color w:val="auto"/>
                      <w:highlight w:val="none"/>
                      <w:lang w:val="en-US" w:eastAsia="zh-CN"/>
                    </w:rPr>
                  </w:pPr>
                  <w:r>
                    <w:rPr>
                      <w:rFonts w:hint="eastAsia" w:ascii="Times New Roman" w:hAnsi="Times New Roman" w:cs="Times New Roman"/>
                      <w:color w:val="auto"/>
                      <w:highlight w:val="none"/>
                      <w:lang w:val="en-US" w:eastAsia="zh-CN"/>
                    </w:rPr>
                    <w:t>技改项目产生量</w:t>
                  </w:r>
                </w:p>
              </w:tc>
              <w:tc>
                <w:tcPr>
                  <w:tcW w:w="884" w:type="pct"/>
                  <w:vAlign w:val="center"/>
                </w:tcPr>
                <w:p>
                  <w:pPr>
                    <w:pStyle w:val="81"/>
                    <w:bidi w:val="0"/>
                    <w:spacing w:line="240" w:lineRule="auto"/>
                    <w:rPr>
                      <w:rFonts w:hint="default" w:ascii="Times New Roman" w:hAnsi="Times New Roman" w:eastAsia="宋体" w:cs="Times New Roman"/>
                      <w:color w:val="auto"/>
                      <w:highlight w:val="none"/>
                      <w:lang w:val="en-US" w:eastAsia="zh-CN"/>
                    </w:rPr>
                  </w:pPr>
                  <w:r>
                    <w:rPr>
                      <w:rFonts w:hint="eastAsia" w:ascii="Times New Roman" w:hAnsi="Times New Roman" w:cs="Times New Roman"/>
                      <w:color w:val="auto"/>
                      <w:highlight w:val="none"/>
                      <w:lang w:val="en-US" w:eastAsia="zh-CN"/>
                    </w:rPr>
                    <w:t>技改完成后全厂</w:t>
                  </w:r>
                  <w:r>
                    <w:rPr>
                      <w:rFonts w:hint="eastAsia" w:ascii="Times New Roman" w:hAnsi="Times New Roman" w:eastAsia="宋体" w:cs="Times New Roman"/>
                      <w:color w:val="auto"/>
                      <w:highlight w:val="none"/>
                      <w:lang w:val="en-US" w:eastAsia="zh-CN"/>
                    </w:rPr>
                    <w:t>产生量（t/a）</w:t>
                  </w:r>
                </w:p>
              </w:tc>
              <w:tc>
                <w:tcPr>
                  <w:tcW w:w="1047" w:type="pct"/>
                  <w:vAlign w:val="center"/>
                </w:tcPr>
                <w:p>
                  <w:pPr>
                    <w:pStyle w:val="81"/>
                    <w:bidi w:val="0"/>
                    <w:spacing w:line="240" w:lineRule="auto"/>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处置措施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9" w:hRule="atLeast"/>
              </w:trPr>
              <w:tc>
                <w:tcPr>
                  <w:tcW w:w="271" w:type="pct"/>
                  <w:vAlign w:val="center"/>
                </w:tcPr>
                <w:p>
                  <w:pPr>
                    <w:pStyle w:val="81"/>
                    <w:bidi w:val="0"/>
                    <w:spacing w:line="240" w:lineRule="auto"/>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1</w:t>
                  </w:r>
                </w:p>
              </w:tc>
              <w:tc>
                <w:tcPr>
                  <w:tcW w:w="742" w:type="pct"/>
                  <w:vAlign w:val="center"/>
                </w:tcPr>
                <w:p>
                  <w:pPr>
                    <w:pStyle w:val="81"/>
                    <w:bidi w:val="0"/>
                    <w:spacing w:line="240" w:lineRule="auto"/>
                    <w:rPr>
                      <w:rFonts w:hint="default" w:ascii="Times New Roman" w:hAnsi="Times New Roman" w:eastAsia="宋体" w:cs="Times New Roman"/>
                      <w:color w:val="auto"/>
                      <w:highlight w:val="none"/>
                      <w:lang w:val="en-US" w:eastAsia="zh-CN"/>
                    </w:rPr>
                  </w:pPr>
                  <w:r>
                    <w:rPr>
                      <w:rFonts w:hint="eastAsia" w:ascii="Times New Roman" w:hAnsi="Times New Roman" w:cs="Times New Roman"/>
                      <w:color w:val="auto"/>
                      <w:highlight w:val="none"/>
                      <w:lang w:val="en-US" w:eastAsia="zh-CN"/>
                    </w:rPr>
                    <w:t>900-999-99</w:t>
                  </w:r>
                </w:p>
              </w:tc>
              <w:tc>
                <w:tcPr>
                  <w:tcW w:w="649" w:type="pct"/>
                  <w:vAlign w:val="center"/>
                </w:tcPr>
                <w:p>
                  <w:pPr>
                    <w:pStyle w:val="81"/>
                    <w:bidi w:val="0"/>
                    <w:spacing w:line="240" w:lineRule="auto"/>
                    <w:jc w:val="center"/>
                    <w:rPr>
                      <w:rFonts w:hint="eastAsia" w:ascii="Times New Roman" w:hAnsi="Times New Roman" w:eastAsia="宋体" w:cs="Times New Roman"/>
                      <w:color w:val="auto"/>
                      <w:highlight w:val="none"/>
                      <w:lang w:val="en-US" w:eastAsia="zh-CN"/>
                    </w:rPr>
                  </w:pPr>
                  <w:r>
                    <w:rPr>
                      <w:rFonts w:hint="eastAsia" w:ascii="Times New Roman" w:hAnsi="Times New Roman" w:cs="Times New Roman"/>
                      <w:color w:val="auto"/>
                      <w:highlight w:val="none"/>
                      <w:lang w:val="en-US" w:eastAsia="zh-CN"/>
                    </w:rPr>
                    <w:t>废抹布</w:t>
                  </w:r>
                </w:p>
              </w:tc>
              <w:tc>
                <w:tcPr>
                  <w:tcW w:w="657" w:type="pct"/>
                  <w:vAlign w:val="center"/>
                </w:tcPr>
                <w:p>
                  <w:pPr>
                    <w:pStyle w:val="81"/>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0.02</w:t>
                  </w:r>
                </w:p>
              </w:tc>
              <w:tc>
                <w:tcPr>
                  <w:tcW w:w="747" w:type="pct"/>
                  <w:vAlign w:val="center"/>
                </w:tcPr>
                <w:p>
                  <w:pPr>
                    <w:pStyle w:val="81"/>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0.001</w:t>
                  </w:r>
                </w:p>
              </w:tc>
              <w:tc>
                <w:tcPr>
                  <w:tcW w:w="884" w:type="pct"/>
                  <w:vAlign w:val="center"/>
                </w:tcPr>
                <w:p>
                  <w:pPr>
                    <w:pStyle w:val="81"/>
                    <w:bidi w:val="0"/>
                    <w:spacing w:line="240" w:lineRule="auto"/>
                    <w:rPr>
                      <w:rFonts w:hint="default" w:ascii="Times New Roman" w:hAnsi="Times New Roman" w:eastAsia="宋体" w:cs="Times New Roman"/>
                      <w:color w:val="auto"/>
                      <w:highlight w:val="none"/>
                      <w:lang w:val="en-US" w:eastAsia="zh-CN"/>
                    </w:rPr>
                  </w:pPr>
                  <w:r>
                    <w:rPr>
                      <w:rFonts w:hint="eastAsia" w:ascii="Times New Roman" w:hAnsi="Times New Roman" w:cs="Times New Roman"/>
                      <w:color w:val="auto"/>
                      <w:highlight w:val="none"/>
                      <w:lang w:val="en-US" w:eastAsia="zh-CN"/>
                    </w:rPr>
                    <w:t>0.021</w:t>
                  </w:r>
                </w:p>
              </w:tc>
              <w:tc>
                <w:tcPr>
                  <w:tcW w:w="1047" w:type="pct"/>
                  <w:vAlign w:val="center"/>
                </w:tcPr>
                <w:p>
                  <w:pPr>
                    <w:pStyle w:val="81"/>
                    <w:bidi w:val="0"/>
                    <w:spacing w:line="240" w:lineRule="auto"/>
                    <w:rPr>
                      <w:rFonts w:hint="default" w:ascii="Times New Roman" w:hAnsi="Times New Roman" w:eastAsia="宋体" w:cs="Times New Roman"/>
                      <w:color w:val="auto"/>
                      <w:highlight w:val="none"/>
                      <w:lang w:val="en-US" w:eastAsia="zh-CN"/>
                    </w:rPr>
                  </w:pPr>
                  <w:r>
                    <w:rPr>
                      <w:rFonts w:hint="eastAsia" w:ascii="Times New Roman" w:hAnsi="Times New Roman" w:cs="Times New Roman"/>
                      <w:color w:val="auto"/>
                      <w:highlight w:val="none"/>
                      <w:lang w:val="en-US" w:eastAsia="zh-CN"/>
                    </w:rPr>
                    <w:t>与生活垃圾一起交环卫部门处置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9" w:hRule="atLeast"/>
              </w:trPr>
              <w:tc>
                <w:tcPr>
                  <w:tcW w:w="271" w:type="pct"/>
                  <w:vAlign w:val="center"/>
                </w:tcPr>
                <w:p>
                  <w:pPr>
                    <w:pStyle w:val="81"/>
                    <w:bidi w:val="0"/>
                    <w:spacing w:line="240" w:lineRule="auto"/>
                    <w:rPr>
                      <w:rFonts w:hint="default" w:ascii="Times New Roman" w:hAnsi="Times New Roman" w:eastAsia="宋体" w:cs="Times New Roman"/>
                      <w:color w:val="auto"/>
                      <w:highlight w:val="none"/>
                      <w:lang w:val="en-US" w:eastAsia="zh-CN"/>
                    </w:rPr>
                  </w:pPr>
                  <w:r>
                    <w:rPr>
                      <w:rFonts w:hint="eastAsia" w:ascii="Times New Roman" w:hAnsi="Times New Roman" w:cs="Times New Roman"/>
                      <w:color w:val="auto"/>
                      <w:highlight w:val="none"/>
                      <w:lang w:val="en-US" w:eastAsia="zh-CN"/>
                    </w:rPr>
                    <w:t>2</w:t>
                  </w:r>
                </w:p>
              </w:tc>
              <w:tc>
                <w:tcPr>
                  <w:tcW w:w="742" w:type="pct"/>
                  <w:vAlign w:val="center"/>
                </w:tcPr>
                <w:p>
                  <w:pPr>
                    <w:pStyle w:val="81"/>
                    <w:bidi w:val="0"/>
                    <w:spacing w:line="240" w:lineRule="auto"/>
                    <w:rPr>
                      <w:rFonts w:hint="eastAsia" w:ascii="Times New Roman" w:hAnsi="Times New Roman" w:eastAsia="宋体" w:cs="Times New Roman"/>
                      <w:color w:val="auto"/>
                      <w:highlight w:val="none"/>
                      <w:lang w:val="en-US" w:eastAsia="zh-CN"/>
                    </w:rPr>
                  </w:pPr>
                  <w:r>
                    <w:rPr>
                      <w:rFonts w:hint="eastAsia" w:ascii="Times New Roman" w:hAnsi="Times New Roman" w:cs="Times New Roman"/>
                      <w:color w:val="auto"/>
                      <w:highlight w:val="none"/>
                      <w:lang w:val="en-US" w:eastAsia="zh-CN"/>
                    </w:rPr>
                    <w:t>900-999-09</w:t>
                  </w:r>
                </w:p>
              </w:tc>
              <w:tc>
                <w:tcPr>
                  <w:tcW w:w="649" w:type="pct"/>
                  <w:vAlign w:val="center"/>
                </w:tcPr>
                <w:p>
                  <w:pPr>
                    <w:pStyle w:val="58"/>
                    <w:bidi w:val="0"/>
                    <w:spacing w:line="240" w:lineRule="auto"/>
                    <w:jc w:val="center"/>
                    <w:rPr>
                      <w:rFonts w:hint="default" w:ascii="Times New Roman" w:hAnsi="Times New Roman" w:eastAsia="宋体" w:cs="Times New Roman"/>
                      <w:color w:val="auto"/>
                      <w:highlight w:val="none"/>
                      <w:lang w:val="en-US" w:eastAsia="zh-CN" w:bidi="ar-SA"/>
                    </w:rPr>
                  </w:pPr>
                  <w:r>
                    <w:rPr>
                      <w:rFonts w:hint="default" w:ascii="Times New Roman" w:hAnsi="Times New Roman" w:cs="Times New Roman"/>
                      <w:color w:val="auto"/>
                      <w:highlight w:val="none"/>
                      <w:lang w:val="en-US" w:eastAsia="zh-CN" w:bidi="ar-SA"/>
                    </w:rPr>
                    <w:t>边角料</w:t>
                  </w:r>
                  <w:r>
                    <w:rPr>
                      <w:rFonts w:hint="eastAsia" w:ascii="Times New Roman" w:hAnsi="Times New Roman" w:cs="Times New Roman"/>
                      <w:color w:val="auto"/>
                      <w:highlight w:val="none"/>
                      <w:lang w:val="en-US" w:eastAsia="zh-CN" w:bidi="ar-SA"/>
                    </w:rPr>
                    <w:t>、金属屑、废焊头</w:t>
                  </w:r>
                </w:p>
              </w:tc>
              <w:tc>
                <w:tcPr>
                  <w:tcW w:w="657" w:type="pct"/>
                  <w:vAlign w:val="center"/>
                </w:tcPr>
                <w:p>
                  <w:pPr>
                    <w:pStyle w:val="81"/>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0.55</w:t>
                  </w:r>
                </w:p>
              </w:tc>
              <w:tc>
                <w:tcPr>
                  <w:tcW w:w="747" w:type="pct"/>
                  <w:vAlign w:val="center"/>
                </w:tcPr>
                <w:p>
                  <w:pPr>
                    <w:pStyle w:val="81"/>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0.05</w:t>
                  </w:r>
                </w:p>
              </w:tc>
              <w:tc>
                <w:tcPr>
                  <w:tcW w:w="884" w:type="pct"/>
                  <w:vAlign w:val="center"/>
                </w:tcPr>
                <w:p>
                  <w:pPr>
                    <w:pStyle w:val="81"/>
                    <w:bidi w:val="0"/>
                    <w:spacing w:line="240" w:lineRule="auto"/>
                    <w:rPr>
                      <w:rFonts w:hint="default" w:ascii="Times New Roman" w:hAnsi="Times New Roman" w:eastAsia="宋体" w:cs="Times New Roman"/>
                      <w:color w:val="auto"/>
                      <w:highlight w:val="none"/>
                      <w:lang w:val="en-US" w:eastAsia="zh-CN"/>
                    </w:rPr>
                  </w:pPr>
                  <w:r>
                    <w:rPr>
                      <w:rFonts w:hint="eastAsia" w:ascii="Times New Roman" w:hAnsi="Times New Roman" w:cs="Times New Roman"/>
                      <w:color w:val="auto"/>
                      <w:highlight w:val="none"/>
                      <w:lang w:val="en-US" w:eastAsia="zh-CN"/>
                    </w:rPr>
                    <w:t>0.6</w:t>
                  </w:r>
                </w:p>
              </w:tc>
              <w:tc>
                <w:tcPr>
                  <w:tcW w:w="1047" w:type="pct"/>
                  <w:vMerge w:val="restart"/>
                  <w:vAlign w:val="center"/>
                </w:tcPr>
                <w:p>
                  <w:pPr>
                    <w:pStyle w:val="81"/>
                    <w:bidi w:val="0"/>
                    <w:spacing w:line="240" w:lineRule="auto"/>
                    <w:rPr>
                      <w:rFonts w:hint="default" w:ascii="Times New Roman" w:hAnsi="Times New Roman" w:eastAsia="宋体" w:cs="Times New Roman"/>
                      <w:color w:val="auto"/>
                      <w:highlight w:val="none"/>
                      <w:lang w:val="en-US" w:eastAsia="zh-CN"/>
                    </w:rPr>
                  </w:pPr>
                  <w:r>
                    <w:rPr>
                      <w:rFonts w:hint="eastAsia" w:ascii="Times New Roman" w:hAnsi="Times New Roman" w:cs="Times New Roman"/>
                      <w:color w:val="auto"/>
                      <w:highlight w:val="none"/>
                      <w:lang w:val="en-US" w:eastAsia="zh-CN"/>
                    </w:rPr>
                    <w:t>收集后外售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71" w:type="pct"/>
                  <w:vAlign w:val="center"/>
                </w:tcPr>
                <w:p>
                  <w:pPr>
                    <w:pStyle w:val="81"/>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3</w:t>
                  </w:r>
                </w:p>
              </w:tc>
              <w:tc>
                <w:tcPr>
                  <w:tcW w:w="742" w:type="pct"/>
                  <w:vAlign w:val="center"/>
                </w:tcPr>
                <w:p>
                  <w:pPr>
                    <w:pStyle w:val="81"/>
                    <w:bidi w:val="0"/>
                    <w:spacing w:line="240" w:lineRule="auto"/>
                    <w:rPr>
                      <w:rFonts w:hint="eastAsia"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900-999-99</w:t>
                  </w:r>
                </w:p>
              </w:tc>
              <w:tc>
                <w:tcPr>
                  <w:tcW w:w="649" w:type="pct"/>
                  <w:vAlign w:val="center"/>
                </w:tcPr>
                <w:p>
                  <w:pPr>
                    <w:pStyle w:val="58"/>
                    <w:bidi w:val="0"/>
                    <w:spacing w:line="240" w:lineRule="auto"/>
                    <w:jc w:val="center"/>
                    <w:rPr>
                      <w:rFonts w:hint="default" w:ascii="Times New Roman" w:hAnsi="Times New Roman" w:cs="Times New Roman"/>
                      <w:color w:val="auto"/>
                      <w:highlight w:val="none"/>
                      <w:lang w:val="en-US" w:eastAsia="zh-CN" w:bidi="ar-SA"/>
                    </w:rPr>
                  </w:pPr>
                  <w:r>
                    <w:rPr>
                      <w:rFonts w:hint="eastAsia" w:ascii="Times New Roman" w:hAnsi="Times New Roman" w:cs="Times New Roman"/>
                      <w:color w:val="auto"/>
                      <w:highlight w:val="none"/>
                      <w:lang w:val="en-US" w:eastAsia="zh-CN" w:bidi="ar-SA"/>
                    </w:rPr>
                    <w:t xml:space="preserve">除尘灰 </w:t>
                  </w:r>
                </w:p>
              </w:tc>
              <w:tc>
                <w:tcPr>
                  <w:tcW w:w="657" w:type="pct"/>
                  <w:vAlign w:val="center"/>
                </w:tcPr>
                <w:p>
                  <w:pPr>
                    <w:pStyle w:val="81"/>
                    <w:bidi w:val="0"/>
                    <w:spacing w:line="240" w:lineRule="auto"/>
                    <w:rPr>
                      <w:rFonts w:hint="eastAsia"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0.00045</w:t>
                  </w:r>
                </w:p>
              </w:tc>
              <w:tc>
                <w:tcPr>
                  <w:tcW w:w="747" w:type="pct"/>
                  <w:vAlign w:val="center"/>
                </w:tcPr>
                <w:p>
                  <w:pPr>
                    <w:pStyle w:val="81"/>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0.034</w:t>
                  </w:r>
                </w:p>
              </w:tc>
              <w:tc>
                <w:tcPr>
                  <w:tcW w:w="884" w:type="pct"/>
                  <w:vAlign w:val="center"/>
                </w:tcPr>
                <w:p>
                  <w:pPr>
                    <w:pStyle w:val="81"/>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0.03445</w:t>
                  </w:r>
                </w:p>
              </w:tc>
              <w:tc>
                <w:tcPr>
                  <w:tcW w:w="1047" w:type="pct"/>
                  <w:vMerge w:val="continue"/>
                  <w:vAlign w:val="center"/>
                </w:tcPr>
                <w:p>
                  <w:pPr>
                    <w:pStyle w:val="81"/>
                    <w:bidi w:val="0"/>
                    <w:spacing w:line="240" w:lineRule="auto"/>
                    <w:rPr>
                      <w:rFonts w:hint="eastAsia" w:ascii="Times New Roman" w:hAnsi="Times New Roman" w:cs="Times New Roman"/>
                      <w:color w:val="auto"/>
                      <w:highlight w:val="none"/>
                      <w:lang w:val="en-US" w:eastAsia="zh-CN"/>
                    </w:rPr>
                  </w:pPr>
                </w:p>
              </w:tc>
            </w:tr>
          </w:tbl>
          <w:p>
            <w:pPr>
              <w:pStyle w:val="11"/>
              <w:bidi w:val="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4.</w:t>
            </w:r>
            <w:r>
              <w:rPr>
                <w:rFonts w:hint="eastAsia" w:cs="Times New Roman"/>
                <w:color w:val="auto"/>
                <w:highlight w:val="none"/>
                <w:lang w:val="en-US" w:eastAsia="zh-CN"/>
              </w:rPr>
              <w:t>2</w:t>
            </w:r>
            <w:r>
              <w:rPr>
                <w:rFonts w:hint="default" w:ascii="Times New Roman" w:hAnsi="Times New Roman" w:cs="Times New Roman"/>
                <w:color w:val="auto"/>
                <w:highlight w:val="none"/>
                <w:lang w:val="en-US" w:eastAsia="zh-CN"/>
              </w:rPr>
              <w:t>危险废物</w:t>
            </w:r>
          </w:p>
          <w:p>
            <w:pPr>
              <w:bidi w:val="0"/>
              <w:ind w:firstLine="480" w:firstLineChars="200"/>
              <w:rPr>
                <w:rFonts w:hint="default" w:ascii="Times New Roman" w:hAnsi="Times New Roman" w:cs="Times New Roman"/>
                <w:color w:val="auto"/>
                <w:highlight w:val="none"/>
                <w:lang w:val="en-US" w:eastAsia="zh-CN"/>
              </w:rPr>
            </w:pPr>
            <w:r>
              <w:rPr>
                <w:rFonts w:hint="eastAsia" w:cs="Times New Roman"/>
                <w:color w:val="auto"/>
                <w:highlight w:val="none"/>
                <w:lang w:val="en-US" w:eastAsia="zh-CN"/>
              </w:rPr>
              <w:t>本项目现有危险废物种类为废机油、废润滑油、废液压油、废抹布，分类收集后暂存在危险废物暂存间，定期交有资质单位进行处置。</w:t>
            </w:r>
          </w:p>
          <w:p>
            <w:pPr>
              <w:pStyle w:val="14"/>
              <w:bidi w:val="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4.</w:t>
            </w:r>
            <w:r>
              <w:rPr>
                <w:rFonts w:hint="eastAsia" w:cs="Times New Roman"/>
                <w:color w:val="auto"/>
                <w:highlight w:val="none"/>
                <w:lang w:val="en-US" w:eastAsia="zh-CN"/>
              </w:rPr>
              <w:t>2</w:t>
            </w:r>
            <w:r>
              <w:rPr>
                <w:rFonts w:hint="default" w:ascii="Times New Roman" w:hAnsi="Times New Roman" w:cs="Times New Roman"/>
                <w:color w:val="auto"/>
                <w:highlight w:val="none"/>
                <w:lang w:val="en-US" w:eastAsia="zh-CN"/>
              </w:rPr>
              <w:t>.1 危险废物产生情况</w:t>
            </w:r>
          </w:p>
          <w:p>
            <w:pPr>
              <w:bidi w:val="0"/>
              <w:ind w:firstLine="480" w:firstLineChars="200"/>
              <w:rPr>
                <w:rFonts w:hint="eastAsia" w:cs="Times New Roman"/>
                <w:color w:val="auto"/>
                <w:highlight w:val="none"/>
                <w:lang w:val="en-US" w:eastAsia="zh-CN"/>
              </w:rPr>
            </w:pPr>
            <w:r>
              <w:rPr>
                <w:rFonts w:hint="eastAsia" w:cs="Times New Roman"/>
                <w:color w:val="auto"/>
                <w:highlight w:val="none"/>
                <w:lang w:val="en-US" w:eastAsia="zh-CN"/>
              </w:rPr>
              <w:t>本次技改项目新增的危险废物主要为废活性炭、废过滤棉、废漆桶、漆渣、废稀料剂桶。</w:t>
            </w:r>
          </w:p>
          <w:p>
            <w:pPr>
              <w:bidi w:val="0"/>
              <w:ind w:firstLine="480" w:firstLineChars="200"/>
              <w:rPr>
                <w:rFonts w:hint="eastAsia" w:cs="Times New Roman"/>
                <w:color w:val="auto"/>
                <w:highlight w:val="none"/>
                <w:lang w:val="en-US" w:eastAsia="zh-CN"/>
              </w:rPr>
            </w:pPr>
            <w:r>
              <w:rPr>
                <w:rFonts w:hint="eastAsia" w:cs="Times New Roman"/>
                <w:color w:val="auto"/>
                <w:highlight w:val="none"/>
                <w:lang w:val="en-US" w:eastAsia="zh-CN"/>
              </w:rPr>
              <w:t>本项目水性漆使用量较多，占总漆量的68%，本项目废气治理设施为“干式过滤器+二级活性炭”可满足治理需求。根据非甲烷总烃治理设施厂家提供的数据，本公司采用的活性炭吸附箱每级装填量为3m</w:t>
            </w:r>
            <w:r>
              <w:rPr>
                <w:rFonts w:hint="eastAsia" w:cs="Times New Roman"/>
                <w:color w:val="auto"/>
                <w:highlight w:val="none"/>
                <w:vertAlign w:val="superscript"/>
                <w:lang w:val="en-US" w:eastAsia="zh-CN"/>
              </w:rPr>
              <w:t>3</w:t>
            </w:r>
            <w:r>
              <w:rPr>
                <w:rFonts w:hint="eastAsia" w:cs="Times New Roman"/>
                <w:color w:val="auto"/>
                <w:highlight w:val="none"/>
                <w:vertAlign w:val="baseline"/>
                <w:lang w:val="en-US" w:eastAsia="zh-CN"/>
              </w:rPr>
              <w:t>（</w:t>
            </w:r>
            <w:r>
              <w:rPr>
                <w:rFonts w:hint="eastAsia" w:cs="Times New Roman"/>
                <w:color w:val="auto"/>
                <w:highlight w:val="none"/>
                <w:lang w:val="en-US" w:eastAsia="zh-CN"/>
              </w:rPr>
              <w:t>约为1.5t</w:t>
            </w:r>
            <w:r>
              <w:rPr>
                <w:rFonts w:hint="eastAsia" w:cs="Times New Roman"/>
                <w:color w:val="auto"/>
                <w:highlight w:val="none"/>
                <w:vertAlign w:val="baseline"/>
                <w:lang w:val="en-US" w:eastAsia="zh-CN"/>
              </w:rPr>
              <w:t>），二级吸附共装填</w:t>
            </w:r>
            <w:r>
              <w:rPr>
                <w:rFonts w:hint="eastAsia" w:cs="Times New Roman"/>
                <w:color w:val="auto"/>
                <w:highlight w:val="none"/>
                <w:lang w:val="en-US" w:eastAsia="zh-CN"/>
              </w:rPr>
              <w:t>3m</w:t>
            </w:r>
            <w:r>
              <w:rPr>
                <w:rFonts w:hint="eastAsia" w:cs="Times New Roman"/>
                <w:color w:val="auto"/>
                <w:highlight w:val="none"/>
                <w:vertAlign w:val="superscript"/>
                <w:lang w:val="en-US" w:eastAsia="zh-CN"/>
              </w:rPr>
              <w:t>3</w:t>
            </w:r>
            <w:r>
              <w:rPr>
                <w:rFonts w:hint="eastAsia" w:cs="Times New Roman"/>
                <w:color w:val="auto"/>
                <w:highlight w:val="none"/>
                <w:vertAlign w:val="baseline"/>
                <w:lang w:val="en-US" w:eastAsia="zh-CN"/>
              </w:rPr>
              <w:t>（</w:t>
            </w:r>
            <w:r>
              <w:rPr>
                <w:rFonts w:hint="eastAsia" w:cs="Times New Roman"/>
                <w:color w:val="auto"/>
                <w:highlight w:val="none"/>
                <w:lang w:val="en-US" w:eastAsia="zh-CN"/>
              </w:rPr>
              <w:t>约为3t</w:t>
            </w:r>
            <w:r>
              <w:rPr>
                <w:rFonts w:hint="eastAsia" w:cs="Times New Roman"/>
                <w:color w:val="auto"/>
                <w:highlight w:val="none"/>
                <w:vertAlign w:val="baseline"/>
                <w:lang w:val="en-US" w:eastAsia="zh-CN"/>
              </w:rPr>
              <w:t>）</w:t>
            </w:r>
            <w:r>
              <w:rPr>
                <w:rFonts w:hint="eastAsia" w:cs="Times New Roman"/>
                <w:color w:val="auto"/>
                <w:highlight w:val="none"/>
                <w:lang w:val="en-US" w:eastAsia="zh-CN"/>
              </w:rPr>
              <w:t>，活性炭对非甲烷总烃的饱和容量为10%，装填1次可吸收非甲烷总烃0.3t，根据源强计算章节，本项目需吸收非甲烷总烃量为0.218t/a，故活性炭每年更换1次，为保证非甲烷总烃的治理效果，并结合本项目实际，本环评要求活性炭每四个月更换1次。故废活性炭产生量为9t/a。</w:t>
            </w:r>
          </w:p>
          <w:p>
            <w:pPr>
              <w:pStyle w:val="14"/>
              <w:bidi w:val="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4.</w:t>
            </w:r>
            <w:r>
              <w:rPr>
                <w:rFonts w:hint="eastAsia" w:cs="Times New Roman"/>
                <w:color w:val="auto"/>
                <w:highlight w:val="none"/>
                <w:lang w:val="en-US" w:eastAsia="zh-CN"/>
              </w:rPr>
              <w:t>2</w:t>
            </w:r>
            <w:r>
              <w:rPr>
                <w:rFonts w:hint="default" w:ascii="Times New Roman" w:hAnsi="Times New Roman" w:cs="Times New Roman"/>
                <w:color w:val="auto"/>
                <w:highlight w:val="none"/>
                <w:lang w:val="en-US" w:eastAsia="zh-CN"/>
              </w:rPr>
              <w:t>.2 危险废物属性判定</w:t>
            </w:r>
          </w:p>
          <w:p>
            <w:pPr>
              <w:bidi w:val="0"/>
              <w:ind w:firstLine="480" w:firstLineChars="200"/>
              <w:rPr>
                <w:rFonts w:ascii="Times New Roman" w:hAnsi="Times New Roman" w:eastAsia="宋体" w:cs="Times New Roman"/>
                <w:b/>
                <w:bCs/>
                <w:color w:val="auto"/>
                <w:kern w:val="2"/>
                <w:sz w:val="21"/>
                <w:szCs w:val="21"/>
                <w:highlight w:val="none"/>
                <w:lang w:val="en-US" w:eastAsia="zh-CN" w:bidi="ar-SA"/>
              </w:rPr>
            </w:pPr>
            <w:r>
              <w:rPr>
                <w:rFonts w:hint="default" w:ascii="Times New Roman" w:hAnsi="Times New Roman" w:cs="Times New Roman"/>
                <w:color w:val="auto"/>
                <w:highlight w:val="none"/>
                <w:lang w:val="en-US" w:eastAsia="zh-CN"/>
              </w:rPr>
              <w:t>根据《国家危险废物名录》判定危险废物的类别、产生节点、代码、名称、危险特性等属性详见下表。</w:t>
            </w:r>
          </w:p>
          <w:p>
            <w:pPr>
              <w:keepNext w:val="0"/>
              <w:keepLines w:val="0"/>
              <w:pageBreakBefore w:val="0"/>
              <w:widowControl w:val="0"/>
              <w:kinsoku/>
              <w:wordWrap/>
              <w:overflowPunct/>
              <w:topLinePunct w:val="0"/>
              <w:autoSpaceDE/>
              <w:autoSpaceDN/>
              <w:bidi w:val="0"/>
              <w:adjustRightInd w:val="0"/>
              <w:snapToGrid w:val="0"/>
              <w:spacing w:before="0" w:after="0" w:line="240" w:lineRule="auto"/>
              <w:ind w:firstLine="0" w:firstLineChars="0"/>
              <w:jc w:val="center"/>
              <w:textAlignment w:val="auto"/>
              <w:rPr>
                <w:rFonts w:hint="default"/>
                <w:color w:val="auto"/>
                <w:sz w:val="32"/>
                <w:szCs w:val="32"/>
                <w:highlight w:val="none"/>
                <w:lang w:val="en-US" w:eastAsia="zh-CN"/>
              </w:rPr>
            </w:pPr>
            <w:r>
              <w:rPr>
                <w:rFonts w:ascii="Times New Roman" w:hAnsi="Times New Roman" w:eastAsia="宋体" w:cs="Times New Roman"/>
                <w:b/>
                <w:bCs/>
                <w:color w:val="auto"/>
                <w:kern w:val="2"/>
                <w:sz w:val="24"/>
                <w:szCs w:val="24"/>
                <w:highlight w:val="none"/>
                <w:lang w:val="en-US" w:eastAsia="zh-CN" w:bidi="ar-SA"/>
              </w:rPr>
              <w:t>表4</w:t>
            </w:r>
            <w:r>
              <w:rPr>
                <w:rFonts w:hint="eastAsia" w:ascii="Times New Roman" w:hAnsi="Times New Roman" w:eastAsia="宋体" w:cs="Times New Roman"/>
                <w:b/>
                <w:bCs/>
                <w:color w:val="auto"/>
                <w:kern w:val="2"/>
                <w:sz w:val="24"/>
                <w:szCs w:val="24"/>
                <w:highlight w:val="none"/>
                <w:lang w:val="en-US" w:eastAsia="zh-CN" w:bidi="ar-SA"/>
              </w:rPr>
              <w:t>-</w:t>
            </w:r>
            <w:r>
              <w:rPr>
                <w:rFonts w:hint="eastAsia" w:cs="Times New Roman"/>
                <w:b/>
                <w:bCs/>
                <w:color w:val="auto"/>
                <w:kern w:val="2"/>
                <w:sz w:val="24"/>
                <w:szCs w:val="24"/>
                <w:highlight w:val="none"/>
                <w:lang w:val="en-US" w:eastAsia="zh-CN" w:bidi="ar-SA"/>
              </w:rPr>
              <w:t>9</w:t>
            </w:r>
            <w:r>
              <w:rPr>
                <w:rFonts w:ascii="Times New Roman" w:hAnsi="Times New Roman" w:eastAsia="宋体" w:cs="Times New Roman"/>
                <w:b/>
                <w:bCs/>
                <w:color w:val="auto"/>
                <w:kern w:val="2"/>
                <w:sz w:val="24"/>
                <w:szCs w:val="24"/>
                <w:highlight w:val="none"/>
                <w:lang w:val="en-US" w:eastAsia="zh-CN" w:bidi="ar-SA"/>
              </w:rPr>
              <w:t xml:space="preserve">    </w:t>
            </w:r>
            <w:r>
              <w:rPr>
                <w:rFonts w:hint="eastAsia" w:cs="Times New Roman"/>
                <w:b/>
                <w:bCs/>
                <w:color w:val="auto"/>
                <w:kern w:val="2"/>
                <w:sz w:val="24"/>
                <w:szCs w:val="24"/>
                <w:highlight w:val="none"/>
                <w:lang w:val="en-US" w:eastAsia="zh-CN" w:bidi="ar-SA"/>
              </w:rPr>
              <w:t>技改完成后全厂</w:t>
            </w:r>
            <w:r>
              <w:rPr>
                <w:rFonts w:ascii="Times New Roman" w:hAnsi="Times New Roman" w:eastAsia="宋体" w:cs="Times New Roman"/>
                <w:b/>
                <w:bCs/>
                <w:color w:val="auto"/>
                <w:kern w:val="2"/>
                <w:sz w:val="24"/>
                <w:szCs w:val="24"/>
                <w:highlight w:val="none"/>
                <w:lang w:val="en-US" w:eastAsia="zh-CN" w:bidi="ar-SA"/>
              </w:rPr>
              <w:t>危险废物基本情况</w:t>
            </w:r>
          </w:p>
          <w:tbl>
            <w:tblPr>
              <w:tblStyle w:val="32"/>
              <w:tblpPr w:leftFromText="180" w:rightFromText="180" w:vertAnchor="text" w:tblpXSpec="center" w:tblpY="1"/>
              <w:tblOverlap w:val="never"/>
              <w:tblW w:w="4995"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48"/>
              <w:gridCol w:w="734"/>
              <w:gridCol w:w="717"/>
              <w:gridCol w:w="1070"/>
              <w:gridCol w:w="818"/>
              <w:gridCol w:w="818"/>
              <w:gridCol w:w="873"/>
              <w:gridCol w:w="657"/>
              <w:gridCol w:w="489"/>
              <w:gridCol w:w="624"/>
              <w:gridCol w:w="603"/>
              <w:gridCol w:w="54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3" w:hRule="atLeast"/>
              </w:trPr>
              <w:tc>
                <w:tcPr>
                  <w:tcW w:w="266" w:type="pct"/>
                  <w:noWrap w:val="0"/>
                  <w:vAlign w:val="center"/>
                </w:tcPr>
                <w:p>
                  <w:pPr>
                    <w:keepNext w:val="0"/>
                    <w:keepLines w:val="0"/>
                    <w:pageBreakBefore w:val="0"/>
                    <w:widowControl w:val="0"/>
                    <w:kinsoku/>
                    <w:wordWrap/>
                    <w:overflowPunct/>
                    <w:topLinePunct/>
                    <w:autoSpaceDE/>
                    <w:autoSpaceDN/>
                    <w:bidi w:val="0"/>
                    <w:adjustRightInd w:val="0"/>
                    <w:snapToGrid w:val="0"/>
                    <w:spacing w:line="240" w:lineRule="auto"/>
                    <w:ind w:firstLine="0" w:firstLineChars="0"/>
                    <w:jc w:val="center"/>
                    <w:textAlignment w:val="auto"/>
                    <w:rPr>
                      <w:color w:val="auto"/>
                      <w:sz w:val="21"/>
                      <w:szCs w:val="21"/>
                      <w:highlight w:val="none"/>
                    </w:rPr>
                  </w:pPr>
                  <w:r>
                    <w:rPr>
                      <w:color w:val="auto"/>
                      <w:sz w:val="21"/>
                      <w:szCs w:val="21"/>
                      <w:highlight w:val="none"/>
                    </w:rPr>
                    <w:t>序号</w:t>
                  </w:r>
                </w:p>
              </w:tc>
              <w:tc>
                <w:tcPr>
                  <w:tcW w:w="437" w:type="pct"/>
                  <w:noWrap w:val="0"/>
                  <w:vAlign w:val="center"/>
                </w:tcPr>
                <w:p>
                  <w:pPr>
                    <w:keepNext w:val="0"/>
                    <w:keepLines w:val="0"/>
                    <w:pageBreakBefore w:val="0"/>
                    <w:widowControl w:val="0"/>
                    <w:kinsoku/>
                    <w:wordWrap/>
                    <w:overflowPunct/>
                    <w:topLinePunct/>
                    <w:autoSpaceDE/>
                    <w:autoSpaceDN/>
                    <w:bidi w:val="0"/>
                    <w:adjustRightInd w:val="0"/>
                    <w:snapToGrid w:val="0"/>
                    <w:spacing w:line="240" w:lineRule="auto"/>
                    <w:ind w:firstLine="0" w:firstLineChars="0"/>
                    <w:jc w:val="center"/>
                    <w:textAlignment w:val="auto"/>
                    <w:rPr>
                      <w:color w:val="auto"/>
                      <w:sz w:val="21"/>
                      <w:szCs w:val="21"/>
                      <w:highlight w:val="none"/>
                    </w:rPr>
                  </w:pPr>
                  <w:r>
                    <w:rPr>
                      <w:color w:val="auto"/>
                      <w:sz w:val="21"/>
                      <w:szCs w:val="21"/>
                      <w:highlight w:val="none"/>
                    </w:rPr>
                    <w:t>危险废物名称</w:t>
                  </w:r>
                </w:p>
              </w:tc>
              <w:tc>
                <w:tcPr>
                  <w:tcW w:w="427" w:type="pct"/>
                  <w:noWrap w:val="0"/>
                  <w:vAlign w:val="center"/>
                </w:tcPr>
                <w:p>
                  <w:pPr>
                    <w:keepNext w:val="0"/>
                    <w:keepLines w:val="0"/>
                    <w:pageBreakBefore w:val="0"/>
                    <w:widowControl w:val="0"/>
                    <w:kinsoku/>
                    <w:wordWrap/>
                    <w:overflowPunct/>
                    <w:topLinePunct/>
                    <w:autoSpaceDE/>
                    <w:autoSpaceDN/>
                    <w:bidi w:val="0"/>
                    <w:adjustRightInd w:val="0"/>
                    <w:snapToGrid w:val="0"/>
                    <w:spacing w:line="240" w:lineRule="auto"/>
                    <w:ind w:firstLine="0" w:firstLineChars="0"/>
                    <w:jc w:val="center"/>
                    <w:textAlignment w:val="auto"/>
                    <w:rPr>
                      <w:color w:val="auto"/>
                      <w:sz w:val="21"/>
                      <w:szCs w:val="21"/>
                      <w:highlight w:val="none"/>
                    </w:rPr>
                  </w:pPr>
                  <w:r>
                    <w:rPr>
                      <w:color w:val="auto"/>
                      <w:sz w:val="21"/>
                      <w:szCs w:val="21"/>
                      <w:highlight w:val="none"/>
                    </w:rPr>
                    <w:t>危险废物类别</w:t>
                  </w:r>
                </w:p>
              </w:tc>
              <w:tc>
                <w:tcPr>
                  <w:tcW w:w="637" w:type="pct"/>
                  <w:noWrap w:val="0"/>
                  <w:vAlign w:val="center"/>
                </w:tcPr>
                <w:p>
                  <w:pPr>
                    <w:keepNext w:val="0"/>
                    <w:keepLines w:val="0"/>
                    <w:pageBreakBefore w:val="0"/>
                    <w:widowControl w:val="0"/>
                    <w:kinsoku/>
                    <w:wordWrap/>
                    <w:overflowPunct/>
                    <w:topLinePunct/>
                    <w:autoSpaceDE/>
                    <w:autoSpaceDN/>
                    <w:bidi w:val="0"/>
                    <w:adjustRightInd w:val="0"/>
                    <w:snapToGrid w:val="0"/>
                    <w:spacing w:line="240" w:lineRule="auto"/>
                    <w:ind w:firstLine="0" w:firstLineChars="0"/>
                    <w:jc w:val="center"/>
                    <w:textAlignment w:val="auto"/>
                    <w:rPr>
                      <w:color w:val="auto"/>
                      <w:sz w:val="21"/>
                      <w:szCs w:val="21"/>
                      <w:highlight w:val="none"/>
                    </w:rPr>
                  </w:pPr>
                  <w:r>
                    <w:rPr>
                      <w:color w:val="auto"/>
                      <w:sz w:val="21"/>
                      <w:szCs w:val="21"/>
                      <w:highlight w:val="none"/>
                    </w:rPr>
                    <w:t>危险废物代码</w:t>
                  </w:r>
                </w:p>
              </w:tc>
              <w:tc>
                <w:tcPr>
                  <w:tcW w:w="487" w:type="pct"/>
                  <w:noWrap w:val="0"/>
                  <w:vAlign w:val="center"/>
                </w:tcPr>
                <w:p>
                  <w:pPr>
                    <w:keepNext w:val="0"/>
                    <w:keepLines w:val="0"/>
                    <w:pageBreakBefore w:val="0"/>
                    <w:widowControl w:val="0"/>
                    <w:kinsoku/>
                    <w:wordWrap/>
                    <w:overflowPunct/>
                    <w:topLinePunct/>
                    <w:autoSpaceDE/>
                    <w:autoSpaceDN/>
                    <w:bidi w:val="0"/>
                    <w:adjustRightInd w:val="0"/>
                    <w:snapToGrid w:val="0"/>
                    <w:spacing w:line="240" w:lineRule="auto"/>
                    <w:ind w:firstLine="0" w:firstLineChars="0"/>
                    <w:jc w:val="center"/>
                    <w:textAlignment w:val="auto"/>
                    <w:rPr>
                      <w:rFonts w:hint="default" w:eastAsia="宋体"/>
                      <w:color w:val="auto"/>
                      <w:sz w:val="21"/>
                      <w:szCs w:val="21"/>
                      <w:highlight w:val="none"/>
                      <w:lang w:val="en-US" w:eastAsia="zh-CN"/>
                    </w:rPr>
                  </w:pPr>
                  <w:r>
                    <w:rPr>
                      <w:rFonts w:hint="eastAsia"/>
                      <w:color w:val="auto"/>
                      <w:sz w:val="21"/>
                      <w:szCs w:val="21"/>
                      <w:highlight w:val="none"/>
                      <w:lang w:val="en-US" w:eastAsia="zh-CN"/>
                    </w:rPr>
                    <w:t>现有项目产生量</w:t>
                  </w:r>
                  <w:r>
                    <w:rPr>
                      <w:rFonts w:hint="eastAsia"/>
                      <w:color w:val="auto"/>
                      <w:sz w:val="21"/>
                      <w:szCs w:val="21"/>
                      <w:highlight w:val="none"/>
                      <w:lang w:eastAsia="zh-CN"/>
                    </w:rPr>
                    <w:t>（</w:t>
                  </w:r>
                  <w:r>
                    <w:rPr>
                      <w:rFonts w:hint="eastAsia"/>
                      <w:color w:val="auto"/>
                      <w:sz w:val="21"/>
                      <w:szCs w:val="21"/>
                      <w:highlight w:val="none"/>
                      <w:lang w:val="en-US" w:eastAsia="zh-CN"/>
                    </w:rPr>
                    <w:t>t/a</w:t>
                  </w:r>
                  <w:r>
                    <w:rPr>
                      <w:rFonts w:hint="eastAsia"/>
                      <w:color w:val="auto"/>
                      <w:sz w:val="21"/>
                      <w:szCs w:val="21"/>
                      <w:highlight w:val="none"/>
                      <w:lang w:eastAsia="zh-CN"/>
                    </w:rPr>
                    <w:t>）</w:t>
                  </w:r>
                </w:p>
              </w:tc>
              <w:tc>
                <w:tcPr>
                  <w:tcW w:w="487" w:type="pct"/>
                  <w:noWrap w:val="0"/>
                  <w:vAlign w:val="center"/>
                </w:tcPr>
                <w:p>
                  <w:pPr>
                    <w:keepNext w:val="0"/>
                    <w:keepLines w:val="0"/>
                    <w:pageBreakBefore w:val="0"/>
                    <w:widowControl w:val="0"/>
                    <w:kinsoku/>
                    <w:wordWrap/>
                    <w:overflowPunct/>
                    <w:topLinePunct/>
                    <w:autoSpaceDE/>
                    <w:autoSpaceDN/>
                    <w:bidi w:val="0"/>
                    <w:adjustRightInd w:val="0"/>
                    <w:snapToGrid w:val="0"/>
                    <w:spacing w:line="240" w:lineRule="auto"/>
                    <w:ind w:firstLine="0" w:firstLineChars="0"/>
                    <w:jc w:val="center"/>
                    <w:textAlignment w:val="auto"/>
                    <w:rPr>
                      <w:rFonts w:hint="eastAsia" w:eastAsia="宋体"/>
                      <w:color w:val="auto"/>
                      <w:sz w:val="21"/>
                      <w:szCs w:val="21"/>
                      <w:highlight w:val="none"/>
                      <w:lang w:eastAsia="zh-CN"/>
                    </w:rPr>
                  </w:pPr>
                  <w:r>
                    <w:rPr>
                      <w:rFonts w:hint="eastAsia"/>
                      <w:color w:val="auto"/>
                      <w:sz w:val="21"/>
                      <w:szCs w:val="21"/>
                      <w:highlight w:val="none"/>
                      <w:lang w:val="en-US" w:eastAsia="zh-CN"/>
                    </w:rPr>
                    <w:t>技改项目</w:t>
                  </w:r>
                  <w:r>
                    <w:rPr>
                      <w:color w:val="auto"/>
                      <w:sz w:val="21"/>
                      <w:szCs w:val="21"/>
                      <w:highlight w:val="none"/>
                    </w:rPr>
                    <w:t>产生量</w:t>
                  </w:r>
                  <w:r>
                    <w:rPr>
                      <w:rFonts w:hint="eastAsia"/>
                      <w:color w:val="auto"/>
                      <w:sz w:val="21"/>
                      <w:szCs w:val="21"/>
                      <w:highlight w:val="none"/>
                      <w:lang w:eastAsia="zh-CN"/>
                    </w:rPr>
                    <w:t>（</w:t>
                  </w:r>
                  <w:r>
                    <w:rPr>
                      <w:rFonts w:hint="eastAsia"/>
                      <w:color w:val="auto"/>
                      <w:sz w:val="21"/>
                      <w:szCs w:val="21"/>
                      <w:highlight w:val="none"/>
                      <w:lang w:val="en-US" w:eastAsia="zh-CN"/>
                    </w:rPr>
                    <w:t>t/a</w:t>
                  </w:r>
                  <w:r>
                    <w:rPr>
                      <w:rFonts w:hint="eastAsia"/>
                      <w:color w:val="auto"/>
                      <w:sz w:val="21"/>
                      <w:szCs w:val="21"/>
                      <w:highlight w:val="none"/>
                      <w:lang w:eastAsia="zh-CN"/>
                    </w:rPr>
                    <w:t>）</w:t>
                  </w:r>
                </w:p>
              </w:tc>
              <w:tc>
                <w:tcPr>
                  <w:tcW w:w="519" w:type="pct"/>
                  <w:noWrap w:val="0"/>
                  <w:vAlign w:val="center"/>
                </w:tcPr>
                <w:p>
                  <w:pPr>
                    <w:keepNext w:val="0"/>
                    <w:keepLines w:val="0"/>
                    <w:pageBreakBefore w:val="0"/>
                    <w:widowControl w:val="0"/>
                    <w:kinsoku/>
                    <w:wordWrap/>
                    <w:overflowPunct/>
                    <w:topLinePunct/>
                    <w:autoSpaceDE/>
                    <w:autoSpaceDN/>
                    <w:bidi w:val="0"/>
                    <w:adjustRightInd w:val="0"/>
                    <w:snapToGrid w:val="0"/>
                    <w:spacing w:line="240" w:lineRule="auto"/>
                    <w:ind w:firstLine="0" w:firstLineChars="0"/>
                    <w:jc w:val="center"/>
                    <w:textAlignment w:val="auto"/>
                    <w:rPr>
                      <w:rFonts w:hint="default" w:eastAsia="宋体"/>
                      <w:color w:val="auto"/>
                      <w:sz w:val="21"/>
                      <w:szCs w:val="21"/>
                      <w:highlight w:val="none"/>
                      <w:lang w:val="en-US" w:eastAsia="zh-CN"/>
                    </w:rPr>
                  </w:pPr>
                  <w:r>
                    <w:rPr>
                      <w:rFonts w:hint="eastAsia"/>
                      <w:color w:val="auto"/>
                      <w:sz w:val="21"/>
                      <w:szCs w:val="21"/>
                      <w:highlight w:val="none"/>
                      <w:lang w:val="en-US" w:eastAsia="zh-CN"/>
                    </w:rPr>
                    <w:t>技改完成后全厂产生量（</w:t>
                  </w:r>
                  <w:r>
                    <w:rPr>
                      <w:rFonts w:hint="eastAsia"/>
                      <w:color w:val="auto"/>
                      <w:sz w:val="21"/>
                      <w:szCs w:val="21"/>
                      <w:highlight w:val="none"/>
                      <w:lang w:eastAsia="zh-CN"/>
                    </w:rPr>
                    <w:t>（</w:t>
                  </w:r>
                  <w:r>
                    <w:rPr>
                      <w:rFonts w:hint="eastAsia"/>
                      <w:color w:val="auto"/>
                      <w:sz w:val="21"/>
                      <w:szCs w:val="21"/>
                      <w:highlight w:val="none"/>
                      <w:lang w:val="en-US" w:eastAsia="zh-CN"/>
                    </w:rPr>
                    <w:t>t/a）</w:t>
                  </w:r>
                </w:p>
              </w:tc>
              <w:tc>
                <w:tcPr>
                  <w:tcW w:w="391" w:type="pct"/>
                  <w:noWrap w:val="0"/>
                  <w:vAlign w:val="center"/>
                </w:tcPr>
                <w:p>
                  <w:pPr>
                    <w:keepNext w:val="0"/>
                    <w:keepLines w:val="0"/>
                    <w:pageBreakBefore w:val="0"/>
                    <w:widowControl w:val="0"/>
                    <w:kinsoku/>
                    <w:wordWrap/>
                    <w:overflowPunct/>
                    <w:topLinePunct/>
                    <w:autoSpaceDE/>
                    <w:autoSpaceDN/>
                    <w:bidi w:val="0"/>
                    <w:adjustRightInd w:val="0"/>
                    <w:snapToGrid w:val="0"/>
                    <w:spacing w:line="240" w:lineRule="auto"/>
                    <w:ind w:firstLine="0" w:firstLineChars="0"/>
                    <w:jc w:val="center"/>
                    <w:textAlignment w:val="auto"/>
                    <w:rPr>
                      <w:color w:val="auto"/>
                      <w:sz w:val="21"/>
                      <w:szCs w:val="21"/>
                      <w:highlight w:val="none"/>
                    </w:rPr>
                  </w:pPr>
                  <w:r>
                    <w:rPr>
                      <w:color w:val="auto"/>
                      <w:sz w:val="21"/>
                      <w:szCs w:val="21"/>
                      <w:highlight w:val="none"/>
                    </w:rPr>
                    <w:t>产生工序及装置</w:t>
                  </w:r>
                </w:p>
              </w:tc>
              <w:tc>
                <w:tcPr>
                  <w:tcW w:w="291" w:type="pct"/>
                  <w:noWrap w:val="0"/>
                  <w:vAlign w:val="center"/>
                </w:tcPr>
                <w:p>
                  <w:pPr>
                    <w:keepNext w:val="0"/>
                    <w:keepLines w:val="0"/>
                    <w:pageBreakBefore w:val="0"/>
                    <w:widowControl w:val="0"/>
                    <w:kinsoku/>
                    <w:wordWrap/>
                    <w:overflowPunct/>
                    <w:topLinePunct/>
                    <w:autoSpaceDE/>
                    <w:autoSpaceDN/>
                    <w:bidi w:val="0"/>
                    <w:adjustRightInd w:val="0"/>
                    <w:snapToGrid w:val="0"/>
                    <w:spacing w:line="240" w:lineRule="auto"/>
                    <w:ind w:firstLine="0" w:firstLineChars="0"/>
                    <w:jc w:val="center"/>
                    <w:textAlignment w:val="auto"/>
                    <w:rPr>
                      <w:color w:val="auto"/>
                      <w:sz w:val="21"/>
                      <w:szCs w:val="21"/>
                      <w:highlight w:val="none"/>
                    </w:rPr>
                  </w:pPr>
                  <w:r>
                    <w:rPr>
                      <w:color w:val="auto"/>
                      <w:sz w:val="21"/>
                      <w:szCs w:val="21"/>
                      <w:highlight w:val="none"/>
                    </w:rPr>
                    <w:t>形态</w:t>
                  </w:r>
                </w:p>
              </w:tc>
              <w:tc>
                <w:tcPr>
                  <w:tcW w:w="371" w:type="pct"/>
                  <w:noWrap w:val="0"/>
                  <w:vAlign w:val="center"/>
                </w:tcPr>
                <w:p>
                  <w:pPr>
                    <w:keepNext w:val="0"/>
                    <w:keepLines w:val="0"/>
                    <w:pageBreakBefore w:val="0"/>
                    <w:widowControl w:val="0"/>
                    <w:kinsoku/>
                    <w:wordWrap/>
                    <w:overflowPunct/>
                    <w:topLinePunct/>
                    <w:autoSpaceDE/>
                    <w:autoSpaceDN/>
                    <w:bidi w:val="0"/>
                    <w:adjustRightInd w:val="0"/>
                    <w:snapToGrid w:val="0"/>
                    <w:spacing w:line="240" w:lineRule="auto"/>
                    <w:ind w:firstLine="0" w:firstLineChars="0"/>
                    <w:jc w:val="center"/>
                    <w:textAlignment w:val="auto"/>
                    <w:rPr>
                      <w:color w:val="auto"/>
                      <w:sz w:val="21"/>
                      <w:szCs w:val="21"/>
                      <w:highlight w:val="none"/>
                    </w:rPr>
                  </w:pPr>
                  <w:r>
                    <w:rPr>
                      <w:rFonts w:hint="default" w:ascii="Times New Roman" w:hAnsi="Times New Roman" w:eastAsia="宋体" w:cs="Times New Roman"/>
                      <w:color w:val="auto"/>
                      <w:sz w:val="21"/>
                      <w:szCs w:val="21"/>
                      <w:highlight w:val="none"/>
                    </w:rPr>
                    <w:t>危险特性</w:t>
                  </w:r>
                </w:p>
              </w:tc>
              <w:tc>
                <w:tcPr>
                  <w:tcW w:w="359" w:type="pct"/>
                  <w:noWrap w:val="0"/>
                  <w:vAlign w:val="center"/>
                </w:tcPr>
                <w:p>
                  <w:pPr>
                    <w:keepNext w:val="0"/>
                    <w:keepLines w:val="0"/>
                    <w:pageBreakBefore w:val="0"/>
                    <w:widowControl w:val="0"/>
                    <w:kinsoku/>
                    <w:wordWrap/>
                    <w:overflowPunct/>
                    <w:topLinePunct/>
                    <w:autoSpaceDE/>
                    <w:autoSpaceDN/>
                    <w:bidi w:val="0"/>
                    <w:adjustRightInd w:val="0"/>
                    <w:snapToGrid w:val="0"/>
                    <w:spacing w:line="240" w:lineRule="auto"/>
                    <w:ind w:firstLine="0" w:firstLineChars="0"/>
                    <w:jc w:val="center"/>
                    <w:textAlignment w:val="auto"/>
                    <w:rPr>
                      <w:rFonts w:hint="eastAsia" w:eastAsia="宋体"/>
                      <w:color w:val="auto"/>
                      <w:sz w:val="21"/>
                      <w:szCs w:val="21"/>
                      <w:highlight w:val="none"/>
                      <w:lang w:eastAsia="zh-CN"/>
                    </w:rPr>
                  </w:pPr>
                  <w:r>
                    <w:rPr>
                      <w:rFonts w:hint="eastAsia"/>
                      <w:color w:val="auto"/>
                      <w:sz w:val="21"/>
                      <w:szCs w:val="21"/>
                      <w:highlight w:val="none"/>
                      <w:lang w:val="en-US" w:eastAsia="zh-CN"/>
                    </w:rPr>
                    <w:t>贮存周期</w:t>
                  </w:r>
                </w:p>
              </w:tc>
              <w:tc>
                <w:tcPr>
                  <w:tcW w:w="324" w:type="pct"/>
                  <w:noWrap w:val="0"/>
                  <w:vAlign w:val="center"/>
                </w:tcPr>
                <w:p>
                  <w:pPr>
                    <w:keepNext w:val="0"/>
                    <w:keepLines w:val="0"/>
                    <w:pageBreakBefore w:val="0"/>
                    <w:widowControl w:val="0"/>
                    <w:kinsoku/>
                    <w:wordWrap/>
                    <w:overflowPunct/>
                    <w:topLinePunct/>
                    <w:autoSpaceDE/>
                    <w:autoSpaceDN/>
                    <w:bidi w:val="0"/>
                    <w:adjustRightInd w:val="0"/>
                    <w:snapToGrid w:val="0"/>
                    <w:spacing w:line="240" w:lineRule="auto"/>
                    <w:ind w:firstLine="0" w:firstLineChars="0"/>
                    <w:jc w:val="center"/>
                    <w:textAlignment w:val="auto"/>
                    <w:rPr>
                      <w:color w:val="auto"/>
                      <w:sz w:val="21"/>
                      <w:szCs w:val="21"/>
                      <w:highlight w:val="none"/>
                    </w:rPr>
                  </w:pPr>
                  <w:r>
                    <w:rPr>
                      <w:color w:val="auto"/>
                      <w:sz w:val="21"/>
                      <w:szCs w:val="21"/>
                      <w:highlight w:val="none"/>
                    </w:rPr>
                    <w:t>防治</w:t>
                  </w:r>
                </w:p>
                <w:p>
                  <w:pPr>
                    <w:keepNext w:val="0"/>
                    <w:keepLines w:val="0"/>
                    <w:pageBreakBefore w:val="0"/>
                    <w:widowControl w:val="0"/>
                    <w:kinsoku/>
                    <w:wordWrap/>
                    <w:overflowPunct/>
                    <w:topLinePunct/>
                    <w:autoSpaceDE/>
                    <w:autoSpaceDN/>
                    <w:bidi w:val="0"/>
                    <w:adjustRightInd w:val="0"/>
                    <w:snapToGrid w:val="0"/>
                    <w:spacing w:line="240" w:lineRule="auto"/>
                    <w:ind w:firstLine="0" w:firstLineChars="0"/>
                    <w:jc w:val="center"/>
                    <w:textAlignment w:val="auto"/>
                    <w:rPr>
                      <w:color w:val="auto"/>
                      <w:sz w:val="21"/>
                      <w:szCs w:val="21"/>
                      <w:highlight w:val="none"/>
                    </w:rPr>
                  </w:pPr>
                  <w:r>
                    <w:rPr>
                      <w:color w:val="auto"/>
                      <w:sz w:val="21"/>
                      <w:szCs w:val="21"/>
                      <w:highlight w:val="none"/>
                    </w:rPr>
                    <w:t>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266" w:type="pct"/>
                  <w:noWrap w:val="0"/>
                  <w:vAlign w:val="center"/>
                </w:tcPr>
                <w:p>
                  <w:pPr>
                    <w:pStyle w:val="81"/>
                    <w:keepNext w:val="0"/>
                    <w:keepLines w:val="0"/>
                    <w:pageBreakBefore w:val="0"/>
                    <w:kinsoku/>
                    <w:wordWrap/>
                    <w:overflowPunct/>
                    <w:topLinePunct w:val="0"/>
                    <w:autoSpaceDE/>
                    <w:autoSpaceDN/>
                    <w:bidi w:val="0"/>
                    <w:adjustRightInd w:val="0"/>
                    <w:snapToGrid w:val="0"/>
                    <w:jc w:val="center"/>
                    <w:textAlignment w:val="auto"/>
                    <w:rPr>
                      <w:color w:val="auto"/>
                      <w:sz w:val="21"/>
                      <w:szCs w:val="21"/>
                      <w:highlight w:val="none"/>
                    </w:rPr>
                  </w:pPr>
                  <w:r>
                    <w:rPr>
                      <w:rFonts w:hint="default" w:ascii="Times New Roman" w:hAnsi="Times New Roman" w:cs="Times New Roman"/>
                      <w:color w:val="auto"/>
                      <w:sz w:val="21"/>
                      <w:szCs w:val="21"/>
                      <w:highlight w:val="none"/>
                      <w:lang w:val="en-US" w:eastAsia="zh-CN"/>
                    </w:rPr>
                    <w:t>1</w:t>
                  </w:r>
                </w:p>
              </w:tc>
              <w:tc>
                <w:tcPr>
                  <w:tcW w:w="437" w:type="pct"/>
                  <w:noWrap w:val="0"/>
                  <w:vAlign w:val="center"/>
                </w:tcPr>
                <w:p>
                  <w:pPr>
                    <w:pStyle w:val="81"/>
                    <w:keepNext w:val="0"/>
                    <w:keepLines w:val="0"/>
                    <w:pageBreakBefore w:val="0"/>
                    <w:kinsoku/>
                    <w:wordWrap/>
                    <w:overflowPunct/>
                    <w:topLinePunct w:val="0"/>
                    <w:autoSpaceDE/>
                    <w:autoSpaceDN/>
                    <w:bidi w:val="0"/>
                    <w:adjustRightInd w:val="0"/>
                    <w:snapToGrid w:val="0"/>
                    <w:jc w:val="center"/>
                    <w:textAlignment w:val="auto"/>
                    <w:rPr>
                      <w:color w:val="auto"/>
                      <w:sz w:val="21"/>
                      <w:szCs w:val="21"/>
                      <w:highlight w:val="none"/>
                    </w:rPr>
                  </w:pPr>
                  <w:r>
                    <w:rPr>
                      <w:rFonts w:hint="default" w:ascii="Times New Roman" w:hAnsi="Times New Roman" w:cs="Times New Roman"/>
                      <w:color w:val="auto"/>
                      <w:sz w:val="21"/>
                      <w:szCs w:val="21"/>
                      <w:highlight w:val="none"/>
                      <w:lang w:val="en-US" w:eastAsia="zh-CN"/>
                    </w:rPr>
                    <w:t>废活性炭</w:t>
                  </w:r>
                </w:p>
              </w:tc>
              <w:tc>
                <w:tcPr>
                  <w:tcW w:w="427" w:type="pct"/>
                  <w:vMerge w:val="restart"/>
                  <w:noWrap w:val="0"/>
                  <w:vAlign w:val="center"/>
                </w:tcPr>
                <w:p>
                  <w:pPr>
                    <w:pStyle w:val="106"/>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color w:val="auto"/>
                      <w:sz w:val="21"/>
                      <w:szCs w:val="21"/>
                      <w:highlight w:val="none"/>
                    </w:rPr>
                  </w:pPr>
                  <w:r>
                    <w:rPr>
                      <w:color w:val="auto"/>
                      <w:sz w:val="21"/>
                      <w:szCs w:val="21"/>
                      <w:highlight w:val="none"/>
                      <w:lang w:val="en-US" w:eastAsia="zh-CN"/>
                    </w:rPr>
                    <w:t>HW</w:t>
                  </w:r>
                  <w:r>
                    <w:rPr>
                      <w:rFonts w:hint="eastAsia"/>
                      <w:color w:val="auto"/>
                      <w:sz w:val="21"/>
                      <w:szCs w:val="21"/>
                      <w:highlight w:val="none"/>
                      <w:lang w:val="en-US" w:eastAsia="zh-CN"/>
                    </w:rPr>
                    <w:t>49</w:t>
                  </w:r>
                </w:p>
              </w:tc>
              <w:tc>
                <w:tcPr>
                  <w:tcW w:w="637" w:type="pct"/>
                  <w:noWrap w:val="0"/>
                  <w:vAlign w:val="center"/>
                </w:tcPr>
                <w:p>
                  <w:pPr>
                    <w:pStyle w:val="81"/>
                    <w:keepNext w:val="0"/>
                    <w:keepLines w:val="0"/>
                    <w:pageBreakBefore w:val="0"/>
                    <w:kinsoku/>
                    <w:wordWrap/>
                    <w:overflowPunct/>
                    <w:topLinePunct w:val="0"/>
                    <w:autoSpaceDE/>
                    <w:autoSpaceDN/>
                    <w:bidi w:val="0"/>
                    <w:adjustRightInd w:val="0"/>
                    <w:snapToGrid w:val="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 xml:space="preserve">900-039-49 </w:t>
                  </w:r>
                </w:p>
              </w:tc>
              <w:tc>
                <w:tcPr>
                  <w:tcW w:w="487" w:type="pct"/>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0</w:t>
                  </w:r>
                </w:p>
              </w:tc>
              <w:tc>
                <w:tcPr>
                  <w:tcW w:w="487" w:type="pct"/>
                  <w:noWrap w:val="0"/>
                  <w:vAlign w:val="center"/>
                </w:tcPr>
                <w:p>
                  <w:pPr>
                    <w:spacing w:line="240" w:lineRule="auto"/>
                    <w:jc w:val="center"/>
                    <w:rPr>
                      <w:rFonts w:hint="default"/>
                      <w:color w:val="auto"/>
                      <w:sz w:val="21"/>
                      <w:szCs w:val="21"/>
                      <w:highlight w:val="none"/>
                      <w:lang w:val="en-US"/>
                    </w:rPr>
                  </w:pPr>
                  <w:r>
                    <w:rPr>
                      <w:rFonts w:hint="eastAsia" w:cs="Times New Roman" w:eastAsiaTheme="minorEastAsia"/>
                      <w:color w:val="auto"/>
                      <w:sz w:val="21"/>
                      <w:szCs w:val="21"/>
                      <w:highlight w:val="none"/>
                      <w:lang w:val="en-US" w:eastAsia="zh-CN"/>
                    </w:rPr>
                    <w:t>9</w:t>
                  </w:r>
                </w:p>
              </w:tc>
              <w:tc>
                <w:tcPr>
                  <w:tcW w:w="519" w:type="pct"/>
                  <w:noWrap w:val="0"/>
                  <w:vAlign w:val="center"/>
                </w:tcPr>
                <w:p>
                  <w:pPr>
                    <w:keepNext w:val="0"/>
                    <w:keepLines w:val="0"/>
                    <w:pageBreakBefore w:val="0"/>
                    <w:widowControl w:val="0"/>
                    <w:kinsoku/>
                    <w:wordWrap/>
                    <w:overflowPunct/>
                    <w:topLinePunct/>
                    <w:autoSpaceDE/>
                    <w:autoSpaceDN/>
                    <w:bidi w:val="0"/>
                    <w:adjustRightInd w:val="0"/>
                    <w:snapToGrid w:val="0"/>
                    <w:spacing w:line="240" w:lineRule="auto"/>
                    <w:ind w:firstLine="0" w:firstLineChars="0"/>
                    <w:jc w:val="center"/>
                    <w:textAlignment w:val="auto"/>
                    <w:rPr>
                      <w:rFonts w:hint="default" w:eastAsia="宋体"/>
                      <w:color w:val="auto"/>
                      <w:sz w:val="21"/>
                      <w:szCs w:val="21"/>
                      <w:highlight w:val="none"/>
                      <w:lang w:val="en-US" w:eastAsia="zh-CN"/>
                    </w:rPr>
                  </w:pPr>
                  <w:r>
                    <w:rPr>
                      <w:rFonts w:hint="eastAsia"/>
                      <w:color w:val="auto"/>
                      <w:sz w:val="21"/>
                      <w:szCs w:val="21"/>
                      <w:highlight w:val="none"/>
                      <w:lang w:val="en-US" w:eastAsia="zh-CN"/>
                    </w:rPr>
                    <w:t>9</w:t>
                  </w:r>
                </w:p>
              </w:tc>
              <w:tc>
                <w:tcPr>
                  <w:tcW w:w="391" w:type="pct"/>
                  <w:vMerge w:val="restart"/>
                  <w:noWrap w:val="0"/>
                  <w:vAlign w:val="center"/>
                </w:tcPr>
                <w:p>
                  <w:pPr>
                    <w:keepNext w:val="0"/>
                    <w:keepLines w:val="0"/>
                    <w:pageBreakBefore w:val="0"/>
                    <w:widowControl w:val="0"/>
                    <w:kinsoku/>
                    <w:wordWrap/>
                    <w:overflowPunct/>
                    <w:topLinePunct/>
                    <w:autoSpaceDE/>
                    <w:autoSpaceDN/>
                    <w:bidi w:val="0"/>
                    <w:adjustRightInd w:val="0"/>
                    <w:snapToGrid w:val="0"/>
                    <w:spacing w:line="240" w:lineRule="auto"/>
                    <w:ind w:firstLine="0" w:firstLineChars="0"/>
                    <w:jc w:val="center"/>
                    <w:textAlignment w:val="auto"/>
                    <w:rPr>
                      <w:color w:val="auto"/>
                      <w:sz w:val="21"/>
                      <w:szCs w:val="21"/>
                      <w:highlight w:val="none"/>
                    </w:rPr>
                  </w:pPr>
                  <w:r>
                    <w:rPr>
                      <w:color w:val="auto"/>
                      <w:sz w:val="21"/>
                      <w:szCs w:val="21"/>
                      <w:highlight w:val="none"/>
                    </w:rPr>
                    <w:t>废气处理</w:t>
                  </w:r>
                </w:p>
              </w:tc>
              <w:tc>
                <w:tcPr>
                  <w:tcW w:w="291" w:type="pct"/>
                  <w:noWrap w:val="0"/>
                  <w:vAlign w:val="center"/>
                </w:tcPr>
                <w:p>
                  <w:pPr>
                    <w:keepNext w:val="0"/>
                    <w:keepLines w:val="0"/>
                    <w:pageBreakBefore w:val="0"/>
                    <w:widowControl w:val="0"/>
                    <w:kinsoku/>
                    <w:wordWrap/>
                    <w:overflowPunct/>
                    <w:topLinePunct/>
                    <w:autoSpaceDE/>
                    <w:autoSpaceDN/>
                    <w:bidi w:val="0"/>
                    <w:adjustRightInd w:val="0"/>
                    <w:snapToGrid w:val="0"/>
                    <w:spacing w:line="240" w:lineRule="auto"/>
                    <w:ind w:firstLine="0" w:firstLineChars="0"/>
                    <w:jc w:val="center"/>
                    <w:textAlignment w:val="auto"/>
                    <w:rPr>
                      <w:color w:val="auto"/>
                      <w:sz w:val="21"/>
                      <w:szCs w:val="21"/>
                      <w:highlight w:val="none"/>
                    </w:rPr>
                  </w:pPr>
                  <w:r>
                    <w:rPr>
                      <w:color w:val="auto"/>
                      <w:sz w:val="21"/>
                      <w:szCs w:val="21"/>
                      <w:highlight w:val="none"/>
                    </w:rPr>
                    <w:t>固态</w:t>
                  </w:r>
                </w:p>
              </w:tc>
              <w:tc>
                <w:tcPr>
                  <w:tcW w:w="371" w:type="pct"/>
                  <w:noWrap w:val="0"/>
                  <w:vAlign w:val="center"/>
                </w:tcPr>
                <w:p>
                  <w:pPr>
                    <w:pageBreakBefore w:val="0"/>
                    <w:widowControl w:val="0"/>
                    <w:kinsoku/>
                    <w:wordWrap/>
                    <w:overflowPunct/>
                    <w:topLinePunct w:val="0"/>
                    <w:autoSpaceDE/>
                    <w:autoSpaceDN/>
                    <w:bidi w:val="0"/>
                    <w:adjustRightInd/>
                    <w:snapToGrid/>
                    <w:spacing w:line="240" w:lineRule="auto"/>
                    <w:jc w:val="center"/>
                    <w:textAlignment w:val="auto"/>
                    <w:rPr>
                      <w:color w:val="auto"/>
                      <w:sz w:val="21"/>
                      <w:szCs w:val="21"/>
                      <w:highlight w:val="none"/>
                    </w:rPr>
                  </w:pPr>
                  <w:r>
                    <w:rPr>
                      <w:rFonts w:hint="default" w:ascii="Times New Roman" w:hAnsi="Times New Roman" w:eastAsia="宋体" w:cs="Times New Roman"/>
                      <w:color w:val="auto"/>
                      <w:sz w:val="21"/>
                      <w:szCs w:val="21"/>
                      <w:highlight w:val="none"/>
                    </w:rPr>
                    <w:t>T</w:t>
                  </w:r>
                </w:p>
              </w:tc>
              <w:tc>
                <w:tcPr>
                  <w:tcW w:w="359" w:type="pct"/>
                  <w:vMerge w:val="restart"/>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eastAsia="宋体"/>
                      <w:color w:val="auto"/>
                      <w:sz w:val="21"/>
                      <w:szCs w:val="21"/>
                      <w:highlight w:val="none"/>
                      <w:lang w:val="en-US" w:eastAsia="zh-CN"/>
                    </w:rPr>
                  </w:pPr>
                  <w:r>
                    <w:rPr>
                      <w:rFonts w:hint="eastAsia"/>
                      <w:color w:val="auto"/>
                      <w:sz w:val="21"/>
                      <w:szCs w:val="21"/>
                      <w:highlight w:val="none"/>
                      <w:lang w:val="en-US" w:eastAsia="zh-CN"/>
                    </w:rPr>
                    <w:t>1年</w:t>
                  </w:r>
                </w:p>
              </w:tc>
              <w:tc>
                <w:tcPr>
                  <w:tcW w:w="324" w:type="pct"/>
                  <w:vMerge w:val="restart"/>
                  <w:noWrap w:val="0"/>
                  <w:vAlign w:val="center"/>
                </w:tcPr>
                <w:p>
                  <w:pPr>
                    <w:keepNext w:val="0"/>
                    <w:keepLines w:val="0"/>
                    <w:pageBreakBefore w:val="0"/>
                    <w:widowControl w:val="0"/>
                    <w:kinsoku/>
                    <w:wordWrap/>
                    <w:overflowPunct/>
                    <w:topLinePunct/>
                    <w:autoSpaceDE/>
                    <w:autoSpaceDN/>
                    <w:bidi w:val="0"/>
                    <w:adjustRightInd w:val="0"/>
                    <w:snapToGrid w:val="0"/>
                    <w:spacing w:line="240" w:lineRule="auto"/>
                    <w:ind w:firstLine="0" w:firstLineChars="0"/>
                    <w:jc w:val="center"/>
                    <w:textAlignment w:val="auto"/>
                    <w:rPr>
                      <w:color w:val="auto"/>
                      <w:sz w:val="21"/>
                      <w:szCs w:val="21"/>
                      <w:highlight w:val="none"/>
                    </w:rPr>
                  </w:pPr>
                  <w:r>
                    <w:rPr>
                      <w:color w:val="auto"/>
                      <w:sz w:val="21"/>
                      <w:szCs w:val="21"/>
                      <w:highlight w:val="none"/>
                    </w:rPr>
                    <w:t>厂内暂存；委托处置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6" w:hRule="atLeast"/>
              </w:trPr>
              <w:tc>
                <w:tcPr>
                  <w:tcW w:w="266" w:type="pct"/>
                  <w:noWrap w:val="0"/>
                  <w:vAlign w:val="center"/>
                </w:tcPr>
                <w:p>
                  <w:pPr>
                    <w:pStyle w:val="81"/>
                    <w:keepNext w:val="0"/>
                    <w:keepLines w:val="0"/>
                    <w:pageBreakBefore w:val="0"/>
                    <w:kinsoku/>
                    <w:wordWrap/>
                    <w:overflowPunct/>
                    <w:topLinePunct w:val="0"/>
                    <w:autoSpaceDE/>
                    <w:autoSpaceDN/>
                    <w:bidi w:val="0"/>
                    <w:adjustRightInd w:val="0"/>
                    <w:snapToGrid w:val="0"/>
                    <w:jc w:val="center"/>
                    <w:textAlignment w:val="auto"/>
                    <w:rPr>
                      <w:color w:val="auto"/>
                      <w:sz w:val="21"/>
                      <w:szCs w:val="21"/>
                      <w:highlight w:val="none"/>
                    </w:rPr>
                  </w:pPr>
                  <w:r>
                    <w:rPr>
                      <w:rFonts w:hint="default" w:ascii="Times New Roman" w:hAnsi="Times New Roman" w:cs="Times New Roman"/>
                      <w:color w:val="auto"/>
                      <w:sz w:val="21"/>
                      <w:szCs w:val="21"/>
                      <w:highlight w:val="none"/>
                      <w:lang w:val="en-US" w:eastAsia="zh-CN"/>
                    </w:rPr>
                    <w:t>2</w:t>
                  </w:r>
                </w:p>
              </w:tc>
              <w:tc>
                <w:tcPr>
                  <w:tcW w:w="437" w:type="pct"/>
                  <w:noWrap w:val="0"/>
                  <w:vAlign w:val="center"/>
                </w:tcPr>
                <w:p>
                  <w:pPr>
                    <w:pStyle w:val="81"/>
                    <w:keepNext w:val="0"/>
                    <w:keepLines w:val="0"/>
                    <w:pageBreakBefore w:val="0"/>
                    <w:kinsoku/>
                    <w:wordWrap/>
                    <w:overflowPunct/>
                    <w:topLinePunct w:val="0"/>
                    <w:autoSpaceDE/>
                    <w:autoSpaceDN/>
                    <w:bidi w:val="0"/>
                    <w:adjustRightInd w:val="0"/>
                    <w:snapToGrid w:val="0"/>
                    <w:jc w:val="center"/>
                    <w:textAlignment w:val="auto"/>
                    <w:rPr>
                      <w:rFonts w:hint="eastAsia"/>
                      <w:color w:val="auto"/>
                      <w:sz w:val="21"/>
                      <w:szCs w:val="21"/>
                      <w:highlight w:val="none"/>
                    </w:rPr>
                  </w:pPr>
                  <w:r>
                    <w:rPr>
                      <w:rFonts w:hint="eastAsia" w:ascii="Times New Roman" w:hAnsi="Times New Roman" w:cs="Times New Roman"/>
                      <w:color w:val="auto"/>
                      <w:sz w:val="21"/>
                      <w:szCs w:val="21"/>
                      <w:highlight w:val="none"/>
                      <w:lang w:val="en-US" w:eastAsia="zh-CN"/>
                    </w:rPr>
                    <w:t>废过滤棉</w:t>
                  </w:r>
                </w:p>
              </w:tc>
              <w:tc>
                <w:tcPr>
                  <w:tcW w:w="427" w:type="pct"/>
                  <w:vMerge w:val="continue"/>
                  <w:noWrap w:val="0"/>
                  <w:vAlign w:val="center"/>
                </w:tcPr>
                <w:p>
                  <w:pPr>
                    <w:pStyle w:val="106"/>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color w:val="auto"/>
                      <w:sz w:val="21"/>
                      <w:szCs w:val="21"/>
                      <w:highlight w:val="none"/>
                      <w:lang w:val="en-US" w:eastAsia="zh-CN"/>
                    </w:rPr>
                  </w:pPr>
                </w:p>
              </w:tc>
              <w:tc>
                <w:tcPr>
                  <w:tcW w:w="637" w:type="pct"/>
                  <w:noWrap w:val="0"/>
                  <w:vAlign w:val="center"/>
                </w:tcPr>
                <w:p>
                  <w:pPr>
                    <w:pStyle w:val="81"/>
                    <w:keepNext w:val="0"/>
                    <w:keepLines w:val="0"/>
                    <w:pageBreakBefore w:val="0"/>
                    <w:kinsoku/>
                    <w:wordWrap/>
                    <w:overflowPunct/>
                    <w:topLinePunct w:val="0"/>
                    <w:autoSpaceDE/>
                    <w:autoSpaceDN/>
                    <w:bidi w:val="0"/>
                    <w:adjustRightInd w:val="0"/>
                    <w:snapToGrid w:val="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 xml:space="preserve">900-039-49 </w:t>
                  </w:r>
                </w:p>
              </w:tc>
              <w:tc>
                <w:tcPr>
                  <w:tcW w:w="487" w:type="pct"/>
                  <w:noWrap w:val="0"/>
                  <w:vAlign w:val="center"/>
                </w:tcPr>
                <w:p>
                  <w:pPr>
                    <w:spacing w:line="240" w:lineRule="auto"/>
                    <w:jc w:val="center"/>
                    <w:rPr>
                      <w:rFonts w:hint="default" w:cs="Times New Roman" w:eastAsiaTheme="minorEastAsia"/>
                      <w:color w:val="auto"/>
                      <w:sz w:val="21"/>
                      <w:szCs w:val="21"/>
                      <w:highlight w:val="none"/>
                      <w:lang w:val="en-US" w:eastAsia="zh-CN"/>
                    </w:rPr>
                  </w:pPr>
                  <w:r>
                    <w:rPr>
                      <w:rFonts w:hint="eastAsia" w:cs="Times New Roman" w:eastAsiaTheme="minorEastAsia"/>
                      <w:color w:val="auto"/>
                      <w:sz w:val="21"/>
                      <w:szCs w:val="21"/>
                      <w:highlight w:val="none"/>
                      <w:lang w:val="en-US" w:eastAsia="zh-CN"/>
                    </w:rPr>
                    <w:t>0</w:t>
                  </w:r>
                </w:p>
              </w:tc>
              <w:tc>
                <w:tcPr>
                  <w:tcW w:w="487" w:type="pct"/>
                  <w:noWrap w:val="0"/>
                  <w:vAlign w:val="center"/>
                </w:tcPr>
                <w:p>
                  <w:pPr>
                    <w:spacing w:line="240" w:lineRule="auto"/>
                    <w:jc w:val="center"/>
                    <w:rPr>
                      <w:rFonts w:hint="default"/>
                      <w:color w:val="auto"/>
                      <w:sz w:val="21"/>
                      <w:szCs w:val="21"/>
                      <w:highlight w:val="none"/>
                      <w:lang w:val="en-US"/>
                    </w:rPr>
                  </w:pPr>
                  <w:r>
                    <w:rPr>
                      <w:rFonts w:hint="eastAsia" w:cs="Times New Roman" w:eastAsiaTheme="minorEastAsia"/>
                      <w:color w:val="auto"/>
                      <w:sz w:val="21"/>
                      <w:szCs w:val="21"/>
                      <w:highlight w:val="none"/>
                      <w:lang w:val="en-US" w:eastAsia="zh-CN"/>
                    </w:rPr>
                    <w:t>1</w:t>
                  </w:r>
                </w:p>
              </w:tc>
              <w:tc>
                <w:tcPr>
                  <w:tcW w:w="519" w:type="pct"/>
                  <w:noWrap w:val="0"/>
                  <w:vAlign w:val="center"/>
                </w:tcPr>
                <w:p>
                  <w:pPr>
                    <w:keepNext w:val="0"/>
                    <w:keepLines w:val="0"/>
                    <w:pageBreakBefore w:val="0"/>
                    <w:widowControl w:val="0"/>
                    <w:kinsoku/>
                    <w:wordWrap/>
                    <w:overflowPunct/>
                    <w:topLinePunct/>
                    <w:autoSpaceDE/>
                    <w:autoSpaceDN/>
                    <w:bidi w:val="0"/>
                    <w:adjustRightInd w:val="0"/>
                    <w:snapToGrid w:val="0"/>
                    <w:spacing w:line="240" w:lineRule="auto"/>
                    <w:ind w:firstLine="0" w:firstLineChars="0"/>
                    <w:jc w:val="center"/>
                    <w:textAlignment w:val="auto"/>
                    <w:rPr>
                      <w:rFonts w:hint="default" w:eastAsia="宋体"/>
                      <w:color w:val="auto"/>
                      <w:sz w:val="21"/>
                      <w:szCs w:val="21"/>
                      <w:highlight w:val="none"/>
                      <w:lang w:val="en-US" w:eastAsia="zh-CN"/>
                    </w:rPr>
                  </w:pPr>
                  <w:r>
                    <w:rPr>
                      <w:rFonts w:hint="eastAsia"/>
                      <w:color w:val="auto"/>
                      <w:sz w:val="21"/>
                      <w:szCs w:val="21"/>
                      <w:highlight w:val="none"/>
                      <w:lang w:val="en-US" w:eastAsia="zh-CN"/>
                    </w:rPr>
                    <w:t>1</w:t>
                  </w:r>
                </w:p>
              </w:tc>
              <w:tc>
                <w:tcPr>
                  <w:tcW w:w="391" w:type="pct"/>
                  <w:vMerge w:val="continue"/>
                  <w:noWrap w:val="0"/>
                  <w:vAlign w:val="center"/>
                </w:tcPr>
                <w:p>
                  <w:pPr>
                    <w:keepNext w:val="0"/>
                    <w:keepLines w:val="0"/>
                    <w:pageBreakBefore w:val="0"/>
                    <w:widowControl w:val="0"/>
                    <w:kinsoku/>
                    <w:wordWrap/>
                    <w:overflowPunct/>
                    <w:topLinePunct/>
                    <w:autoSpaceDE/>
                    <w:autoSpaceDN/>
                    <w:bidi w:val="0"/>
                    <w:adjustRightInd w:val="0"/>
                    <w:snapToGrid w:val="0"/>
                    <w:spacing w:line="240" w:lineRule="auto"/>
                    <w:ind w:firstLine="0" w:firstLineChars="0"/>
                    <w:jc w:val="center"/>
                    <w:textAlignment w:val="auto"/>
                    <w:rPr>
                      <w:color w:val="auto"/>
                      <w:sz w:val="21"/>
                      <w:szCs w:val="21"/>
                      <w:highlight w:val="none"/>
                    </w:rPr>
                  </w:pPr>
                </w:p>
              </w:tc>
              <w:tc>
                <w:tcPr>
                  <w:tcW w:w="291" w:type="pct"/>
                  <w:noWrap w:val="0"/>
                  <w:vAlign w:val="center"/>
                </w:tcPr>
                <w:p>
                  <w:pPr>
                    <w:keepNext w:val="0"/>
                    <w:keepLines w:val="0"/>
                    <w:pageBreakBefore w:val="0"/>
                    <w:widowControl w:val="0"/>
                    <w:kinsoku/>
                    <w:wordWrap/>
                    <w:overflowPunct/>
                    <w:topLinePunct/>
                    <w:autoSpaceDE/>
                    <w:autoSpaceDN/>
                    <w:bidi w:val="0"/>
                    <w:adjustRightInd w:val="0"/>
                    <w:snapToGrid w:val="0"/>
                    <w:spacing w:line="240" w:lineRule="auto"/>
                    <w:ind w:firstLine="0" w:firstLineChars="0"/>
                    <w:jc w:val="center"/>
                    <w:textAlignment w:val="auto"/>
                    <w:rPr>
                      <w:color w:val="auto"/>
                      <w:sz w:val="21"/>
                      <w:szCs w:val="21"/>
                      <w:highlight w:val="none"/>
                    </w:rPr>
                  </w:pPr>
                  <w:r>
                    <w:rPr>
                      <w:color w:val="auto"/>
                      <w:sz w:val="21"/>
                      <w:szCs w:val="21"/>
                      <w:highlight w:val="none"/>
                    </w:rPr>
                    <w:t>液态</w:t>
                  </w:r>
                </w:p>
              </w:tc>
              <w:tc>
                <w:tcPr>
                  <w:tcW w:w="371" w:type="pct"/>
                  <w:noWrap w:val="0"/>
                  <w:vAlign w:val="center"/>
                </w:tcPr>
                <w:p>
                  <w:pPr>
                    <w:pageBreakBefore w:val="0"/>
                    <w:widowControl w:val="0"/>
                    <w:kinsoku/>
                    <w:wordWrap/>
                    <w:overflowPunct/>
                    <w:topLinePunct w:val="0"/>
                    <w:autoSpaceDE/>
                    <w:autoSpaceDN/>
                    <w:bidi w:val="0"/>
                    <w:adjustRightInd/>
                    <w:snapToGrid/>
                    <w:spacing w:line="240" w:lineRule="auto"/>
                    <w:jc w:val="center"/>
                    <w:textAlignment w:val="auto"/>
                    <w:rPr>
                      <w:color w:val="auto"/>
                      <w:sz w:val="21"/>
                      <w:szCs w:val="21"/>
                      <w:highlight w:val="none"/>
                    </w:rPr>
                  </w:pPr>
                  <w:r>
                    <w:rPr>
                      <w:rFonts w:hint="default" w:ascii="Times New Roman" w:hAnsi="Times New Roman" w:eastAsia="宋体" w:cs="Times New Roman"/>
                      <w:color w:val="auto"/>
                      <w:sz w:val="21"/>
                      <w:szCs w:val="21"/>
                      <w:highlight w:val="none"/>
                    </w:rPr>
                    <w:t>T</w:t>
                  </w:r>
                </w:p>
              </w:tc>
              <w:tc>
                <w:tcPr>
                  <w:tcW w:w="359" w:type="pct"/>
                  <w:vMerge w:val="continue"/>
                  <w:noWrap w:val="0"/>
                  <w:vAlign w:val="center"/>
                </w:tcPr>
                <w:p>
                  <w:pPr>
                    <w:keepNext w:val="0"/>
                    <w:keepLines w:val="0"/>
                    <w:pageBreakBefore w:val="0"/>
                    <w:widowControl w:val="0"/>
                    <w:kinsoku/>
                    <w:wordWrap/>
                    <w:overflowPunct/>
                    <w:topLinePunct/>
                    <w:autoSpaceDE/>
                    <w:autoSpaceDN/>
                    <w:bidi w:val="0"/>
                    <w:adjustRightInd w:val="0"/>
                    <w:snapToGrid w:val="0"/>
                    <w:spacing w:line="240" w:lineRule="auto"/>
                    <w:ind w:firstLine="0" w:firstLineChars="0"/>
                    <w:jc w:val="center"/>
                    <w:textAlignment w:val="auto"/>
                    <w:rPr>
                      <w:color w:val="auto"/>
                      <w:sz w:val="21"/>
                      <w:szCs w:val="21"/>
                      <w:highlight w:val="none"/>
                    </w:rPr>
                  </w:pPr>
                </w:p>
              </w:tc>
              <w:tc>
                <w:tcPr>
                  <w:tcW w:w="324" w:type="pct"/>
                  <w:vMerge w:val="continue"/>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266" w:type="pct"/>
                  <w:noWrap w:val="0"/>
                  <w:vAlign w:val="center"/>
                </w:tcPr>
                <w:p>
                  <w:pPr>
                    <w:pStyle w:val="81"/>
                    <w:keepNext w:val="0"/>
                    <w:keepLines w:val="0"/>
                    <w:pageBreakBefore w:val="0"/>
                    <w:kinsoku/>
                    <w:wordWrap/>
                    <w:overflowPunct/>
                    <w:topLinePunct w:val="0"/>
                    <w:autoSpaceDE/>
                    <w:autoSpaceDN/>
                    <w:bidi w:val="0"/>
                    <w:adjustRightInd w:val="0"/>
                    <w:snapToGrid w:val="0"/>
                    <w:jc w:val="center"/>
                    <w:textAlignment w:val="auto"/>
                    <w:rPr>
                      <w:color w:val="auto"/>
                      <w:sz w:val="21"/>
                      <w:szCs w:val="21"/>
                      <w:highlight w:val="none"/>
                    </w:rPr>
                  </w:pPr>
                  <w:r>
                    <w:rPr>
                      <w:rFonts w:hint="eastAsia" w:ascii="Times New Roman" w:hAnsi="Times New Roman" w:cs="Times New Roman"/>
                      <w:color w:val="auto"/>
                      <w:sz w:val="21"/>
                      <w:szCs w:val="21"/>
                      <w:highlight w:val="none"/>
                      <w:lang w:val="en-US" w:eastAsia="zh-CN"/>
                    </w:rPr>
                    <w:t>3</w:t>
                  </w:r>
                </w:p>
              </w:tc>
              <w:tc>
                <w:tcPr>
                  <w:tcW w:w="437" w:type="pct"/>
                  <w:noWrap w:val="0"/>
                  <w:vAlign w:val="center"/>
                </w:tcPr>
                <w:p>
                  <w:pPr>
                    <w:pStyle w:val="81"/>
                    <w:keepNext w:val="0"/>
                    <w:keepLines w:val="0"/>
                    <w:pageBreakBefore w:val="0"/>
                    <w:kinsoku/>
                    <w:wordWrap/>
                    <w:overflowPunct/>
                    <w:topLinePunct w:val="0"/>
                    <w:autoSpaceDE/>
                    <w:autoSpaceDN/>
                    <w:bidi w:val="0"/>
                    <w:adjustRightInd w:val="0"/>
                    <w:snapToGrid w:val="0"/>
                    <w:jc w:val="center"/>
                    <w:textAlignment w:val="auto"/>
                    <w:rPr>
                      <w:rFonts w:hint="eastAsia"/>
                      <w:color w:val="auto"/>
                      <w:sz w:val="21"/>
                      <w:szCs w:val="21"/>
                      <w:highlight w:val="none"/>
                    </w:rPr>
                  </w:pPr>
                  <w:r>
                    <w:rPr>
                      <w:rFonts w:hint="eastAsia" w:ascii="Times New Roman" w:hAnsi="Times New Roman" w:cs="Times New Roman"/>
                      <w:color w:val="auto"/>
                      <w:sz w:val="21"/>
                      <w:szCs w:val="21"/>
                      <w:highlight w:val="none"/>
                      <w:lang w:val="en-US" w:eastAsia="zh-CN"/>
                    </w:rPr>
                    <w:t>废漆桶</w:t>
                  </w:r>
                </w:p>
              </w:tc>
              <w:tc>
                <w:tcPr>
                  <w:tcW w:w="427" w:type="pct"/>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eastAsia="宋体"/>
                      <w:color w:val="auto"/>
                      <w:sz w:val="21"/>
                      <w:szCs w:val="21"/>
                      <w:highlight w:val="none"/>
                      <w:lang w:val="en-US" w:eastAsia="zh-CN"/>
                    </w:rPr>
                  </w:pPr>
                  <w:r>
                    <w:rPr>
                      <w:rFonts w:hint="eastAsia"/>
                      <w:color w:val="auto"/>
                      <w:sz w:val="21"/>
                      <w:szCs w:val="21"/>
                      <w:highlight w:val="none"/>
                      <w:lang w:val="en-US" w:eastAsia="zh-CN"/>
                    </w:rPr>
                    <w:t>HW12</w:t>
                  </w:r>
                </w:p>
              </w:tc>
              <w:tc>
                <w:tcPr>
                  <w:tcW w:w="637" w:type="pct"/>
                  <w:noWrap w:val="0"/>
                  <w:vAlign w:val="center"/>
                </w:tcPr>
                <w:p>
                  <w:pPr>
                    <w:pStyle w:val="58"/>
                    <w:keepNext w:val="0"/>
                    <w:keepLines w:val="0"/>
                    <w:pageBreakBefore w:val="0"/>
                    <w:kinsoku/>
                    <w:wordWrap/>
                    <w:overflowPunct/>
                    <w:topLinePunct w:val="0"/>
                    <w:autoSpaceDE/>
                    <w:autoSpaceDN/>
                    <w:bidi w:val="0"/>
                    <w:adjustRightInd w:val="0"/>
                    <w:snapToGrid w:val="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bidi="ar-SA"/>
                    </w:rPr>
                    <w:t>900-250-12</w:t>
                  </w:r>
                </w:p>
              </w:tc>
              <w:tc>
                <w:tcPr>
                  <w:tcW w:w="487" w:type="pct"/>
                  <w:noWrap w:val="0"/>
                  <w:vAlign w:val="center"/>
                </w:tcPr>
                <w:p>
                  <w:pPr>
                    <w:pStyle w:val="58"/>
                    <w:bidi w:val="0"/>
                    <w:rPr>
                      <w:rFonts w:hint="default" w:ascii="Times New Roman" w:hAnsi="Times New Roman" w:cs="Times New Roman"/>
                      <w:color w:val="auto"/>
                      <w:sz w:val="21"/>
                      <w:szCs w:val="21"/>
                      <w:highlight w:val="none"/>
                      <w:lang w:val="en-US" w:eastAsia="zh-CN" w:bidi="ar-SA"/>
                    </w:rPr>
                  </w:pPr>
                  <w:r>
                    <w:rPr>
                      <w:rFonts w:hint="eastAsia" w:ascii="Times New Roman" w:hAnsi="Times New Roman" w:cs="Times New Roman"/>
                      <w:color w:val="auto"/>
                      <w:sz w:val="21"/>
                      <w:szCs w:val="21"/>
                      <w:highlight w:val="none"/>
                      <w:lang w:val="en-US" w:eastAsia="zh-CN" w:bidi="ar-SA"/>
                    </w:rPr>
                    <w:t>0</w:t>
                  </w:r>
                </w:p>
              </w:tc>
              <w:tc>
                <w:tcPr>
                  <w:tcW w:w="487" w:type="pct"/>
                  <w:noWrap w:val="0"/>
                  <w:vAlign w:val="center"/>
                </w:tcPr>
                <w:p>
                  <w:pPr>
                    <w:pStyle w:val="58"/>
                    <w:bidi w:val="0"/>
                    <w:rPr>
                      <w:color w:val="auto"/>
                      <w:sz w:val="21"/>
                      <w:szCs w:val="21"/>
                      <w:highlight w:val="none"/>
                    </w:rPr>
                  </w:pPr>
                  <w:r>
                    <w:rPr>
                      <w:rFonts w:hint="eastAsia" w:ascii="Times New Roman" w:hAnsi="Times New Roman" w:cs="Times New Roman"/>
                      <w:color w:val="auto"/>
                      <w:sz w:val="21"/>
                      <w:szCs w:val="21"/>
                      <w:highlight w:val="none"/>
                      <w:lang w:val="en-US" w:eastAsia="zh-CN" w:bidi="ar-SA"/>
                    </w:rPr>
                    <w:t>0.06t</w:t>
                  </w:r>
                </w:p>
              </w:tc>
              <w:tc>
                <w:tcPr>
                  <w:tcW w:w="519" w:type="pct"/>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eastAsia="宋体"/>
                      <w:color w:val="auto"/>
                      <w:sz w:val="21"/>
                      <w:szCs w:val="21"/>
                      <w:highlight w:val="none"/>
                      <w:lang w:val="en-US" w:eastAsia="zh-CN"/>
                    </w:rPr>
                  </w:pPr>
                  <w:r>
                    <w:rPr>
                      <w:rFonts w:hint="eastAsia"/>
                      <w:color w:val="auto"/>
                      <w:sz w:val="21"/>
                      <w:szCs w:val="21"/>
                      <w:highlight w:val="none"/>
                      <w:lang w:val="en-US" w:eastAsia="zh-CN"/>
                    </w:rPr>
                    <w:t>0.06</w:t>
                  </w:r>
                </w:p>
              </w:tc>
              <w:tc>
                <w:tcPr>
                  <w:tcW w:w="391" w:type="pct"/>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color w:val="auto"/>
                      <w:sz w:val="21"/>
                      <w:szCs w:val="21"/>
                      <w:highlight w:val="none"/>
                    </w:rPr>
                  </w:pPr>
                  <w:r>
                    <w:rPr>
                      <w:color w:val="auto"/>
                      <w:sz w:val="21"/>
                      <w:szCs w:val="21"/>
                      <w:highlight w:val="none"/>
                    </w:rPr>
                    <w:t>包装物</w:t>
                  </w:r>
                </w:p>
              </w:tc>
              <w:tc>
                <w:tcPr>
                  <w:tcW w:w="291" w:type="pct"/>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color w:val="auto"/>
                      <w:sz w:val="21"/>
                      <w:szCs w:val="21"/>
                      <w:highlight w:val="none"/>
                    </w:rPr>
                  </w:pPr>
                  <w:r>
                    <w:rPr>
                      <w:color w:val="auto"/>
                      <w:sz w:val="21"/>
                      <w:szCs w:val="21"/>
                      <w:highlight w:val="none"/>
                    </w:rPr>
                    <w:t>固态</w:t>
                  </w:r>
                </w:p>
              </w:tc>
              <w:tc>
                <w:tcPr>
                  <w:tcW w:w="371" w:type="pct"/>
                  <w:noWrap w:val="0"/>
                  <w:vAlign w:val="center"/>
                </w:tcPr>
                <w:p>
                  <w:pPr>
                    <w:pageBreakBefore w:val="0"/>
                    <w:widowControl w:val="0"/>
                    <w:kinsoku/>
                    <w:wordWrap/>
                    <w:overflowPunct/>
                    <w:topLinePunct w:val="0"/>
                    <w:autoSpaceDE/>
                    <w:autoSpaceDN/>
                    <w:bidi w:val="0"/>
                    <w:adjustRightInd/>
                    <w:snapToGrid/>
                    <w:spacing w:line="240" w:lineRule="auto"/>
                    <w:jc w:val="center"/>
                    <w:textAlignment w:val="auto"/>
                    <w:rPr>
                      <w:rFonts w:hint="eastAsia"/>
                      <w:color w:val="auto"/>
                      <w:sz w:val="21"/>
                      <w:szCs w:val="21"/>
                      <w:highlight w:val="none"/>
                    </w:rPr>
                  </w:pPr>
                  <w:r>
                    <w:rPr>
                      <w:rFonts w:hint="default" w:ascii="Times New Roman" w:hAnsi="Times New Roman" w:eastAsia="宋体" w:cs="Times New Roman"/>
                      <w:color w:val="auto"/>
                      <w:sz w:val="21"/>
                      <w:szCs w:val="21"/>
                      <w:highlight w:val="none"/>
                    </w:rPr>
                    <w:t>T</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lang w:val="en-US" w:eastAsia="zh-CN"/>
                    </w:rPr>
                    <w:t>I</w:t>
                  </w:r>
                </w:p>
              </w:tc>
              <w:tc>
                <w:tcPr>
                  <w:tcW w:w="359" w:type="pct"/>
                  <w:vMerge w:val="continue"/>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color w:val="auto"/>
                      <w:sz w:val="21"/>
                      <w:szCs w:val="21"/>
                      <w:highlight w:val="none"/>
                    </w:rPr>
                  </w:pPr>
                </w:p>
              </w:tc>
              <w:tc>
                <w:tcPr>
                  <w:tcW w:w="324" w:type="pct"/>
                  <w:vMerge w:val="continue"/>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266" w:type="pct"/>
                  <w:noWrap w:val="0"/>
                  <w:vAlign w:val="center"/>
                </w:tcPr>
                <w:p>
                  <w:pPr>
                    <w:pStyle w:val="81"/>
                    <w:keepNext w:val="0"/>
                    <w:keepLines w:val="0"/>
                    <w:pageBreakBefore w:val="0"/>
                    <w:kinsoku/>
                    <w:wordWrap/>
                    <w:overflowPunct/>
                    <w:topLinePunct w:val="0"/>
                    <w:autoSpaceDE/>
                    <w:autoSpaceDN/>
                    <w:bidi w:val="0"/>
                    <w:adjustRightInd w:val="0"/>
                    <w:snapToGrid w:val="0"/>
                    <w:jc w:val="center"/>
                    <w:textAlignment w:val="auto"/>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4</w:t>
                  </w:r>
                </w:p>
              </w:tc>
              <w:tc>
                <w:tcPr>
                  <w:tcW w:w="437" w:type="pct"/>
                  <w:noWrap w:val="0"/>
                  <w:vAlign w:val="center"/>
                </w:tcPr>
                <w:p>
                  <w:pPr>
                    <w:pStyle w:val="81"/>
                    <w:keepNext w:val="0"/>
                    <w:keepLines w:val="0"/>
                    <w:pageBreakBefore w:val="0"/>
                    <w:kinsoku/>
                    <w:wordWrap/>
                    <w:overflowPunct/>
                    <w:topLinePunct w:val="0"/>
                    <w:autoSpaceDE/>
                    <w:autoSpaceDN/>
                    <w:bidi w:val="0"/>
                    <w:adjustRightInd w:val="0"/>
                    <w:snapToGrid w:val="0"/>
                    <w:jc w:val="center"/>
                    <w:textAlignment w:val="auto"/>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废稀释剂桶</w:t>
                  </w:r>
                </w:p>
              </w:tc>
              <w:tc>
                <w:tcPr>
                  <w:tcW w:w="427" w:type="pct"/>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eastAsia"/>
                      <w:color w:val="auto"/>
                      <w:sz w:val="21"/>
                      <w:szCs w:val="21"/>
                      <w:highlight w:val="none"/>
                      <w:lang w:val="en-US" w:eastAsia="zh-CN"/>
                    </w:rPr>
                  </w:pPr>
                  <w:r>
                    <w:rPr>
                      <w:rFonts w:hint="eastAsia"/>
                      <w:color w:val="auto"/>
                      <w:sz w:val="21"/>
                      <w:szCs w:val="21"/>
                      <w:highlight w:val="none"/>
                      <w:lang w:val="en-US" w:eastAsia="zh-CN"/>
                    </w:rPr>
                    <w:t>HW12</w:t>
                  </w:r>
                </w:p>
              </w:tc>
              <w:tc>
                <w:tcPr>
                  <w:tcW w:w="637" w:type="pct"/>
                  <w:noWrap w:val="0"/>
                  <w:vAlign w:val="center"/>
                </w:tcPr>
                <w:p>
                  <w:pPr>
                    <w:pStyle w:val="58"/>
                    <w:keepNext w:val="0"/>
                    <w:keepLines w:val="0"/>
                    <w:pageBreakBefore w:val="0"/>
                    <w:kinsoku/>
                    <w:wordWrap/>
                    <w:overflowPunct/>
                    <w:topLinePunct w:val="0"/>
                    <w:autoSpaceDE/>
                    <w:autoSpaceDN/>
                    <w:bidi w:val="0"/>
                    <w:adjustRightInd w:val="0"/>
                    <w:snapToGrid w:val="0"/>
                    <w:jc w:val="center"/>
                    <w:textAlignment w:val="auto"/>
                    <w:rPr>
                      <w:rFonts w:hint="default" w:ascii="Times New Roman" w:hAnsi="Times New Roman" w:cs="Times New Roman"/>
                      <w:color w:val="auto"/>
                      <w:sz w:val="21"/>
                      <w:szCs w:val="21"/>
                      <w:highlight w:val="none"/>
                      <w:lang w:val="en-US" w:eastAsia="zh-CN" w:bidi="ar-SA"/>
                    </w:rPr>
                  </w:pPr>
                  <w:r>
                    <w:rPr>
                      <w:rFonts w:hint="default" w:ascii="Times New Roman" w:hAnsi="Times New Roman" w:eastAsia="宋体" w:cs="Times New Roman"/>
                      <w:color w:val="auto"/>
                      <w:sz w:val="21"/>
                      <w:szCs w:val="21"/>
                      <w:highlight w:val="none"/>
                      <w:lang w:val="en-US" w:eastAsia="zh-CN"/>
                    </w:rPr>
                    <w:t>900-250-12</w:t>
                  </w:r>
                </w:p>
              </w:tc>
              <w:tc>
                <w:tcPr>
                  <w:tcW w:w="487" w:type="pct"/>
                  <w:noWrap w:val="0"/>
                  <w:vAlign w:val="center"/>
                </w:tcPr>
                <w:p>
                  <w:pPr>
                    <w:pStyle w:val="58"/>
                    <w:bidi w:val="0"/>
                    <w:rPr>
                      <w:rFonts w:hint="default" w:ascii="Times New Roman" w:hAnsi="Times New Roman" w:cs="Times New Roman"/>
                      <w:color w:val="auto"/>
                      <w:sz w:val="21"/>
                      <w:szCs w:val="21"/>
                      <w:highlight w:val="none"/>
                      <w:lang w:val="en-US" w:eastAsia="zh-CN" w:bidi="ar-SA"/>
                    </w:rPr>
                  </w:pPr>
                  <w:r>
                    <w:rPr>
                      <w:rFonts w:hint="eastAsia" w:ascii="Times New Roman" w:hAnsi="Times New Roman" w:cs="Times New Roman"/>
                      <w:color w:val="auto"/>
                      <w:sz w:val="21"/>
                      <w:szCs w:val="21"/>
                      <w:highlight w:val="none"/>
                      <w:lang w:val="en-US" w:eastAsia="zh-CN" w:bidi="ar-SA"/>
                    </w:rPr>
                    <w:t>0</w:t>
                  </w:r>
                </w:p>
              </w:tc>
              <w:tc>
                <w:tcPr>
                  <w:tcW w:w="487" w:type="pct"/>
                  <w:noWrap w:val="0"/>
                  <w:vAlign w:val="center"/>
                </w:tcPr>
                <w:p>
                  <w:pPr>
                    <w:pStyle w:val="58"/>
                    <w:bidi w:val="0"/>
                    <w:rPr>
                      <w:rFonts w:hint="default" w:ascii="Times New Roman" w:hAnsi="Times New Roman" w:cs="Times New Roman"/>
                      <w:color w:val="auto"/>
                      <w:sz w:val="21"/>
                      <w:szCs w:val="21"/>
                      <w:highlight w:val="none"/>
                      <w:lang w:val="en-US" w:eastAsia="zh-CN" w:bidi="ar-SA"/>
                    </w:rPr>
                  </w:pPr>
                  <w:r>
                    <w:rPr>
                      <w:rFonts w:hint="eastAsia" w:ascii="Times New Roman" w:hAnsi="Times New Roman" w:cs="Times New Roman"/>
                      <w:color w:val="auto"/>
                      <w:sz w:val="21"/>
                      <w:szCs w:val="21"/>
                      <w:highlight w:val="none"/>
                      <w:lang w:val="en-US" w:eastAsia="zh-CN" w:bidi="ar-SA"/>
                    </w:rPr>
                    <w:t>0.01</w:t>
                  </w:r>
                </w:p>
              </w:tc>
              <w:tc>
                <w:tcPr>
                  <w:tcW w:w="519" w:type="pct"/>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eastAsia="宋体"/>
                      <w:color w:val="auto"/>
                      <w:sz w:val="21"/>
                      <w:szCs w:val="21"/>
                      <w:highlight w:val="none"/>
                      <w:lang w:val="en-US" w:eastAsia="zh-CN"/>
                    </w:rPr>
                  </w:pPr>
                  <w:r>
                    <w:rPr>
                      <w:rFonts w:hint="eastAsia"/>
                      <w:color w:val="auto"/>
                      <w:sz w:val="21"/>
                      <w:szCs w:val="21"/>
                      <w:highlight w:val="none"/>
                      <w:lang w:val="en-US" w:eastAsia="zh-CN"/>
                    </w:rPr>
                    <w:t>0.01</w:t>
                  </w:r>
                </w:p>
              </w:tc>
              <w:tc>
                <w:tcPr>
                  <w:tcW w:w="391" w:type="pct"/>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color w:val="auto"/>
                      <w:sz w:val="21"/>
                      <w:szCs w:val="21"/>
                      <w:highlight w:val="none"/>
                    </w:rPr>
                  </w:pPr>
                  <w:r>
                    <w:rPr>
                      <w:color w:val="auto"/>
                      <w:sz w:val="21"/>
                      <w:szCs w:val="21"/>
                      <w:highlight w:val="none"/>
                    </w:rPr>
                    <w:t>包装物</w:t>
                  </w:r>
                </w:p>
              </w:tc>
              <w:tc>
                <w:tcPr>
                  <w:tcW w:w="291" w:type="pct"/>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color w:val="auto"/>
                      <w:sz w:val="21"/>
                      <w:szCs w:val="21"/>
                      <w:highlight w:val="none"/>
                    </w:rPr>
                  </w:pPr>
                  <w:r>
                    <w:rPr>
                      <w:rFonts w:hint="eastAsia"/>
                      <w:color w:val="auto"/>
                      <w:sz w:val="21"/>
                      <w:szCs w:val="21"/>
                      <w:highlight w:val="none"/>
                    </w:rPr>
                    <w:t>固态</w:t>
                  </w:r>
                </w:p>
              </w:tc>
              <w:tc>
                <w:tcPr>
                  <w:tcW w:w="371" w:type="pct"/>
                  <w:noWrap w:val="0"/>
                  <w:vAlign w:val="center"/>
                </w:tcPr>
                <w:p>
                  <w:pPr>
                    <w:pageBreakBefore w:val="0"/>
                    <w:widowControl w:val="0"/>
                    <w:kinsoku/>
                    <w:wordWrap/>
                    <w:overflowPunct/>
                    <w:topLinePunct w:val="0"/>
                    <w:autoSpaceDE/>
                    <w:autoSpaceDN/>
                    <w:bidi w:val="0"/>
                    <w:adjustRightInd/>
                    <w:snapToGrid/>
                    <w:spacing w:line="240" w:lineRule="auto"/>
                    <w:jc w:val="center"/>
                    <w:textAlignment w:val="auto"/>
                    <w:rPr>
                      <w:rFonts w:hint="eastAsia"/>
                      <w:color w:val="auto"/>
                      <w:sz w:val="21"/>
                      <w:szCs w:val="21"/>
                      <w:highlight w:val="none"/>
                    </w:rPr>
                  </w:pPr>
                  <w:r>
                    <w:rPr>
                      <w:rFonts w:hint="default" w:ascii="Times New Roman" w:hAnsi="Times New Roman" w:eastAsia="宋体" w:cs="Times New Roman"/>
                      <w:color w:val="auto"/>
                      <w:sz w:val="21"/>
                      <w:szCs w:val="21"/>
                      <w:highlight w:val="none"/>
                    </w:rPr>
                    <w:t>T、I</w:t>
                  </w:r>
                </w:p>
              </w:tc>
              <w:tc>
                <w:tcPr>
                  <w:tcW w:w="359" w:type="pct"/>
                  <w:vMerge w:val="continue"/>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color w:val="auto"/>
                      <w:sz w:val="21"/>
                      <w:szCs w:val="21"/>
                      <w:highlight w:val="none"/>
                    </w:rPr>
                  </w:pPr>
                </w:p>
              </w:tc>
              <w:tc>
                <w:tcPr>
                  <w:tcW w:w="324" w:type="pct"/>
                  <w:vMerge w:val="continue"/>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266" w:type="pct"/>
                  <w:noWrap w:val="0"/>
                  <w:vAlign w:val="center"/>
                </w:tcPr>
                <w:p>
                  <w:pPr>
                    <w:pStyle w:val="81"/>
                    <w:keepNext w:val="0"/>
                    <w:keepLines w:val="0"/>
                    <w:pageBreakBefore w:val="0"/>
                    <w:kinsoku/>
                    <w:wordWrap/>
                    <w:overflowPunct/>
                    <w:topLinePunct w:val="0"/>
                    <w:autoSpaceDE/>
                    <w:autoSpaceDN/>
                    <w:bidi w:val="0"/>
                    <w:adjustRightInd w:val="0"/>
                    <w:snapToGrid w:val="0"/>
                    <w:jc w:val="center"/>
                    <w:textAlignment w:val="auto"/>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5</w:t>
                  </w:r>
                </w:p>
              </w:tc>
              <w:tc>
                <w:tcPr>
                  <w:tcW w:w="437" w:type="pct"/>
                  <w:noWrap w:val="0"/>
                  <w:vAlign w:val="center"/>
                </w:tcPr>
                <w:p>
                  <w:pPr>
                    <w:pStyle w:val="81"/>
                    <w:keepNext w:val="0"/>
                    <w:keepLines w:val="0"/>
                    <w:pageBreakBefore w:val="0"/>
                    <w:kinsoku/>
                    <w:wordWrap/>
                    <w:overflowPunct/>
                    <w:topLinePunct w:val="0"/>
                    <w:autoSpaceDE/>
                    <w:autoSpaceDN/>
                    <w:bidi w:val="0"/>
                    <w:adjustRightInd w:val="0"/>
                    <w:snapToGrid w:val="0"/>
                    <w:jc w:val="center"/>
                    <w:textAlignment w:val="auto"/>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漆渣</w:t>
                  </w:r>
                </w:p>
              </w:tc>
              <w:tc>
                <w:tcPr>
                  <w:tcW w:w="427" w:type="pct"/>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color w:val="auto"/>
                      <w:sz w:val="21"/>
                      <w:szCs w:val="21"/>
                      <w:highlight w:val="none"/>
                      <w:lang w:val="en-US" w:eastAsia="zh-CN"/>
                    </w:rPr>
                  </w:pPr>
                  <w:r>
                    <w:rPr>
                      <w:rFonts w:hint="eastAsia"/>
                      <w:color w:val="auto"/>
                      <w:sz w:val="21"/>
                      <w:szCs w:val="21"/>
                      <w:highlight w:val="none"/>
                      <w:lang w:val="en-US" w:eastAsia="zh-CN"/>
                    </w:rPr>
                    <w:t>HW12</w:t>
                  </w:r>
                </w:p>
              </w:tc>
              <w:tc>
                <w:tcPr>
                  <w:tcW w:w="637" w:type="pct"/>
                  <w:noWrap w:val="0"/>
                  <w:vAlign w:val="center"/>
                </w:tcPr>
                <w:p>
                  <w:pPr>
                    <w:pStyle w:val="58"/>
                    <w:keepNext w:val="0"/>
                    <w:keepLines w:val="0"/>
                    <w:pageBreakBefore w:val="0"/>
                    <w:kinsoku/>
                    <w:wordWrap/>
                    <w:overflowPunct/>
                    <w:topLinePunct w:val="0"/>
                    <w:autoSpaceDE/>
                    <w:autoSpaceDN/>
                    <w:bidi w:val="0"/>
                    <w:adjustRightInd w:val="0"/>
                    <w:snapToGrid w:val="0"/>
                    <w:jc w:val="center"/>
                    <w:textAlignment w:val="auto"/>
                    <w:rPr>
                      <w:rFonts w:hint="default" w:ascii="Times New Roman" w:hAnsi="Times New Roman" w:cs="Times New Roman"/>
                      <w:color w:val="auto"/>
                      <w:sz w:val="21"/>
                      <w:szCs w:val="21"/>
                      <w:highlight w:val="none"/>
                      <w:lang w:val="en-US" w:eastAsia="zh-CN"/>
                    </w:rPr>
                  </w:pPr>
                  <w:r>
                    <w:rPr>
                      <w:rFonts w:hint="eastAsia" w:eastAsia="宋体" w:cs="Times New Roman"/>
                      <w:color w:val="auto"/>
                      <w:sz w:val="21"/>
                      <w:szCs w:val="21"/>
                      <w:highlight w:val="none"/>
                      <w:lang w:val="en-US" w:eastAsia="zh-CN"/>
                    </w:rPr>
                    <w:t>900-250-12</w:t>
                  </w:r>
                </w:p>
              </w:tc>
              <w:tc>
                <w:tcPr>
                  <w:tcW w:w="487" w:type="pct"/>
                  <w:noWrap w:val="0"/>
                  <w:vAlign w:val="center"/>
                </w:tcPr>
                <w:p>
                  <w:pPr>
                    <w:pStyle w:val="58"/>
                    <w:bidi w:val="0"/>
                    <w:rPr>
                      <w:rFonts w:hint="default" w:ascii="Times New Roman" w:hAnsi="Times New Roman" w:cs="Times New Roman"/>
                      <w:color w:val="auto"/>
                      <w:sz w:val="21"/>
                      <w:szCs w:val="21"/>
                      <w:highlight w:val="none"/>
                      <w:lang w:val="en-US" w:eastAsia="zh-CN" w:bidi="ar-SA"/>
                    </w:rPr>
                  </w:pPr>
                  <w:r>
                    <w:rPr>
                      <w:rFonts w:hint="eastAsia" w:ascii="Times New Roman" w:hAnsi="Times New Roman" w:cs="Times New Roman"/>
                      <w:color w:val="auto"/>
                      <w:sz w:val="21"/>
                      <w:szCs w:val="21"/>
                      <w:highlight w:val="none"/>
                      <w:lang w:val="en-US" w:eastAsia="zh-CN" w:bidi="ar-SA"/>
                    </w:rPr>
                    <w:t>0</w:t>
                  </w:r>
                </w:p>
              </w:tc>
              <w:tc>
                <w:tcPr>
                  <w:tcW w:w="487" w:type="pct"/>
                  <w:noWrap w:val="0"/>
                  <w:vAlign w:val="center"/>
                </w:tcPr>
                <w:p>
                  <w:pPr>
                    <w:pStyle w:val="58"/>
                    <w:bidi w:val="0"/>
                    <w:rPr>
                      <w:rFonts w:hint="default" w:ascii="Times New Roman" w:hAnsi="Times New Roman" w:cs="Times New Roman"/>
                      <w:color w:val="auto"/>
                      <w:sz w:val="21"/>
                      <w:szCs w:val="21"/>
                      <w:highlight w:val="none"/>
                      <w:lang w:val="en-US" w:eastAsia="zh-CN" w:bidi="ar-SA"/>
                    </w:rPr>
                  </w:pPr>
                  <w:r>
                    <w:rPr>
                      <w:rFonts w:hint="eastAsia" w:ascii="Times New Roman" w:hAnsi="Times New Roman" w:cs="Times New Roman"/>
                      <w:color w:val="auto"/>
                      <w:sz w:val="21"/>
                      <w:szCs w:val="21"/>
                      <w:highlight w:val="none"/>
                      <w:lang w:val="en-US" w:eastAsia="zh-CN" w:bidi="ar-SA"/>
                    </w:rPr>
                    <w:t>0.13</w:t>
                  </w:r>
                </w:p>
              </w:tc>
              <w:tc>
                <w:tcPr>
                  <w:tcW w:w="519" w:type="pct"/>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eastAsia="宋体"/>
                      <w:color w:val="auto"/>
                      <w:sz w:val="21"/>
                      <w:szCs w:val="21"/>
                      <w:highlight w:val="none"/>
                      <w:lang w:val="en-US" w:eastAsia="zh-CN"/>
                    </w:rPr>
                  </w:pPr>
                  <w:r>
                    <w:rPr>
                      <w:rFonts w:hint="eastAsia"/>
                      <w:color w:val="auto"/>
                      <w:sz w:val="21"/>
                      <w:szCs w:val="21"/>
                      <w:highlight w:val="none"/>
                      <w:lang w:val="en-US" w:eastAsia="zh-CN"/>
                    </w:rPr>
                    <w:t>0.13</w:t>
                  </w:r>
                </w:p>
              </w:tc>
              <w:tc>
                <w:tcPr>
                  <w:tcW w:w="391" w:type="pct"/>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eastAsia" w:eastAsia="宋体"/>
                      <w:color w:val="auto"/>
                      <w:sz w:val="21"/>
                      <w:szCs w:val="21"/>
                      <w:highlight w:val="none"/>
                      <w:lang w:val="en-US" w:eastAsia="zh-CN"/>
                    </w:rPr>
                  </w:pPr>
                  <w:r>
                    <w:rPr>
                      <w:rFonts w:hint="eastAsia"/>
                      <w:color w:val="auto"/>
                      <w:sz w:val="21"/>
                      <w:szCs w:val="21"/>
                      <w:highlight w:val="none"/>
                      <w:lang w:val="en-US" w:eastAsia="zh-CN"/>
                    </w:rPr>
                    <w:t>生产</w:t>
                  </w:r>
                </w:p>
              </w:tc>
              <w:tc>
                <w:tcPr>
                  <w:tcW w:w="291" w:type="pct"/>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color w:val="auto"/>
                      <w:sz w:val="21"/>
                      <w:szCs w:val="21"/>
                      <w:highlight w:val="none"/>
                    </w:rPr>
                  </w:pPr>
                  <w:r>
                    <w:rPr>
                      <w:rFonts w:hint="eastAsia"/>
                      <w:color w:val="auto"/>
                      <w:sz w:val="21"/>
                      <w:szCs w:val="21"/>
                      <w:highlight w:val="none"/>
                    </w:rPr>
                    <w:t>固态</w:t>
                  </w:r>
                </w:p>
              </w:tc>
              <w:tc>
                <w:tcPr>
                  <w:tcW w:w="371" w:type="pct"/>
                  <w:noWrap w:val="0"/>
                  <w:vAlign w:val="center"/>
                </w:tcPr>
                <w:p>
                  <w:pPr>
                    <w:pageBreakBefore w:val="0"/>
                    <w:widowControl w:val="0"/>
                    <w:kinsoku/>
                    <w:wordWrap/>
                    <w:overflowPunct/>
                    <w:topLinePunct w:val="0"/>
                    <w:autoSpaceDE/>
                    <w:autoSpaceDN/>
                    <w:bidi w:val="0"/>
                    <w:adjustRightInd/>
                    <w:snapToGrid/>
                    <w:spacing w:line="240" w:lineRule="auto"/>
                    <w:jc w:val="center"/>
                    <w:textAlignment w:val="auto"/>
                    <w:rPr>
                      <w:rFonts w:hint="eastAsia"/>
                      <w:color w:val="auto"/>
                      <w:sz w:val="21"/>
                      <w:szCs w:val="21"/>
                      <w:highlight w:val="none"/>
                    </w:rPr>
                  </w:pPr>
                  <w:r>
                    <w:rPr>
                      <w:rFonts w:hint="default" w:ascii="Times New Roman" w:hAnsi="Times New Roman" w:eastAsia="宋体" w:cs="Times New Roman"/>
                      <w:color w:val="auto"/>
                      <w:sz w:val="21"/>
                      <w:szCs w:val="21"/>
                      <w:highlight w:val="none"/>
                    </w:rPr>
                    <w:t>T、I</w:t>
                  </w:r>
                </w:p>
              </w:tc>
              <w:tc>
                <w:tcPr>
                  <w:tcW w:w="359" w:type="pct"/>
                  <w:vMerge w:val="continue"/>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color w:val="auto"/>
                      <w:sz w:val="21"/>
                      <w:szCs w:val="21"/>
                      <w:highlight w:val="none"/>
                    </w:rPr>
                  </w:pPr>
                </w:p>
              </w:tc>
              <w:tc>
                <w:tcPr>
                  <w:tcW w:w="324" w:type="pct"/>
                  <w:vMerge w:val="continue"/>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266" w:type="pct"/>
                  <w:noWrap w:val="0"/>
                  <w:vAlign w:val="center"/>
                </w:tcPr>
                <w:p>
                  <w:pPr>
                    <w:pStyle w:val="81"/>
                    <w:keepNext w:val="0"/>
                    <w:keepLines w:val="0"/>
                    <w:pageBreakBefore w:val="0"/>
                    <w:kinsoku/>
                    <w:wordWrap/>
                    <w:overflowPunct/>
                    <w:topLinePunct w:val="0"/>
                    <w:autoSpaceDE/>
                    <w:autoSpaceDN/>
                    <w:bidi w:val="0"/>
                    <w:adjustRightInd w:val="0"/>
                    <w:snapToGrid w:val="0"/>
                    <w:jc w:val="center"/>
                    <w:textAlignment w:val="auto"/>
                    <w:rPr>
                      <w:rFonts w:hint="eastAsia" w:eastAsia="宋体"/>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6</w:t>
                  </w:r>
                </w:p>
              </w:tc>
              <w:tc>
                <w:tcPr>
                  <w:tcW w:w="437" w:type="pct"/>
                  <w:noWrap w:val="0"/>
                  <w:vAlign w:val="center"/>
                </w:tcPr>
                <w:p>
                  <w:pPr>
                    <w:pStyle w:val="81"/>
                    <w:keepNext w:val="0"/>
                    <w:keepLines w:val="0"/>
                    <w:pageBreakBefore w:val="0"/>
                    <w:kinsoku/>
                    <w:wordWrap/>
                    <w:overflowPunct/>
                    <w:topLinePunct w:val="0"/>
                    <w:autoSpaceDE/>
                    <w:autoSpaceDN/>
                    <w:bidi w:val="0"/>
                    <w:adjustRightInd w:val="0"/>
                    <w:snapToGrid w:val="0"/>
                    <w:jc w:val="center"/>
                    <w:textAlignment w:val="auto"/>
                    <w:rPr>
                      <w:rFonts w:hint="eastAsia"/>
                      <w:color w:val="auto"/>
                      <w:sz w:val="21"/>
                      <w:szCs w:val="21"/>
                      <w:highlight w:val="none"/>
                    </w:rPr>
                  </w:pPr>
                  <w:r>
                    <w:rPr>
                      <w:rFonts w:hint="eastAsia" w:ascii="Times New Roman" w:hAnsi="Times New Roman" w:cs="Times New Roman"/>
                      <w:color w:val="auto"/>
                      <w:sz w:val="21"/>
                      <w:szCs w:val="21"/>
                      <w:highlight w:val="none"/>
                      <w:lang w:val="en-US" w:eastAsia="zh-CN"/>
                    </w:rPr>
                    <w:t>废润滑油</w:t>
                  </w:r>
                </w:p>
              </w:tc>
              <w:tc>
                <w:tcPr>
                  <w:tcW w:w="427" w:type="pct"/>
                  <w:vMerge w:val="restart"/>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color w:val="auto"/>
                      <w:sz w:val="21"/>
                      <w:szCs w:val="21"/>
                      <w:highlight w:val="none"/>
                      <w:lang w:val="en-US" w:eastAsia="zh-CN"/>
                    </w:rPr>
                  </w:pPr>
                  <w:r>
                    <w:rPr>
                      <w:color w:val="auto"/>
                      <w:sz w:val="21"/>
                      <w:szCs w:val="21"/>
                      <w:highlight w:val="none"/>
                    </w:rPr>
                    <w:t>HW08</w:t>
                  </w:r>
                </w:p>
              </w:tc>
              <w:tc>
                <w:tcPr>
                  <w:tcW w:w="637" w:type="pct"/>
                  <w:noWrap w:val="0"/>
                  <w:vAlign w:val="center"/>
                </w:tcPr>
                <w:p>
                  <w:pPr>
                    <w:pStyle w:val="58"/>
                    <w:keepNext w:val="0"/>
                    <w:keepLines w:val="0"/>
                    <w:pageBreakBefore w:val="0"/>
                    <w:kinsoku/>
                    <w:wordWrap/>
                    <w:overflowPunct/>
                    <w:topLinePunct w:val="0"/>
                    <w:autoSpaceDE/>
                    <w:autoSpaceDN/>
                    <w:bidi w:val="0"/>
                    <w:adjustRightInd w:val="0"/>
                    <w:snapToGrid w:val="0"/>
                    <w:jc w:val="center"/>
                    <w:textAlignment w:val="auto"/>
                    <w:rPr>
                      <w:color w:val="auto"/>
                      <w:sz w:val="21"/>
                      <w:szCs w:val="21"/>
                      <w:highlight w:val="none"/>
                    </w:rPr>
                  </w:pPr>
                  <w:r>
                    <w:rPr>
                      <w:rFonts w:hint="eastAsia" w:ascii="Times New Roman" w:hAnsi="Times New Roman" w:cs="Times New Roman"/>
                      <w:color w:val="auto"/>
                      <w:sz w:val="21"/>
                      <w:szCs w:val="21"/>
                      <w:highlight w:val="none"/>
                      <w:lang w:val="en-US" w:eastAsia="zh-CN" w:bidi="ar-SA"/>
                    </w:rPr>
                    <w:t>900-218-08</w:t>
                  </w:r>
                </w:p>
              </w:tc>
              <w:tc>
                <w:tcPr>
                  <w:tcW w:w="487" w:type="pct"/>
                  <w:vMerge w:val="restart"/>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bidi="ar-SA"/>
                    </w:rPr>
                  </w:pPr>
                  <w:r>
                    <w:rPr>
                      <w:rFonts w:hint="eastAsia" w:cs="Times New Roman"/>
                      <w:color w:val="auto"/>
                      <w:sz w:val="21"/>
                      <w:szCs w:val="21"/>
                      <w:highlight w:val="none"/>
                      <w:lang w:val="en-US" w:eastAsia="zh-CN" w:bidi="ar-SA"/>
                    </w:rPr>
                    <w:t>0.05</w:t>
                  </w:r>
                </w:p>
              </w:tc>
              <w:tc>
                <w:tcPr>
                  <w:tcW w:w="487" w:type="pct"/>
                  <w:vMerge w:val="restart"/>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eastAsia="宋体"/>
                      <w:color w:val="auto"/>
                      <w:sz w:val="21"/>
                      <w:szCs w:val="21"/>
                      <w:highlight w:val="none"/>
                      <w:lang w:val="en-US" w:eastAsia="zh-CN"/>
                    </w:rPr>
                  </w:pPr>
                  <w:r>
                    <w:rPr>
                      <w:rFonts w:hint="eastAsia"/>
                      <w:color w:val="auto"/>
                      <w:sz w:val="21"/>
                      <w:szCs w:val="21"/>
                      <w:highlight w:val="none"/>
                      <w:lang w:val="en-US" w:eastAsia="zh-CN"/>
                    </w:rPr>
                    <w:t>0.01</w:t>
                  </w:r>
                </w:p>
              </w:tc>
              <w:tc>
                <w:tcPr>
                  <w:tcW w:w="519" w:type="pct"/>
                  <w:vMerge w:val="restart"/>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color w:val="auto"/>
                      <w:sz w:val="21"/>
                      <w:szCs w:val="21"/>
                      <w:highlight w:val="none"/>
                      <w:lang w:val="en-US" w:eastAsia="zh-CN"/>
                    </w:rPr>
                  </w:pPr>
                  <w:r>
                    <w:rPr>
                      <w:rFonts w:hint="eastAsia"/>
                      <w:color w:val="auto"/>
                      <w:sz w:val="21"/>
                      <w:szCs w:val="21"/>
                      <w:highlight w:val="none"/>
                      <w:lang w:val="en-US" w:eastAsia="zh-CN"/>
                    </w:rPr>
                    <w:t>0.06</w:t>
                  </w:r>
                </w:p>
              </w:tc>
              <w:tc>
                <w:tcPr>
                  <w:tcW w:w="391" w:type="pct"/>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eastAsia="宋体"/>
                      <w:color w:val="auto"/>
                      <w:sz w:val="21"/>
                      <w:szCs w:val="21"/>
                      <w:highlight w:val="none"/>
                      <w:lang w:val="en-US" w:eastAsia="zh-CN"/>
                    </w:rPr>
                  </w:pPr>
                  <w:r>
                    <w:rPr>
                      <w:rFonts w:hint="eastAsia"/>
                      <w:color w:val="auto"/>
                      <w:sz w:val="21"/>
                      <w:szCs w:val="21"/>
                      <w:highlight w:val="none"/>
                      <w:lang w:val="en-US" w:eastAsia="zh-CN"/>
                    </w:rPr>
                    <w:t>生产</w:t>
                  </w:r>
                </w:p>
              </w:tc>
              <w:tc>
                <w:tcPr>
                  <w:tcW w:w="291" w:type="pct"/>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eastAsia"/>
                      <w:color w:val="auto"/>
                      <w:sz w:val="21"/>
                      <w:szCs w:val="21"/>
                      <w:highlight w:val="none"/>
                    </w:rPr>
                  </w:pPr>
                  <w:r>
                    <w:rPr>
                      <w:rFonts w:hint="eastAsia"/>
                      <w:color w:val="auto"/>
                      <w:sz w:val="21"/>
                      <w:szCs w:val="21"/>
                      <w:highlight w:val="none"/>
                    </w:rPr>
                    <w:t>液态</w:t>
                  </w:r>
                </w:p>
              </w:tc>
              <w:tc>
                <w:tcPr>
                  <w:tcW w:w="371" w:type="pct"/>
                  <w:noWrap w:val="0"/>
                  <w:vAlign w:val="center"/>
                </w:tcPr>
                <w:p>
                  <w:pPr>
                    <w:pageBreakBefore w:val="0"/>
                    <w:widowControl w:val="0"/>
                    <w:kinsoku/>
                    <w:wordWrap/>
                    <w:overflowPunct/>
                    <w:topLinePunct w:val="0"/>
                    <w:autoSpaceDE/>
                    <w:autoSpaceDN/>
                    <w:bidi w:val="0"/>
                    <w:adjustRightInd/>
                    <w:snapToGrid/>
                    <w:spacing w:line="240" w:lineRule="auto"/>
                    <w:jc w:val="center"/>
                    <w:textAlignment w:val="auto"/>
                    <w:rPr>
                      <w:rFonts w:hint="default" w:eastAsia="宋体"/>
                      <w:color w:val="auto"/>
                      <w:sz w:val="21"/>
                      <w:szCs w:val="21"/>
                      <w:highlight w:val="none"/>
                      <w:lang w:val="en-US" w:eastAsia="zh-CN"/>
                    </w:rPr>
                  </w:pPr>
                  <w:r>
                    <w:rPr>
                      <w:rFonts w:hint="default" w:ascii="Times New Roman" w:hAnsi="Times New Roman" w:eastAsia="宋体" w:cs="Times New Roman"/>
                      <w:color w:val="auto"/>
                      <w:sz w:val="21"/>
                      <w:szCs w:val="21"/>
                      <w:highlight w:val="none"/>
                    </w:rPr>
                    <w:t>T、I</w:t>
                  </w:r>
                </w:p>
              </w:tc>
              <w:tc>
                <w:tcPr>
                  <w:tcW w:w="359" w:type="pct"/>
                  <w:vMerge w:val="continue"/>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color w:val="auto"/>
                      <w:sz w:val="21"/>
                      <w:szCs w:val="21"/>
                      <w:highlight w:val="none"/>
                    </w:rPr>
                  </w:pPr>
                </w:p>
              </w:tc>
              <w:tc>
                <w:tcPr>
                  <w:tcW w:w="324" w:type="pct"/>
                  <w:vMerge w:val="continue"/>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448" w:type="dxa"/>
                  <w:noWrap w:val="0"/>
                  <w:vAlign w:val="center"/>
                </w:tcPr>
                <w:p>
                  <w:pPr>
                    <w:pStyle w:val="81"/>
                    <w:keepNext w:val="0"/>
                    <w:keepLines w:val="0"/>
                    <w:pageBreakBefore w:val="0"/>
                    <w:kinsoku/>
                    <w:wordWrap/>
                    <w:overflowPunct/>
                    <w:topLinePunct w:val="0"/>
                    <w:autoSpaceDE/>
                    <w:autoSpaceDN/>
                    <w:bidi w:val="0"/>
                    <w:adjustRightInd w:val="0"/>
                    <w:snapToGrid w:val="0"/>
                    <w:jc w:val="center"/>
                    <w:textAlignment w:val="auto"/>
                    <w:rPr>
                      <w:rFonts w:hint="eastAsia" w:eastAsia="宋体"/>
                      <w:color w:val="auto"/>
                      <w:sz w:val="21"/>
                      <w:szCs w:val="21"/>
                      <w:highlight w:val="none"/>
                      <w:lang w:val="en-US" w:eastAsia="zh-CN"/>
                    </w:rPr>
                  </w:pPr>
                  <w:r>
                    <w:rPr>
                      <w:rFonts w:hint="eastAsia"/>
                      <w:color w:val="auto"/>
                      <w:sz w:val="21"/>
                      <w:szCs w:val="21"/>
                      <w:highlight w:val="none"/>
                      <w:lang w:val="en-US" w:eastAsia="zh-CN"/>
                    </w:rPr>
                    <w:t>7</w:t>
                  </w:r>
                </w:p>
              </w:tc>
              <w:tc>
                <w:tcPr>
                  <w:tcW w:w="437" w:type="pct"/>
                  <w:noWrap w:val="0"/>
                  <w:vAlign w:val="center"/>
                </w:tcPr>
                <w:p>
                  <w:pPr>
                    <w:pStyle w:val="81"/>
                    <w:keepNext w:val="0"/>
                    <w:keepLines w:val="0"/>
                    <w:pageBreakBefore w:val="0"/>
                    <w:kinsoku/>
                    <w:wordWrap/>
                    <w:overflowPunct/>
                    <w:topLinePunct w:val="0"/>
                    <w:autoSpaceDE/>
                    <w:autoSpaceDN/>
                    <w:bidi w:val="0"/>
                    <w:adjustRightInd w:val="0"/>
                    <w:snapToGrid w:val="0"/>
                    <w:jc w:val="center"/>
                    <w:textAlignment w:val="auto"/>
                    <w:rPr>
                      <w:rFonts w:hint="eastAsia"/>
                      <w:color w:val="auto"/>
                      <w:sz w:val="21"/>
                      <w:szCs w:val="21"/>
                      <w:highlight w:val="none"/>
                    </w:rPr>
                  </w:pPr>
                  <w:r>
                    <w:rPr>
                      <w:rFonts w:hint="eastAsia" w:ascii="Times New Roman" w:hAnsi="Times New Roman" w:cs="Times New Roman"/>
                      <w:color w:val="auto"/>
                      <w:sz w:val="21"/>
                      <w:szCs w:val="21"/>
                      <w:highlight w:val="none"/>
                      <w:lang w:val="en-US" w:eastAsia="zh-CN"/>
                    </w:rPr>
                    <w:t>废液压油</w:t>
                  </w:r>
                </w:p>
              </w:tc>
              <w:tc>
                <w:tcPr>
                  <w:tcW w:w="427" w:type="pct"/>
                  <w:vMerge w:val="continue"/>
                  <w:noWrap w:val="0"/>
                  <w:vAlign w:val="center"/>
                </w:tcPr>
                <w:p>
                  <w:pPr>
                    <w:pStyle w:val="106"/>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color w:val="auto"/>
                      <w:sz w:val="21"/>
                      <w:szCs w:val="21"/>
                      <w:highlight w:val="none"/>
                      <w:lang w:val="en-US" w:eastAsia="zh-CN"/>
                    </w:rPr>
                  </w:pPr>
                </w:p>
              </w:tc>
              <w:tc>
                <w:tcPr>
                  <w:tcW w:w="637" w:type="pct"/>
                  <w:noWrap w:val="0"/>
                  <w:vAlign w:val="center"/>
                </w:tcPr>
                <w:p>
                  <w:pPr>
                    <w:pStyle w:val="58"/>
                    <w:keepNext w:val="0"/>
                    <w:keepLines w:val="0"/>
                    <w:pageBreakBefore w:val="0"/>
                    <w:kinsoku/>
                    <w:wordWrap/>
                    <w:overflowPunct/>
                    <w:topLinePunct w:val="0"/>
                    <w:autoSpaceDE/>
                    <w:autoSpaceDN/>
                    <w:bidi w:val="0"/>
                    <w:adjustRightInd w:val="0"/>
                    <w:snapToGrid w:val="0"/>
                    <w:jc w:val="center"/>
                    <w:textAlignment w:val="auto"/>
                    <w:rPr>
                      <w:rFonts w:hint="eastAsia"/>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bidi="ar-SA"/>
                    </w:rPr>
                    <w:t>900-218-08</w:t>
                  </w:r>
                </w:p>
              </w:tc>
              <w:tc>
                <w:tcPr>
                  <w:tcW w:w="487" w:type="pct"/>
                  <w:vMerge w:val="continue"/>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color w:val="auto"/>
                      <w:sz w:val="21"/>
                      <w:szCs w:val="21"/>
                      <w:highlight w:val="none"/>
                    </w:rPr>
                  </w:pPr>
                </w:p>
              </w:tc>
              <w:tc>
                <w:tcPr>
                  <w:tcW w:w="487" w:type="pct"/>
                  <w:vMerge w:val="continue"/>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color w:val="auto"/>
                      <w:sz w:val="21"/>
                      <w:szCs w:val="21"/>
                      <w:highlight w:val="none"/>
                    </w:rPr>
                  </w:pPr>
                </w:p>
              </w:tc>
              <w:tc>
                <w:tcPr>
                  <w:tcW w:w="519" w:type="pct"/>
                  <w:vMerge w:val="continue"/>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eastAsia"/>
                      <w:color w:val="auto"/>
                      <w:sz w:val="21"/>
                      <w:szCs w:val="21"/>
                      <w:highlight w:val="none"/>
                      <w:lang w:val="en-US" w:eastAsia="zh-CN"/>
                    </w:rPr>
                  </w:pPr>
                </w:p>
              </w:tc>
              <w:tc>
                <w:tcPr>
                  <w:tcW w:w="391" w:type="pct"/>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eastAsia"/>
                      <w:color w:val="auto"/>
                      <w:sz w:val="21"/>
                      <w:szCs w:val="21"/>
                      <w:highlight w:val="none"/>
                    </w:rPr>
                  </w:pPr>
                  <w:r>
                    <w:rPr>
                      <w:rFonts w:hint="eastAsia"/>
                      <w:color w:val="auto"/>
                      <w:sz w:val="21"/>
                      <w:szCs w:val="21"/>
                      <w:highlight w:val="none"/>
                      <w:lang w:val="en-US" w:eastAsia="zh-CN"/>
                    </w:rPr>
                    <w:t>生产</w:t>
                  </w:r>
                </w:p>
              </w:tc>
              <w:tc>
                <w:tcPr>
                  <w:tcW w:w="291" w:type="pct"/>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eastAsia"/>
                      <w:color w:val="auto"/>
                      <w:sz w:val="21"/>
                      <w:szCs w:val="21"/>
                      <w:highlight w:val="none"/>
                    </w:rPr>
                  </w:pPr>
                  <w:r>
                    <w:rPr>
                      <w:rFonts w:hint="eastAsia"/>
                      <w:color w:val="auto"/>
                      <w:sz w:val="21"/>
                      <w:szCs w:val="21"/>
                      <w:highlight w:val="none"/>
                    </w:rPr>
                    <w:t>液态</w:t>
                  </w:r>
                </w:p>
              </w:tc>
              <w:tc>
                <w:tcPr>
                  <w:tcW w:w="371" w:type="pct"/>
                  <w:noWrap w:val="0"/>
                  <w:vAlign w:val="center"/>
                </w:tcPr>
                <w:p>
                  <w:pPr>
                    <w:pageBreakBefore w:val="0"/>
                    <w:widowControl w:val="0"/>
                    <w:kinsoku/>
                    <w:wordWrap/>
                    <w:overflowPunct/>
                    <w:topLinePunct w:val="0"/>
                    <w:autoSpaceDE/>
                    <w:autoSpaceDN/>
                    <w:bidi w:val="0"/>
                    <w:adjustRightInd/>
                    <w:snapToGrid/>
                    <w:spacing w:line="240" w:lineRule="auto"/>
                    <w:jc w:val="center"/>
                    <w:textAlignment w:val="auto"/>
                    <w:rPr>
                      <w:rFonts w:hint="eastAsia" w:eastAsia="宋体"/>
                      <w:color w:val="auto"/>
                      <w:sz w:val="21"/>
                      <w:szCs w:val="21"/>
                      <w:highlight w:val="none"/>
                      <w:lang w:val="en-US" w:eastAsia="zh-CN"/>
                    </w:rPr>
                  </w:pPr>
                  <w:r>
                    <w:rPr>
                      <w:rFonts w:hint="default" w:ascii="Times New Roman" w:hAnsi="Times New Roman" w:eastAsia="宋体" w:cs="Times New Roman"/>
                      <w:color w:val="auto"/>
                      <w:sz w:val="21"/>
                      <w:szCs w:val="21"/>
                      <w:highlight w:val="none"/>
                    </w:rPr>
                    <w:t>T、I</w:t>
                  </w:r>
                </w:p>
              </w:tc>
              <w:tc>
                <w:tcPr>
                  <w:tcW w:w="359" w:type="pct"/>
                  <w:vMerge w:val="continue"/>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color w:val="auto"/>
                      <w:sz w:val="21"/>
                      <w:szCs w:val="21"/>
                      <w:highlight w:val="none"/>
                    </w:rPr>
                  </w:pPr>
                </w:p>
              </w:tc>
              <w:tc>
                <w:tcPr>
                  <w:tcW w:w="324" w:type="pct"/>
                  <w:vMerge w:val="continue"/>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448" w:type="dxa"/>
                  <w:noWrap w:val="0"/>
                  <w:vAlign w:val="center"/>
                </w:tcPr>
                <w:p>
                  <w:pPr>
                    <w:pStyle w:val="81"/>
                    <w:keepNext w:val="0"/>
                    <w:keepLines w:val="0"/>
                    <w:pageBreakBefore w:val="0"/>
                    <w:kinsoku/>
                    <w:wordWrap/>
                    <w:overflowPunct/>
                    <w:topLinePunct w:val="0"/>
                    <w:autoSpaceDE/>
                    <w:autoSpaceDN/>
                    <w:bidi w:val="0"/>
                    <w:adjustRightInd w:val="0"/>
                    <w:snapToGrid w:val="0"/>
                    <w:jc w:val="center"/>
                    <w:textAlignment w:val="auto"/>
                    <w:rPr>
                      <w:rFonts w:hint="eastAsia" w:eastAsia="宋体"/>
                      <w:color w:val="auto"/>
                      <w:sz w:val="21"/>
                      <w:szCs w:val="21"/>
                      <w:highlight w:val="none"/>
                      <w:lang w:val="en-US" w:eastAsia="zh-CN"/>
                    </w:rPr>
                  </w:pPr>
                  <w:r>
                    <w:rPr>
                      <w:rFonts w:hint="eastAsia"/>
                      <w:color w:val="auto"/>
                      <w:sz w:val="21"/>
                      <w:szCs w:val="21"/>
                      <w:highlight w:val="none"/>
                      <w:lang w:val="en-US" w:eastAsia="zh-CN"/>
                    </w:rPr>
                    <w:t>8</w:t>
                  </w:r>
                </w:p>
              </w:tc>
              <w:tc>
                <w:tcPr>
                  <w:tcW w:w="437" w:type="pct"/>
                  <w:noWrap w:val="0"/>
                  <w:vAlign w:val="center"/>
                </w:tcPr>
                <w:p>
                  <w:pPr>
                    <w:pStyle w:val="81"/>
                    <w:keepNext w:val="0"/>
                    <w:keepLines w:val="0"/>
                    <w:pageBreakBefore w:val="0"/>
                    <w:kinsoku/>
                    <w:wordWrap/>
                    <w:overflowPunct/>
                    <w:topLinePunct w:val="0"/>
                    <w:autoSpaceDE/>
                    <w:autoSpaceDN/>
                    <w:bidi w:val="0"/>
                    <w:adjustRightInd w:val="0"/>
                    <w:snapToGrid w:val="0"/>
                    <w:jc w:val="center"/>
                    <w:textAlignment w:val="auto"/>
                    <w:rPr>
                      <w:rFonts w:hint="eastAsia"/>
                      <w:color w:val="auto"/>
                      <w:sz w:val="21"/>
                      <w:szCs w:val="21"/>
                      <w:highlight w:val="none"/>
                    </w:rPr>
                  </w:pPr>
                  <w:r>
                    <w:rPr>
                      <w:rFonts w:hint="eastAsia" w:ascii="Times New Roman" w:hAnsi="Times New Roman" w:cs="Times New Roman"/>
                      <w:color w:val="auto"/>
                      <w:sz w:val="21"/>
                      <w:szCs w:val="21"/>
                      <w:highlight w:val="none"/>
                      <w:lang w:val="en-US" w:eastAsia="zh-CN"/>
                    </w:rPr>
                    <w:t>废机油</w:t>
                  </w:r>
                </w:p>
              </w:tc>
              <w:tc>
                <w:tcPr>
                  <w:tcW w:w="427" w:type="pct"/>
                  <w:vMerge w:val="continue"/>
                  <w:noWrap w:val="0"/>
                  <w:vAlign w:val="center"/>
                </w:tcPr>
                <w:p>
                  <w:pPr>
                    <w:pStyle w:val="106"/>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eastAsia"/>
                      <w:color w:val="auto"/>
                      <w:sz w:val="21"/>
                      <w:szCs w:val="21"/>
                      <w:highlight w:val="none"/>
                      <w:lang w:val="en-US" w:eastAsia="zh-CN"/>
                    </w:rPr>
                  </w:pPr>
                </w:p>
              </w:tc>
              <w:tc>
                <w:tcPr>
                  <w:tcW w:w="637" w:type="pct"/>
                  <w:noWrap w:val="0"/>
                  <w:vAlign w:val="center"/>
                </w:tcPr>
                <w:p>
                  <w:pPr>
                    <w:pStyle w:val="58"/>
                    <w:keepNext w:val="0"/>
                    <w:keepLines w:val="0"/>
                    <w:pageBreakBefore w:val="0"/>
                    <w:kinsoku/>
                    <w:wordWrap/>
                    <w:overflowPunct/>
                    <w:topLinePunct w:val="0"/>
                    <w:autoSpaceDE/>
                    <w:autoSpaceDN/>
                    <w:bidi w:val="0"/>
                    <w:adjustRightInd w:val="0"/>
                    <w:snapToGrid w:val="0"/>
                    <w:jc w:val="center"/>
                    <w:textAlignment w:val="auto"/>
                    <w:rPr>
                      <w:rFonts w:hint="eastAsia"/>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bidi="ar-SA"/>
                    </w:rPr>
                    <w:t>900-218-08</w:t>
                  </w:r>
                </w:p>
              </w:tc>
              <w:tc>
                <w:tcPr>
                  <w:tcW w:w="487" w:type="pct"/>
                  <w:vMerge w:val="continue"/>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eastAsia"/>
                      <w:color w:val="auto"/>
                      <w:sz w:val="21"/>
                      <w:szCs w:val="21"/>
                      <w:highlight w:val="none"/>
                    </w:rPr>
                  </w:pPr>
                </w:p>
              </w:tc>
              <w:tc>
                <w:tcPr>
                  <w:tcW w:w="487" w:type="pct"/>
                  <w:vMerge w:val="continue"/>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eastAsia"/>
                      <w:color w:val="auto"/>
                      <w:sz w:val="21"/>
                      <w:szCs w:val="21"/>
                      <w:highlight w:val="none"/>
                    </w:rPr>
                  </w:pPr>
                </w:p>
              </w:tc>
              <w:tc>
                <w:tcPr>
                  <w:tcW w:w="519" w:type="pct"/>
                  <w:vMerge w:val="continue"/>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eastAsia"/>
                      <w:color w:val="auto"/>
                      <w:sz w:val="21"/>
                      <w:szCs w:val="21"/>
                      <w:highlight w:val="none"/>
                      <w:lang w:val="en-US" w:eastAsia="zh-CN"/>
                    </w:rPr>
                  </w:pPr>
                </w:p>
              </w:tc>
              <w:tc>
                <w:tcPr>
                  <w:tcW w:w="391" w:type="pct"/>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eastAsia"/>
                      <w:color w:val="auto"/>
                      <w:sz w:val="21"/>
                      <w:szCs w:val="21"/>
                      <w:highlight w:val="none"/>
                    </w:rPr>
                  </w:pPr>
                  <w:r>
                    <w:rPr>
                      <w:rFonts w:hint="eastAsia"/>
                      <w:color w:val="auto"/>
                      <w:sz w:val="21"/>
                      <w:szCs w:val="21"/>
                      <w:highlight w:val="none"/>
                      <w:lang w:val="en-US" w:eastAsia="zh-CN"/>
                    </w:rPr>
                    <w:t>生产</w:t>
                  </w:r>
                </w:p>
              </w:tc>
              <w:tc>
                <w:tcPr>
                  <w:tcW w:w="291" w:type="pct"/>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eastAsia"/>
                      <w:color w:val="auto"/>
                      <w:sz w:val="21"/>
                      <w:szCs w:val="21"/>
                      <w:highlight w:val="none"/>
                    </w:rPr>
                  </w:pPr>
                  <w:r>
                    <w:rPr>
                      <w:rFonts w:hint="eastAsia"/>
                      <w:color w:val="auto"/>
                      <w:sz w:val="21"/>
                      <w:szCs w:val="21"/>
                      <w:highlight w:val="none"/>
                    </w:rPr>
                    <w:t>液态</w:t>
                  </w:r>
                </w:p>
              </w:tc>
              <w:tc>
                <w:tcPr>
                  <w:tcW w:w="371" w:type="pct"/>
                  <w:noWrap w:val="0"/>
                  <w:vAlign w:val="center"/>
                </w:tcPr>
                <w:p>
                  <w:pPr>
                    <w:pageBreakBefore w:val="0"/>
                    <w:widowControl w:val="0"/>
                    <w:kinsoku/>
                    <w:wordWrap/>
                    <w:overflowPunct/>
                    <w:topLinePunct w:val="0"/>
                    <w:autoSpaceDE/>
                    <w:autoSpaceDN/>
                    <w:bidi w:val="0"/>
                    <w:adjustRightInd/>
                    <w:snapToGrid/>
                    <w:spacing w:line="240" w:lineRule="auto"/>
                    <w:jc w:val="center"/>
                    <w:textAlignment w:val="auto"/>
                    <w:rPr>
                      <w:rFonts w:hint="eastAsia" w:eastAsia="宋体"/>
                      <w:color w:val="auto"/>
                      <w:sz w:val="21"/>
                      <w:szCs w:val="21"/>
                      <w:highlight w:val="none"/>
                      <w:lang w:val="en-US" w:eastAsia="zh-CN"/>
                    </w:rPr>
                  </w:pPr>
                  <w:r>
                    <w:rPr>
                      <w:rFonts w:hint="default" w:ascii="Times New Roman" w:hAnsi="Times New Roman" w:eastAsia="宋体" w:cs="Times New Roman"/>
                      <w:color w:val="auto"/>
                      <w:sz w:val="21"/>
                      <w:szCs w:val="21"/>
                      <w:highlight w:val="none"/>
                    </w:rPr>
                    <w:t>T</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lang w:val="en-US" w:eastAsia="zh-CN"/>
                    </w:rPr>
                    <w:t>I</w:t>
                  </w:r>
                </w:p>
              </w:tc>
              <w:tc>
                <w:tcPr>
                  <w:tcW w:w="359" w:type="pct"/>
                  <w:vMerge w:val="continue"/>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color w:val="auto"/>
                      <w:sz w:val="21"/>
                      <w:szCs w:val="21"/>
                      <w:highlight w:val="none"/>
                    </w:rPr>
                  </w:pPr>
                </w:p>
              </w:tc>
              <w:tc>
                <w:tcPr>
                  <w:tcW w:w="324" w:type="pct"/>
                  <w:vMerge w:val="continue"/>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448" w:type="dxa"/>
                  <w:noWrap w:val="0"/>
                  <w:vAlign w:val="center"/>
                </w:tcPr>
                <w:p>
                  <w:pPr>
                    <w:pStyle w:val="81"/>
                    <w:keepNext w:val="0"/>
                    <w:keepLines w:val="0"/>
                    <w:pageBreakBefore w:val="0"/>
                    <w:kinsoku/>
                    <w:wordWrap/>
                    <w:overflowPunct/>
                    <w:topLinePunct w:val="0"/>
                    <w:autoSpaceDE/>
                    <w:autoSpaceDN/>
                    <w:bidi w:val="0"/>
                    <w:adjustRightInd w:val="0"/>
                    <w:snapToGrid w:val="0"/>
                    <w:jc w:val="center"/>
                    <w:textAlignment w:val="auto"/>
                    <w:rPr>
                      <w:rFonts w:hint="default" w:eastAsia="宋体"/>
                      <w:color w:val="auto"/>
                      <w:sz w:val="21"/>
                      <w:szCs w:val="21"/>
                      <w:highlight w:val="none"/>
                      <w:lang w:val="en-US" w:eastAsia="zh-CN"/>
                    </w:rPr>
                  </w:pPr>
                  <w:r>
                    <w:rPr>
                      <w:rFonts w:hint="eastAsia"/>
                      <w:color w:val="auto"/>
                      <w:sz w:val="21"/>
                      <w:szCs w:val="21"/>
                      <w:highlight w:val="none"/>
                      <w:lang w:val="en-US" w:eastAsia="zh-CN"/>
                    </w:rPr>
                    <w:t>9</w:t>
                  </w:r>
                </w:p>
              </w:tc>
              <w:tc>
                <w:tcPr>
                  <w:tcW w:w="437" w:type="pct"/>
                  <w:noWrap w:val="0"/>
                  <w:vAlign w:val="center"/>
                </w:tcPr>
                <w:p>
                  <w:pPr>
                    <w:pStyle w:val="81"/>
                    <w:keepNext w:val="0"/>
                    <w:keepLines w:val="0"/>
                    <w:pageBreakBefore w:val="0"/>
                    <w:kinsoku/>
                    <w:wordWrap/>
                    <w:overflowPunct/>
                    <w:topLinePunct w:val="0"/>
                    <w:autoSpaceDE/>
                    <w:autoSpaceDN/>
                    <w:bidi w:val="0"/>
                    <w:adjustRightInd w:val="0"/>
                    <w:snapToGrid w:val="0"/>
                    <w:jc w:val="center"/>
                    <w:textAlignment w:val="auto"/>
                    <w:rPr>
                      <w:rFonts w:hint="eastAsia"/>
                      <w:color w:val="auto"/>
                      <w:sz w:val="21"/>
                      <w:szCs w:val="21"/>
                      <w:highlight w:val="none"/>
                    </w:rPr>
                  </w:pPr>
                  <w:r>
                    <w:rPr>
                      <w:rFonts w:hint="eastAsia" w:ascii="Times New Roman" w:hAnsi="Times New Roman" w:cs="Times New Roman"/>
                      <w:color w:val="auto"/>
                      <w:sz w:val="21"/>
                      <w:szCs w:val="21"/>
                      <w:highlight w:val="none"/>
                      <w:lang w:val="en-US" w:eastAsia="zh-CN"/>
                    </w:rPr>
                    <w:t>废油桶</w:t>
                  </w:r>
                </w:p>
              </w:tc>
              <w:tc>
                <w:tcPr>
                  <w:tcW w:w="427" w:type="pct"/>
                  <w:noWrap w:val="0"/>
                  <w:vAlign w:val="center"/>
                </w:tcPr>
                <w:p>
                  <w:pPr>
                    <w:pStyle w:val="106"/>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color w:val="auto"/>
                      <w:sz w:val="21"/>
                      <w:szCs w:val="21"/>
                      <w:highlight w:val="none"/>
                      <w:lang w:val="en-US" w:eastAsia="zh-CN"/>
                    </w:rPr>
                  </w:pPr>
                  <w:r>
                    <w:rPr>
                      <w:rFonts w:hint="eastAsia"/>
                      <w:color w:val="auto"/>
                      <w:sz w:val="21"/>
                      <w:szCs w:val="21"/>
                      <w:highlight w:val="none"/>
                      <w:lang w:val="en-US" w:eastAsia="zh-CN"/>
                    </w:rPr>
                    <w:t>HW08</w:t>
                  </w:r>
                </w:p>
              </w:tc>
              <w:tc>
                <w:tcPr>
                  <w:tcW w:w="637" w:type="pct"/>
                  <w:noWrap w:val="0"/>
                  <w:vAlign w:val="center"/>
                </w:tcPr>
                <w:p>
                  <w:pPr>
                    <w:pStyle w:val="58"/>
                    <w:keepNext w:val="0"/>
                    <w:keepLines w:val="0"/>
                    <w:pageBreakBefore w:val="0"/>
                    <w:kinsoku/>
                    <w:wordWrap/>
                    <w:overflowPunct/>
                    <w:topLinePunct w:val="0"/>
                    <w:autoSpaceDE/>
                    <w:autoSpaceDN/>
                    <w:bidi w:val="0"/>
                    <w:adjustRightInd w:val="0"/>
                    <w:snapToGrid w:val="0"/>
                    <w:jc w:val="center"/>
                    <w:textAlignment w:val="auto"/>
                    <w:rPr>
                      <w:rFonts w:hint="eastAsia"/>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bidi="ar-SA"/>
                    </w:rPr>
                    <w:t>900-249-08</w:t>
                  </w:r>
                </w:p>
              </w:tc>
              <w:tc>
                <w:tcPr>
                  <w:tcW w:w="487" w:type="pct"/>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eastAsia"/>
                      <w:color w:val="auto"/>
                      <w:sz w:val="21"/>
                      <w:szCs w:val="21"/>
                      <w:highlight w:val="none"/>
                    </w:rPr>
                  </w:pPr>
                  <w:r>
                    <w:rPr>
                      <w:rFonts w:hint="eastAsia"/>
                      <w:color w:val="auto"/>
                      <w:sz w:val="21"/>
                      <w:szCs w:val="21"/>
                      <w:highlight w:val="none"/>
                      <w:lang w:val="en-US" w:eastAsia="zh-CN"/>
                    </w:rPr>
                    <w:t>0.5</w:t>
                  </w:r>
                </w:p>
              </w:tc>
              <w:tc>
                <w:tcPr>
                  <w:tcW w:w="487" w:type="pct"/>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eastAsia="宋体"/>
                      <w:color w:val="auto"/>
                      <w:sz w:val="21"/>
                      <w:szCs w:val="21"/>
                      <w:highlight w:val="none"/>
                      <w:lang w:val="en-US" w:eastAsia="zh-CN"/>
                    </w:rPr>
                  </w:pPr>
                  <w:r>
                    <w:rPr>
                      <w:rFonts w:hint="eastAsia"/>
                      <w:color w:val="auto"/>
                      <w:sz w:val="21"/>
                      <w:szCs w:val="21"/>
                      <w:highlight w:val="none"/>
                      <w:lang w:val="en-US" w:eastAsia="zh-CN"/>
                    </w:rPr>
                    <w:t>0.1</w:t>
                  </w:r>
                </w:p>
              </w:tc>
              <w:tc>
                <w:tcPr>
                  <w:tcW w:w="519" w:type="pct"/>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eastAsia="宋体"/>
                      <w:color w:val="auto"/>
                      <w:sz w:val="21"/>
                      <w:szCs w:val="21"/>
                      <w:highlight w:val="none"/>
                      <w:lang w:val="en-US" w:eastAsia="zh-CN"/>
                    </w:rPr>
                  </w:pPr>
                  <w:r>
                    <w:rPr>
                      <w:rFonts w:hint="eastAsia"/>
                      <w:color w:val="auto"/>
                      <w:sz w:val="21"/>
                      <w:szCs w:val="21"/>
                      <w:highlight w:val="none"/>
                      <w:lang w:val="en-US" w:eastAsia="zh-CN"/>
                    </w:rPr>
                    <w:t>0.6</w:t>
                  </w:r>
                </w:p>
              </w:tc>
              <w:tc>
                <w:tcPr>
                  <w:tcW w:w="391" w:type="pct"/>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eastAsia"/>
                      <w:color w:val="auto"/>
                      <w:sz w:val="21"/>
                      <w:szCs w:val="21"/>
                      <w:highlight w:val="none"/>
                    </w:rPr>
                  </w:pPr>
                  <w:r>
                    <w:rPr>
                      <w:rFonts w:hint="eastAsia"/>
                      <w:color w:val="auto"/>
                      <w:sz w:val="21"/>
                      <w:szCs w:val="21"/>
                      <w:highlight w:val="none"/>
                    </w:rPr>
                    <w:t>包装桶</w:t>
                  </w:r>
                </w:p>
              </w:tc>
              <w:tc>
                <w:tcPr>
                  <w:tcW w:w="291" w:type="pct"/>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eastAsia"/>
                      <w:color w:val="auto"/>
                      <w:sz w:val="21"/>
                      <w:szCs w:val="21"/>
                      <w:highlight w:val="none"/>
                    </w:rPr>
                  </w:pPr>
                  <w:r>
                    <w:rPr>
                      <w:rFonts w:hint="eastAsia"/>
                      <w:color w:val="auto"/>
                      <w:sz w:val="21"/>
                      <w:szCs w:val="21"/>
                      <w:highlight w:val="none"/>
                    </w:rPr>
                    <w:t>固态</w:t>
                  </w:r>
                </w:p>
              </w:tc>
              <w:tc>
                <w:tcPr>
                  <w:tcW w:w="371" w:type="pct"/>
                  <w:noWrap w:val="0"/>
                  <w:vAlign w:val="center"/>
                </w:tcPr>
                <w:p>
                  <w:pPr>
                    <w:pageBreakBefore w:val="0"/>
                    <w:widowControl w:val="0"/>
                    <w:kinsoku/>
                    <w:wordWrap/>
                    <w:overflowPunct/>
                    <w:topLinePunct w:val="0"/>
                    <w:autoSpaceDE/>
                    <w:autoSpaceDN/>
                    <w:bidi w:val="0"/>
                    <w:adjustRightInd/>
                    <w:snapToGrid/>
                    <w:spacing w:line="240" w:lineRule="auto"/>
                    <w:jc w:val="center"/>
                    <w:textAlignment w:val="auto"/>
                    <w:rPr>
                      <w:rFonts w:hint="eastAsia" w:eastAsia="宋体"/>
                      <w:color w:val="auto"/>
                      <w:sz w:val="21"/>
                      <w:szCs w:val="21"/>
                      <w:highlight w:val="none"/>
                      <w:lang w:val="en-US" w:eastAsia="zh-CN"/>
                    </w:rPr>
                  </w:pPr>
                  <w:r>
                    <w:rPr>
                      <w:rFonts w:hint="default" w:ascii="Times New Roman" w:hAnsi="Times New Roman" w:eastAsia="宋体" w:cs="Times New Roman"/>
                      <w:color w:val="auto"/>
                      <w:sz w:val="21"/>
                      <w:szCs w:val="21"/>
                      <w:highlight w:val="none"/>
                    </w:rPr>
                    <w:t>T、I</w:t>
                  </w:r>
                </w:p>
              </w:tc>
              <w:tc>
                <w:tcPr>
                  <w:tcW w:w="359" w:type="pct"/>
                  <w:vMerge w:val="continue"/>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color w:val="auto"/>
                      <w:sz w:val="21"/>
                      <w:szCs w:val="21"/>
                      <w:highlight w:val="none"/>
                    </w:rPr>
                  </w:pPr>
                </w:p>
              </w:tc>
              <w:tc>
                <w:tcPr>
                  <w:tcW w:w="324" w:type="pct"/>
                  <w:vMerge w:val="continue"/>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448" w:type="dxa"/>
                  <w:noWrap w:val="0"/>
                  <w:vAlign w:val="center"/>
                </w:tcPr>
                <w:p>
                  <w:pPr>
                    <w:pStyle w:val="81"/>
                    <w:keepNext w:val="0"/>
                    <w:keepLines w:val="0"/>
                    <w:pageBreakBefore w:val="0"/>
                    <w:kinsoku/>
                    <w:wordWrap/>
                    <w:overflowPunct/>
                    <w:topLinePunct w:val="0"/>
                    <w:autoSpaceDE/>
                    <w:autoSpaceDN/>
                    <w:bidi w:val="0"/>
                    <w:adjustRightInd w:val="0"/>
                    <w:snapToGrid w:val="0"/>
                    <w:jc w:val="center"/>
                    <w:textAlignment w:val="auto"/>
                    <w:rPr>
                      <w:rFonts w:hint="default" w:ascii="Times New Roman" w:hAnsi="Times New Roman" w:cs="Times New Roman"/>
                      <w:color w:val="auto"/>
                      <w:sz w:val="21"/>
                      <w:szCs w:val="21"/>
                      <w:highlight w:val="none"/>
                      <w:lang w:val="en-US" w:eastAsia="zh-CN"/>
                    </w:rPr>
                  </w:pPr>
                  <w:r>
                    <w:rPr>
                      <w:rFonts w:hint="eastAsia"/>
                      <w:color w:val="auto"/>
                      <w:sz w:val="21"/>
                      <w:szCs w:val="21"/>
                      <w:highlight w:val="none"/>
                      <w:lang w:val="en-US" w:eastAsia="zh-CN"/>
                    </w:rPr>
                    <w:t>10</w:t>
                  </w:r>
                </w:p>
              </w:tc>
              <w:tc>
                <w:tcPr>
                  <w:tcW w:w="437" w:type="pct"/>
                  <w:noWrap w:val="0"/>
                  <w:vAlign w:val="center"/>
                </w:tcPr>
                <w:p>
                  <w:pPr>
                    <w:pStyle w:val="81"/>
                    <w:keepNext w:val="0"/>
                    <w:keepLines w:val="0"/>
                    <w:pageBreakBefore w:val="0"/>
                    <w:kinsoku/>
                    <w:wordWrap/>
                    <w:overflowPunct/>
                    <w:topLinePunct w:val="0"/>
                    <w:autoSpaceDE/>
                    <w:autoSpaceDN/>
                    <w:bidi w:val="0"/>
                    <w:adjustRightInd w:val="0"/>
                    <w:snapToGrid w:val="0"/>
                    <w:jc w:val="center"/>
                    <w:textAlignment w:val="auto"/>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含油抹布</w:t>
                  </w:r>
                </w:p>
              </w:tc>
              <w:tc>
                <w:tcPr>
                  <w:tcW w:w="427" w:type="pct"/>
                  <w:noWrap w:val="0"/>
                  <w:vAlign w:val="center"/>
                </w:tcPr>
                <w:p>
                  <w:pPr>
                    <w:pStyle w:val="106"/>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eastAsia"/>
                      <w:color w:val="auto"/>
                      <w:sz w:val="21"/>
                      <w:szCs w:val="21"/>
                      <w:highlight w:val="none"/>
                      <w:lang w:val="en-US" w:eastAsia="zh-CN"/>
                    </w:rPr>
                  </w:pPr>
                  <w:r>
                    <w:rPr>
                      <w:color w:val="auto"/>
                      <w:sz w:val="21"/>
                      <w:szCs w:val="21"/>
                      <w:highlight w:val="none"/>
                      <w:lang w:val="en-US" w:eastAsia="zh-CN"/>
                    </w:rPr>
                    <w:t>HW</w:t>
                  </w:r>
                  <w:r>
                    <w:rPr>
                      <w:rFonts w:hint="eastAsia"/>
                      <w:color w:val="auto"/>
                      <w:sz w:val="21"/>
                      <w:szCs w:val="21"/>
                      <w:highlight w:val="none"/>
                      <w:lang w:val="en-US" w:eastAsia="zh-CN"/>
                    </w:rPr>
                    <w:t>49</w:t>
                  </w:r>
                </w:p>
              </w:tc>
              <w:tc>
                <w:tcPr>
                  <w:tcW w:w="637" w:type="pct"/>
                  <w:noWrap w:val="0"/>
                  <w:vAlign w:val="center"/>
                </w:tcPr>
                <w:p>
                  <w:pPr>
                    <w:pStyle w:val="58"/>
                    <w:keepNext w:val="0"/>
                    <w:keepLines w:val="0"/>
                    <w:pageBreakBefore w:val="0"/>
                    <w:kinsoku/>
                    <w:wordWrap/>
                    <w:overflowPunct/>
                    <w:topLinePunct w:val="0"/>
                    <w:autoSpaceDE/>
                    <w:autoSpaceDN/>
                    <w:bidi w:val="0"/>
                    <w:adjustRightInd w:val="0"/>
                    <w:snapToGrid w:val="0"/>
                    <w:jc w:val="center"/>
                    <w:textAlignment w:val="auto"/>
                    <w:rPr>
                      <w:rFonts w:hint="eastAsia" w:ascii="Times New Roman" w:hAnsi="Times New Roman" w:cs="Times New Roman"/>
                      <w:color w:val="auto"/>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900-0</w:t>
                  </w:r>
                  <w:r>
                    <w:rPr>
                      <w:rFonts w:hint="eastAsia" w:ascii="Times New Roman" w:hAnsi="Times New Roman" w:cs="Times New Roman"/>
                      <w:color w:val="auto"/>
                      <w:sz w:val="21"/>
                      <w:szCs w:val="21"/>
                      <w:highlight w:val="none"/>
                      <w:lang w:val="en-US" w:eastAsia="zh-CN"/>
                    </w:rPr>
                    <w:t>39</w:t>
                  </w:r>
                  <w:r>
                    <w:rPr>
                      <w:rFonts w:hint="default" w:ascii="Times New Roman" w:hAnsi="Times New Roman" w:cs="Times New Roman"/>
                      <w:color w:val="auto"/>
                      <w:sz w:val="21"/>
                      <w:szCs w:val="21"/>
                      <w:highlight w:val="none"/>
                      <w:lang w:val="en-US" w:eastAsia="zh-CN"/>
                    </w:rPr>
                    <w:t>-49</w:t>
                  </w:r>
                </w:p>
              </w:tc>
              <w:tc>
                <w:tcPr>
                  <w:tcW w:w="487" w:type="pct"/>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eastAsia="宋体"/>
                      <w:color w:val="auto"/>
                      <w:sz w:val="21"/>
                      <w:szCs w:val="21"/>
                      <w:highlight w:val="none"/>
                      <w:lang w:val="en-US" w:eastAsia="zh-CN"/>
                    </w:rPr>
                  </w:pPr>
                  <w:r>
                    <w:rPr>
                      <w:rFonts w:hint="eastAsia"/>
                      <w:color w:val="auto"/>
                      <w:sz w:val="21"/>
                      <w:szCs w:val="21"/>
                      <w:highlight w:val="none"/>
                      <w:lang w:val="en-US" w:eastAsia="zh-CN"/>
                    </w:rPr>
                    <w:t>0.02</w:t>
                  </w:r>
                </w:p>
              </w:tc>
              <w:tc>
                <w:tcPr>
                  <w:tcW w:w="487" w:type="pct"/>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eastAsia="宋体"/>
                      <w:color w:val="auto"/>
                      <w:sz w:val="21"/>
                      <w:szCs w:val="21"/>
                      <w:highlight w:val="none"/>
                      <w:lang w:val="en-US" w:eastAsia="zh-CN"/>
                    </w:rPr>
                  </w:pPr>
                  <w:r>
                    <w:rPr>
                      <w:rFonts w:hint="eastAsia"/>
                      <w:color w:val="auto"/>
                      <w:sz w:val="21"/>
                      <w:szCs w:val="21"/>
                      <w:highlight w:val="none"/>
                      <w:lang w:val="en-US" w:eastAsia="zh-CN"/>
                    </w:rPr>
                    <w:t>0.001</w:t>
                  </w:r>
                </w:p>
              </w:tc>
              <w:tc>
                <w:tcPr>
                  <w:tcW w:w="519" w:type="pct"/>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eastAsia="宋体"/>
                      <w:color w:val="auto"/>
                      <w:sz w:val="21"/>
                      <w:szCs w:val="21"/>
                      <w:highlight w:val="none"/>
                      <w:lang w:val="en-US" w:eastAsia="zh-CN"/>
                    </w:rPr>
                  </w:pPr>
                  <w:r>
                    <w:rPr>
                      <w:rFonts w:hint="eastAsia"/>
                      <w:color w:val="auto"/>
                      <w:sz w:val="21"/>
                      <w:szCs w:val="21"/>
                      <w:highlight w:val="none"/>
                      <w:lang w:val="en-US" w:eastAsia="zh-CN"/>
                    </w:rPr>
                    <w:t>0.021</w:t>
                  </w:r>
                </w:p>
              </w:tc>
              <w:tc>
                <w:tcPr>
                  <w:tcW w:w="391" w:type="pct"/>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eastAsia" w:eastAsia="宋体"/>
                      <w:color w:val="auto"/>
                      <w:sz w:val="21"/>
                      <w:szCs w:val="21"/>
                      <w:highlight w:val="none"/>
                      <w:lang w:val="en-US" w:eastAsia="zh-CN"/>
                    </w:rPr>
                  </w:pPr>
                  <w:r>
                    <w:rPr>
                      <w:rFonts w:hint="eastAsia"/>
                      <w:color w:val="auto"/>
                      <w:sz w:val="21"/>
                      <w:szCs w:val="21"/>
                      <w:highlight w:val="none"/>
                      <w:lang w:val="en-US" w:eastAsia="zh-CN"/>
                    </w:rPr>
                    <w:t>生产</w:t>
                  </w:r>
                </w:p>
              </w:tc>
              <w:tc>
                <w:tcPr>
                  <w:tcW w:w="291" w:type="pct"/>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eastAsia"/>
                      <w:color w:val="auto"/>
                      <w:sz w:val="21"/>
                      <w:szCs w:val="21"/>
                      <w:highlight w:val="none"/>
                    </w:rPr>
                  </w:pPr>
                  <w:r>
                    <w:rPr>
                      <w:rFonts w:hint="eastAsia"/>
                      <w:color w:val="auto"/>
                      <w:sz w:val="21"/>
                      <w:szCs w:val="21"/>
                      <w:highlight w:val="none"/>
                    </w:rPr>
                    <w:t>固态</w:t>
                  </w:r>
                </w:p>
              </w:tc>
              <w:tc>
                <w:tcPr>
                  <w:tcW w:w="371" w:type="pct"/>
                  <w:noWrap w:val="0"/>
                  <w:vAlign w:val="center"/>
                </w:tcPr>
                <w:p>
                  <w:pPr>
                    <w:pageBreakBefore w:val="0"/>
                    <w:widowControl w:val="0"/>
                    <w:kinsoku/>
                    <w:wordWrap/>
                    <w:overflowPunct/>
                    <w:topLinePunct w:val="0"/>
                    <w:autoSpaceDE/>
                    <w:autoSpaceDN/>
                    <w:bidi w:val="0"/>
                    <w:adjustRightInd/>
                    <w:snapToGrid/>
                    <w:spacing w:line="240" w:lineRule="auto"/>
                    <w:jc w:val="center"/>
                    <w:textAlignment w:val="auto"/>
                    <w:rPr>
                      <w:rFonts w:hint="eastAsia"/>
                      <w:color w:val="auto"/>
                      <w:sz w:val="21"/>
                      <w:szCs w:val="21"/>
                      <w:highlight w:val="none"/>
                      <w:lang w:val="en-US" w:eastAsia="zh-CN"/>
                    </w:rPr>
                  </w:pPr>
                  <w:r>
                    <w:rPr>
                      <w:rFonts w:hint="default" w:ascii="Times New Roman" w:hAnsi="Times New Roman" w:eastAsia="宋体" w:cs="Times New Roman"/>
                      <w:color w:val="auto"/>
                      <w:sz w:val="21"/>
                      <w:szCs w:val="21"/>
                      <w:highlight w:val="none"/>
                    </w:rPr>
                    <w:t>T</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lang w:val="en-US" w:eastAsia="zh-CN"/>
                    </w:rPr>
                    <w:t>I</w:t>
                  </w:r>
                </w:p>
              </w:tc>
              <w:tc>
                <w:tcPr>
                  <w:tcW w:w="359" w:type="pct"/>
                  <w:vMerge w:val="continue"/>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color w:val="auto"/>
                      <w:sz w:val="21"/>
                      <w:szCs w:val="21"/>
                      <w:highlight w:val="none"/>
                    </w:rPr>
                  </w:pPr>
                </w:p>
              </w:tc>
              <w:tc>
                <w:tcPr>
                  <w:tcW w:w="324" w:type="pct"/>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color w:val="auto"/>
                      <w:sz w:val="21"/>
                      <w:szCs w:val="21"/>
                      <w:highlight w:val="none"/>
                    </w:rPr>
                  </w:pPr>
                </w:p>
              </w:tc>
            </w:tr>
          </w:tbl>
          <w:p>
            <w:pPr>
              <w:keepNext w:val="0"/>
              <w:keepLines w:val="0"/>
              <w:widowControl/>
              <w:suppressLineNumbers w:val="0"/>
              <w:spacing w:line="240" w:lineRule="auto"/>
              <w:ind w:firstLine="480" w:firstLineChars="200"/>
              <w:jc w:val="left"/>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注：毒性（Toxicity, T）、</w:t>
            </w:r>
            <w:r>
              <w:rPr>
                <w:rFonts w:hint="eastAsia" w:cs="Times New Roman"/>
                <w:color w:val="auto"/>
                <w:highlight w:val="none"/>
                <w:lang w:val="en-US" w:eastAsia="zh-CN"/>
              </w:rPr>
              <w:t>易燃性</w:t>
            </w:r>
            <w:r>
              <w:rPr>
                <w:rFonts w:hint="default" w:ascii="Times New Roman" w:hAnsi="Times New Roman" w:cs="Times New Roman"/>
                <w:color w:val="auto"/>
                <w:highlight w:val="none"/>
                <w:lang w:val="en-US" w:eastAsia="zh-CN"/>
              </w:rPr>
              <w:t xml:space="preserve"> （</w:t>
            </w:r>
            <w:r>
              <w:rPr>
                <w:rFonts w:hint="eastAsia" w:cs="Times New Roman"/>
                <w:color w:val="auto"/>
                <w:highlight w:val="none"/>
                <w:lang w:val="en-US" w:eastAsia="zh-CN"/>
              </w:rPr>
              <w:t>Ignitability</w:t>
            </w:r>
            <w:r>
              <w:rPr>
                <w:rFonts w:hint="default" w:ascii="Times New Roman" w:hAnsi="Times New Roman" w:cs="Times New Roman"/>
                <w:color w:val="auto"/>
                <w:highlight w:val="none"/>
                <w:lang w:val="en-US" w:eastAsia="zh-CN"/>
              </w:rPr>
              <w:t>, I）。</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highlight w:val="none"/>
                <w:lang w:val="en-US" w:eastAsia="zh-CN"/>
              </w:rPr>
            </w:pPr>
            <w:r>
              <w:rPr>
                <w:rFonts w:hint="eastAsia" w:cs="Times New Roman"/>
                <w:color w:val="auto"/>
                <w:sz w:val="24"/>
                <w:highlight w:val="none"/>
                <w:lang w:val="en-US" w:eastAsia="zh-CN"/>
              </w:rPr>
              <w:t>4.2.5</w:t>
            </w:r>
            <w:r>
              <w:rPr>
                <w:rFonts w:hint="default" w:ascii="Times New Roman" w:hAnsi="Times New Roman" w:eastAsia="宋体" w:cs="Times New Roman"/>
                <w:color w:val="auto"/>
                <w:sz w:val="24"/>
                <w:highlight w:val="none"/>
                <w:lang w:val="en-US" w:eastAsia="zh-CN"/>
              </w:rPr>
              <w:t>危险废物管理要求</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Times New Roman" w:hAnsi="Times New Roman" w:eastAsia="宋体" w:cs="Times New Roman"/>
                <w:color w:val="auto"/>
                <w:sz w:val="24"/>
                <w:highlight w:val="none"/>
                <w:lang w:val="en-US" w:eastAsia="zh-CN"/>
              </w:rPr>
            </w:pPr>
            <w:r>
              <w:rPr>
                <w:rFonts w:hint="eastAsia" w:cs="Times New Roman"/>
                <w:color w:val="auto"/>
                <w:sz w:val="24"/>
                <w:highlight w:val="none"/>
                <w:lang w:val="en-US" w:eastAsia="zh-CN"/>
              </w:rPr>
              <w:t>本项目现有危险废物管理制度完善，收集、贮存及处置均满足</w:t>
            </w:r>
            <w:r>
              <w:rPr>
                <w:rFonts w:hint="default" w:ascii="Times New Roman" w:hAnsi="Times New Roman" w:eastAsia="宋体" w:cs="Times New Roman"/>
                <w:b w:val="0"/>
                <w:color w:val="auto"/>
                <w:sz w:val="24"/>
                <w:szCs w:val="24"/>
                <w:highlight w:val="none"/>
                <w:lang w:val="en-US" w:eastAsia="zh-CN"/>
              </w:rPr>
              <w:t>《危险废物收集贮存运输技术规范》(HJ2025-2012)相关要求</w:t>
            </w:r>
            <w:r>
              <w:rPr>
                <w:rFonts w:hint="eastAsia" w:cs="Times New Roman"/>
                <w:b w:val="0"/>
                <w:color w:val="auto"/>
                <w:sz w:val="24"/>
                <w:szCs w:val="24"/>
                <w:highlight w:val="none"/>
                <w:lang w:val="en-US" w:eastAsia="zh-CN"/>
              </w:rPr>
              <w:t>，本项目建设完成后，新增危险废物应纳入现有管理制度中</w:t>
            </w:r>
            <w:r>
              <w:rPr>
                <w:rFonts w:hint="eastAsia" w:cs="Times New Roman"/>
                <w:color w:val="auto"/>
                <w:sz w:val="24"/>
                <w:highlight w:val="none"/>
                <w:lang w:val="en-US" w:eastAsia="zh-CN"/>
              </w:rPr>
              <w:t>。</w:t>
            </w:r>
          </w:p>
          <w:p>
            <w:pPr>
              <w:pStyle w:val="11"/>
              <w:keepNext/>
              <w:pageBreakBefore w:val="0"/>
              <w:widowControl w:val="0"/>
              <w:kinsoku/>
              <w:wordWrap/>
              <w:topLinePunct w:val="0"/>
              <w:autoSpaceDE/>
              <w:autoSpaceDN/>
              <w:bidi w:val="0"/>
              <w:adjustRightInd/>
              <w:spacing w:line="360" w:lineRule="auto"/>
              <w:jc w:val="both"/>
              <w:textAlignment w:val="auto"/>
              <w:rPr>
                <w:rFonts w:hint="default" w:ascii="Times New Roman" w:hAnsi="Times New Roman" w:eastAsia="宋体" w:cs="Times New Roman"/>
                <w:b w:val="0"/>
                <w:color w:val="auto"/>
                <w:sz w:val="24"/>
                <w:szCs w:val="24"/>
                <w:highlight w:val="none"/>
                <w:lang w:val="en-US" w:eastAsia="zh-CN"/>
              </w:rPr>
            </w:pPr>
            <w:r>
              <w:rPr>
                <w:rFonts w:hint="eastAsia" w:ascii="Times New Roman" w:hAnsi="Times New Roman" w:eastAsia="宋体" w:cs="Times New Roman"/>
                <w:b w:val="0"/>
                <w:color w:val="auto"/>
                <w:sz w:val="24"/>
                <w:szCs w:val="24"/>
                <w:highlight w:val="none"/>
                <w:lang w:val="en-US" w:eastAsia="zh-CN"/>
              </w:rPr>
              <w:t>4.</w:t>
            </w:r>
            <w:r>
              <w:rPr>
                <w:rFonts w:hint="eastAsia" w:cs="Times New Roman"/>
                <w:b w:val="0"/>
                <w:color w:val="auto"/>
                <w:sz w:val="24"/>
                <w:szCs w:val="24"/>
                <w:highlight w:val="none"/>
                <w:lang w:val="en-US" w:eastAsia="zh-CN"/>
              </w:rPr>
              <w:t>2</w:t>
            </w:r>
            <w:r>
              <w:rPr>
                <w:rFonts w:hint="eastAsia" w:ascii="Times New Roman" w:hAnsi="Times New Roman" w:cs="Times New Roman"/>
                <w:b w:val="0"/>
                <w:color w:val="auto"/>
                <w:sz w:val="24"/>
                <w:szCs w:val="24"/>
                <w:highlight w:val="none"/>
                <w:lang w:val="en-US" w:eastAsia="zh-CN"/>
              </w:rPr>
              <w:t>.</w:t>
            </w:r>
            <w:r>
              <w:rPr>
                <w:rFonts w:hint="eastAsia" w:cs="Times New Roman"/>
                <w:b w:val="0"/>
                <w:color w:val="auto"/>
                <w:sz w:val="24"/>
                <w:szCs w:val="24"/>
                <w:highlight w:val="none"/>
                <w:lang w:val="en-US" w:eastAsia="zh-CN"/>
              </w:rPr>
              <w:t>6</w:t>
            </w:r>
            <w:r>
              <w:rPr>
                <w:rFonts w:hint="default" w:ascii="Times New Roman" w:hAnsi="Times New Roman" w:eastAsia="宋体" w:cs="Times New Roman"/>
                <w:b w:val="0"/>
                <w:color w:val="auto"/>
                <w:sz w:val="24"/>
                <w:szCs w:val="24"/>
                <w:highlight w:val="none"/>
                <w:lang w:val="en-US" w:eastAsia="zh-CN"/>
              </w:rPr>
              <w:t>危险废物</w:t>
            </w:r>
            <w:r>
              <w:rPr>
                <w:rFonts w:hint="eastAsia" w:cs="Times New Roman"/>
                <w:b w:val="0"/>
                <w:color w:val="auto"/>
                <w:sz w:val="24"/>
                <w:szCs w:val="24"/>
                <w:highlight w:val="none"/>
                <w:lang w:val="en-US" w:eastAsia="zh-CN"/>
              </w:rPr>
              <w:t>外部</w:t>
            </w:r>
            <w:r>
              <w:rPr>
                <w:rFonts w:hint="default" w:ascii="Times New Roman" w:hAnsi="Times New Roman" w:eastAsia="宋体" w:cs="Times New Roman"/>
                <w:b w:val="0"/>
                <w:color w:val="auto"/>
                <w:sz w:val="24"/>
                <w:szCs w:val="24"/>
                <w:highlight w:val="none"/>
                <w:lang w:val="en-US" w:eastAsia="zh-CN"/>
              </w:rPr>
              <w:t>运输过程的环境影响分析</w:t>
            </w:r>
          </w:p>
          <w:p>
            <w:pPr>
              <w:pStyle w:val="11"/>
              <w:keepNext/>
              <w:pageBreakBefore w:val="0"/>
              <w:widowControl w:val="0"/>
              <w:kinsoku/>
              <w:wordWrap/>
              <w:topLinePunct w:val="0"/>
              <w:autoSpaceDE/>
              <w:autoSpaceDN/>
              <w:bidi w:val="0"/>
              <w:adjustRightInd/>
              <w:spacing w:line="360" w:lineRule="auto"/>
              <w:ind w:firstLine="482"/>
              <w:jc w:val="both"/>
              <w:textAlignment w:val="auto"/>
              <w:rPr>
                <w:rFonts w:hint="default" w:ascii="Times New Roman" w:hAnsi="Times New Roman" w:eastAsia="宋体" w:cs="Times New Roman"/>
                <w:b w:val="0"/>
                <w:color w:val="auto"/>
                <w:sz w:val="24"/>
                <w:szCs w:val="24"/>
                <w:highlight w:val="none"/>
                <w:lang w:val="en-US" w:eastAsia="zh-CN"/>
              </w:rPr>
            </w:pPr>
            <w:r>
              <w:rPr>
                <w:rFonts w:hint="eastAsia" w:cs="Times New Roman"/>
                <w:b w:val="0"/>
                <w:color w:val="auto"/>
                <w:sz w:val="24"/>
                <w:szCs w:val="24"/>
                <w:highlight w:val="none"/>
                <w:lang w:val="en-US" w:eastAsia="zh-CN"/>
              </w:rPr>
              <w:t>公司现有危险废物委托秦皇岛徐山口危险废物处理有限公司，外部运输由委托单位负责</w:t>
            </w:r>
            <w:r>
              <w:rPr>
                <w:rFonts w:hint="default" w:ascii="Times New Roman" w:hAnsi="Times New Roman" w:eastAsia="宋体" w:cs="Times New Roman"/>
                <w:b w:val="0"/>
                <w:color w:val="auto"/>
                <w:sz w:val="24"/>
                <w:szCs w:val="24"/>
                <w:highlight w:val="none"/>
                <w:lang w:val="en-US" w:eastAsia="zh-CN"/>
              </w:rPr>
              <w:t>。</w:t>
            </w:r>
          </w:p>
          <w:p>
            <w:pPr>
              <w:pStyle w:val="11"/>
              <w:keepNext/>
              <w:pageBreakBefore w:val="0"/>
              <w:widowControl w:val="0"/>
              <w:kinsoku/>
              <w:wordWrap/>
              <w:topLinePunct w:val="0"/>
              <w:autoSpaceDE/>
              <w:autoSpaceDN/>
              <w:bidi w:val="0"/>
              <w:adjustRightInd/>
              <w:spacing w:line="360" w:lineRule="auto"/>
              <w:jc w:val="both"/>
              <w:textAlignment w:val="auto"/>
              <w:rPr>
                <w:rFonts w:hint="default" w:ascii="Times New Roman" w:hAnsi="Times New Roman" w:eastAsia="宋体" w:cs="Times New Roman"/>
                <w:b w:val="0"/>
                <w:color w:val="auto"/>
                <w:sz w:val="24"/>
                <w:szCs w:val="24"/>
                <w:highlight w:val="none"/>
                <w:lang w:val="en-US" w:eastAsia="zh-CN"/>
              </w:rPr>
            </w:pPr>
            <w:r>
              <w:rPr>
                <w:rFonts w:hint="eastAsia" w:ascii="Times New Roman" w:hAnsi="Times New Roman" w:eastAsia="宋体" w:cs="Times New Roman"/>
                <w:b w:val="0"/>
                <w:color w:val="auto"/>
                <w:sz w:val="24"/>
                <w:szCs w:val="24"/>
                <w:highlight w:val="none"/>
                <w:lang w:val="en-US" w:eastAsia="zh-CN"/>
              </w:rPr>
              <w:t>4.</w:t>
            </w:r>
            <w:r>
              <w:rPr>
                <w:rFonts w:hint="eastAsia" w:cs="Times New Roman"/>
                <w:b w:val="0"/>
                <w:color w:val="auto"/>
                <w:sz w:val="24"/>
                <w:szCs w:val="24"/>
                <w:highlight w:val="none"/>
                <w:lang w:val="en-US" w:eastAsia="zh-CN"/>
              </w:rPr>
              <w:t>2</w:t>
            </w:r>
            <w:r>
              <w:rPr>
                <w:rFonts w:hint="eastAsia" w:ascii="Times New Roman" w:hAnsi="Times New Roman" w:cs="Times New Roman"/>
                <w:b w:val="0"/>
                <w:color w:val="auto"/>
                <w:sz w:val="24"/>
                <w:szCs w:val="24"/>
                <w:highlight w:val="none"/>
                <w:lang w:val="en-US" w:eastAsia="zh-CN"/>
              </w:rPr>
              <w:t>.7</w:t>
            </w:r>
            <w:r>
              <w:rPr>
                <w:rFonts w:hint="default" w:ascii="Times New Roman" w:hAnsi="Times New Roman" w:eastAsia="宋体" w:cs="Times New Roman"/>
                <w:b w:val="0"/>
                <w:color w:val="auto"/>
                <w:sz w:val="24"/>
                <w:szCs w:val="24"/>
                <w:highlight w:val="none"/>
                <w:lang w:val="en-US" w:eastAsia="zh-CN"/>
              </w:rPr>
              <w:t>危险废物内部转运环境影响分析</w:t>
            </w:r>
          </w:p>
          <w:p>
            <w:pPr>
              <w:pStyle w:val="11"/>
              <w:keepNext/>
              <w:pageBreakBefore w:val="0"/>
              <w:widowControl w:val="0"/>
              <w:kinsoku/>
              <w:wordWrap/>
              <w:topLinePunct w:val="0"/>
              <w:autoSpaceDE/>
              <w:autoSpaceDN/>
              <w:bidi w:val="0"/>
              <w:adjustRightInd/>
              <w:spacing w:line="360" w:lineRule="auto"/>
              <w:ind w:firstLine="482"/>
              <w:jc w:val="both"/>
              <w:textAlignment w:val="auto"/>
              <w:rPr>
                <w:rFonts w:hint="default" w:ascii="Times New Roman" w:hAnsi="Times New Roman" w:eastAsia="宋体" w:cs="Times New Roman"/>
                <w:b w:val="0"/>
                <w:color w:val="auto"/>
                <w:sz w:val="24"/>
                <w:szCs w:val="24"/>
                <w:highlight w:val="none"/>
                <w:lang w:val="en-US" w:eastAsia="zh-CN"/>
              </w:rPr>
            </w:pPr>
            <w:r>
              <w:rPr>
                <w:rFonts w:hint="eastAsia" w:cs="Times New Roman"/>
                <w:b w:val="0"/>
                <w:color w:val="auto"/>
                <w:sz w:val="24"/>
                <w:szCs w:val="24"/>
                <w:highlight w:val="none"/>
                <w:lang w:val="en-US" w:eastAsia="zh-CN"/>
              </w:rPr>
              <w:t>本次技改新增</w:t>
            </w:r>
            <w:r>
              <w:rPr>
                <w:rFonts w:hint="default" w:ascii="Times New Roman" w:hAnsi="Times New Roman" w:eastAsia="宋体" w:cs="Times New Roman"/>
                <w:b w:val="0"/>
                <w:color w:val="auto"/>
                <w:sz w:val="24"/>
                <w:szCs w:val="24"/>
                <w:highlight w:val="none"/>
                <w:lang w:val="en-US" w:eastAsia="zh-CN"/>
              </w:rPr>
              <w:t>危险废物内部转运作业必须按照《危险废物收集、贮存、运输技术规范》（HJ2025-2012；2013-3-1实施）相关规定执行，重点内容如下：</w:t>
            </w:r>
          </w:p>
          <w:p>
            <w:pPr>
              <w:pStyle w:val="11"/>
              <w:keepNext/>
              <w:pageBreakBefore w:val="0"/>
              <w:widowControl w:val="0"/>
              <w:kinsoku/>
              <w:wordWrap/>
              <w:topLinePunct w:val="0"/>
              <w:autoSpaceDE/>
              <w:autoSpaceDN/>
              <w:bidi w:val="0"/>
              <w:adjustRightInd/>
              <w:spacing w:line="360" w:lineRule="auto"/>
              <w:ind w:firstLine="482"/>
              <w:jc w:val="both"/>
              <w:textAlignment w:val="auto"/>
              <w:rPr>
                <w:rFonts w:hint="default" w:ascii="Times New Roman" w:hAnsi="Times New Roman" w:eastAsia="宋体" w:cs="Times New Roman"/>
                <w:b w:val="0"/>
                <w:color w:val="auto"/>
                <w:sz w:val="24"/>
                <w:szCs w:val="24"/>
                <w:highlight w:val="none"/>
                <w:lang w:val="en-US" w:eastAsia="zh-CN"/>
              </w:rPr>
            </w:pPr>
            <w:r>
              <w:rPr>
                <w:rFonts w:hint="default" w:ascii="Times New Roman" w:hAnsi="Times New Roman" w:eastAsia="宋体" w:cs="Times New Roman"/>
                <w:b w:val="0"/>
                <w:color w:val="auto"/>
                <w:sz w:val="24"/>
                <w:szCs w:val="24"/>
                <w:highlight w:val="none"/>
                <w:lang w:val="en-US" w:eastAsia="zh-CN"/>
              </w:rPr>
              <w:t>①危险废物内部转运应综合考虑厂区的实际情况确定转运路线，应避开办公区和生活区。</w:t>
            </w:r>
          </w:p>
          <w:p>
            <w:pPr>
              <w:pStyle w:val="11"/>
              <w:keepNext/>
              <w:pageBreakBefore w:val="0"/>
              <w:widowControl w:val="0"/>
              <w:kinsoku/>
              <w:wordWrap/>
              <w:topLinePunct w:val="0"/>
              <w:autoSpaceDE/>
              <w:autoSpaceDN/>
              <w:bidi w:val="0"/>
              <w:adjustRightInd/>
              <w:spacing w:line="360" w:lineRule="auto"/>
              <w:ind w:firstLine="482"/>
              <w:jc w:val="both"/>
              <w:textAlignment w:val="auto"/>
              <w:rPr>
                <w:rFonts w:hint="default" w:ascii="Times New Roman" w:hAnsi="Times New Roman" w:eastAsia="宋体" w:cs="Times New Roman"/>
                <w:b w:val="0"/>
                <w:color w:val="auto"/>
                <w:sz w:val="24"/>
                <w:szCs w:val="24"/>
                <w:highlight w:val="none"/>
                <w:lang w:val="en-US" w:eastAsia="zh-CN"/>
              </w:rPr>
            </w:pPr>
            <w:r>
              <w:rPr>
                <w:rFonts w:hint="default" w:ascii="Times New Roman" w:hAnsi="Times New Roman" w:eastAsia="宋体" w:cs="Times New Roman"/>
                <w:b w:val="0"/>
                <w:color w:val="auto"/>
                <w:sz w:val="24"/>
                <w:szCs w:val="24"/>
                <w:highlight w:val="none"/>
                <w:lang w:val="en-US" w:eastAsia="zh-CN"/>
              </w:rPr>
              <w:t>②危险废物内部转运作业应采用专用的工具，并填写《危险废物厂内转运记录表》。</w:t>
            </w:r>
          </w:p>
          <w:p>
            <w:pPr>
              <w:pStyle w:val="11"/>
              <w:keepNext/>
              <w:pageBreakBefore w:val="0"/>
              <w:widowControl w:val="0"/>
              <w:kinsoku/>
              <w:wordWrap/>
              <w:topLinePunct w:val="0"/>
              <w:autoSpaceDE/>
              <w:autoSpaceDN/>
              <w:bidi w:val="0"/>
              <w:adjustRightInd/>
              <w:spacing w:line="360" w:lineRule="auto"/>
              <w:ind w:firstLine="482"/>
              <w:jc w:val="both"/>
              <w:textAlignment w:val="auto"/>
              <w:rPr>
                <w:rFonts w:hint="default" w:ascii="Times New Roman" w:hAnsi="Times New Roman" w:eastAsia="宋体" w:cs="Times New Roman"/>
                <w:b w:val="0"/>
                <w:color w:val="auto"/>
                <w:sz w:val="24"/>
                <w:szCs w:val="24"/>
                <w:highlight w:val="none"/>
                <w:lang w:val="en-US" w:eastAsia="zh-CN"/>
              </w:rPr>
            </w:pPr>
            <w:r>
              <w:rPr>
                <w:rFonts w:hint="default" w:ascii="Times New Roman" w:hAnsi="Times New Roman" w:eastAsia="宋体" w:cs="Times New Roman"/>
                <w:b w:val="0"/>
                <w:color w:val="auto"/>
                <w:sz w:val="24"/>
                <w:szCs w:val="24"/>
                <w:highlight w:val="none"/>
                <w:lang w:val="en-US" w:eastAsia="zh-CN"/>
              </w:rPr>
              <w:t>③危险废物内部转运结束后，应对转运路线进行检查和清理，确保无危险废物遗失在转运路线上，并对转运工具进行清洗。项目产生的危险废物经封闭容器收集后通过厂区道路运至危废间。危险废物运输过程中全部采用封闭容器储存，运输道路较短，且路线不经过办公区等人员密集区，转运结束后及时对转运路线进行检查和清理，确保无危险废物散落或泄漏在转运路线上。危险废物运输过程中全部采用封闭容器储存，正常情况下不会发生散落或泄漏，同时本项目厂区道路均进行了硬化，可有效阻止泄漏后危险废物的下渗，因此危险废物在运输过程中发生散落或泄漏时，及时清理，不会对周边环境产生明显影响。由于</w:t>
            </w:r>
            <w:r>
              <w:rPr>
                <w:rFonts w:hint="eastAsia" w:cs="Times New Roman"/>
                <w:b w:val="0"/>
                <w:color w:val="auto"/>
                <w:sz w:val="24"/>
                <w:szCs w:val="24"/>
                <w:highlight w:val="none"/>
                <w:lang w:val="en-US" w:eastAsia="zh-CN"/>
              </w:rPr>
              <w:t>危废</w:t>
            </w:r>
            <w:r>
              <w:rPr>
                <w:rFonts w:hint="default" w:ascii="Times New Roman" w:hAnsi="Times New Roman" w:eastAsia="宋体" w:cs="Times New Roman"/>
                <w:b w:val="0"/>
                <w:color w:val="auto"/>
                <w:sz w:val="24"/>
                <w:szCs w:val="24"/>
                <w:highlight w:val="none"/>
                <w:lang w:val="en-US" w:eastAsia="zh-CN"/>
              </w:rPr>
              <w:t>不易挥发，且危废暂存间满足防风、防雨、防晒、防渗漏等要求，并设置渗漏收集措施；一旦发生泄漏事故，应立即启动突发环境事件应急预案，不会对周围环境造成影响。</w:t>
            </w:r>
          </w:p>
          <w:p>
            <w:pPr>
              <w:pStyle w:val="11"/>
              <w:keepNext/>
              <w:pageBreakBefore w:val="0"/>
              <w:widowControl w:val="0"/>
              <w:kinsoku/>
              <w:wordWrap/>
              <w:topLinePunct w:val="0"/>
              <w:autoSpaceDE/>
              <w:autoSpaceDN/>
              <w:bidi w:val="0"/>
              <w:adjustRightInd/>
              <w:spacing w:line="360" w:lineRule="auto"/>
              <w:ind w:firstLine="482"/>
              <w:jc w:val="both"/>
              <w:textAlignment w:val="auto"/>
              <w:rPr>
                <w:rFonts w:hint="eastAsia" w:ascii="Times New Roman" w:hAnsi="Times New Roman" w:eastAsia="宋体" w:cs="Times New Roman"/>
                <w:b w:val="0"/>
                <w:color w:val="auto"/>
                <w:sz w:val="24"/>
                <w:szCs w:val="24"/>
                <w:highlight w:val="none"/>
                <w:lang w:val="en-US" w:eastAsia="zh-CN"/>
              </w:rPr>
            </w:pPr>
            <w:r>
              <w:rPr>
                <w:rFonts w:hint="eastAsia" w:ascii="Times New Roman" w:hAnsi="Times New Roman" w:eastAsia="宋体" w:cs="Times New Roman"/>
                <w:b w:val="0"/>
                <w:color w:val="auto"/>
                <w:sz w:val="24"/>
                <w:szCs w:val="24"/>
                <w:highlight w:val="none"/>
                <w:lang w:val="en-US" w:eastAsia="zh-CN"/>
              </w:rPr>
              <w:t>4.</w:t>
            </w:r>
            <w:r>
              <w:rPr>
                <w:rFonts w:hint="eastAsia" w:cs="Times New Roman"/>
                <w:b w:val="0"/>
                <w:color w:val="auto"/>
                <w:sz w:val="24"/>
                <w:szCs w:val="24"/>
                <w:highlight w:val="none"/>
                <w:lang w:val="en-US" w:eastAsia="zh-CN"/>
              </w:rPr>
              <w:t>2</w:t>
            </w:r>
            <w:r>
              <w:rPr>
                <w:rFonts w:hint="eastAsia" w:ascii="Times New Roman" w:hAnsi="Times New Roman" w:eastAsia="宋体" w:cs="Times New Roman"/>
                <w:b w:val="0"/>
                <w:color w:val="auto"/>
                <w:sz w:val="24"/>
                <w:szCs w:val="24"/>
                <w:highlight w:val="none"/>
                <w:lang w:val="en-US" w:eastAsia="zh-CN"/>
              </w:rPr>
              <w:t>.</w:t>
            </w:r>
            <w:r>
              <w:rPr>
                <w:rFonts w:hint="eastAsia" w:cs="Times New Roman"/>
                <w:b w:val="0"/>
                <w:color w:val="auto"/>
                <w:sz w:val="24"/>
                <w:szCs w:val="24"/>
                <w:highlight w:val="none"/>
                <w:lang w:val="en-US" w:eastAsia="zh-CN"/>
              </w:rPr>
              <w:t>8</w:t>
            </w:r>
            <w:r>
              <w:rPr>
                <w:rFonts w:hint="eastAsia" w:ascii="Times New Roman" w:hAnsi="Times New Roman" w:eastAsia="宋体" w:cs="Times New Roman"/>
                <w:b w:val="0"/>
                <w:color w:val="auto"/>
                <w:sz w:val="24"/>
                <w:szCs w:val="24"/>
                <w:highlight w:val="none"/>
                <w:lang w:val="en-US" w:eastAsia="zh-CN"/>
              </w:rPr>
              <w:t>危险废物处置单位情况分析</w:t>
            </w:r>
          </w:p>
          <w:p>
            <w:pPr>
              <w:pStyle w:val="11"/>
              <w:keepNext/>
              <w:pageBreakBefore w:val="0"/>
              <w:widowControl w:val="0"/>
              <w:kinsoku/>
              <w:wordWrap/>
              <w:topLinePunct w:val="0"/>
              <w:autoSpaceDE/>
              <w:autoSpaceDN/>
              <w:bidi w:val="0"/>
              <w:adjustRightInd/>
              <w:spacing w:line="360" w:lineRule="auto"/>
              <w:ind w:firstLine="482"/>
              <w:jc w:val="both"/>
              <w:textAlignment w:val="auto"/>
              <w:rPr>
                <w:rFonts w:hint="default" w:ascii="Times New Roman" w:hAnsi="Times New Roman" w:eastAsia="宋体" w:cs="Times New Roman"/>
                <w:b w:val="0"/>
                <w:color w:val="auto"/>
                <w:sz w:val="24"/>
                <w:szCs w:val="24"/>
                <w:highlight w:val="none"/>
                <w:lang w:val="en-US" w:eastAsia="zh-CN"/>
              </w:rPr>
            </w:pPr>
            <w:r>
              <w:rPr>
                <w:rFonts w:hint="default" w:ascii="Times New Roman" w:hAnsi="Times New Roman" w:eastAsia="宋体" w:cs="Times New Roman"/>
                <w:b w:val="0"/>
                <w:color w:val="auto"/>
                <w:sz w:val="24"/>
                <w:szCs w:val="24"/>
                <w:highlight w:val="none"/>
                <w:lang w:val="en-US" w:eastAsia="zh-CN"/>
              </w:rPr>
              <w:t>项目签署协议的</w:t>
            </w:r>
            <w:r>
              <w:rPr>
                <w:rFonts w:hint="eastAsia" w:cs="Times New Roman"/>
                <w:b w:val="0"/>
                <w:color w:val="auto"/>
                <w:sz w:val="24"/>
                <w:szCs w:val="24"/>
                <w:highlight w:val="none"/>
                <w:lang w:val="en-US" w:eastAsia="zh-CN"/>
              </w:rPr>
              <w:t>秦皇岛徐山口危险废物处理有限公司</w:t>
            </w:r>
            <w:r>
              <w:rPr>
                <w:rFonts w:hint="default" w:ascii="Times New Roman" w:hAnsi="Times New Roman" w:eastAsia="宋体" w:cs="Times New Roman"/>
                <w:b w:val="0"/>
                <w:color w:val="auto"/>
                <w:sz w:val="24"/>
                <w:szCs w:val="24"/>
                <w:highlight w:val="none"/>
                <w:lang w:val="en-US" w:eastAsia="zh-CN"/>
              </w:rPr>
              <w:t>应获得由河北省环境保护厅颁发的河北省危险废物经营许可证，具有危险废物处置资格，同时应具有处理 HW</w:t>
            </w:r>
            <w:r>
              <w:rPr>
                <w:rFonts w:hint="eastAsia" w:ascii="Times New Roman" w:hAnsi="Times New Roman" w:eastAsia="宋体" w:cs="Times New Roman"/>
                <w:b w:val="0"/>
                <w:color w:val="auto"/>
                <w:sz w:val="24"/>
                <w:szCs w:val="24"/>
                <w:highlight w:val="none"/>
                <w:lang w:val="en-US" w:eastAsia="zh-CN"/>
              </w:rPr>
              <w:t>49其他废物（</w:t>
            </w:r>
            <w:r>
              <w:rPr>
                <w:rFonts w:hint="default" w:ascii="Times New Roman" w:hAnsi="Times New Roman" w:eastAsia="宋体" w:cs="Times New Roman"/>
                <w:b w:val="0"/>
                <w:color w:val="auto"/>
                <w:sz w:val="24"/>
                <w:szCs w:val="24"/>
                <w:highlight w:val="none"/>
                <w:lang w:val="en-US" w:eastAsia="zh-CN"/>
              </w:rPr>
              <w:t>900-039-49</w:t>
            </w:r>
            <w:r>
              <w:rPr>
                <w:rFonts w:hint="eastAsia" w:ascii="Times New Roman" w:hAnsi="Times New Roman" w:eastAsia="宋体" w:cs="Times New Roman"/>
                <w:b w:val="0"/>
                <w:color w:val="auto"/>
                <w:sz w:val="24"/>
                <w:szCs w:val="24"/>
                <w:highlight w:val="none"/>
                <w:lang w:val="en-US" w:eastAsia="zh-CN"/>
              </w:rPr>
              <w:t>、</w:t>
            </w:r>
            <w:r>
              <w:rPr>
                <w:rFonts w:hint="default" w:ascii="Times New Roman" w:hAnsi="Times New Roman" w:eastAsia="宋体" w:cs="Times New Roman"/>
                <w:b w:val="0"/>
                <w:color w:val="auto"/>
                <w:sz w:val="24"/>
                <w:szCs w:val="24"/>
                <w:highlight w:val="none"/>
                <w:lang w:val="en-US" w:eastAsia="zh-CN"/>
              </w:rPr>
              <w:t>900-04</w:t>
            </w:r>
            <w:r>
              <w:rPr>
                <w:rFonts w:hint="eastAsia" w:ascii="Times New Roman" w:hAnsi="Times New Roman" w:eastAsia="宋体" w:cs="Times New Roman"/>
                <w:b w:val="0"/>
                <w:color w:val="auto"/>
                <w:sz w:val="24"/>
                <w:szCs w:val="24"/>
                <w:highlight w:val="none"/>
                <w:lang w:val="en-US" w:eastAsia="zh-CN"/>
              </w:rPr>
              <w:t>1</w:t>
            </w:r>
            <w:r>
              <w:rPr>
                <w:rFonts w:hint="default" w:ascii="Times New Roman" w:hAnsi="Times New Roman" w:eastAsia="宋体" w:cs="Times New Roman"/>
                <w:b w:val="0"/>
                <w:color w:val="auto"/>
                <w:sz w:val="24"/>
                <w:szCs w:val="24"/>
                <w:highlight w:val="none"/>
                <w:lang w:val="en-US" w:eastAsia="zh-CN"/>
              </w:rPr>
              <w:t>-49</w:t>
            </w:r>
            <w:r>
              <w:rPr>
                <w:rFonts w:hint="eastAsia" w:ascii="Times New Roman" w:hAnsi="Times New Roman" w:eastAsia="宋体" w:cs="Times New Roman"/>
                <w:b w:val="0"/>
                <w:color w:val="auto"/>
                <w:sz w:val="24"/>
                <w:szCs w:val="24"/>
                <w:highlight w:val="none"/>
                <w:lang w:val="en-US" w:eastAsia="zh-CN"/>
              </w:rPr>
              <w:t>）</w:t>
            </w:r>
            <w:r>
              <w:rPr>
                <w:rFonts w:hint="default" w:ascii="Times New Roman" w:hAnsi="Times New Roman" w:eastAsia="宋体" w:cs="Times New Roman"/>
                <w:b w:val="0"/>
                <w:color w:val="auto"/>
                <w:sz w:val="24"/>
                <w:szCs w:val="24"/>
                <w:highlight w:val="none"/>
                <w:lang w:val="en-US" w:eastAsia="zh-CN"/>
              </w:rPr>
              <w:t>的资格，且处理能力能够达到要求。项目与上述符合要求的危险废物处置单位签署处置协议后，项目危险废物可以得到合理处置</w:t>
            </w:r>
            <w:r>
              <w:rPr>
                <w:rFonts w:hint="eastAsia" w:cs="Times New Roman"/>
                <w:b w:val="0"/>
                <w:color w:val="auto"/>
                <w:sz w:val="24"/>
                <w:szCs w:val="24"/>
                <w:highlight w:val="none"/>
                <w:lang w:val="en-US" w:eastAsia="zh-CN"/>
              </w:rPr>
              <w:t>。</w:t>
            </w:r>
          </w:p>
          <w:p>
            <w:pPr>
              <w:pStyle w:val="11"/>
              <w:bidi w:val="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4.</w:t>
            </w:r>
            <w:r>
              <w:rPr>
                <w:rFonts w:hint="eastAsia" w:cs="Times New Roman"/>
                <w:color w:val="auto"/>
                <w:highlight w:val="none"/>
                <w:lang w:val="en-US" w:eastAsia="zh-CN"/>
              </w:rPr>
              <w:t>3</w:t>
            </w:r>
            <w:r>
              <w:rPr>
                <w:rFonts w:hint="default" w:ascii="Times New Roman" w:hAnsi="Times New Roman" w:cs="Times New Roman"/>
                <w:color w:val="auto"/>
                <w:highlight w:val="none"/>
                <w:lang w:val="en-US" w:eastAsia="zh-CN"/>
              </w:rPr>
              <w:t xml:space="preserve"> 可行性分析</w:t>
            </w:r>
          </w:p>
          <w:p>
            <w:pPr>
              <w:pStyle w:val="50"/>
              <w:bidi w:val="0"/>
              <w:rPr>
                <w:rFonts w:hint="default" w:ascii="Times New Roman" w:hAnsi="Times New Roman" w:cs="Times New Roman"/>
                <w:color w:val="auto"/>
                <w:highlight w:val="none"/>
              </w:rPr>
            </w:pPr>
            <w:r>
              <w:rPr>
                <w:rFonts w:hint="eastAsia" w:ascii="Times New Roman" w:hAnsi="Times New Roman" w:cs="Times New Roman"/>
                <w:color w:val="auto"/>
                <w:highlight w:val="none"/>
                <w:lang w:val="en-US" w:eastAsia="zh-CN"/>
              </w:rPr>
              <w:t>现有危废间已于2021年6月21日完成验收，参照</w:t>
            </w:r>
            <w:r>
              <w:rPr>
                <w:rFonts w:hint="default" w:ascii="Times New Roman" w:hAnsi="Times New Roman" w:cs="Times New Roman"/>
                <w:color w:val="auto"/>
                <w:highlight w:val="none"/>
              </w:rPr>
              <w:t>《危险废物贮存污染控制标准》（GB18597-20</w:t>
            </w:r>
            <w:r>
              <w:rPr>
                <w:rFonts w:hint="eastAsia" w:ascii="Times New Roman" w:hAnsi="Times New Roman" w:cs="Times New Roman"/>
                <w:color w:val="auto"/>
                <w:highlight w:val="none"/>
                <w:lang w:val="en-US" w:eastAsia="zh-CN"/>
              </w:rPr>
              <w:t>23</w:t>
            </w:r>
            <w:r>
              <w:rPr>
                <w:rFonts w:hint="default" w:ascii="Times New Roman" w:hAnsi="Times New Roman" w:cs="Times New Roman"/>
                <w:color w:val="auto"/>
                <w:highlight w:val="none"/>
              </w:rPr>
              <w:t>）对危险废物贮存设施的选址提出要求对比表如下：</w:t>
            </w:r>
          </w:p>
          <w:p>
            <w:pPr>
              <w:pStyle w:val="51"/>
              <w:bidi w:val="0"/>
              <w:ind w:firstLine="0"/>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表4-1</w:t>
            </w:r>
            <w:r>
              <w:rPr>
                <w:rFonts w:hint="eastAsia" w:cs="Times New Roman"/>
                <w:color w:val="auto"/>
                <w:highlight w:val="none"/>
                <w:lang w:val="en-US" w:eastAsia="zh-CN"/>
              </w:rPr>
              <w:t>0</w:t>
            </w:r>
            <w:r>
              <w:rPr>
                <w:rFonts w:hint="default" w:ascii="Times New Roman" w:hAnsi="Times New Roman" w:eastAsia="宋体" w:cs="Times New Roman"/>
                <w:color w:val="auto"/>
                <w:highlight w:val="none"/>
              </w:rPr>
              <w:t xml:space="preserve">   危险废物贮存选址分析一览表</w:t>
            </w:r>
          </w:p>
          <w:tbl>
            <w:tblPr>
              <w:tblStyle w:val="3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61"/>
              <w:gridCol w:w="4347"/>
              <w:gridCol w:w="359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73" w:type="dxa"/>
                  <w:noWrap w:val="0"/>
                  <w:vAlign w:val="center"/>
                </w:tcPr>
                <w:p>
                  <w:pPr>
                    <w:pStyle w:val="111"/>
                    <w:bidi w:val="0"/>
                    <w:ind w:firstLine="0"/>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序号</w:t>
                  </w:r>
                </w:p>
              </w:tc>
              <w:tc>
                <w:tcPr>
                  <w:tcW w:w="4464" w:type="dxa"/>
                  <w:noWrap w:val="0"/>
                  <w:vAlign w:val="center"/>
                </w:tcPr>
                <w:p>
                  <w:pPr>
                    <w:pStyle w:val="111"/>
                    <w:bidi w:val="0"/>
                    <w:ind w:firstLine="0"/>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危险废物贮存污染控制标准</w:t>
                  </w:r>
                </w:p>
                <w:p>
                  <w:pPr>
                    <w:pStyle w:val="111"/>
                    <w:bidi w:val="0"/>
                    <w:ind w:firstLine="0"/>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（GB18597-20</w:t>
                  </w:r>
                  <w:r>
                    <w:rPr>
                      <w:rFonts w:hint="eastAsia" w:ascii="Times New Roman" w:hAnsi="Times New Roman" w:eastAsia="宋体" w:cs="Times New Roman"/>
                      <w:color w:val="auto"/>
                      <w:highlight w:val="none"/>
                      <w:lang w:val="en-US" w:eastAsia="zh-CN"/>
                    </w:rPr>
                    <w:t>23</w:t>
                  </w:r>
                  <w:r>
                    <w:rPr>
                      <w:rFonts w:hint="default" w:ascii="Times New Roman" w:hAnsi="Times New Roman" w:eastAsia="宋体" w:cs="Times New Roman"/>
                      <w:color w:val="auto"/>
                      <w:highlight w:val="none"/>
                      <w:lang w:val="en-US" w:eastAsia="zh-CN"/>
                    </w:rPr>
                    <w:t>）</w:t>
                  </w:r>
                </w:p>
              </w:tc>
              <w:tc>
                <w:tcPr>
                  <w:tcW w:w="3691" w:type="dxa"/>
                  <w:noWrap w:val="0"/>
                  <w:vAlign w:val="center"/>
                </w:tcPr>
                <w:p>
                  <w:pPr>
                    <w:pStyle w:val="111"/>
                    <w:bidi w:val="0"/>
                    <w:ind w:firstLine="0"/>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项目危险废物暂存间情况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73" w:type="dxa"/>
                  <w:noWrap w:val="0"/>
                  <w:vAlign w:val="center"/>
                </w:tcPr>
                <w:p>
                  <w:pPr>
                    <w:pStyle w:val="111"/>
                    <w:bidi w:val="0"/>
                    <w:ind w:firstLine="0"/>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1</w:t>
                  </w:r>
                </w:p>
              </w:tc>
              <w:tc>
                <w:tcPr>
                  <w:tcW w:w="4464" w:type="dxa"/>
                  <w:noWrap w:val="0"/>
                  <w:vAlign w:val="center"/>
                </w:tcPr>
                <w:p>
                  <w:pPr>
                    <w:pStyle w:val="111"/>
                    <w:bidi w:val="0"/>
                    <w:ind w:firstLine="0"/>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贮存设施选址应满足生态环境保护法律法规、规划和“三线一单”生态环境分区管控的要求，建设项目应依法进行环境影响评价</w:t>
                  </w:r>
                  <w:r>
                    <w:rPr>
                      <w:rFonts w:hint="default" w:ascii="Times New Roman" w:hAnsi="Times New Roman" w:eastAsia="宋体" w:cs="Times New Roman"/>
                      <w:color w:val="auto"/>
                      <w:highlight w:val="none"/>
                      <w:lang w:val="en-US" w:eastAsia="zh-CN"/>
                    </w:rPr>
                    <w:t>。</w:t>
                  </w:r>
                </w:p>
              </w:tc>
              <w:tc>
                <w:tcPr>
                  <w:tcW w:w="3691" w:type="dxa"/>
                  <w:noWrap w:val="0"/>
                  <w:vAlign w:val="center"/>
                </w:tcPr>
                <w:p>
                  <w:pPr>
                    <w:pStyle w:val="111"/>
                    <w:bidi w:val="0"/>
                    <w:ind w:firstLine="0"/>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满足相关要求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73" w:type="dxa"/>
                  <w:noWrap w:val="0"/>
                  <w:vAlign w:val="center"/>
                </w:tcPr>
                <w:p>
                  <w:pPr>
                    <w:pStyle w:val="111"/>
                    <w:bidi w:val="0"/>
                    <w:ind w:firstLine="0"/>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2</w:t>
                  </w:r>
                </w:p>
              </w:tc>
              <w:tc>
                <w:tcPr>
                  <w:tcW w:w="4464" w:type="dxa"/>
                  <w:noWrap w:val="0"/>
                  <w:vAlign w:val="center"/>
                </w:tcPr>
                <w:p>
                  <w:pPr>
                    <w:pStyle w:val="111"/>
                    <w:bidi w:val="0"/>
                    <w:ind w:firstLine="0"/>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不应选在生态环境保护红线区域、永久基本农田和其他需要特别保护的区域内，不应建在溶洞区或易遭受洪水、滑坡、泥石流、潮汐等严重自然灾害影响的地区</w:t>
                  </w:r>
                  <w:r>
                    <w:rPr>
                      <w:rFonts w:hint="default" w:ascii="Times New Roman" w:hAnsi="Times New Roman" w:eastAsia="宋体" w:cs="Times New Roman"/>
                      <w:color w:val="auto"/>
                      <w:highlight w:val="none"/>
                      <w:lang w:val="en-US" w:eastAsia="zh-CN"/>
                    </w:rPr>
                    <w:t>。</w:t>
                  </w:r>
                </w:p>
              </w:tc>
              <w:tc>
                <w:tcPr>
                  <w:tcW w:w="3691" w:type="dxa"/>
                  <w:noWrap w:val="0"/>
                  <w:vAlign w:val="center"/>
                </w:tcPr>
                <w:p>
                  <w:pPr>
                    <w:pStyle w:val="111"/>
                    <w:bidi w:val="0"/>
                    <w:ind w:firstLine="0"/>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在生产厂房内建设危废间，不涉及提及区域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73" w:type="dxa"/>
                  <w:noWrap w:val="0"/>
                  <w:vAlign w:val="center"/>
                </w:tcPr>
                <w:p>
                  <w:pPr>
                    <w:pStyle w:val="111"/>
                    <w:bidi w:val="0"/>
                    <w:ind w:firstLine="0"/>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3</w:t>
                  </w:r>
                </w:p>
              </w:tc>
              <w:tc>
                <w:tcPr>
                  <w:tcW w:w="4464" w:type="dxa"/>
                  <w:noWrap w:val="0"/>
                  <w:vAlign w:val="center"/>
                </w:tcPr>
                <w:p>
                  <w:pPr>
                    <w:pStyle w:val="111"/>
                    <w:bidi w:val="0"/>
                    <w:ind w:firstLine="0"/>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不应选在江河、湖泊、运河、渠道、水库及其最高水位线以下的滩地和岸坡，以及法律法规规定禁止贮存危险废物的其他地点</w:t>
                  </w:r>
                  <w:r>
                    <w:rPr>
                      <w:rFonts w:hint="default" w:ascii="Times New Roman" w:hAnsi="Times New Roman" w:eastAsia="宋体" w:cs="Times New Roman"/>
                      <w:color w:val="auto"/>
                      <w:highlight w:val="none"/>
                      <w:lang w:val="en-US" w:eastAsia="zh-CN"/>
                    </w:rPr>
                    <w:t>。</w:t>
                  </w:r>
                </w:p>
              </w:tc>
              <w:tc>
                <w:tcPr>
                  <w:tcW w:w="3691" w:type="dxa"/>
                  <w:noWrap w:val="0"/>
                  <w:vAlign w:val="center"/>
                </w:tcPr>
                <w:p>
                  <w:pPr>
                    <w:pStyle w:val="111"/>
                    <w:bidi w:val="0"/>
                    <w:ind w:firstLine="0"/>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不涉及提及区域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73" w:type="dxa"/>
                  <w:noWrap w:val="0"/>
                  <w:vAlign w:val="center"/>
                </w:tcPr>
                <w:p>
                  <w:pPr>
                    <w:pStyle w:val="111"/>
                    <w:bidi w:val="0"/>
                    <w:ind w:firstLine="0"/>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4</w:t>
                  </w:r>
                </w:p>
              </w:tc>
              <w:tc>
                <w:tcPr>
                  <w:tcW w:w="4464" w:type="dxa"/>
                  <w:noWrap w:val="0"/>
                  <w:vAlign w:val="center"/>
                </w:tcPr>
                <w:p>
                  <w:pPr>
                    <w:pStyle w:val="111"/>
                    <w:bidi w:val="0"/>
                    <w:ind w:firstLine="0"/>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依据环境影响评价文件确定</w:t>
                  </w:r>
                  <w:r>
                    <w:rPr>
                      <w:rFonts w:hint="default" w:ascii="Times New Roman" w:hAnsi="Times New Roman" w:eastAsia="宋体" w:cs="Times New Roman"/>
                      <w:color w:val="auto"/>
                      <w:highlight w:val="none"/>
                      <w:lang w:val="en-US" w:eastAsia="zh-CN"/>
                    </w:rPr>
                    <w:t>。</w:t>
                  </w:r>
                </w:p>
              </w:tc>
              <w:tc>
                <w:tcPr>
                  <w:tcW w:w="3691" w:type="dxa"/>
                  <w:noWrap w:val="0"/>
                  <w:vAlign w:val="center"/>
                </w:tcPr>
                <w:p>
                  <w:pPr>
                    <w:pStyle w:val="111"/>
                    <w:bidi w:val="0"/>
                    <w:ind w:firstLine="0"/>
                    <w:rPr>
                      <w:rFonts w:hint="default" w:ascii="Times New Roman" w:hAnsi="Times New Roman" w:eastAsia="宋体" w:cs="Times New Roman"/>
                      <w:color w:val="auto"/>
                      <w:highlight w:val="none"/>
                      <w:lang w:val="en-US" w:eastAsia="zh-CN"/>
                    </w:rPr>
                  </w:pPr>
                  <w:r>
                    <w:rPr>
                      <w:rFonts w:hint="eastAsia" w:ascii="Times New Roman" w:hAnsi="Times New Roman" w:cs="Times New Roman"/>
                      <w:color w:val="auto"/>
                      <w:highlight w:val="none"/>
                      <w:lang w:val="en-US" w:eastAsia="zh-CN"/>
                    </w:rPr>
                    <w:t>已完成验收，符合要求</w:t>
                  </w:r>
                </w:p>
              </w:tc>
            </w:tr>
          </w:tbl>
          <w:p>
            <w:pPr>
              <w:pStyle w:val="50"/>
              <w:bidi w:val="0"/>
              <w:ind w:left="0" w:leftChars="0" w:firstLine="0" w:firstLineChars="0"/>
              <w:rPr>
                <w:rFonts w:hint="default" w:ascii="Times New Roman" w:hAnsi="Times New Roman" w:eastAsia="宋体" w:cs="Times New Roman"/>
                <w:color w:val="auto"/>
                <w:highlight w:val="none"/>
                <w:lang w:val="en-US" w:eastAsia="zh-CN"/>
              </w:rPr>
            </w:pPr>
            <w:r>
              <w:rPr>
                <w:rFonts w:hint="eastAsia" w:ascii="Times New Roman" w:hAnsi="Times New Roman" w:cs="Times New Roman"/>
                <w:color w:val="auto"/>
                <w:highlight w:val="none"/>
                <w:lang w:val="en-US" w:eastAsia="zh-CN"/>
              </w:rPr>
              <w:t>由上表可知本项目符合最新环保要求，本项目产生的危废利旧进行暂存措施可行。</w:t>
            </w:r>
          </w:p>
          <w:p>
            <w:pPr>
              <w:pStyle w:val="50"/>
              <w:bidi w:val="0"/>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本项目现有危险废物种类为废机油、废润滑油、废矿物油及废油桶0.06t/a。分类贮存在现有10m</w:t>
            </w:r>
            <w:r>
              <w:rPr>
                <w:rFonts w:hint="eastAsia" w:ascii="Times New Roman" w:hAnsi="Times New Roman" w:cs="Times New Roman"/>
                <w:color w:val="auto"/>
                <w:highlight w:val="none"/>
                <w:vertAlign w:val="superscript"/>
                <w:lang w:val="en-US" w:eastAsia="zh-CN"/>
              </w:rPr>
              <w:t>2</w:t>
            </w:r>
            <w:r>
              <w:rPr>
                <w:rFonts w:hint="eastAsia" w:ascii="Times New Roman" w:hAnsi="Times New Roman" w:cs="Times New Roman"/>
                <w:color w:val="auto"/>
                <w:highlight w:val="none"/>
                <w:lang w:val="en-US" w:eastAsia="zh-CN"/>
              </w:rPr>
              <w:t>危废暂存间内。油类均装在油桶内，油桶容积约为170kg，危险废物每年处置1次。</w:t>
            </w:r>
          </w:p>
          <w:p>
            <w:pPr>
              <w:pStyle w:val="50"/>
              <w:bidi w:val="0"/>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本次技改新增废机油、废润滑油、废矿物油及废油桶0.01t/a，与现有理化性质相同，可依托现有暂存容器进行存放，现有容器可满足使用。</w:t>
            </w:r>
          </w:p>
          <w:p>
            <w:pPr>
              <w:pStyle w:val="50"/>
              <w:bidi w:val="0"/>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本次技改新增危险废物种类为废油漆桶0.06t/a、废稀释剂桶0.01t/a、废活性炭9t/a、废过滤棉1t/a、漆渣0.13t/a，根据现场踏勘，现有危险废物暂存间面积利用率约为50%，本次新增危险废物可在未利用面积处进行暂存。</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default" w:ascii="Times New Roman" w:hAnsi="Times New Roman" w:cs="Times New Roman"/>
                <w:color w:val="auto"/>
                <w:highlight w:val="none"/>
                <w:lang w:val="en-US" w:eastAsia="zh-CN"/>
              </w:rPr>
            </w:pPr>
            <w:r>
              <w:rPr>
                <w:rFonts w:hint="default" w:ascii="Times New Roman" w:hAnsi="Times New Roman" w:eastAsia="宋体" w:cs="Times New Roman"/>
                <w:b w:val="0"/>
                <w:bCs w:val="0"/>
                <w:color w:val="auto"/>
                <w:sz w:val="24"/>
                <w:szCs w:val="24"/>
                <w:highlight w:val="none"/>
                <w:lang w:val="en-US" w:eastAsia="zh-CN"/>
              </w:rPr>
              <w:t>综上所述，只要企业在项目建成后落实上述固废处理措施，做到及时清运，则固废不会对环境造成较大影响。项目所有固体废物均得到了合理处置，对周围环境影响较小。</w:t>
            </w:r>
          </w:p>
          <w:p>
            <w:pPr>
              <w:pStyle w:val="10"/>
              <w:bidi w:val="0"/>
              <w:rPr>
                <w:rFonts w:hint="default" w:ascii="Times New Roman" w:hAnsi="Times New Roman" w:cs="Times New Roman"/>
                <w:color w:val="auto"/>
                <w:sz w:val="24"/>
                <w:szCs w:val="28"/>
                <w:highlight w:val="none"/>
              </w:rPr>
            </w:pPr>
            <w:r>
              <w:rPr>
                <w:rFonts w:hint="default" w:ascii="Times New Roman" w:hAnsi="Times New Roman" w:cs="Times New Roman"/>
                <w:color w:val="auto"/>
                <w:sz w:val="24"/>
                <w:szCs w:val="28"/>
                <w:highlight w:val="none"/>
              </w:rPr>
              <w:t>5</w:t>
            </w:r>
            <w:r>
              <w:rPr>
                <w:rFonts w:hint="eastAsia" w:cs="Times New Roman"/>
                <w:color w:val="auto"/>
                <w:sz w:val="24"/>
                <w:szCs w:val="28"/>
                <w:highlight w:val="none"/>
                <w:lang w:eastAsia="zh-CN"/>
              </w:rPr>
              <w:t>、</w:t>
            </w:r>
            <w:r>
              <w:rPr>
                <w:rFonts w:hint="default" w:ascii="Times New Roman" w:hAnsi="Times New Roman" w:cs="Times New Roman"/>
                <w:color w:val="auto"/>
                <w:sz w:val="24"/>
                <w:szCs w:val="28"/>
                <w:highlight w:val="none"/>
              </w:rPr>
              <w:t>土壤、地下水环境影响分析</w:t>
            </w:r>
          </w:p>
          <w:p>
            <w:pPr>
              <w:spacing w:line="360" w:lineRule="auto"/>
              <w:ind w:firstLine="480" w:firstLineChars="200"/>
              <w:rPr>
                <w:color w:val="auto"/>
                <w:highlight w:val="none"/>
              </w:rPr>
            </w:pPr>
            <w:r>
              <w:rPr>
                <w:rFonts w:hint="default" w:ascii="Times New Roman" w:hAnsi="Times New Roman" w:eastAsia="宋体" w:cs="Times New Roman"/>
                <w:color w:val="auto"/>
                <w:highlight w:val="none"/>
              </w:rPr>
              <w:t>本项目车间内均已采用水泥硬化，使地面可以达到简单防渗的要求。在设备维修保养时应设置防渗钢板托盘，危险废物暂存间内部按照相关要求</w:t>
            </w:r>
            <w:r>
              <w:rPr>
                <w:rFonts w:hint="eastAsia" w:eastAsia="宋体" w:cs="Times New Roman"/>
                <w:color w:val="auto"/>
                <w:highlight w:val="none"/>
                <w:lang w:val="en-US" w:eastAsia="zh-CN"/>
              </w:rPr>
              <w:t>已</w:t>
            </w:r>
            <w:r>
              <w:rPr>
                <w:rFonts w:hint="default" w:ascii="Times New Roman" w:hAnsi="Times New Roman" w:eastAsia="宋体" w:cs="Times New Roman"/>
                <w:color w:val="auto"/>
                <w:highlight w:val="none"/>
              </w:rPr>
              <w:t>做好防渗防漏措施</w:t>
            </w:r>
            <w:r>
              <w:rPr>
                <w:rFonts w:hint="eastAsia" w:eastAsia="宋体" w:cs="Times New Roman"/>
                <w:color w:val="auto"/>
                <w:highlight w:val="none"/>
                <w:lang w:eastAsia="zh-CN"/>
              </w:rPr>
              <w:t>，</w:t>
            </w:r>
            <w:r>
              <w:rPr>
                <w:rFonts w:hint="eastAsia" w:eastAsia="宋体" w:cs="Times New Roman"/>
                <w:color w:val="auto"/>
                <w:highlight w:val="none"/>
                <w:lang w:val="en-US" w:eastAsia="zh-CN"/>
              </w:rPr>
              <w:t>并通过环保验收</w:t>
            </w:r>
            <w:r>
              <w:rPr>
                <w:rFonts w:hint="default" w:ascii="Times New Roman" w:hAnsi="Times New Roman" w:eastAsia="宋体" w:cs="Times New Roman"/>
                <w:color w:val="auto"/>
                <w:highlight w:val="none"/>
              </w:rPr>
              <w:t>。本项目对土壤、地下水环境的影响在可接受范围内</w:t>
            </w:r>
            <w:r>
              <w:rPr>
                <w:color w:val="auto"/>
                <w:highlight w:val="none"/>
              </w:rPr>
              <w:t>。</w:t>
            </w:r>
          </w:p>
          <w:p>
            <w:pPr>
              <w:pStyle w:val="2"/>
              <w:ind w:left="0" w:leftChars="0" w:firstLine="0" w:firstLineChars="0"/>
              <w:jc w:val="center"/>
              <w:rPr>
                <w:rFonts w:hint="eastAsia" w:eastAsia="宋体"/>
                <w:color w:val="auto"/>
                <w:highlight w:val="none"/>
                <w:lang w:eastAsia="zh-CN"/>
              </w:rPr>
            </w:pPr>
            <w:r>
              <w:rPr>
                <w:color w:val="auto"/>
                <w:sz w:val="24"/>
                <w:highlight w:val="none"/>
              </w:rPr>
              <mc:AlternateContent>
                <mc:Choice Requires="wps">
                  <w:drawing>
                    <wp:anchor distT="0" distB="0" distL="114300" distR="114300" simplePos="0" relativeHeight="251667456" behindDoc="0" locked="0" layoutInCell="1" allowOverlap="1">
                      <wp:simplePos x="0" y="0"/>
                      <wp:positionH relativeFrom="column">
                        <wp:posOffset>3062605</wp:posOffset>
                      </wp:positionH>
                      <wp:positionV relativeFrom="paragraph">
                        <wp:posOffset>1433195</wp:posOffset>
                      </wp:positionV>
                      <wp:extent cx="589280" cy="501650"/>
                      <wp:effectExtent l="0" t="0" r="1270" b="12700"/>
                      <wp:wrapNone/>
                      <wp:docPr id="19" name="文本框 19"/>
                      <wp:cNvGraphicFramePr/>
                      <a:graphic xmlns:a="http://schemas.openxmlformats.org/drawingml/2006/main">
                        <a:graphicData uri="http://schemas.microsoft.com/office/word/2010/wordprocessingShape">
                          <wps:wsp>
                            <wps:cNvSpPr txBox="1"/>
                            <wps:spPr>
                              <a:xfrm>
                                <a:off x="4441825" y="8231505"/>
                                <a:ext cx="589280" cy="50165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eastAsia="宋体"/>
                                      <w:sz w:val="20"/>
                                      <w:szCs w:val="20"/>
                                      <w:lang w:val="en-US" w:eastAsia="zh-CN"/>
                                    </w:rPr>
                                  </w:pPr>
                                  <w:r>
                                    <w:rPr>
                                      <w:rFonts w:hint="eastAsia"/>
                                      <w:sz w:val="20"/>
                                      <w:szCs w:val="20"/>
                                      <w:lang w:val="en-US" w:eastAsia="zh-CN"/>
                                    </w:rPr>
                                    <w:t>危废暂存间</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41.15pt;margin-top:112.85pt;height:39.5pt;width:46.4pt;z-index:251667456;mso-width-relative:page;mso-height-relative:page;" filled="f" stroked="f" coordsize="21600,21600" o:gfxdata="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">
                      <v:fill on="f" focussize="0,0"/>
                      <v:stroke on="f" weight="0.5pt"/>
                      <v:imagedata o:title=""/>
                      <o:lock v:ext="edit" aspectratio="f"/>
                      <v:textbox>
                        <w:txbxContent>
                          <w:p>
                            <w:pPr>
                              <w:rPr>
                                <w:rFonts w:hint="eastAsia" w:eastAsia="宋体"/>
                                <w:sz w:val="20"/>
                                <w:szCs w:val="20"/>
                                <w:lang w:val="en-US" w:eastAsia="zh-CN"/>
                              </w:rPr>
                            </w:pPr>
                            <w:r>
                              <w:rPr>
                                <w:rFonts w:hint="eastAsia"/>
                                <w:sz w:val="20"/>
                                <w:szCs w:val="20"/>
                                <w:lang w:val="en-US" w:eastAsia="zh-CN"/>
                              </w:rPr>
                              <w:t>危废暂存间</w:t>
                            </w:r>
                          </w:p>
                        </w:txbxContent>
                      </v:textbox>
                    </v:shape>
                  </w:pict>
                </mc:Fallback>
              </mc:AlternateContent>
            </w:r>
            <w:r>
              <w:rPr>
                <w:color w:val="auto"/>
                <w:sz w:val="24"/>
                <w:highlight w:val="none"/>
              </w:rPr>
              <mc:AlternateContent>
                <mc:Choice Requires="wps">
                  <w:drawing>
                    <wp:anchor distT="0" distB="0" distL="114300" distR="114300" simplePos="0" relativeHeight="251665408" behindDoc="0" locked="0" layoutInCell="1" allowOverlap="1">
                      <wp:simplePos x="0" y="0"/>
                      <wp:positionH relativeFrom="column">
                        <wp:posOffset>3876675</wp:posOffset>
                      </wp:positionH>
                      <wp:positionV relativeFrom="paragraph">
                        <wp:posOffset>1442085</wp:posOffset>
                      </wp:positionV>
                      <wp:extent cx="233680" cy="389255"/>
                      <wp:effectExtent l="12700" t="12700" r="20320" b="17145"/>
                      <wp:wrapNone/>
                      <wp:docPr id="17" name="矩形 17"/>
                      <wp:cNvGraphicFramePr/>
                      <a:graphic xmlns:a="http://schemas.openxmlformats.org/drawingml/2006/main">
                        <a:graphicData uri="http://schemas.microsoft.com/office/word/2010/wordprocessingShape">
                          <wps:wsp>
                            <wps:cNvSpPr/>
                            <wps:spPr>
                              <a:xfrm>
                                <a:off x="5134610" y="8136255"/>
                                <a:ext cx="233680" cy="389255"/>
                              </a:xfrm>
                              <a:prstGeom prst="rect">
                                <a:avLst/>
                              </a:prstGeom>
                              <a:solidFill>
                                <a:srgbClr val="FFFF00"/>
                              </a:solidFill>
                              <a:ln>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305.25pt;margin-top:113.55pt;height:30.65pt;width:18.4pt;z-index:251665408;v-text-anchor:middle;mso-width-relative:page;mso-height-relative:page;" fillcolor="#FFFF00" filled="t" stroked="t" coordsize="21600,21600" o:gfxdata="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">
                      <v:fill on="t" focussize="0,0"/>
                      <v:stroke weight="2pt" color="#FFFF00 [3204]" joinstyle="round"/>
                      <v:imagedata o:title=""/>
                      <o:lock v:ext="edit" aspectratio="f"/>
                    </v:rect>
                  </w:pict>
                </mc:Fallback>
              </mc:AlternateContent>
            </w:r>
            <w:r>
              <w:rPr>
                <w:color w:val="auto"/>
                <w:sz w:val="24"/>
                <w:highlight w:val="none"/>
              </w:rPr>
              <mc:AlternateContent>
                <mc:Choice Requires="wps">
                  <w:drawing>
                    <wp:anchor distT="0" distB="0" distL="114300" distR="114300" simplePos="0" relativeHeight="251666432" behindDoc="0" locked="0" layoutInCell="1" allowOverlap="1">
                      <wp:simplePos x="0" y="0"/>
                      <wp:positionH relativeFrom="column">
                        <wp:posOffset>3660140</wp:posOffset>
                      </wp:positionH>
                      <wp:positionV relativeFrom="paragraph">
                        <wp:posOffset>1637030</wp:posOffset>
                      </wp:positionV>
                      <wp:extent cx="216535" cy="12700"/>
                      <wp:effectExtent l="0" t="41275" r="12065" b="60325"/>
                      <wp:wrapNone/>
                      <wp:docPr id="18" name="直接箭头连接符 18"/>
                      <wp:cNvGraphicFramePr/>
                      <a:graphic xmlns:a="http://schemas.openxmlformats.org/drawingml/2006/main">
                        <a:graphicData uri="http://schemas.microsoft.com/office/word/2010/wordprocessingShape">
                          <wps:wsp>
                            <wps:cNvCnPr>
                              <a:stCxn id="17" idx="1"/>
                            </wps:cNvCnPr>
                            <wps:spPr>
                              <a:xfrm flipH="1">
                                <a:off x="4918075" y="8331200"/>
                                <a:ext cx="216535" cy="12700"/>
                              </a:xfrm>
                              <a:prstGeom prst="straightConnector1">
                                <a:avLst/>
                              </a:prstGeom>
                              <a:ln>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flip:x;margin-left:288.2pt;margin-top:128.9pt;height:1pt;width:17.05pt;z-index:251666432;mso-width-relative:page;mso-height-relative:page;" filled="f" stroked="t" coordsize="21600,21600" o:gfxdata="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">
                      <v:fill on="f" focussize="0,0"/>
                      <v:stroke color="#FFFF00 [3204]" joinstyle="round" endarrow="open"/>
                      <v:imagedata o:title=""/>
                      <o:lock v:ext="edit" aspectratio="f"/>
                    </v:shape>
                  </w:pict>
                </mc:Fallback>
              </mc:AlternateContent>
            </w:r>
            <w:r>
              <w:rPr>
                <w:color w:val="auto"/>
                <w:sz w:val="24"/>
                <w:highlight w:val="none"/>
              </w:rPr>
              <mc:AlternateContent>
                <mc:Choice Requires="wpg">
                  <w:drawing>
                    <wp:anchor distT="0" distB="0" distL="114300" distR="114300" simplePos="0" relativeHeight="251664384" behindDoc="0" locked="0" layoutInCell="1" allowOverlap="1">
                      <wp:simplePos x="0" y="0"/>
                      <wp:positionH relativeFrom="column">
                        <wp:posOffset>4258310</wp:posOffset>
                      </wp:positionH>
                      <wp:positionV relativeFrom="paragraph">
                        <wp:posOffset>2108200</wp:posOffset>
                      </wp:positionV>
                      <wp:extent cx="1012190" cy="986790"/>
                      <wp:effectExtent l="5080" t="4445" r="11430" b="18415"/>
                      <wp:wrapNone/>
                      <wp:docPr id="15" name="组合 15"/>
                      <wp:cNvGraphicFramePr/>
                      <a:graphic xmlns:a="http://schemas.openxmlformats.org/drawingml/2006/main">
                        <a:graphicData uri="http://schemas.microsoft.com/office/word/2010/wordprocessingGroup">
                          <wpg:wgp>
                            <wpg:cNvGrpSpPr/>
                            <wpg:grpSpPr>
                              <a:xfrm>
                                <a:off x="0" y="0"/>
                                <a:ext cx="1012190" cy="986790"/>
                                <a:chOff x="15409" y="851452"/>
                                <a:chExt cx="1594" cy="1554"/>
                              </a:xfrm>
                            </wpg:grpSpPr>
                            <wps:wsp>
                              <wps:cNvPr id="10" name="文本框 10"/>
                              <wps:cNvSpPr txBox="1"/>
                              <wps:spPr>
                                <a:xfrm>
                                  <a:off x="15409" y="851452"/>
                                  <a:ext cx="1594" cy="155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rPr>
                                        <w:rFonts w:hint="eastAsia"/>
                                        <w:lang w:val="en-US" w:eastAsia="zh-CN"/>
                                      </w:rPr>
                                    </w:pPr>
                                    <w:r>
                                      <w:rPr>
                                        <w:rFonts w:hint="eastAsia"/>
                                        <w:lang w:val="en-US" w:eastAsia="zh-CN"/>
                                      </w:rPr>
                                      <w:t xml:space="preserve">   图例</w:t>
                                    </w:r>
                                  </w:p>
                                  <w:p>
                                    <w:pPr>
                                      <w:pStyle w:val="2"/>
                                      <w:keepNext w:val="0"/>
                                      <w:keepLines w:val="0"/>
                                      <w:pageBreakBefore w:val="0"/>
                                      <w:kinsoku/>
                                      <w:wordWrap/>
                                      <w:overflowPunct/>
                                      <w:topLinePunct w:val="0"/>
                                      <w:autoSpaceDE/>
                                      <w:autoSpaceDN/>
                                      <w:bidi w:val="0"/>
                                      <w:adjustRightInd w:val="0"/>
                                      <w:snapToGrid w:val="0"/>
                                      <w:spacing w:after="0" w:line="240" w:lineRule="auto"/>
                                      <w:ind w:left="0" w:leftChars="0" w:right="0" w:firstLine="420" w:firstLineChars="200"/>
                                      <w:textAlignment w:val="auto"/>
                                      <w:rPr>
                                        <w:rFonts w:hint="default"/>
                                        <w:sz w:val="21"/>
                                        <w:szCs w:val="21"/>
                                        <w:lang w:val="en-US" w:eastAsia="zh-CN"/>
                                      </w:rPr>
                                    </w:pPr>
                                    <w:r>
                                      <w:rPr>
                                        <w:rFonts w:hint="eastAsia"/>
                                        <w:sz w:val="21"/>
                                        <w:szCs w:val="21"/>
                                        <w:lang w:val="en-US" w:eastAsia="zh-CN"/>
                                      </w:rPr>
                                      <w:t>简单防渗</w:t>
                                    </w:r>
                                  </w:p>
                                  <w:p>
                                    <w:pPr>
                                      <w:pStyle w:val="2"/>
                                      <w:keepNext w:val="0"/>
                                      <w:keepLines w:val="0"/>
                                      <w:pageBreakBefore w:val="0"/>
                                      <w:kinsoku/>
                                      <w:wordWrap/>
                                      <w:overflowPunct/>
                                      <w:topLinePunct w:val="0"/>
                                      <w:autoSpaceDE/>
                                      <w:autoSpaceDN/>
                                      <w:bidi w:val="0"/>
                                      <w:adjustRightInd w:val="0"/>
                                      <w:snapToGrid w:val="0"/>
                                      <w:spacing w:after="0" w:line="240" w:lineRule="auto"/>
                                      <w:ind w:left="0" w:leftChars="0" w:right="0" w:firstLine="420" w:firstLineChars="200"/>
                                      <w:textAlignment w:val="auto"/>
                                      <w:rPr>
                                        <w:rFonts w:hint="eastAsia"/>
                                        <w:sz w:val="21"/>
                                        <w:szCs w:val="21"/>
                                        <w:lang w:val="en-US" w:eastAsia="zh-CN"/>
                                      </w:rPr>
                                    </w:pPr>
                                    <w:r>
                                      <w:rPr>
                                        <w:rFonts w:hint="eastAsia"/>
                                        <w:sz w:val="21"/>
                                        <w:szCs w:val="21"/>
                                        <w:lang w:val="en-US" w:eastAsia="zh-CN"/>
                                      </w:rPr>
                                      <w:t>一般防渗</w:t>
                                    </w:r>
                                  </w:p>
                                  <w:p>
                                    <w:pPr>
                                      <w:pStyle w:val="6"/>
                                      <w:keepNext w:val="0"/>
                                      <w:keepLines w:val="0"/>
                                      <w:pageBreakBefore w:val="0"/>
                                      <w:kinsoku/>
                                      <w:wordWrap/>
                                      <w:overflowPunct/>
                                      <w:topLinePunct w:val="0"/>
                                      <w:autoSpaceDE/>
                                      <w:autoSpaceDN/>
                                      <w:bidi w:val="0"/>
                                      <w:adjustRightInd w:val="0"/>
                                      <w:snapToGrid w:val="0"/>
                                      <w:spacing w:before="0" w:after="0" w:line="240" w:lineRule="auto"/>
                                      <w:ind w:right="0" w:firstLine="420" w:firstLineChars="200"/>
                                      <w:textAlignment w:val="auto"/>
                                      <w:rPr>
                                        <w:rFonts w:hint="default"/>
                                        <w:sz w:val="21"/>
                                        <w:szCs w:val="21"/>
                                        <w:lang w:val="en-US" w:eastAsia="zh-CN"/>
                                      </w:rPr>
                                    </w:pPr>
                                    <w:r>
                                      <w:rPr>
                                        <w:rFonts w:hint="eastAsia"/>
                                        <w:sz w:val="21"/>
                                        <w:szCs w:val="21"/>
                                        <w:lang w:val="en-US" w:eastAsia="zh-CN"/>
                                      </w:rPr>
                                      <w:t>重点防渗</w:t>
                                    </w:r>
                                  </w:p>
                                  <w:p>
                                    <w:pPr>
                                      <w:pStyle w:val="9"/>
                                      <w:rPr>
                                        <w:rFonts w:hint="eastAsia"/>
                                        <w:lang w:val="en-US" w:eastAsia="zh-CN"/>
                                      </w:rPr>
                                    </w:pPr>
                                  </w:p>
                                  <w:p>
                                    <w:pPr>
                                      <w:pStyle w:val="6"/>
                                      <w:rPr>
                                        <w:rFonts w:hint="default"/>
                                        <w:lang w:val="en-US" w:eastAsia="zh-CN"/>
                                      </w:rPr>
                                    </w:pP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1" name="矩形 11"/>
                              <wps:cNvSpPr/>
                              <wps:spPr>
                                <a:xfrm>
                                  <a:off x="15491" y="852312"/>
                                  <a:ext cx="300" cy="164"/>
                                </a:xfrm>
                                <a:prstGeom prst="rect">
                                  <a:avLst/>
                                </a:prstGeom>
                                <a:solidFill>
                                  <a:schemeClr val="accent3">
                                    <a:lumMod val="75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2" name="矩形 12"/>
                              <wps:cNvSpPr/>
                              <wps:spPr>
                                <a:xfrm>
                                  <a:off x="15491" y="852039"/>
                                  <a:ext cx="300" cy="164"/>
                                </a:xfrm>
                                <a:prstGeom prst="rect">
                                  <a:avLst/>
                                </a:prstGeom>
                                <a:solidFill>
                                  <a:srgbClr val="92D050"/>
                                </a:solidFill>
                                <a:ln>
                                  <a:solidFill>
                                    <a:srgbClr val="92D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3" name="矩形 13"/>
                              <wps:cNvSpPr/>
                              <wps:spPr>
                                <a:xfrm>
                                  <a:off x="15491" y="852599"/>
                                  <a:ext cx="300" cy="164"/>
                                </a:xfrm>
                                <a:prstGeom prst="rect">
                                  <a:avLst/>
                                </a:prstGeom>
                                <a:solidFill>
                                  <a:srgbClr val="FFFF00"/>
                                </a:solidFill>
                                <a:ln>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335.3pt;margin-top:166pt;height:77.7pt;width:79.7pt;z-index:251664384;mso-width-relative:page;mso-height-relative:page;" coordorigin="15409,851452" coordsize="1594,1554" o:gfxdata="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">
                      <o:lock v:ext="edit" aspectratio="f"/>
                      <v:shape id="_x0000_s1026" o:spid="_x0000_s1026" o:spt="202" type="#_x0000_t202" style="position:absolute;left:15409;top:851452;height:1555;width:1594;" fillcolor="#FFFFFF [3201]" filled="t" stroked="t" coordsize="21600,21600" o:gfxdata="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PSCJrgAAADbAAAA&#10;DwAAAAAAAAABACAAAAAiAAAAZHJzL2Rvd25yZXYueG1sUEsBAhQAFAAAAAgAh07iQDMvBZ47AAAA&#10;OQAAABAAAAAAAAAAAQAgAAAABwEAAGRycy9zaGFwZXhtbC54bWxQSwUGAAAAAAYABgBbAQAAsQMA&#10;AAAA&#10;">
                        <v:fill on="t" focussize="0,0"/>
                        <v:stroke weight="0.5pt" color="#000000 [3204]" joinstyle="round"/>
                        <v:imagedata o:title=""/>
                        <o:lock v:ext="edit" aspectratio="f"/>
                        <v:textbox>
                          <w:txbxContent>
                            <w:p>
                              <w:pPr>
                                <w:rPr>
                                  <w:rFonts w:hint="eastAsia"/>
                                  <w:lang w:val="en-US" w:eastAsia="zh-CN"/>
                                </w:rPr>
                              </w:pPr>
                              <w:r>
                                <w:rPr>
                                  <w:rFonts w:hint="eastAsia"/>
                                  <w:lang w:val="en-US" w:eastAsia="zh-CN"/>
                                </w:rPr>
                                <w:t xml:space="preserve">   图例</w:t>
                              </w:r>
                            </w:p>
                            <w:p>
                              <w:pPr>
                                <w:pStyle w:val="2"/>
                                <w:keepNext w:val="0"/>
                                <w:keepLines w:val="0"/>
                                <w:pageBreakBefore w:val="0"/>
                                <w:kinsoku/>
                                <w:wordWrap/>
                                <w:overflowPunct/>
                                <w:topLinePunct w:val="0"/>
                                <w:autoSpaceDE/>
                                <w:autoSpaceDN/>
                                <w:bidi w:val="0"/>
                                <w:adjustRightInd w:val="0"/>
                                <w:snapToGrid w:val="0"/>
                                <w:spacing w:after="0" w:line="240" w:lineRule="auto"/>
                                <w:ind w:left="0" w:leftChars="0" w:right="0" w:firstLine="420" w:firstLineChars="200"/>
                                <w:textAlignment w:val="auto"/>
                                <w:rPr>
                                  <w:rFonts w:hint="default"/>
                                  <w:sz w:val="21"/>
                                  <w:szCs w:val="21"/>
                                  <w:lang w:val="en-US" w:eastAsia="zh-CN"/>
                                </w:rPr>
                              </w:pPr>
                              <w:r>
                                <w:rPr>
                                  <w:rFonts w:hint="eastAsia"/>
                                  <w:sz w:val="21"/>
                                  <w:szCs w:val="21"/>
                                  <w:lang w:val="en-US" w:eastAsia="zh-CN"/>
                                </w:rPr>
                                <w:t>简单防渗</w:t>
                              </w:r>
                            </w:p>
                            <w:p>
                              <w:pPr>
                                <w:pStyle w:val="2"/>
                                <w:keepNext w:val="0"/>
                                <w:keepLines w:val="0"/>
                                <w:pageBreakBefore w:val="0"/>
                                <w:kinsoku/>
                                <w:wordWrap/>
                                <w:overflowPunct/>
                                <w:topLinePunct w:val="0"/>
                                <w:autoSpaceDE/>
                                <w:autoSpaceDN/>
                                <w:bidi w:val="0"/>
                                <w:adjustRightInd w:val="0"/>
                                <w:snapToGrid w:val="0"/>
                                <w:spacing w:after="0" w:line="240" w:lineRule="auto"/>
                                <w:ind w:left="0" w:leftChars="0" w:right="0" w:firstLine="420" w:firstLineChars="200"/>
                                <w:textAlignment w:val="auto"/>
                                <w:rPr>
                                  <w:rFonts w:hint="eastAsia"/>
                                  <w:sz w:val="21"/>
                                  <w:szCs w:val="21"/>
                                  <w:lang w:val="en-US" w:eastAsia="zh-CN"/>
                                </w:rPr>
                              </w:pPr>
                              <w:r>
                                <w:rPr>
                                  <w:rFonts w:hint="eastAsia"/>
                                  <w:sz w:val="21"/>
                                  <w:szCs w:val="21"/>
                                  <w:lang w:val="en-US" w:eastAsia="zh-CN"/>
                                </w:rPr>
                                <w:t>一般防渗</w:t>
                              </w:r>
                            </w:p>
                            <w:p>
                              <w:pPr>
                                <w:pStyle w:val="6"/>
                                <w:keepNext w:val="0"/>
                                <w:keepLines w:val="0"/>
                                <w:pageBreakBefore w:val="0"/>
                                <w:kinsoku/>
                                <w:wordWrap/>
                                <w:overflowPunct/>
                                <w:topLinePunct w:val="0"/>
                                <w:autoSpaceDE/>
                                <w:autoSpaceDN/>
                                <w:bidi w:val="0"/>
                                <w:adjustRightInd w:val="0"/>
                                <w:snapToGrid w:val="0"/>
                                <w:spacing w:before="0" w:after="0" w:line="240" w:lineRule="auto"/>
                                <w:ind w:right="0" w:firstLine="420" w:firstLineChars="200"/>
                                <w:textAlignment w:val="auto"/>
                                <w:rPr>
                                  <w:rFonts w:hint="default"/>
                                  <w:sz w:val="21"/>
                                  <w:szCs w:val="21"/>
                                  <w:lang w:val="en-US" w:eastAsia="zh-CN"/>
                                </w:rPr>
                              </w:pPr>
                              <w:r>
                                <w:rPr>
                                  <w:rFonts w:hint="eastAsia"/>
                                  <w:sz w:val="21"/>
                                  <w:szCs w:val="21"/>
                                  <w:lang w:val="en-US" w:eastAsia="zh-CN"/>
                                </w:rPr>
                                <w:t>重点防渗</w:t>
                              </w:r>
                            </w:p>
                            <w:p>
                              <w:pPr>
                                <w:pStyle w:val="9"/>
                                <w:rPr>
                                  <w:rFonts w:hint="eastAsia"/>
                                  <w:lang w:val="en-US" w:eastAsia="zh-CN"/>
                                </w:rPr>
                              </w:pPr>
                            </w:p>
                            <w:p>
                              <w:pPr>
                                <w:pStyle w:val="6"/>
                                <w:rPr>
                                  <w:rFonts w:hint="default"/>
                                  <w:lang w:val="en-US" w:eastAsia="zh-CN"/>
                                </w:rPr>
                              </w:pPr>
                            </w:p>
                          </w:txbxContent>
                        </v:textbox>
                      </v:shape>
                      <v:rect id="_x0000_s1026" o:spid="_x0000_s1026" o:spt="1" style="position:absolute;left:15491;top:852312;height:164;width:300;v-text-anchor:middle;" fillcolor="#77933C [2406]" filled="t" stroked="t" coordsize="21600,21600" o:gfxdata="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CP+aJugAAANsA&#10;AAAPAAAAAAAAAAEAIAAAACIAAABkcnMvZG93bnJldi54bWxQSwECFAAUAAAACACHTuJAMy8FnjsA&#10;AAA5AAAAEAAAAAAAAAABACAAAAAJAQAAZHJzL3NoYXBleG1sLnhtbFBLBQYAAAAABgAGAFsBAACz&#10;AwAAAAA=&#10;">
                        <v:fill on="t" focussize="0,0"/>
                        <v:stroke weight="2pt" color="#77933C [2406]" joinstyle="round"/>
                        <v:imagedata o:title=""/>
                        <o:lock v:ext="edit" aspectratio="f"/>
                      </v:rect>
                      <v:rect id="_x0000_s1026" o:spid="_x0000_s1026" o:spt="1" style="position:absolute;left:15491;top:852039;height:164;width:300;v-text-anchor:middle;" fillcolor="#92D050" filled="t" stroked="t" coordsize="21600,21600" o:gfxdata="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QHjejrgAAADbAAAA&#10;DwAAAAAAAAABACAAAAAiAAAAZHJzL2Rvd25yZXYueG1sUEsBAhQAFAAAAAgAh07iQDMvBZ47AAAA&#10;OQAAABAAAAAAAAAAAQAgAAAABwEAAGRycy9zaGFwZXhtbC54bWxQSwUGAAAAAAYABgBbAQAAsQMA&#10;AAAA&#10;">
                        <v:fill on="t" focussize="0,0"/>
                        <v:stroke weight="2pt" color="#92D050 [3204]" joinstyle="round"/>
                        <v:imagedata o:title=""/>
                        <o:lock v:ext="edit" aspectratio="f"/>
                      </v:rect>
                      <v:rect id="_x0000_s1026" o:spid="_x0000_s1026" o:spt="1" style="position:absolute;left:15491;top:852599;height:164;width:300;v-text-anchor:middle;" fillcolor="#FFFF00" filled="t" stroked="t" coordsize="21600,21600" o:gfxdata="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g0QvLsAAADb&#10;AAAADwAAAAAAAAABACAAAAAiAAAAZHJzL2Rvd25yZXYueG1sUEsBAhQAFAAAAAgAh07iQDMvBZ47&#10;AAAAOQAAABAAAAAAAAAAAQAgAAAACgEAAGRycy9zaGFwZXhtbC54bWxQSwUGAAAAAAYABgBbAQAA&#10;tAMAAAAA&#10;">
                        <v:fill on="t" focussize="0,0"/>
                        <v:stroke weight="2pt" color="#FFFF00 [3204]" joinstyle="round"/>
                        <v:imagedata o:title=""/>
                        <o:lock v:ext="edit" aspectratio="f"/>
                      </v:rect>
                    </v:group>
                  </w:pict>
                </mc:Fallback>
              </mc:AlternateContent>
            </w:r>
            <w:r>
              <w:rPr>
                <w:rFonts w:hint="eastAsia" w:eastAsia="宋体"/>
                <w:color w:val="auto"/>
                <w:highlight w:val="none"/>
                <w:lang w:eastAsia="zh-CN"/>
              </w:rPr>
              <w:drawing>
                <wp:inline distT="0" distB="0" distL="114300" distR="114300">
                  <wp:extent cx="3148965" cy="3334385"/>
                  <wp:effectExtent l="0" t="0" r="13335" b="18415"/>
                  <wp:docPr id="14" name="图片 14" descr="16787859334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descr="1678785933440"/>
                          <pic:cNvPicPr>
                            <a:picLocks noChangeAspect="1"/>
                          </pic:cNvPicPr>
                        </pic:nvPicPr>
                        <pic:blipFill>
                          <a:blip r:embed="rId115"/>
                          <a:stretch>
                            <a:fillRect/>
                          </a:stretch>
                        </pic:blipFill>
                        <pic:spPr>
                          <a:xfrm>
                            <a:off x="0" y="0"/>
                            <a:ext cx="3148965" cy="3334385"/>
                          </a:xfrm>
                          <a:prstGeom prst="rect">
                            <a:avLst/>
                          </a:prstGeom>
                        </pic:spPr>
                      </pic:pic>
                    </a:graphicData>
                  </a:graphic>
                </wp:inline>
              </w:drawing>
            </w:r>
          </w:p>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eastAsia="宋体"/>
                <w:b/>
                <w:bCs/>
                <w:color w:val="auto"/>
                <w:highlight w:val="none"/>
                <w:lang w:val="en-US" w:eastAsia="zh-CN"/>
              </w:rPr>
            </w:pPr>
            <w:r>
              <w:rPr>
                <w:rFonts w:hint="eastAsia"/>
                <w:b/>
                <w:bCs/>
                <w:color w:val="auto"/>
                <w:highlight w:val="none"/>
                <w:lang w:val="en-US" w:eastAsia="zh-CN"/>
              </w:rPr>
              <w:t>图4-1  分区防渗图</w:t>
            </w:r>
          </w:p>
          <w:p>
            <w:pPr>
              <w:pStyle w:val="9"/>
              <w:rPr>
                <w:color w:val="auto"/>
                <w:highlight w:val="none"/>
              </w:rPr>
            </w:pPr>
          </w:p>
          <w:p>
            <w:pPr>
              <w:pStyle w:val="10"/>
              <w:bidi w:val="0"/>
              <w:rPr>
                <w:rFonts w:hint="default" w:ascii="Times New Roman" w:hAnsi="Times New Roman" w:cs="Times New Roman"/>
                <w:color w:val="auto"/>
                <w:sz w:val="24"/>
                <w:szCs w:val="28"/>
                <w:highlight w:val="none"/>
                <w:lang w:val="en-US" w:eastAsia="zh-CN"/>
              </w:rPr>
            </w:pPr>
            <w:r>
              <w:rPr>
                <w:rFonts w:hint="eastAsia" w:cs="Times New Roman"/>
                <w:color w:val="auto"/>
                <w:sz w:val="24"/>
                <w:szCs w:val="28"/>
                <w:highlight w:val="none"/>
                <w:lang w:val="en-US" w:eastAsia="zh-CN"/>
              </w:rPr>
              <w:t>6</w:t>
            </w:r>
            <w:r>
              <w:rPr>
                <w:rFonts w:hint="default" w:ascii="Times New Roman" w:hAnsi="Times New Roman" w:cs="Times New Roman"/>
                <w:color w:val="auto"/>
                <w:sz w:val="24"/>
                <w:szCs w:val="28"/>
                <w:highlight w:val="none"/>
                <w:lang w:val="en-US" w:eastAsia="zh-CN"/>
              </w:rPr>
              <w:t>、环境风险分析</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default" w:ascii="Times New Roman" w:hAnsi="Times New Roman" w:eastAsia="宋体" w:cs="Times New Roman"/>
                <w:b w:val="0"/>
                <w:bCs w:val="0"/>
                <w:color w:val="auto"/>
                <w:sz w:val="24"/>
                <w:szCs w:val="24"/>
                <w:highlight w:val="none"/>
                <w:lang w:val="en-US" w:eastAsia="zh-CN"/>
              </w:rPr>
            </w:pPr>
            <w:r>
              <w:rPr>
                <w:rFonts w:hint="default" w:ascii="Times New Roman" w:hAnsi="Times New Roman" w:eastAsia="宋体" w:cs="Times New Roman"/>
                <w:b w:val="0"/>
                <w:bCs w:val="0"/>
                <w:color w:val="auto"/>
                <w:sz w:val="24"/>
                <w:szCs w:val="24"/>
                <w:highlight w:val="none"/>
                <w:lang w:val="en-US" w:eastAsia="zh-CN"/>
              </w:rPr>
              <w:t>环境风险是指突发性事故对环境(或健康)的危害程度。建设项目环境风险评价，主要是对建设项目建设和运行期间发生的可预测突发性事件或事故</w:t>
            </w:r>
            <w:r>
              <w:rPr>
                <w:rFonts w:hint="eastAsia" w:cs="Times New Roman"/>
                <w:b w:val="0"/>
                <w:bCs w:val="0"/>
                <w:color w:val="auto"/>
                <w:sz w:val="24"/>
                <w:szCs w:val="24"/>
                <w:highlight w:val="none"/>
                <w:lang w:val="en-US" w:eastAsia="zh-CN"/>
              </w:rPr>
              <w:t>（</w:t>
            </w:r>
            <w:r>
              <w:rPr>
                <w:rFonts w:hint="default" w:ascii="Times New Roman" w:hAnsi="Times New Roman" w:eastAsia="宋体" w:cs="Times New Roman"/>
                <w:b w:val="0"/>
                <w:bCs w:val="0"/>
                <w:color w:val="auto"/>
                <w:sz w:val="24"/>
                <w:szCs w:val="24"/>
                <w:highlight w:val="none"/>
                <w:lang w:val="en-US" w:eastAsia="zh-CN"/>
              </w:rPr>
              <w:t>一般不包括人为破坏及自然灾害</w:t>
            </w:r>
            <w:r>
              <w:rPr>
                <w:rFonts w:hint="eastAsia" w:cs="Times New Roman"/>
                <w:b w:val="0"/>
                <w:bCs w:val="0"/>
                <w:color w:val="auto"/>
                <w:sz w:val="24"/>
                <w:szCs w:val="24"/>
                <w:highlight w:val="none"/>
                <w:lang w:val="en-US" w:eastAsia="zh-CN"/>
              </w:rPr>
              <w:t>）</w:t>
            </w:r>
            <w:r>
              <w:rPr>
                <w:rFonts w:hint="default" w:ascii="Times New Roman" w:hAnsi="Times New Roman" w:eastAsia="宋体" w:cs="Times New Roman"/>
                <w:b w:val="0"/>
                <w:bCs w:val="0"/>
                <w:color w:val="auto"/>
                <w:sz w:val="24"/>
                <w:szCs w:val="24"/>
                <w:highlight w:val="none"/>
                <w:lang w:val="en-US" w:eastAsia="zh-CN"/>
              </w:rPr>
              <w:t>引起有毒有害、易燃易爆等物质泄漏，或突发事件产生的新的有毒有害物质，所造成的对人身安全与环境的影响和损害，进行评估，提出防范、应急与减缓措施，以使建设项目事故率、损失和环境影响达到可接受水平。</w:t>
            </w:r>
          </w:p>
          <w:p>
            <w:pPr>
              <w:pStyle w:val="6"/>
              <w:spacing w:before="0" w:after="0" w:line="360" w:lineRule="auto"/>
              <w:ind w:left="0" w:leftChars="0" w:firstLine="0" w:firstLineChars="0"/>
              <w:rPr>
                <w:rFonts w:hint="default" w:ascii="Times New Roman" w:hAnsi="Times New Roman" w:cs="Times New Roman"/>
                <w:b/>
                <w:bCs/>
                <w:color w:val="auto"/>
                <w:sz w:val="24"/>
                <w:highlight w:val="none"/>
              </w:rPr>
            </w:pPr>
            <w:r>
              <w:rPr>
                <w:rFonts w:hint="eastAsia" w:cs="Times New Roman"/>
                <w:b/>
                <w:bCs/>
                <w:color w:val="auto"/>
                <w:sz w:val="24"/>
                <w:highlight w:val="none"/>
                <w:lang w:val="en-US" w:eastAsia="zh-CN"/>
              </w:rPr>
              <w:t>6</w:t>
            </w:r>
            <w:r>
              <w:rPr>
                <w:rFonts w:hint="default" w:ascii="Times New Roman" w:hAnsi="Times New Roman" w:cs="Times New Roman"/>
                <w:b/>
                <w:bCs/>
                <w:color w:val="auto"/>
                <w:sz w:val="24"/>
                <w:highlight w:val="none"/>
              </w:rPr>
              <w:t>.1风险调查</w:t>
            </w:r>
          </w:p>
          <w:p>
            <w:pPr>
              <w:bidi w:val="0"/>
              <w:ind w:firstLine="480" w:firstLineChars="200"/>
              <w:rPr>
                <w:rFonts w:hint="default" w:ascii="Times New Roman" w:hAnsi="Times New Roman" w:cs="Times New Roman"/>
                <w:color w:val="auto"/>
                <w:highlight w:val="none"/>
                <w:lang w:val="en-US" w:eastAsia="zh-CN"/>
              </w:rPr>
            </w:pPr>
            <w:r>
              <w:rPr>
                <w:rFonts w:hint="default" w:ascii="Times New Roman" w:hAnsi="Times New Roman" w:eastAsia="宋体" w:cs="Times New Roman"/>
                <w:color w:val="auto"/>
                <w:highlight w:val="none"/>
              </w:rPr>
              <w:t>本项目主要风险物质为</w:t>
            </w:r>
            <w:r>
              <w:rPr>
                <w:rFonts w:hint="eastAsia" w:eastAsia="宋体" w:cs="Times New Roman"/>
                <w:color w:val="auto"/>
                <w:highlight w:val="none"/>
                <w:lang w:val="en-US" w:eastAsia="zh-CN"/>
              </w:rPr>
              <w:t>机油、液压油、润滑剂、油漆、稀释剂、</w:t>
            </w:r>
            <w:r>
              <w:rPr>
                <w:rFonts w:hint="default" w:ascii="Times New Roman" w:hAnsi="Times New Roman" w:eastAsia="宋体" w:cs="Times New Roman"/>
                <w:color w:val="auto"/>
                <w:highlight w:val="none"/>
                <w:lang w:val="en-US" w:eastAsia="zh-CN"/>
              </w:rPr>
              <w:t>废机油、废机油桶、</w:t>
            </w:r>
            <w:r>
              <w:rPr>
                <w:rFonts w:hint="eastAsia" w:eastAsia="宋体" w:cs="Times New Roman"/>
                <w:color w:val="auto"/>
                <w:highlight w:val="none"/>
                <w:lang w:val="en-US" w:eastAsia="zh-CN"/>
              </w:rPr>
              <w:t>废</w:t>
            </w:r>
            <w:r>
              <w:rPr>
                <w:rFonts w:hint="default" w:ascii="Times New Roman" w:hAnsi="Times New Roman" w:eastAsia="宋体" w:cs="Times New Roman"/>
                <w:color w:val="auto"/>
                <w:highlight w:val="none"/>
                <w:lang w:val="en-US" w:eastAsia="zh-CN"/>
              </w:rPr>
              <w:t>润滑剂</w:t>
            </w:r>
            <w:r>
              <w:rPr>
                <w:rFonts w:hint="eastAsia" w:ascii="Times New Roman" w:hAnsi="Times New Roman" w:eastAsia="宋体" w:cs="Times New Roman"/>
                <w:color w:val="auto"/>
                <w:highlight w:val="none"/>
                <w:lang w:val="en-US" w:eastAsia="zh-CN"/>
              </w:rPr>
              <w:t>、</w:t>
            </w:r>
            <w:r>
              <w:rPr>
                <w:rFonts w:hint="default" w:ascii="Times New Roman" w:hAnsi="Times New Roman" w:eastAsia="宋体" w:cs="Times New Roman"/>
                <w:color w:val="auto"/>
                <w:highlight w:val="none"/>
                <w:lang w:val="en-US" w:eastAsia="zh-CN"/>
              </w:rPr>
              <w:t>废液压油</w:t>
            </w:r>
            <w:r>
              <w:rPr>
                <w:rFonts w:hint="eastAsia" w:eastAsia="宋体" w:cs="Times New Roman"/>
                <w:color w:val="auto"/>
                <w:highlight w:val="none"/>
                <w:lang w:val="en-US" w:eastAsia="zh-CN"/>
              </w:rPr>
              <w:t>、废油桶、漆渣、漆桶、</w:t>
            </w:r>
            <w:r>
              <w:rPr>
                <w:rFonts w:hint="eastAsia" w:eastAsia="宋体" w:cs="Times New Roman"/>
                <w:color w:val="auto"/>
                <w:sz w:val="24"/>
                <w:szCs w:val="24"/>
                <w:highlight w:val="none"/>
                <w:lang w:val="en-US" w:eastAsia="zh-CN"/>
              </w:rPr>
              <w:t>废稀释剂桶、废活性炭、废过滤棉</w:t>
            </w:r>
            <w:r>
              <w:rPr>
                <w:rFonts w:hint="eastAsia" w:cs="Times New Roman"/>
                <w:b w:val="0"/>
                <w:bCs w:val="0"/>
                <w:color w:val="auto"/>
                <w:sz w:val="24"/>
                <w:szCs w:val="24"/>
                <w:highlight w:val="none"/>
                <w:lang w:val="en-US" w:eastAsia="zh-CN"/>
              </w:rPr>
              <w:t>。</w:t>
            </w:r>
          </w:p>
          <w:p>
            <w:pPr>
              <w:pStyle w:val="11"/>
              <w:bidi w:val="0"/>
              <w:rPr>
                <w:rFonts w:hint="default" w:ascii="Times New Roman" w:hAnsi="Times New Roman" w:cs="Times New Roman"/>
                <w:color w:val="auto"/>
                <w:highlight w:val="none"/>
                <w:lang w:val="en-US" w:eastAsia="zh-CN"/>
              </w:rPr>
            </w:pPr>
            <w:r>
              <w:rPr>
                <w:rFonts w:hint="eastAsia" w:cs="Times New Roman"/>
                <w:color w:val="auto"/>
                <w:highlight w:val="none"/>
                <w:lang w:val="en-US" w:eastAsia="zh-CN"/>
              </w:rPr>
              <w:t>6</w:t>
            </w:r>
            <w:r>
              <w:rPr>
                <w:rFonts w:hint="default" w:ascii="Times New Roman" w:hAnsi="Times New Roman" w:cs="Times New Roman"/>
                <w:color w:val="auto"/>
                <w:highlight w:val="none"/>
                <w:lang w:val="en-US" w:eastAsia="zh-CN"/>
              </w:rPr>
              <w:t>.</w:t>
            </w:r>
            <w:r>
              <w:rPr>
                <w:rFonts w:hint="eastAsia" w:cs="Times New Roman"/>
                <w:color w:val="auto"/>
                <w:highlight w:val="none"/>
                <w:lang w:val="en-US" w:eastAsia="zh-CN"/>
              </w:rPr>
              <w:t>2</w:t>
            </w:r>
            <w:r>
              <w:rPr>
                <w:rFonts w:hint="default" w:ascii="Times New Roman" w:hAnsi="Times New Roman" w:cs="Times New Roman"/>
                <w:color w:val="auto"/>
                <w:highlight w:val="none"/>
                <w:lang w:val="en-US" w:eastAsia="zh-CN"/>
              </w:rPr>
              <w:t>风险源分布情况及可能影响途径</w:t>
            </w:r>
          </w:p>
          <w:p>
            <w:pPr>
              <w:bidi w:val="0"/>
              <w:ind w:firstLine="480" w:firstLineChars="20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本项目的主要</w:t>
            </w:r>
            <w:r>
              <w:rPr>
                <w:rFonts w:hint="eastAsia" w:cs="Times New Roman"/>
                <w:color w:val="auto"/>
                <w:highlight w:val="none"/>
                <w:lang w:val="en-US" w:eastAsia="zh-CN"/>
              </w:rPr>
              <w:t>风险物质</w:t>
            </w:r>
            <w:r>
              <w:rPr>
                <w:rFonts w:hint="default" w:ascii="Times New Roman" w:hAnsi="Times New Roman" w:cs="Times New Roman"/>
                <w:color w:val="auto"/>
                <w:highlight w:val="none"/>
                <w:lang w:val="en-US" w:eastAsia="zh-CN"/>
              </w:rPr>
              <w:t>为危废间内的危废</w:t>
            </w:r>
            <w:r>
              <w:rPr>
                <w:rFonts w:hint="eastAsia" w:cs="Times New Roman"/>
                <w:color w:val="auto"/>
                <w:highlight w:val="none"/>
                <w:lang w:val="en-US" w:eastAsia="zh-CN"/>
              </w:rPr>
              <w:t>、库房内原辅料等</w:t>
            </w:r>
            <w:r>
              <w:rPr>
                <w:rFonts w:hint="default" w:ascii="Times New Roman" w:hAnsi="Times New Roman" w:cs="Times New Roman"/>
                <w:color w:val="auto"/>
                <w:highlight w:val="none"/>
                <w:lang w:val="en-US" w:eastAsia="zh-CN"/>
              </w:rPr>
              <w:t>。具体分布及影响途径如下表：</w:t>
            </w:r>
          </w:p>
          <w:p>
            <w:pPr>
              <w:numPr>
                <w:ilvl w:val="0"/>
                <w:numId w:val="0"/>
              </w:numPr>
              <w:spacing w:line="240" w:lineRule="auto"/>
              <w:ind w:leftChars="0"/>
              <w:jc w:val="center"/>
              <w:rPr>
                <w:rFonts w:hint="default" w:ascii="Times New Roman" w:hAnsi="Times New Roman" w:eastAsia="宋体" w:cs="Times New Roman"/>
                <w:b/>
                <w:bCs/>
                <w:color w:val="auto"/>
                <w:kern w:val="2"/>
                <w:sz w:val="24"/>
                <w:szCs w:val="24"/>
                <w:highlight w:val="none"/>
                <w:lang w:val="en-US" w:eastAsia="zh-CN" w:bidi="ar-SA"/>
              </w:rPr>
            </w:pPr>
            <w:r>
              <w:rPr>
                <w:rFonts w:hint="default" w:ascii="Times New Roman" w:hAnsi="Times New Roman" w:eastAsia="宋体" w:cs="Times New Roman"/>
                <w:b/>
                <w:bCs/>
                <w:color w:val="auto"/>
                <w:kern w:val="2"/>
                <w:sz w:val="24"/>
                <w:szCs w:val="24"/>
                <w:highlight w:val="none"/>
                <w:lang w:val="en-US" w:eastAsia="zh-CN" w:bidi="ar-SA"/>
              </w:rPr>
              <w:t>表</w:t>
            </w:r>
            <w:r>
              <w:rPr>
                <w:rFonts w:hint="eastAsia" w:ascii="Times New Roman" w:hAnsi="Times New Roman" w:eastAsia="宋体" w:cs="Times New Roman"/>
                <w:b/>
                <w:bCs/>
                <w:color w:val="auto"/>
                <w:kern w:val="2"/>
                <w:sz w:val="24"/>
                <w:szCs w:val="24"/>
                <w:highlight w:val="none"/>
                <w:lang w:val="en-US" w:eastAsia="zh-CN" w:bidi="ar-SA"/>
              </w:rPr>
              <w:t>4-1</w:t>
            </w:r>
            <w:r>
              <w:rPr>
                <w:rFonts w:hint="eastAsia" w:cs="Times New Roman"/>
                <w:b/>
                <w:bCs/>
                <w:color w:val="auto"/>
                <w:kern w:val="2"/>
                <w:sz w:val="24"/>
                <w:szCs w:val="24"/>
                <w:highlight w:val="none"/>
                <w:lang w:val="en-US" w:eastAsia="zh-CN" w:bidi="ar-SA"/>
              </w:rPr>
              <w:t>0</w:t>
            </w:r>
            <w:r>
              <w:rPr>
                <w:rFonts w:hint="default" w:ascii="Times New Roman" w:hAnsi="Times New Roman" w:eastAsia="宋体" w:cs="Times New Roman"/>
                <w:b/>
                <w:bCs/>
                <w:color w:val="auto"/>
                <w:kern w:val="2"/>
                <w:sz w:val="24"/>
                <w:szCs w:val="24"/>
                <w:highlight w:val="none"/>
                <w:lang w:val="en-US" w:eastAsia="zh-CN" w:bidi="ar-SA"/>
              </w:rPr>
              <w:t xml:space="preserve"> 本项目风险物质具体分布及影响途径</w:t>
            </w:r>
          </w:p>
          <w:tbl>
            <w:tblPr>
              <w:tblStyle w:val="32"/>
              <w:tblpPr w:leftFromText="180" w:rightFromText="180" w:vertAnchor="text" w:tblpXSpec="center" w:tblpY="1"/>
              <w:tblOverlap w:val="never"/>
              <w:tblW w:w="4997" w:type="pct"/>
              <w:tblInd w:w="0" w:type="dxa"/>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Layout w:type="fixed"/>
              <w:tblCellMar>
                <w:top w:w="0" w:type="dxa"/>
                <w:left w:w="108" w:type="dxa"/>
                <w:bottom w:w="0" w:type="dxa"/>
                <w:right w:w="108" w:type="dxa"/>
              </w:tblCellMar>
            </w:tblPr>
            <w:tblGrid>
              <w:gridCol w:w="685"/>
              <w:gridCol w:w="1578"/>
              <w:gridCol w:w="1035"/>
              <w:gridCol w:w="1253"/>
              <w:gridCol w:w="1170"/>
              <w:gridCol w:w="840"/>
              <w:gridCol w:w="1095"/>
              <w:gridCol w:w="742"/>
            </w:tblGrid>
            <w:tr>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260" w:hRule="atLeast"/>
              </w:trPr>
              <w:tc>
                <w:tcPr>
                  <w:tcW w:w="407" w:type="pct"/>
                  <w:noWrap w:val="0"/>
                  <w:vAlign w:val="center"/>
                </w:tcPr>
                <w:p>
                  <w:pPr>
                    <w:keepNext w:val="0"/>
                    <w:keepLines w:val="0"/>
                    <w:pageBreakBefore w:val="0"/>
                    <w:widowControl w:val="0"/>
                    <w:kinsoku/>
                    <w:wordWrap/>
                    <w:overflowPunct/>
                    <w:topLine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序号</w:t>
                  </w:r>
                </w:p>
              </w:tc>
              <w:tc>
                <w:tcPr>
                  <w:tcW w:w="939" w:type="pct"/>
                  <w:noWrap w:val="0"/>
                  <w:vAlign w:val="center"/>
                </w:tcPr>
                <w:p>
                  <w:pPr>
                    <w:keepNext w:val="0"/>
                    <w:keepLines w:val="0"/>
                    <w:pageBreakBefore w:val="0"/>
                    <w:widowControl w:val="0"/>
                    <w:kinsoku/>
                    <w:wordWrap/>
                    <w:overflowPunct/>
                    <w:topLine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危险废物名称</w:t>
                  </w:r>
                </w:p>
              </w:tc>
              <w:tc>
                <w:tcPr>
                  <w:tcW w:w="616" w:type="pct"/>
                  <w:noWrap w:val="0"/>
                  <w:vAlign w:val="center"/>
                </w:tcPr>
                <w:p>
                  <w:pPr>
                    <w:keepNext w:val="0"/>
                    <w:keepLines w:val="0"/>
                    <w:pageBreakBefore w:val="0"/>
                    <w:widowControl w:val="0"/>
                    <w:kinsoku/>
                    <w:wordWrap/>
                    <w:overflowPunct/>
                    <w:topLine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危险废物类别</w:t>
                  </w:r>
                </w:p>
              </w:tc>
              <w:tc>
                <w:tcPr>
                  <w:tcW w:w="746" w:type="pct"/>
                  <w:noWrap w:val="0"/>
                  <w:vAlign w:val="center"/>
                </w:tcPr>
                <w:p>
                  <w:pPr>
                    <w:keepNext w:val="0"/>
                    <w:keepLines w:val="0"/>
                    <w:pageBreakBefore w:val="0"/>
                    <w:widowControl w:val="0"/>
                    <w:kinsoku/>
                    <w:wordWrap/>
                    <w:overflowPunct/>
                    <w:topLine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危险废物代码</w:t>
                  </w:r>
                </w:p>
              </w:tc>
              <w:tc>
                <w:tcPr>
                  <w:tcW w:w="696" w:type="pct"/>
                  <w:noWrap w:val="0"/>
                  <w:vAlign w:val="center"/>
                </w:tcPr>
                <w:p>
                  <w:pPr>
                    <w:keepNext w:val="0"/>
                    <w:keepLines w:val="0"/>
                    <w:pageBreakBefore w:val="0"/>
                    <w:widowControl w:val="0"/>
                    <w:kinsoku/>
                    <w:wordWrap/>
                    <w:overflowPunct/>
                    <w:topLine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全厂最大储存量/q2</w:t>
                  </w:r>
                </w:p>
              </w:tc>
              <w:tc>
                <w:tcPr>
                  <w:tcW w:w="500" w:type="pct"/>
                  <w:noWrap w:val="0"/>
                  <w:vAlign w:val="center"/>
                </w:tcPr>
                <w:p>
                  <w:pPr>
                    <w:keepNext w:val="0"/>
                    <w:keepLines w:val="0"/>
                    <w:pageBreakBefore w:val="0"/>
                    <w:widowControl w:val="0"/>
                    <w:kinsoku/>
                    <w:wordWrap/>
                    <w:overflowPunct/>
                    <w:topLine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临界量</w:t>
                  </w:r>
                  <w:r>
                    <w:rPr>
                      <w:rFonts w:hint="default" w:ascii="Times New Roman" w:hAnsi="Times New Roman" w:eastAsia="宋体" w:cs="Times New Roman"/>
                      <w:color w:val="auto"/>
                      <w:sz w:val="21"/>
                      <w:szCs w:val="21"/>
                      <w:highlight w:val="none"/>
                    </w:rPr>
                    <w:t>Qn/t</w:t>
                  </w:r>
                </w:p>
              </w:tc>
              <w:tc>
                <w:tcPr>
                  <w:tcW w:w="651" w:type="pct"/>
                  <w:noWrap w:val="0"/>
                  <w:vAlign w:val="center"/>
                </w:tcPr>
                <w:p>
                  <w:pPr>
                    <w:keepNext w:val="0"/>
                    <w:keepLines w:val="0"/>
                    <w:pageBreakBefore w:val="0"/>
                    <w:widowControl w:val="0"/>
                    <w:kinsoku/>
                    <w:wordWrap/>
                    <w:overflowPunct/>
                    <w:topLine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q/Q</w:t>
                  </w:r>
                </w:p>
              </w:tc>
              <w:tc>
                <w:tcPr>
                  <w:tcW w:w="441" w:type="pct"/>
                  <w:noWrap w:val="0"/>
                  <w:vAlign w:val="center"/>
                </w:tcPr>
                <w:p>
                  <w:pPr>
                    <w:keepNext w:val="0"/>
                    <w:keepLines w:val="0"/>
                    <w:pageBreakBefore w:val="0"/>
                    <w:widowControl w:val="0"/>
                    <w:kinsoku/>
                    <w:wordWrap/>
                    <w:overflowPunct/>
                    <w:topLinePunct/>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储存位置</w:t>
                  </w:r>
                </w:p>
              </w:tc>
            </w:tr>
            <w:tr>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15" w:hRule="atLeast"/>
              </w:trPr>
              <w:tc>
                <w:tcPr>
                  <w:tcW w:w="407" w:type="pct"/>
                  <w:noWrap w:val="0"/>
                  <w:vAlign w:val="center"/>
                </w:tcPr>
                <w:p>
                  <w:pPr>
                    <w:keepNext w:val="0"/>
                    <w:keepLines w:val="0"/>
                    <w:pageBreakBefore w:val="0"/>
                    <w:widowControl w:val="0"/>
                    <w:kinsoku/>
                    <w:wordWrap/>
                    <w:overflowPunct/>
                    <w:topLine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p>
              </w:tc>
              <w:tc>
                <w:tcPr>
                  <w:tcW w:w="939" w:type="pct"/>
                  <w:noWrap w:val="0"/>
                  <w:vAlign w:val="center"/>
                </w:tcPr>
                <w:p>
                  <w:pPr>
                    <w:pStyle w:val="81"/>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废活性炭</w:t>
                  </w:r>
                </w:p>
              </w:tc>
              <w:tc>
                <w:tcPr>
                  <w:tcW w:w="616" w:type="pct"/>
                  <w:vMerge w:val="restart"/>
                  <w:noWrap w:val="0"/>
                  <w:vAlign w:val="center"/>
                </w:tcPr>
                <w:p>
                  <w:pPr>
                    <w:pStyle w:val="106"/>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HW49</w:t>
                  </w:r>
                </w:p>
              </w:tc>
              <w:tc>
                <w:tcPr>
                  <w:tcW w:w="746" w:type="pct"/>
                  <w:noWrap w:val="0"/>
                  <w:vAlign w:val="center"/>
                </w:tcPr>
                <w:p>
                  <w:pPr>
                    <w:pStyle w:val="81"/>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 xml:space="preserve">900-039-49 </w:t>
                  </w:r>
                </w:p>
              </w:tc>
              <w:tc>
                <w:tcPr>
                  <w:tcW w:w="696" w:type="pct"/>
                  <w:noWrap w:val="0"/>
                  <w:vAlign w:val="center"/>
                </w:tcPr>
                <w:p>
                  <w:pPr>
                    <w:keepNext w:val="0"/>
                    <w:keepLines w:val="0"/>
                    <w:pageBreakBefore w:val="0"/>
                    <w:widowControl w:val="0"/>
                    <w:kinsoku/>
                    <w:wordWrap/>
                    <w:overflowPunct/>
                    <w:topLine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rPr>
                  </w:pPr>
                  <w:r>
                    <w:rPr>
                      <w:rFonts w:hint="eastAsia" w:cs="Times New Roman"/>
                      <w:color w:val="auto"/>
                      <w:sz w:val="21"/>
                      <w:szCs w:val="21"/>
                      <w:highlight w:val="none"/>
                      <w:lang w:val="en-US" w:eastAsia="zh-CN"/>
                    </w:rPr>
                    <w:t>9</w:t>
                  </w:r>
                </w:p>
              </w:tc>
              <w:tc>
                <w:tcPr>
                  <w:tcW w:w="500" w:type="pct"/>
                  <w:noWrap w:val="0"/>
                  <w:vAlign w:val="center"/>
                </w:tcPr>
                <w:p>
                  <w:pPr>
                    <w:keepNext w:val="0"/>
                    <w:keepLines w:val="0"/>
                    <w:pageBreakBefore w:val="0"/>
                    <w:widowControl w:val="0"/>
                    <w:kinsoku/>
                    <w:wordWrap/>
                    <w:overflowPunct/>
                    <w:topLinePunct/>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50</w:t>
                  </w:r>
                </w:p>
              </w:tc>
              <w:tc>
                <w:tcPr>
                  <w:tcW w:w="651" w:type="pct"/>
                  <w:noWrap w:val="0"/>
                  <w:vAlign w:val="center"/>
                </w:tcPr>
                <w:p>
                  <w:pPr>
                    <w:keepNext w:val="0"/>
                    <w:keepLines w:val="0"/>
                    <w:pageBreakBefore w:val="0"/>
                    <w:widowControl/>
                    <w:suppressLineNumbers w:val="0"/>
                    <w:kinsoku/>
                    <w:wordWrap/>
                    <w:overflowPunct/>
                    <w:autoSpaceDE/>
                    <w:autoSpaceDN/>
                    <w:bidi w:val="0"/>
                    <w:adjustRightInd w:val="0"/>
                    <w:snapToGrid w:val="0"/>
                    <w:spacing w:line="240" w:lineRule="auto"/>
                    <w:jc w:val="center"/>
                    <w:textAlignment w:val="center"/>
                    <w:rPr>
                      <w:rFonts w:hint="default" w:ascii="Times New Roman" w:hAnsi="Times New Roman"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0.1</w:t>
                  </w:r>
                  <w:r>
                    <w:rPr>
                      <w:rFonts w:hint="eastAsia" w:cs="Times New Roman"/>
                      <w:i w:val="0"/>
                      <w:iCs w:val="0"/>
                      <w:color w:val="auto"/>
                      <w:kern w:val="0"/>
                      <w:sz w:val="21"/>
                      <w:szCs w:val="21"/>
                      <w:highlight w:val="none"/>
                      <w:u w:val="none"/>
                      <w:lang w:val="en-US" w:eastAsia="zh-CN" w:bidi="ar"/>
                    </w:rPr>
                    <w:t>8</w:t>
                  </w:r>
                </w:p>
              </w:tc>
              <w:tc>
                <w:tcPr>
                  <w:tcW w:w="441" w:type="pct"/>
                  <w:vMerge w:val="restart"/>
                  <w:noWrap w:val="0"/>
                  <w:vAlign w:val="center"/>
                </w:tcPr>
                <w:p>
                  <w:pPr>
                    <w:keepNext w:val="0"/>
                    <w:keepLines w:val="0"/>
                    <w:pageBreakBefore w:val="0"/>
                    <w:widowControl w:val="0"/>
                    <w:kinsoku/>
                    <w:wordWrap/>
                    <w:overflowPunct/>
                    <w:topLine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危废暂存间</w:t>
                  </w:r>
                </w:p>
              </w:tc>
            </w:tr>
            <w:tr>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146" w:hRule="atLeast"/>
              </w:trPr>
              <w:tc>
                <w:tcPr>
                  <w:tcW w:w="407" w:type="pct"/>
                  <w:noWrap w:val="0"/>
                  <w:vAlign w:val="center"/>
                </w:tcPr>
                <w:p>
                  <w:pPr>
                    <w:keepNext w:val="0"/>
                    <w:keepLines w:val="0"/>
                    <w:pageBreakBefore w:val="0"/>
                    <w:widowControl w:val="0"/>
                    <w:kinsoku/>
                    <w:wordWrap/>
                    <w:overflowPunct/>
                    <w:topLine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2</w:t>
                  </w:r>
                </w:p>
              </w:tc>
              <w:tc>
                <w:tcPr>
                  <w:tcW w:w="939" w:type="pct"/>
                  <w:noWrap w:val="0"/>
                  <w:vAlign w:val="center"/>
                </w:tcPr>
                <w:p>
                  <w:pPr>
                    <w:pStyle w:val="81"/>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废过滤棉</w:t>
                  </w:r>
                </w:p>
              </w:tc>
              <w:tc>
                <w:tcPr>
                  <w:tcW w:w="616" w:type="pct"/>
                  <w:vMerge w:val="continue"/>
                  <w:noWrap w:val="0"/>
                  <w:vAlign w:val="center"/>
                </w:tcPr>
                <w:p>
                  <w:pPr>
                    <w:pStyle w:val="106"/>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p>
              </w:tc>
              <w:tc>
                <w:tcPr>
                  <w:tcW w:w="746" w:type="pct"/>
                  <w:noWrap w:val="0"/>
                  <w:vAlign w:val="center"/>
                </w:tcPr>
                <w:p>
                  <w:pPr>
                    <w:pStyle w:val="81"/>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 xml:space="preserve">900-039-49 </w:t>
                  </w:r>
                </w:p>
              </w:tc>
              <w:tc>
                <w:tcPr>
                  <w:tcW w:w="696" w:type="pct"/>
                  <w:noWrap w:val="0"/>
                  <w:vAlign w:val="center"/>
                </w:tcPr>
                <w:p>
                  <w:pPr>
                    <w:keepNext w:val="0"/>
                    <w:keepLines w:val="0"/>
                    <w:pageBreakBefore w:val="0"/>
                    <w:widowControl w:val="0"/>
                    <w:kinsoku/>
                    <w:wordWrap/>
                    <w:overflowPunct/>
                    <w:topLine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1</w:t>
                  </w:r>
                </w:p>
              </w:tc>
              <w:tc>
                <w:tcPr>
                  <w:tcW w:w="500" w:type="pct"/>
                  <w:noWrap w:val="0"/>
                  <w:vAlign w:val="center"/>
                </w:tcPr>
                <w:p>
                  <w:pPr>
                    <w:keepNext w:val="0"/>
                    <w:keepLines w:val="0"/>
                    <w:pageBreakBefore w:val="0"/>
                    <w:widowControl w:val="0"/>
                    <w:kinsoku/>
                    <w:wordWrap/>
                    <w:overflowPunct/>
                    <w:topLinePunct/>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50</w:t>
                  </w:r>
                </w:p>
              </w:tc>
              <w:tc>
                <w:tcPr>
                  <w:tcW w:w="651" w:type="pct"/>
                  <w:noWrap w:val="0"/>
                  <w:vAlign w:val="center"/>
                </w:tcPr>
                <w:p>
                  <w:pPr>
                    <w:keepNext w:val="0"/>
                    <w:keepLines w:val="0"/>
                    <w:pageBreakBefore w:val="0"/>
                    <w:widowControl/>
                    <w:suppressLineNumbers w:val="0"/>
                    <w:kinsoku/>
                    <w:wordWrap/>
                    <w:overflowPunct/>
                    <w:autoSpaceDE/>
                    <w:autoSpaceDN/>
                    <w:bidi w:val="0"/>
                    <w:adjustRightInd w:val="0"/>
                    <w:snapToGrid w:val="0"/>
                    <w:spacing w:line="240" w:lineRule="auto"/>
                    <w:jc w:val="center"/>
                    <w:textAlignment w:val="center"/>
                    <w:rPr>
                      <w:rFonts w:hint="default" w:ascii="Times New Roman" w:hAnsi="Times New Roman" w:cs="Times New Roman"/>
                      <w:color w:val="auto"/>
                      <w:sz w:val="21"/>
                      <w:szCs w:val="21"/>
                      <w:highlight w:val="none"/>
                    </w:rPr>
                  </w:pPr>
                  <w:r>
                    <w:rPr>
                      <w:rFonts w:hint="default" w:ascii="Times New Roman" w:hAnsi="Times New Roman" w:eastAsia="宋体" w:cs="Times New Roman"/>
                      <w:i w:val="0"/>
                      <w:iCs w:val="0"/>
                      <w:color w:val="auto"/>
                      <w:kern w:val="0"/>
                      <w:sz w:val="21"/>
                      <w:szCs w:val="21"/>
                      <w:highlight w:val="none"/>
                      <w:u w:val="none"/>
                      <w:lang w:val="en-US" w:eastAsia="zh-CN" w:bidi="ar"/>
                    </w:rPr>
                    <w:t>0.02</w:t>
                  </w:r>
                </w:p>
              </w:tc>
              <w:tc>
                <w:tcPr>
                  <w:tcW w:w="441" w:type="pct"/>
                  <w:vMerge w:val="continue"/>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385" w:hRule="atLeast"/>
              </w:trPr>
              <w:tc>
                <w:tcPr>
                  <w:tcW w:w="407" w:type="pct"/>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3</w:t>
                  </w:r>
                </w:p>
              </w:tc>
              <w:tc>
                <w:tcPr>
                  <w:tcW w:w="939" w:type="pct"/>
                  <w:noWrap w:val="0"/>
                  <w:vAlign w:val="center"/>
                </w:tcPr>
                <w:p>
                  <w:pPr>
                    <w:pStyle w:val="81"/>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废漆桶</w:t>
                  </w:r>
                </w:p>
              </w:tc>
              <w:tc>
                <w:tcPr>
                  <w:tcW w:w="616" w:type="pct"/>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HW12</w:t>
                  </w:r>
                </w:p>
              </w:tc>
              <w:tc>
                <w:tcPr>
                  <w:tcW w:w="746" w:type="pct"/>
                  <w:noWrap w:val="0"/>
                  <w:vAlign w:val="center"/>
                </w:tcPr>
                <w:p>
                  <w:pPr>
                    <w:pStyle w:val="58"/>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bidi="ar-SA"/>
                    </w:rPr>
                    <w:t>900-250-12</w:t>
                  </w:r>
                </w:p>
              </w:tc>
              <w:tc>
                <w:tcPr>
                  <w:tcW w:w="696" w:type="pct"/>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0.06</w:t>
                  </w:r>
                </w:p>
              </w:tc>
              <w:tc>
                <w:tcPr>
                  <w:tcW w:w="500" w:type="pct"/>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50</w:t>
                  </w:r>
                </w:p>
              </w:tc>
              <w:tc>
                <w:tcPr>
                  <w:tcW w:w="651" w:type="pct"/>
                  <w:noWrap w:val="0"/>
                  <w:vAlign w:val="center"/>
                </w:tcPr>
                <w:p>
                  <w:pPr>
                    <w:keepNext w:val="0"/>
                    <w:keepLines w:val="0"/>
                    <w:pageBreakBefore w:val="0"/>
                    <w:widowControl/>
                    <w:suppressLineNumbers w:val="0"/>
                    <w:kinsoku/>
                    <w:wordWrap/>
                    <w:overflowPunct/>
                    <w:autoSpaceDE/>
                    <w:autoSpaceDN/>
                    <w:bidi w:val="0"/>
                    <w:adjustRightInd w:val="0"/>
                    <w:snapToGrid w:val="0"/>
                    <w:spacing w:line="240" w:lineRule="auto"/>
                    <w:jc w:val="center"/>
                    <w:textAlignment w:val="center"/>
                    <w:rPr>
                      <w:rFonts w:hint="default" w:ascii="Times New Roman" w:hAnsi="Times New Roman" w:cs="Times New Roman"/>
                      <w:color w:val="auto"/>
                      <w:sz w:val="21"/>
                      <w:szCs w:val="21"/>
                      <w:highlight w:val="none"/>
                    </w:rPr>
                  </w:pPr>
                  <w:r>
                    <w:rPr>
                      <w:rFonts w:hint="default" w:ascii="Times New Roman" w:hAnsi="Times New Roman" w:eastAsia="宋体" w:cs="Times New Roman"/>
                      <w:i w:val="0"/>
                      <w:iCs w:val="0"/>
                      <w:color w:val="auto"/>
                      <w:kern w:val="0"/>
                      <w:sz w:val="21"/>
                      <w:szCs w:val="21"/>
                      <w:highlight w:val="none"/>
                      <w:u w:val="none"/>
                      <w:lang w:val="en-US" w:eastAsia="zh-CN" w:bidi="ar"/>
                    </w:rPr>
                    <w:t>0.0012</w:t>
                  </w:r>
                </w:p>
              </w:tc>
              <w:tc>
                <w:tcPr>
                  <w:tcW w:w="441" w:type="pct"/>
                  <w:vMerge w:val="continue"/>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355" w:hRule="atLeast"/>
              </w:trPr>
              <w:tc>
                <w:tcPr>
                  <w:tcW w:w="407" w:type="pct"/>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4</w:t>
                  </w:r>
                </w:p>
              </w:tc>
              <w:tc>
                <w:tcPr>
                  <w:tcW w:w="939" w:type="pct"/>
                  <w:tcBorders>
                    <w:bottom w:val="single" w:color="auto" w:sz="4" w:space="0"/>
                  </w:tcBorders>
                  <w:noWrap w:val="0"/>
                  <w:vAlign w:val="center"/>
                </w:tcPr>
                <w:p>
                  <w:pPr>
                    <w:pStyle w:val="81"/>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废稀释剂桶</w:t>
                  </w:r>
                </w:p>
              </w:tc>
              <w:tc>
                <w:tcPr>
                  <w:tcW w:w="616" w:type="pct"/>
                  <w:tcBorders>
                    <w:bottom w:val="single" w:color="auto" w:sz="4" w:space="0"/>
                  </w:tcBorders>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HW12</w:t>
                  </w:r>
                </w:p>
              </w:tc>
              <w:tc>
                <w:tcPr>
                  <w:tcW w:w="746" w:type="pct"/>
                  <w:tcBorders>
                    <w:bottom w:val="single" w:color="auto" w:sz="4" w:space="0"/>
                  </w:tcBorders>
                  <w:noWrap w:val="0"/>
                  <w:vAlign w:val="center"/>
                </w:tcPr>
                <w:p>
                  <w:pPr>
                    <w:pStyle w:val="58"/>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900-250-12</w:t>
                  </w:r>
                </w:p>
              </w:tc>
              <w:tc>
                <w:tcPr>
                  <w:tcW w:w="696" w:type="pct"/>
                  <w:tcBorders>
                    <w:bottom w:val="single" w:color="auto" w:sz="4" w:space="0"/>
                  </w:tcBorders>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0.01</w:t>
                  </w:r>
                </w:p>
              </w:tc>
              <w:tc>
                <w:tcPr>
                  <w:tcW w:w="500" w:type="pct"/>
                  <w:tcBorders>
                    <w:bottom w:val="single" w:color="auto" w:sz="4" w:space="0"/>
                  </w:tcBorders>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50</w:t>
                  </w:r>
                </w:p>
              </w:tc>
              <w:tc>
                <w:tcPr>
                  <w:tcW w:w="651" w:type="pct"/>
                  <w:noWrap w:val="0"/>
                  <w:vAlign w:val="center"/>
                </w:tcPr>
                <w:p>
                  <w:pPr>
                    <w:keepNext w:val="0"/>
                    <w:keepLines w:val="0"/>
                    <w:pageBreakBefore w:val="0"/>
                    <w:widowControl/>
                    <w:suppressLineNumbers w:val="0"/>
                    <w:kinsoku/>
                    <w:wordWrap/>
                    <w:overflowPunct/>
                    <w:autoSpaceDE/>
                    <w:autoSpaceDN/>
                    <w:bidi w:val="0"/>
                    <w:adjustRightInd w:val="0"/>
                    <w:snapToGrid w:val="0"/>
                    <w:spacing w:line="240" w:lineRule="auto"/>
                    <w:jc w:val="center"/>
                    <w:textAlignment w:val="center"/>
                    <w:rPr>
                      <w:rFonts w:hint="default" w:ascii="Times New Roman" w:hAnsi="Times New Roman" w:cs="Times New Roman"/>
                      <w:color w:val="auto"/>
                      <w:sz w:val="21"/>
                      <w:szCs w:val="21"/>
                      <w:highlight w:val="none"/>
                    </w:rPr>
                  </w:pPr>
                  <w:r>
                    <w:rPr>
                      <w:rFonts w:hint="default" w:ascii="Times New Roman" w:hAnsi="Times New Roman" w:eastAsia="宋体" w:cs="Times New Roman"/>
                      <w:i w:val="0"/>
                      <w:iCs w:val="0"/>
                      <w:color w:val="auto"/>
                      <w:kern w:val="0"/>
                      <w:sz w:val="21"/>
                      <w:szCs w:val="21"/>
                      <w:highlight w:val="none"/>
                      <w:u w:val="none"/>
                      <w:lang w:val="en-US" w:eastAsia="zh-CN" w:bidi="ar"/>
                    </w:rPr>
                    <w:t>0.0002</w:t>
                  </w:r>
                </w:p>
              </w:tc>
              <w:tc>
                <w:tcPr>
                  <w:tcW w:w="441" w:type="pct"/>
                  <w:vMerge w:val="continue"/>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340" w:hRule="atLeast"/>
              </w:trPr>
              <w:tc>
                <w:tcPr>
                  <w:tcW w:w="407" w:type="pct"/>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6</w:t>
                  </w:r>
                </w:p>
              </w:tc>
              <w:tc>
                <w:tcPr>
                  <w:tcW w:w="939" w:type="pct"/>
                  <w:tcBorders>
                    <w:top w:val="single" w:color="auto" w:sz="4" w:space="0"/>
                    <w:bottom w:val="single" w:color="auto" w:sz="4" w:space="0"/>
                  </w:tcBorders>
                  <w:noWrap w:val="0"/>
                  <w:vAlign w:val="center"/>
                </w:tcPr>
                <w:p>
                  <w:pPr>
                    <w:pStyle w:val="81"/>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漆渣</w:t>
                  </w:r>
                </w:p>
              </w:tc>
              <w:tc>
                <w:tcPr>
                  <w:tcW w:w="616" w:type="pct"/>
                  <w:tcBorders>
                    <w:top w:val="single" w:color="auto" w:sz="4" w:space="0"/>
                    <w:bottom w:val="single" w:color="auto" w:sz="4" w:space="0"/>
                  </w:tcBorders>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HW12</w:t>
                  </w:r>
                </w:p>
              </w:tc>
              <w:tc>
                <w:tcPr>
                  <w:tcW w:w="746" w:type="pct"/>
                  <w:tcBorders>
                    <w:top w:val="single" w:color="auto" w:sz="4" w:space="0"/>
                    <w:bottom w:val="single" w:color="auto" w:sz="4" w:space="0"/>
                  </w:tcBorders>
                  <w:noWrap w:val="0"/>
                  <w:vAlign w:val="center"/>
                </w:tcPr>
                <w:p>
                  <w:pPr>
                    <w:pStyle w:val="58"/>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900-250-12</w:t>
                  </w:r>
                </w:p>
              </w:tc>
              <w:tc>
                <w:tcPr>
                  <w:tcW w:w="696" w:type="pct"/>
                  <w:tcBorders>
                    <w:top w:val="single" w:color="auto" w:sz="4" w:space="0"/>
                    <w:bottom w:val="single" w:color="auto" w:sz="4" w:space="0"/>
                  </w:tcBorders>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0.</w:t>
                  </w:r>
                  <w:r>
                    <w:rPr>
                      <w:rFonts w:hint="eastAsia" w:cs="Times New Roman"/>
                      <w:color w:val="auto"/>
                      <w:sz w:val="21"/>
                      <w:szCs w:val="21"/>
                      <w:highlight w:val="none"/>
                      <w:lang w:val="en-US" w:eastAsia="zh-CN"/>
                    </w:rPr>
                    <w:t>13</w:t>
                  </w:r>
                </w:p>
              </w:tc>
              <w:tc>
                <w:tcPr>
                  <w:tcW w:w="500" w:type="pct"/>
                  <w:tcBorders>
                    <w:top w:val="single" w:color="auto" w:sz="4" w:space="0"/>
                    <w:bottom w:val="single" w:color="auto" w:sz="4" w:space="0"/>
                  </w:tcBorders>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50</w:t>
                  </w:r>
                </w:p>
              </w:tc>
              <w:tc>
                <w:tcPr>
                  <w:tcW w:w="651" w:type="pct"/>
                  <w:noWrap w:val="0"/>
                  <w:vAlign w:val="center"/>
                </w:tcPr>
                <w:p>
                  <w:pPr>
                    <w:keepNext w:val="0"/>
                    <w:keepLines w:val="0"/>
                    <w:pageBreakBefore w:val="0"/>
                    <w:widowControl/>
                    <w:suppressLineNumbers w:val="0"/>
                    <w:kinsoku/>
                    <w:wordWrap/>
                    <w:overflowPunct/>
                    <w:autoSpaceDE/>
                    <w:autoSpaceDN/>
                    <w:bidi w:val="0"/>
                    <w:adjustRightInd w:val="0"/>
                    <w:snapToGrid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0.00</w:t>
                  </w:r>
                  <w:r>
                    <w:rPr>
                      <w:rFonts w:hint="eastAsia" w:cs="Times New Roman"/>
                      <w:i w:val="0"/>
                      <w:iCs w:val="0"/>
                      <w:color w:val="auto"/>
                      <w:kern w:val="0"/>
                      <w:sz w:val="21"/>
                      <w:szCs w:val="21"/>
                      <w:highlight w:val="none"/>
                      <w:u w:val="none"/>
                      <w:lang w:val="en-US" w:eastAsia="zh-CN" w:bidi="ar"/>
                    </w:rPr>
                    <w:t>26</w:t>
                  </w:r>
                </w:p>
              </w:tc>
              <w:tc>
                <w:tcPr>
                  <w:tcW w:w="441" w:type="pct"/>
                  <w:vMerge w:val="continue"/>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340" w:hRule="atLeast"/>
              </w:trPr>
              <w:tc>
                <w:tcPr>
                  <w:tcW w:w="685" w:type="dxa"/>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6</w:t>
                  </w:r>
                </w:p>
              </w:tc>
              <w:tc>
                <w:tcPr>
                  <w:tcW w:w="939" w:type="pct"/>
                  <w:tcBorders>
                    <w:top w:val="single" w:color="auto" w:sz="4" w:space="0"/>
                  </w:tcBorders>
                  <w:noWrap w:val="0"/>
                  <w:vAlign w:val="center"/>
                </w:tcPr>
                <w:p>
                  <w:pPr>
                    <w:pStyle w:val="81"/>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废润滑油</w:t>
                  </w:r>
                </w:p>
              </w:tc>
              <w:tc>
                <w:tcPr>
                  <w:tcW w:w="616" w:type="pct"/>
                  <w:vMerge w:val="restart"/>
                  <w:tcBorders>
                    <w:top w:val="single" w:color="auto" w:sz="4" w:space="0"/>
                  </w:tcBorders>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rPr>
                    <w:t>HW08</w:t>
                  </w:r>
                </w:p>
              </w:tc>
              <w:tc>
                <w:tcPr>
                  <w:tcW w:w="746" w:type="pct"/>
                  <w:tcBorders>
                    <w:top w:val="single" w:color="auto" w:sz="4" w:space="0"/>
                  </w:tcBorders>
                  <w:noWrap w:val="0"/>
                  <w:vAlign w:val="center"/>
                </w:tcPr>
                <w:p>
                  <w:pPr>
                    <w:pStyle w:val="58"/>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bidi="ar-SA"/>
                    </w:rPr>
                    <w:t>900-218-08</w:t>
                  </w:r>
                </w:p>
              </w:tc>
              <w:tc>
                <w:tcPr>
                  <w:tcW w:w="696" w:type="pct"/>
                  <w:vMerge w:val="restart"/>
                  <w:tcBorders>
                    <w:top w:val="single" w:color="auto" w:sz="4" w:space="0"/>
                  </w:tcBorders>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0.06</w:t>
                  </w:r>
                </w:p>
              </w:tc>
              <w:tc>
                <w:tcPr>
                  <w:tcW w:w="500" w:type="pct"/>
                  <w:vMerge w:val="restart"/>
                  <w:tcBorders>
                    <w:top w:val="single" w:color="auto" w:sz="4" w:space="0"/>
                  </w:tcBorders>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50</w:t>
                  </w:r>
                </w:p>
              </w:tc>
              <w:tc>
                <w:tcPr>
                  <w:tcW w:w="651" w:type="pct"/>
                  <w:vMerge w:val="restart"/>
                  <w:noWrap w:val="0"/>
                  <w:vAlign w:val="center"/>
                </w:tcPr>
                <w:p>
                  <w:pPr>
                    <w:keepNext w:val="0"/>
                    <w:keepLines w:val="0"/>
                    <w:pageBreakBefore w:val="0"/>
                    <w:widowControl/>
                    <w:suppressLineNumbers w:val="0"/>
                    <w:kinsoku/>
                    <w:wordWrap/>
                    <w:overflowPunct/>
                    <w:autoSpaceDE/>
                    <w:autoSpaceDN/>
                    <w:bidi w:val="0"/>
                    <w:adjustRightInd w:val="0"/>
                    <w:snapToGrid w:val="0"/>
                    <w:spacing w:line="240" w:lineRule="auto"/>
                    <w:jc w:val="center"/>
                    <w:textAlignment w:val="center"/>
                    <w:rPr>
                      <w:rFonts w:hint="default" w:ascii="Times New Roman" w:hAnsi="Times New Roman"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0.0012</w:t>
                  </w:r>
                </w:p>
              </w:tc>
              <w:tc>
                <w:tcPr>
                  <w:tcW w:w="441" w:type="pct"/>
                  <w:vMerge w:val="continue"/>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340" w:hRule="atLeast"/>
              </w:trPr>
              <w:tc>
                <w:tcPr>
                  <w:tcW w:w="685" w:type="dxa"/>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7</w:t>
                  </w:r>
                </w:p>
              </w:tc>
              <w:tc>
                <w:tcPr>
                  <w:tcW w:w="939" w:type="pct"/>
                  <w:noWrap w:val="0"/>
                  <w:vAlign w:val="center"/>
                </w:tcPr>
                <w:p>
                  <w:pPr>
                    <w:pStyle w:val="81"/>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废液压油</w:t>
                  </w:r>
                </w:p>
              </w:tc>
              <w:tc>
                <w:tcPr>
                  <w:tcW w:w="616" w:type="pct"/>
                  <w:vMerge w:val="continue"/>
                  <w:noWrap w:val="0"/>
                  <w:vAlign w:val="center"/>
                </w:tcPr>
                <w:p>
                  <w:pPr>
                    <w:pStyle w:val="106"/>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746" w:type="pct"/>
                  <w:noWrap w:val="0"/>
                  <w:vAlign w:val="center"/>
                </w:tcPr>
                <w:p>
                  <w:pPr>
                    <w:pStyle w:val="58"/>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lang w:val="en-US" w:eastAsia="zh-CN" w:bidi="ar-SA"/>
                    </w:rPr>
                  </w:pPr>
                  <w:r>
                    <w:rPr>
                      <w:rFonts w:hint="default" w:ascii="Times New Roman" w:hAnsi="Times New Roman" w:cs="Times New Roman"/>
                      <w:color w:val="auto"/>
                      <w:sz w:val="21"/>
                      <w:szCs w:val="21"/>
                      <w:highlight w:val="none"/>
                      <w:lang w:val="en-US" w:eastAsia="zh-CN" w:bidi="ar-SA"/>
                    </w:rPr>
                    <w:t>900-218-08</w:t>
                  </w:r>
                </w:p>
              </w:tc>
              <w:tc>
                <w:tcPr>
                  <w:tcW w:w="696" w:type="pct"/>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p>
              </w:tc>
              <w:tc>
                <w:tcPr>
                  <w:tcW w:w="500" w:type="pct"/>
                  <w:vMerge w:val="continue"/>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p>
              </w:tc>
              <w:tc>
                <w:tcPr>
                  <w:tcW w:w="651" w:type="pct"/>
                  <w:vMerge w:val="continue"/>
                  <w:noWrap w:val="0"/>
                  <w:vAlign w:val="center"/>
                </w:tcPr>
                <w:p>
                  <w:pPr>
                    <w:keepNext w:val="0"/>
                    <w:keepLines w:val="0"/>
                    <w:pageBreakBefore w:val="0"/>
                    <w:kinsoku/>
                    <w:wordWrap/>
                    <w:overflowPunct/>
                    <w:autoSpaceDE/>
                    <w:autoSpaceDN/>
                    <w:bidi w:val="0"/>
                    <w:adjustRightInd w:val="0"/>
                    <w:snapToGrid w:val="0"/>
                    <w:spacing w:line="240" w:lineRule="auto"/>
                    <w:jc w:val="center"/>
                    <w:rPr>
                      <w:rFonts w:hint="default" w:ascii="Times New Roman" w:hAnsi="Times New Roman" w:cs="Times New Roman"/>
                      <w:color w:val="auto"/>
                      <w:sz w:val="21"/>
                      <w:szCs w:val="21"/>
                      <w:highlight w:val="none"/>
                      <w:lang w:val="en-US" w:eastAsia="zh-CN"/>
                    </w:rPr>
                  </w:pPr>
                </w:p>
              </w:tc>
              <w:tc>
                <w:tcPr>
                  <w:tcW w:w="441" w:type="pct"/>
                  <w:vMerge w:val="continue"/>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340" w:hRule="atLeast"/>
              </w:trPr>
              <w:tc>
                <w:tcPr>
                  <w:tcW w:w="685" w:type="dxa"/>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8</w:t>
                  </w:r>
                </w:p>
              </w:tc>
              <w:tc>
                <w:tcPr>
                  <w:tcW w:w="939" w:type="pct"/>
                  <w:noWrap w:val="0"/>
                  <w:vAlign w:val="center"/>
                </w:tcPr>
                <w:p>
                  <w:pPr>
                    <w:pStyle w:val="81"/>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废机油</w:t>
                  </w:r>
                </w:p>
              </w:tc>
              <w:tc>
                <w:tcPr>
                  <w:tcW w:w="616" w:type="pct"/>
                  <w:vMerge w:val="continue"/>
                  <w:noWrap w:val="0"/>
                  <w:vAlign w:val="center"/>
                </w:tcPr>
                <w:p>
                  <w:pPr>
                    <w:pStyle w:val="106"/>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746" w:type="pct"/>
                  <w:noWrap w:val="0"/>
                  <w:vAlign w:val="center"/>
                </w:tcPr>
                <w:p>
                  <w:pPr>
                    <w:pStyle w:val="58"/>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lang w:val="en-US" w:eastAsia="zh-CN" w:bidi="ar-SA"/>
                    </w:rPr>
                  </w:pPr>
                  <w:r>
                    <w:rPr>
                      <w:rFonts w:hint="default" w:ascii="Times New Roman" w:hAnsi="Times New Roman" w:cs="Times New Roman"/>
                      <w:color w:val="auto"/>
                      <w:sz w:val="21"/>
                      <w:szCs w:val="21"/>
                      <w:highlight w:val="none"/>
                      <w:lang w:val="en-US" w:eastAsia="zh-CN" w:bidi="ar-SA"/>
                    </w:rPr>
                    <w:t>900-218-08</w:t>
                  </w:r>
                </w:p>
              </w:tc>
              <w:tc>
                <w:tcPr>
                  <w:tcW w:w="696" w:type="pct"/>
                  <w:vMerge w:val="continue"/>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p>
              </w:tc>
              <w:tc>
                <w:tcPr>
                  <w:tcW w:w="500" w:type="pct"/>
                  <w:vMerge w:val="continue"/>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p>
              </w:tc>
              <w:tc>
                <w:tcPr>
                  <w:tcW w:w="651" w:type="pct"/>
                  <w:vMerge w:val="continue"/>
                  <w:noWrap w:val="0"/>
                  <w:vAlign w:val="center"/>
                </w:tcPr>
                <w:p>
                  <w:pPr>
                    <w:keepNext w:val="0"/>
                    <w:keepLines w:val="0"/>
                    <w:pageBreakBefore w:val="0"/>
                    <w:kinsoku/>
                    <w:wordWrap/>
                    <w:overflowPunct/>
                    <w:autoSpaceDE/>
                    <w:autoSpaceDN/>
                    <w:bidi w:val="0"/>
                    <w:adjustRightInd w:val="0"/>
                    <w:snapToGrid w:val="0"/>
                    <w:spacing w:line="240" w:lineRule="auto"/>
                    <w:jc w:val="center"/>
                    <w:rPr>
                      <w:rFonts w:hint="default" w:ascii="Times New Roman" w:hAnsi="Times New Roman" w:cs="Times New Roman"/>
                      <w:color w:val="auto"/>
                      <w:sz w:val="21"/>
                      <w:szCs w:val="21"/>
                      <w:highlight w:val="none"/>
                      <w:lang w:val="en-US" w:eastAsia="zh-CN"/>
                    </w:rPr>
                  </w:pPr>
                </w:p>
              </w:tc>
              <w:tc>
                <w:tcPr>
                  <w:tcW w:w="441" w:type="pct"/>
                  <w:vMerge w:val="continue"/>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340" w:hRule="atLeast"/>
              </w:trPr>
              <w:tc>
                <w:tcPr>
                  <w:tcW w:w="685" w:type="dxa"/>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9</w:t>
                  </w:r>
                </w:p>
              </w:tc>
              <w:tc>
                <w:tcPr>
                  <w:tcW w:w="939" w:type="pct"/>
                  <w:noWrap w:val="0"/>
                  <w:vAlign w:val="center"/>
                </w:tcPr>
                <w:p>
                  <w:pPr>
                    <w:pStyle w:val="81"/>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废油桶</w:t>
                  </w:r>
                </w:p>
              </w:tc>
              <w:tc>
                <w:tcPr>
                  <w:tcW w:w="616" w:type="pct"/>
                  <w:noWrap w:val="0"/>
                  <w:vAlign w:val="center"/>
                </w:tcPr>
                <w:p>
                  <w:pPr>
                    <w:pStyle w:val="106"/>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HW08</w:t>
                  </w:r>
                </w:p>
              </w:tc>
              <w:tc>
                <w:tcPr>
                  <w:tcW w:w="746" w:type="pct"/>
                  <w:noWrap w:val="0"/>
                  <w:vAlign w:val="center"/>
                </w:tcPr>
                <w:p>
                  <w:pPr>
                    <w:pStyle w:val="58"/>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lang w:val="en-US" w:eastAsia="zh-CN" w:bidi="ar-SA"/>
                    </w:rPr>
                  </w:pPr>
                  <w:r>
                    <w:rPr>
                      <w:rFonts w:hint="default" w:ascii="Times New Roman" w:hAnsi="Times New Roman" w:cs="Times New Roman"/>
                      <w:color w:val="auto"/>
                      <w:sz w:val="21"/>
                      <w:szCs w:val="21"/>
                      <w:highlight w:val="none"/>
                      <w:lang w:val="en-US" w:eastAsia="zh-CN" w:bidi="ar-SA"/>
                    </w:rPr>
                    <w:t>900-249-08</w:t>
                  </w:r>
                </w:p>
              </w:tc>
              <w:tc>
                <w:tcPr>
                  <w:tcW w:w="696" w:type="pct"/>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0.6</w:t>
                  </w:r>
                </w:p>
              </w:tc>
              <w:tc>
                <w:tcPr>
                  <w:tcW w:w="500" w:type="pct"/>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50</w:t>
                  </w:r>
                </w:p>
              </w:tc>
              <w:tc>
                <w:tcPr>
                  <w:tcW w:w="651" w:type="pct"/>
                  <w:noWrap w:val="0"/>
                  <w:vAlign w:val="center"/>
                </w:tcPr>
                <w:p>
                  <w:pPr>
                    <w:keepNext w:val="0"/>
                    <w:keepLines w:val="0"/>
                    <w:pageBreakBefore w:val="0"/>
                    <w:widowControl/>
                    <w:suppressLineNumbers w:val="0"/>
                    <w:kinsoku/>
                    <w:wordWrap/>
                    <w:overflowPunct/>
                    <w:autoSpaceDE/>
                    <w:autoSpaceDN/>
                    <w:bidi w:val="0"/>
                    <w:adjustRightInd w:val="0"/>
                    <w:snapToGrid w:val="0"/>
                    <w:spacing w:line="240" w:lineRule="auto"/>
                    <w:jc w:val="center"/>
                    <w:textAlignment w:val="center"/>
                    <w:rPr>
                      <w:rFonts w:hint="default" w:ascii="Times New Roman" w:hAnsi="Times New Roman"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0.012</w:t>
                  </w:r>
                </w:p>
              </w:tc>
              <w:tc>
                <w:tcPr>
                  <w:tcW w:w="441" w:type="pct"/>
                  <w:vMerge w:val="continue"/>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340" w:hRule="atLeast"/>
              </w:trPr>
              <w:tc>
                <w:tcPr>
                  <w:tcW w:w="685" w:type="dxa"/>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10</w:t>
                  </w:r>
                </w:p>
              </w:tc>
              <w:tc>
                <w:tcPr>
                  <w:tcW w:w="939" w:type="pct"/>
                  <w:noWrap w:val="0"/>
                  <w:vAlign w:val="center"/>
                </w:tcPr>
                <w:p>
                  <w:pPr>
                    <w:pStyle w:val="81"/>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含油抹布</w:t>
                  </w:r>
                </w:p>
              </w:tc>
              <w:tc>
                <w:tcPr>
                  <w:tcW w:w="616" w:type="pct"/>
                  <w:noWrap w:val="0"/>
                  <w:vAlign w:val="center"/>
                </w:tcPr>
                <w:p>
                  <w:pPr>
                    <w:pStyle w:val="106"/>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HW49</w:t>
                  </w:r>
                </w:p>
              </w:tc>
              <w:tc>
                <w:tcPr>
                  <w:tcW w:w="746" w:type="pct"/>
                  <w:noWrap w:val="0"/>
                  <w:vAlign w:val="center"/>
                </w:tcPr>
                <w:p>
                  <w:pPr>
                    <w:pStyle w:val="58"/>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900-039-49</w:t>
                  </w:r>
                </w:p>
              </w:tc>
              <w:tc>
                <w:tcPr>
                  <w:tcW w:w="696" w:type="pct"/>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0.021</w:t>
                  </w:r>
                </w:p>
              </w:tc>
              <w:tc>
                <w:tcPr>
                  <w:tcW w:w="500" w:type="pct"/>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50</w:t>
                  </w:r>
                </w:p>
              </w:tc>
              <w:tc>
                <w:tcPr>
                  <w:tcW w:w="651" w:type="pct"/>
                  <w:tcBorders>
                    <w:bottom w:val="single" w:color="auto" w:sz="4" w:space="0"/>
                  </w:tcBorders>
                  <w:noWrap w:val="0"/>
                  <w:vAlign w:val="center"/>
                </w:tcPr>
                <w:p>
                  <w:pPr>
                    <w:keepNext w:val="0"/>
                    <w:keepLines w:val="0"/>
                    <w:pageBreakBefore w:val="0"/>
                    <w:widowControl/>
                    <w:suppressLineNumbers w:val="0"/>
                    <w:kinsoku/>
                    <w:wordWrap/>
                    <w:overflowPunct/>
                    <w:autoSpaceDE/>
                    <w:autoSpaceDN/>
                    <w:bidi w:val="0"/>
                    <w:adjustRightInd w:val="0"/>
                    <w:snapToGrid w:val="0"/>
                    <w:spacing w:line="240" w:lineRule="auto"/>
                    <w:jc w:val="center"/>
                    <w:textAlignment w:val="center"/>
                    <w:rPr>
                      <w:rFonts w:hint="default" w:ascii="Times New Roman" w:hAnsi="Times New Roman"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0.00042</w:t>
                  </w:r>
                </w:p>
              </w:tc>
              <w:tc>
                <w:tcPr>
                  <w:tcW w:w="441" w:type="pct"/>
                  <w:vMerge w:val="continue"/>
                  <w:tcBorders>
                    <w:bottom w:val="single" w:color="auto" w:sz="4" w:space="0"/>
                  </w:tcBorders>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340" w:hRule="atLeast"/>
              </w:trPr>
              <w:tc>
                <w:tcPr>
                  <w:tcW w:w="685" w:type="dxa"/>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11</w:t>
                  </w:r>
                </w:p>
              </w:tc>
              <w:tc>
                <w:tcPr>
                  <w:tcW w:w="939" w:type="pct"/>
                  <w:noWrap w:val="0"/>
                  <w:vAlign w:val="center"/>
                </w:tcPr>
                <w:p>
                  <w:pPr>
                    <w:pStyle w:val="81"/>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润滑油</w:t>
                  </w:r>
                </w:p>
              </w:tc>
              <w:tc>
                <w:tcPr>
                  <w:tcW w:w="616" w:type="pct"/>
                  <w:noWrap w:val="0"/>
                  <w:vAlign w:val="center"/>
                </w:tcPr>
                <w:p>
                  <w:pPr>
                    <w:pStyle w:val="106"/>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w:t>
                  </w:r>
                </w:p>
              </w:tc>
              <w:tc>
                <w:tcPr>
                  <w:tcW w:w="746" w:type="pct"/>
                  <w:noWrap w:val="0"/>
                  <w:vAlign w:val="center"/>
                </w:tcPr>
                <w:p>
                  <w:pPr>
                    <w:pStyle w:val="58"/>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w:t>
                  </w:r>
                </w:p>
              </w:tc>
              <w:tc>
                <w:tcPr>
                  <w:tcW w:w="696" w:type="pct"/>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0.15</w:t>
                  </w:r>
                </w:p>
              </w:tc>
              <w:tc>
                <w:tcPr>
                  <w:tcW w:w="500" w:type="pct"/>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2500</w:t>
                  </w:r>
                </w:p>
              </w:tc>
              <w:tc>
                <w:tcPr>
                  <w:tcW w:w="651" w:type="pct"/>
                  <w:tcBorders>
                    <w:top w:val="single" w:color="auto" w:sz="4" w:space="0"/>
                  </w:tcBorders>
                  <w:noWrap w:val="0"/>
                  <w:vAlign w:val="center"/>
                </w:tcPr>
                <w:p>
                  <w:pPr>
                    <w:keepNext w:val="0"/>
                    <w:keepLines w:val="0"/>
                    <w:pageBreakBefore w:val="0"/>
                    <w:widowControl/>
                    <w:suppressLineNumbers w:val="0"/>
                    <w:kinsoku/>
                    <w:wordWrap/>
                    <w:overflowPunct/>
                    <w:autoSpaceDE/>
                    <w:autoSpaceDN/>
                    <w:bidi w:val="0"/>
                    <w:adjustRightInd w:val="0"/>
                    <w:snapToGrid w:val="0"/>
                    <w:spacing w:line="240" w:lineRule="auto"/>
                    <w:jc w:val="center"/>
                    <w:textAlignment w:val="center"/>
                    <w:rPr>
                      <w:rFonts w:hint="default" w:ascii="Times New Roman" w:hAnsi="Times New Roman"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0.00006</w:t>
                  </w:r>
                </w:p>
              </w:tc>
              <w:tc>
                <w:tcPr>
                  <w:tcW w:w="441" w:type="pct"/>
                  <w:vMerge w:val="restart"/>
                  <w:tcBorders>
                    <w:top w:val="single" w:color="auto" w:sz="4" w:space="0"/>
                  </w:tcBorders>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库房</w:t>
                  </w:r>
                </w:p>
              </w:tc>
            </w:tr>
            <w:tr>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340" w:hRule="atLeast"/>
              </w:trPr>
              <w:tc>
                <w:tcPr>
                  <w:tcW w:w="685" w:type="dxa"/>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12</w:t>
                  </w:r>
                </w:p>
              </w:tc>
              <w:tc>
                <w:tcPr>
                  <w:tcW w:w="939" w:type="pct"/>
                  <w:noWrap w:val="0"/>
                  <w:vAlign w:val="center"/>
                </w:tcPr>
                <w:p>
                  <w:pPr>
                    <w:pStyle w:val="81"/>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液压油</w:t>
                  </w:r>
                </w:p>
              </w:tc>
              <w:tc>
                <w:tcPr>
                  <w:tcW w:w="616" w:type="pct"/>
                  <w:noWrap w:val="0"/>
                  <w:vAlign w:val="center"/>
                </w:tcPr>
                <w:p>
                  <w:pPr>
                    <w:pStyle w:val="106"/>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w:t>
                  </w:r>
                </w:p>
              </w:tc>
              <w:tc>
                <w:tcPr>
                  <w:tcW w:w="746" w:type="pct"/>
                  <w:noWrap w:val="0"/>
                  <w:vAlign w:val="center"/>
                </w:tcPr>
                <w:p>
                  <w:pPr>
                    <w:pStyle w:val="58"/>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w:t>
                  </w:r>
                </w:p>
              </w:tc>
              <w:tc>
                <w:tcPr>
                  <w:tcW w:w="696" w:type="pct"/>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0.035</w:t>
                  </w:r>
                </w:p>
              </w:tc>
              <w:tc>
                <w:tcPr>
                  <w:tcW w:w="500" w:type="pct"/>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2500</w:t>
                  </w:r>
                </w:p>
              </w:tc>
              <w:tc>
                <w:tcPr>
                  <w:tcW w:w="651" w:type="pct"/>
                  <w:noWrap w:val="0"/>
                  <w:vAlign w:val="center"/>
                </w:tcPr>
                <w:p>
                  <w:pPr>
                    <w:keepNext w:val="0"/>
                    <w:keepLines w:val="0"/>
                    <w:pageBreakBefore w:val="0"/>
                    <w:widowControl/>
                    <w:suppressLineNumbers w:val="0"/>
                    <w:kinsoku/>
                    <w:wordWrap/>
                    <w:overflowPunct/>
                    <w:autoSpaceDE/>
                    <w:autoSpaceDN/>
                    <w:bidi w:val="0"/>
                    <w:adjustRightInd w:val="0"/>
                    <w:snapToGrid w:val="0"/>
                    <w:spacing w:line="240" w:lineRule="auto"/>
                    <w:jc w:val="center"/>
                    <w:textAlignment w:val="center"/>
                    <w:rPr>
                      <w:rFonts w:hint="default" w:ascii="Times New Roman" w:hAnsi="Times New Roman"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0.000014</w:t>
                  </w:r>
                </w:p>
              </w:tc>
              <w:tc>
                <w:tcPr>
                  <w:tcW w:w="441" w:type="pct"/>
                  <w:vMerge w:val="continue"/>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340" w:hRule="atLeast"/>
              </w:trPr>
              <w:tc>
                <w:tcPr>
                  <w:tcW w:w="685" w:type="dxa"/>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13</w:t>
                  </w:r>
                </w:p>
              </w:tc>
              <w:tc>
                <w:tcPr>
                  <w:tcW w:w="939" w:type="pct"/>
                  <w:noWrap w:val="0"/>
                  <w:vAlign w:val="center"/>
                </w:tcPr>
                <w:p>
                  <w:pPr>
                    <w:pStyle w:val="81"/>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机油</w:t>
                  </w:r>
                </w:p>
              </w:tc>
              <w:tc>
                <w:tcPr>
                  <w:tcW w:w="616" w:type="pct"/>
                  <w:noWrap w:val="0"/>
                  <w:vAlign w:val="center"/>
                </w:tcPr>
                <w:p>
                  <w:pPr>
                    <w:pStyle w:val="106"/>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w:t>
                  </w:r>
                </w:p>
              </w:tc>
              <w:tc>
                <w:tcPr>
                  <w:tcW w:w="746" w:type="pct"/>
                  <w:noWrap w:val="0"/>
                  <w:vAlign w:val="center"/>
                </w:tcPr>
                <w:p>
                  <w:pPr>
                    <w:pStyle w:val="58"/>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w:t>
                  </w:r>
                </w:p>
              </w:tc>
              <w:tc>
                <w:tcPr>
                  <w:tcW w:w="696" w:type="pct"/>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0.3</w:t>
                  </w:r>
                </w:p>
              </w:tc>
              <w:tc>
                <w:tcPr>
                  <w:tcW w:w="500" w:type="pct"/>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2500</w:t>
                  </w:r>
                </w:p>
              </w:tc>
              <w:tc>
                <w:tcPr>
                  <w:tcW w:w="651" w:type="pct"/>
                  <w:noWrap w:val="0"/>
                  <w:vAlign w:val="center"/>
                </w:tcPr>
                <w:p>
                  <w:pPr>
                    <w:keepNext w:val="0"/>
                    <w:keepLines w:val="0"/>
                    <w:pageBreakBefore w:val="0"/>
                    <w:widowControl/>
                    <w:suppressLineNumbers w:val="0"/>
                    <w:kinsoku/>
                    <w:wordWrap/>
                    <w:overflowPunct/>
                    <w:autoSpaceDE/>
                    <w:autoSpaceDN/>
                    <w:bidi w:val="0"/>
                    <w:adjustRightInd w:val="0"/>
                    <w:snapToGrid w:val="0"/>
                    <w:spacing w:line="240" w:lineRule="auto"/>
                    <w:jc w:val="center"/>
                    <w:textAlignment w:val="center"/>
                    <w:rPr>
                      <w:rFonts w:hint="default" w:ascii="Times New Roman" w:hAnsi="Times New Roman"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0.00012</w:t>
                  </w:r>
                </w:p>
              </w:tc>
              <w:tc>
                <w:tcPr>
                  <w:tcW w:w="441" w:type="pct"/>
                  <w:vMerge w:val="continue"/>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340" w:hRule="atLeast"/>
              </w:trPr>
              <w:tc>
                <w:tcPr>
                  <w:tcW w:w="685" w:type="dxa"/>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14</w:t>
                  </w:r>
                </w:p>
              </w:tc>
              <w:tc>
                <w:tcPr>
                  <w:tcW w:w="939" w:type="pct"/>
                  <w:noWrap w:val="0"/>
                  <w:vAlign w:val="center"/>
                </w:tcPr>
                <w:p>
                  <w:pPr>
                    <w:pStyle w:val="81"/>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油漆</w:t>
                  </w:r>
                </w:p>
              </w:tc>
              <w:tc>
                <w:tcPr>
                  <w:tcW w:w="616" w:type="pct"/>
                  <w:noWrap w:val="0"/>
                  <w:vAlign w:val="center"/>
                </w:tcPr>
                <w:p>
                  <w:pPr>
                    <w:pStyle w:val="106"/>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w:t>
                  </w:r>
                </w:p>
              </w:tc>
              <w:tc>
                <w:tcPr>
                  <w:tcW w:w="746" w:type="pct"/>
                  <w:noWrap w:val="0"/>
                  <w:vAlign w:val="center"/>
                </w:tcPr>
                <w:p>
                  <w:pPr>
                    <w:pStyle w:val="58"/>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w:t>
                  </w:r>
                </w:p>
              </w:tc>
              <w:tc>
                <w:tcPr>
                  <w:tcW w:w="696" w:type="pct"/>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1.25</w:t>
                  </w:r>
                </w:p>
              </w:tc>
              <w:tc>
                <w:tcPr>
                  <w:tcW w:w="500" w:type="pct"/>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10</w:t>
                  </w:r>
                </w:p>
              </w:tc>
              <w:tc>
                <w:tcPr>
                  <w:tcW w:w="651" w:type="pct"/>
                  <w:noWrap w:val="0"/>
                  <w:vAlign w:val="center"/>
                </w:tcPr>
                <w:p>
                  <w:pPr>
                    <w:keepNext w:val="0"/>
                    <w:keepLines w:val="0"/>
                    <w:pageBreakBefore w:val="0"/>
                    <w:widowControl/>
                    <w:suppressLineNumbers w:val="0"/>
                    <w:kinsoku/>
                    <w:wordWrap/>
                    <w:overflowPunct/>
                    <w:autoSpaceDE/>
                    <w:autoSpaceDN/>
                    <w:bidi w:val="0"/>
                    <w:adjustRightInd w:val="0"/>
                    <w:snapToGrid w:val="0"/>
                    <w:spacing w:line="240" w:lineRule="auto"/>
                    <w:jc w:val="center"/>
                    <w:textAlignment w:val="center"/>
                    <w:rPr>
                      <w:rFonts w:hint="default" w:ascii="Times New Roman" w:hAnsi="Times New Roman"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0.125</w:t>
                  </w:r>
                </w:p>
              </w:tc>
              <w:tc>
                <w:tcPr>
                  <w:tcW w:w="441" w:type="pct"/>
                  <w:vMerge w:val="continue"/>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340" w:hRule="atLeast"/>
              </w:trPr>
              <w:tc>
                <w:tcPr>
                  <w:tcW w:w="685" w:type="dxa"/>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15</w:t>
                  </w:r>
                </w:p>
              </w:tc>
              <w:tc>
                <w:tcPr>
                  <w:tcW w:w="939" w:type="pct"/>
                  <w:noWrap w:val="0"/>
                  <w:vAlign w:val="center"/>
                </w:tcPr>
                <w:p>
                  <w:pPr>
                    <w:pStyle w:val="81"/>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稀释剂</w:t>
                  </w:r>
                </w:p>
              </w:tc>
              <w:tc>
                <w:tcPr>
                  <w:tcW w:w="616" w:type="pct"/>
                  <w:noWrap w:val="0"/>
                  <w:vAlign w:val="center"/>
                </w:tcPr>
                <w:p>
                  <w:pPr>
                    <w:pStyle w:val="106"/>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w:t>
                  </w:r>
                </w:p>
              </w:tc>
              <w:tc>
                <w:tcPr>
                  <w:tcW w:w="746" w:type="pct"/>
                  <w:tcBorders>
                    <w:right w:val="single" w:color="auto" w:sz="4" w:space="0"/>
                  </w:tcBorders>
                  <w:noWrap w:val="0"/>
                  <w:vAlign w:val="center"/>
                </w:tcPr>
                <w:p>
                  <w:pPr>
                    <w:pStyle w:val="58"/>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w:t>
                  </w:r>
                </w:p>
              </w:tc>
              <w:tc>
                <w:tcPr>
                  <w:tcW w:w="696" w:type="pct"/>
                  <w:tcBorders>
                    <w:left w:val="single" w:color="auto" w:sz="4" w:space="0"/>
                  </w:tcBorders>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0.05</w:t>
                  </w:r>
                </w:p>
              </w:tc>
              <w:tc>
                <w:tcPr>
                  <w:tcW w:w="500" w:type="pct"/>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10</w:t>
                  </w:r>
                </w:p>
              </w:tc>
              <w:tc>
                <w:tcPr>
                  <w:tcW w:w="651" w:type="pct"/>
                  <w:tcBorders>
                    <w:bottom w:val="single" w:color="auto" w:sz="4" w:space="0"/>
                  </w:tcBorders>
                  <w:noWrap w:val="0"/>
                  <w:vAlign w:val="center"/>
                </w:tcPr>
                <w:p>
                  <w:pPr>
                    <w:keepNext w:val="0"/>
                    <w:keepLines w:val="0"/>
                    <w:pageBreakBefore w:val="0"/>
                    <w:widowControl/>
                    <w:suppressLineNumbers w:val="0"/>
                    <w:kinsoku/>
                    <w:wordWrap/>
                    <w:overflowPunct/>
                    <w:autoSpaceDE/>
                    <w:autoSpaceDN/>
                    <w:bidi w:val="0"/>
                    <w:adjustRightInd w:val="0"/>
                    <w:snapToGrid w:val="0"/>
                    <w:spacing w:line="240" w:lineRule="auto"/>
                    <w:jc w:val="center"/>
                    <w:textAlignment w:val="center"/>
                    <w:rPr>
                      <w:rFonts w:hint="default" w:ascii="Times New Roman" w:hAnsi="Times New Roman"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0.005</w:t>
                  </w:r>
                </w:p>
              </w:tc>
              <w:tc>
                <w:tcPr>
                  <w:tcW w:w="441" w:type="pct"/>
                  <w:vMerge w:val="continue"/>
                  <w:tcBorders>
                    <w:bottom w:val="single" w:color="auto" w:sz="4" w:space="0"/>
                  </w:tcBorders>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340" w:hRule="atLeast"/>
              </w:trPr>
              <w:tc>
                <w:tcPr>
                  <w:tcW w:w="685" w:type="dxa"/>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16</w:t>
                  </w:r>
                </w:p>
              </w:tc>
              <w:tc>
                <w:tcPr>
                  <w:tcW w:w="939" w:type="pct"/>
                  <w:noWrap w:val="0"/>
                  <w:vAlign w:val="center"/>
                </w:tcPr>
                <w:p>
                  <w:pPr>
                    <w:pStyle w:val="81"/>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丙烷</w:t>
                  </w:r>
                </w:p>
              </w:tc>
              <w:tc>
                <w:tcPr>
                  <w:tcW w:w="616" w:type="pct"/>
                  <w:noWrap w:val="0"/>
                  <w:vAlign w:val="center"/>
                </w:tcPr>
                <w:p>
                  <w:pPr>
                    <w:pStyle w:val="106"/>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w:t>
                  </w:r>
                </w:p>
              </w:tc>
              <w:tc>
                <w:tcPr>
                  <w:tcW w:w="746" w:type="pct"/>
                  <w:tcBorders>
                    <w:right w:val="single" w:color="auto" w:sz="4" w:space="0"/>
                  </w:tcBorders>
                  <w:noWrap w:val="0"/>
                  <w:vAlign w:val="center"/>
                </w:tcPr>
                <w:p>
                  <w:pPr>
                    <w:pStyle w:val="58"/>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w:t>
                  </w:r>
                </w:p>
              </w:tc>
              <w:tc>
                <w:tcPr>
                  <w:tcW w:w="696" w:type="pct"/>
                  <w:tcBorders>
                    <w:left w:val="single" w:color="auto" w:sz="4" w:space="0"/>
                  </w:tcBorders>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0.12</w:t>
                  </w:r>
                </w:p>
              </w:tc>
              <w:tc>
                <w:tcPr>
                  <w:tcW w:w="500" w:type="pct"/>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10</w:t>
                  </w:r>
                </w:p>
              </w:tc>
              <w:tc>
                <w:tcPr>
                  <w:tcW w:w="651" w:type="pct"/>
                  <w:tcBorders>
                    <w:bottom w:val="single" w:color="auto" w:sz="4" w:space="0"/>
                  </w:tcBorders>
                  <w:noWrap w:val="0"/>
                  <w:vAlign w:val="center"/>
                </w:tcPr>
                <w:p>
                  <w:pPr>
                    <w:keepNext w:val="0"/>
                    <w:keepLines w:val="0"/>
                    <w:pageBreakBefore w:val="0"/>
                    <w:widowControl/>
                    <w:suppressLineNumbers w:val="0"/>
                    <w:kinsoku/>
                    <w:wordWrap/>
                    <w:overflowPunct/>
                    <w:autoSpaceDE/>
                    <w:autoSpaceDN/>
                    <w:bidi w:val="0"/>
                    <w:adjustRightInd w:val="0"/>
                    <w:snapToGrid w:val="0"/>
                    <w:spacing w:line="240" w:lineRule="auto"/>
                    <w:jc w:val="center"/>
                    <w:textAlignment w:val="center"/>
                    <w:rPr>
                      <w:rFonts w:hint="default" w:ascii="Times New Roman" w:hAnsi="Times New Roman" w:eastAsia="宋体" w:cs="Times New Roman"/>
                      <w:i w:val="0"/>
                      <w:iCs w:val="0"/>
                      <w:color w:val="auto"/>
                      <w:kern w:val="0"/>
                      <w:sz w:val="21"/>
                      <w:szCs w:val="21"/>
                      <w:highlight w:val="none"/>
                      <w:u w:val="none"/>
                      <w:lang w:val="en-US" w:eastAsia="zh-CN" w:bidi="ar"/>
                    </w:rPr>
                  </w:pPr>
                  <w:r>
                    <w:rPr>
                      <w:rFonts w:hint="default" w:ascii="Times New Roman" w:hAnsi="Times New Roman" w:eastAsia="宋体" w:cs="Times New Roman"/>
                      <w:i w:val="0"/>
                      <w:iCs w:val="0"/>
                      <w:color w:val="auto"/>
                      <w:kern w:val="0"/>
                      <w:sz w:val="21"/>
                      <w:szCs w:val="21"/>
                      <w:highlight w:val="none"/>
                      <w:u w:val="none"/>
                      <w:lang w:val="en-US" w:eastAsia="zh-CN" w:bidi="ar"/>
                    </w:rPr>
                    <w:t>0.012</w:t>
                  </w:r>
                </w:p>
              </w:tc>
              <w:tc>
                <w:tcPr>
                  <w:tcW w:w="441" w:type="pct"/>
                  <w:tcBorders>
                    <w:bottom w:val="single" w:color="auto" w:sz="4" w:space="0"/>
                  </w:tcBorders>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270" w:hRule="atLeast"/>
              </w:trPr>
              <w:tc>
                <w:tcPr>
                  <w:tcW w:w="3906" w:type="pct"/>
                  <w:gridSpan w:val="6"/>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合计</w:t>
                  </w:r>
                </w:p>
              </w:tc>
              <w:tc>
                <w:tcPr>
                  <w:tcW w:w="651" w:type="pct"/>
                  <w:tcBorders>
                    <w:top w:val="single" w:color="auto" w:sz="4" w:space="0"/>
                  </w:tcBorders>
                  <w:noWrap w:val="0"/>
                  <w:vAlign w:val="center"/>
                </w:tcPr>
                <w:p>
                  <w:pPr>
                    <w:keepNext w:val="0"/>
                    <w:keepLines w:val="0"/>
                    <w:pageBreakBefore w:val="0"/>
                    <w:widowControl/>
                    <w:suppressLineNumbers w:val="0"/>
                    <w:kinsoku/>
                    <w:wordWrap/>
                    <w:overflowPunct/>
                    <w:autoSpaceDE/>
                    <w:autoSpaceDN/>
                    <w:bidi w:val="0"/>
                    <w:adjustRightInd w:val="0"/>
                    <w:snapToGrid w:val="0"/>
                    <w:spacing w:line="240" w:lineRule="auto"/>
                    <w:jc w:val="center"/>
                    <w:textAlignment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i w:val="0"/>
                      <w:iCs w:val="0"/>
                      <w:color w:val="auto"/>
                      <w:kern w:val="0"/>
                      <w:sz w:val="21"/>
                      <w:szCs w:val="21"/>
                      <w:highlight w:val="none"/>
                      <w:u w:val="none"/>
                      <w:lang w:val="en-US" w:eastAsia="zh-CN" w:bidi="ar"/>
                    </w:rPr>
                    <w:t>0.3</w:t>
                  </w:r>
                  <w:r>
                    <w:rPr>
                      <w:rFonts w:hint="eastAsia" w:cs="Times New Roman"/>
                      <w:i w:val="0"/>
                      <w:iCs w:val="0"/>
                      <w:color w:val="auto"/>
                      <w:kern w:val="0"/>
                      <w:sz w:val="21"/>
                      <w:szCs w:val="21"/>
                      <w:highlight w:val="none"/>
                      <w:u w:val="none"/>
                      <w:lang w:val="en-US" w:eastAsia="zh-CN" w:bidi="ar"/>
                    </w:rPr>
                    <w:t>59814</w:t>
                  </w:r>
                </w:p>
              </w:tc>
              <w:tc>
                <w:tcPr>
                  <w:tcW w:w="441" w:type="pct"/>
                  <w:tcBorders>
                    <w:top w:val="single" w:color="auto" w:sz="4" w:space="0"/>
                  </w:tcBorders>
                  <w:noWrap w:val="0"/>
                  <w:vAlign w:val="center"/>
                </w:tcPr>
                <w:p>
                  <w:pPr>
                    <w:keepNext w:val="0"/>
                    <w:keepLines w:val="0"/>
                    <w:pageBreakBefore w:val="0"/>
                    <w:widowControl w:val="0"/>
                    <w:kinsoku/>
                    <w:wordWrap/>
                    <w:overflowPunct/>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w:t>
                  </w:r>
                </w:p>
              </w:tc>
            </w:tr>
          </w:tbl>
          <w:p>
            <w:pPr>
              <w:pStyle w:val="12"/>
              <w:keepNext w:val="0"/>
              <w:keepLines w:val="0"/>
              <w:pageBreakBefore w:val="0"/>
              <w:widowControl w:val="0"/>
              <w:kinsoku/>
              <w:wordWrap/>
              <w:overflowPunct/>
              <w:topLinePunct w:val="0"/>
              <w:autoSpaceDE/>
              <w:autoSpaceDN/>
              <w:bidi w:val="0"/>
              <w:adjustRightInd w:val="0"/>
              <w:snapToGrid w:val="0"/>
              <w:spacing w:before="0" w:after="0" w:line="360" w:lineRule="auto"/>
              <w:ind w:firstLine="480"/>
              <w:textAlignment w:val="auto"/>
              <w:rPr>
                <w:rFonts w:hint="eastAsia" w:cs="Times New Roman"/>
                <w:color w:val="auto"/>
                <w:highlight w:val="none"/>
                <w:lang w:val="en-US" w:eastAsia="zh-CN"/>
              </w:rPr>
            </w:pPr>
            <w:r>
              <w:rPr>
                <w:color w:val="auto"/>
                <w:sz w:val="24"/>
                <w:highlight w:val="none"/>
              </w:rPr>
              <w:t>根据上表得</w:t>
            </w:r>
            <w:r>
              <w:rPr>
                <w:rFonts w:hint="eastAsia"/>
                <w:color w:val="auto"/>
                <w:sz w:val="24"/>
                <w:highlight w:val="none"/>
                <w:lang w:val="en-US" w:eastAsia="zh-CN"/>
              </w:rPr>
              <w:t>本项目建设完成后全厂</w:t>
            </w:r>
            <w:r>
              <w:rPr>
                <w:color w:val="auto"/>
                <w:sz w:val="24"/>
                <w:highlight w:val="none"/>
              </w:rPr>
              <w:t>危险物质数量与临界值比值</w:t>
            </w:r>
            <w:r>
              <w:rPr>
                <w:rFonts w:hint="eastAsia"/>
                <w:color w:val="auto"/>
                <w:sz w:val="24"/>
                <w:highlight w:val="none"/>
                <w:lang w:val="en-US" w:eastAsia="zh-CN"/>
              </w:rPr>
              <w:t>Q=0.359814</w:t>
            </w:r>
            <w:r>
              <w:rPr>
                <w:color w:val="auto"/>
                <w:sz w:val="24"/>
                <w:highlight w:val="none"/>
              </w:rPr>
              <w:t>＜1</w:t>
            </w:r>
            <w:r>
              <w:rPr>
                <w:rFonts w:hint="eastAsia"/>
                <w:color w:val="auto"/>
                <w:sz w:val="24"/>
                <w:highlight w:val="none"/>
                <w:lang w:eastAsia="zh-CN"/>
              </w:rPr>
              <w:t>。</w:t>
            </w:r>
            <w:r>
              <w:rPr>
                <w:color w:val="auto"/>
                <w:sz w:val="24"/>
                <w:highlight w:val="none"/>
              </w:rPr>
              <w:t>则本项目风险潜势为Ⅰ，</w:t>
            </w:r>
            <w:r>
              <w:rPr>
                <w:rFonts w:hint="eastAsia"/>
                <w:color w:val="auto"/>
                <w:sz w:val="24"/>
                <w:highlight w:val="none"/>
                <w:lang w:val="en-US" w:eastAsia="zh-CN"/>
              </w:rPr>
              <w:t>只需对</w:t>
            </w:r>
            <w:r>
              <w:rPr>
                <w:color w:val="auto"/>
                <w:sz w:val="24"/>
                <w:highlight w:val="none"/>
              </w:rPr>
              <w:t>项目展开简单分析。</w:t>
            </w:r>
          </w:p>
          <w:p>
            <w:pPr>
              <w:pStyle w:val="11"/>
              <w:bidi w:val="0"/>
              <w:rPr>
                <w:rFonts w:hint="default" w:ascii="Times New Roman" w:hAnsi="Times New Roman" w:cs="Times New Roman"/>
                <w:color w:val="auto"/>
                <w:highlight w:val="none"/>
                <w:lang w:val="en-US" w:eastAsia="zh-CN"/>
              </w:rPr>
            </w:pPr>
            <w:r>
              <w:rPr>
                <w:rFonts w:hint="eastAsia" w:cs="Times New Roman"/>
                <w:color w:val="auto"/>
                <w:highlight w:val="none"/>
                <w:lang w:val="en-US" w:eastAsia="zh-CN"/>
              </w:rPr>
              <w:t>6</w:t>
            </w:r>
            <w:r>
              <w:rPr>
                <w:rFonts w:hint="default" w:ascii="Times New Roman" w:hAnsi="Times New Roman" w:cs="Times New Roman"/>
                <w:color w:val="auto"/>
                <w:highlight w:val="none"/>
                <w:lang w:val="en-US" w:eastAsia="zh-CN"/>
              </w:rPr>
              <w:t>.3防范措施</w:t>
            </w:r>
          </w:p>
          <w:p>
            <w:pPr>
              <w:pStyle w:val="50"/>
              <w:bidi w:val="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现场应当有警戒标识；</w:t>
            </w:r>
          </w:p>
          <w:p>
            <w:pPr>
              <w:pStyle w:val="50"/>
              <w:bidi w:val="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设置专人保管，保管员要详细核对产品名称、规格、牌号、质量、数量、查清危险性质。遇有包装不良、质量异变、标号不符合等情况，应及时进行安全处理；</w:t>
            </w:r>
          </w:p>
          <w:p>
            <w:pPr>
              <w:pStyle w:val="50"/>
              <w:bidi w:val="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避免无任何防护措施直接接触、工作区域保持良好通风状态；</w:t>
            </w:r>
          </w:p>
          <w:p>
            <w:pPr>
              <w:pStyle w:val="50"/>
              <w:bidi w:val="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容器包装要密闭，完整无损、放置处防火防高温；</w:t>
            </w:r>
          </w:p>
          <w:p>
            <w:pPr>
              <w:pStyle w:val="50"/>
              <w:bidi w:val="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厂区内禁止吸烟，严禁明火作业；</w:t>
            </w:r>
          </w:p>
          <w:p>
            <w:pPr>
              <w:pStyle w:val="50"/>
              <w:bidi w:val="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进行定期和不定期的安全检查，查出隐患，要及时整改和上报。如发现不安全的紧急情况，应先停止工作，再报有关部门研究处理；</w:t>
            </w:r>
          </w:p>
          <w:p>
            <w:pPr>
              <w:pStyle w:val="50"/>
              <w:bidi w:val="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各种安全防护装置设备要定期检查，不得随意拆除和非法占用；</w:t>
            </w:r>
          </w:p>
          <w:p>
            <w:pPr>
              <w:pStyle w:val="50"/>
              <w:bidi w:val="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危废间做好防渗防漏措施，各个危险物质分类存放，且设置钢板托盘，防止泄露。</w:t>
            </w:r>
            <w:r>
              <w:rPr>
                <w:rFonts w:hint="eastAsia" w:ascii="Times New Roman" w:hAnsi="Times New Roman" w:cs="Times New Roman"/>
                <w:color w:val="auto"/>
                <w:highlight w:val="none"/>
                <w:lang w:val="en-US" w:eastAsia="zh-CN"/>
              </w:rPr>
              <w:t>本项目建设完成后及时对</w:t>
            </w:r>
            <w:r>
              <w:rPr>
                <w:rFonts w:hint="default" w:ascii="Times New Roman" w:hAnsi="Times New Roman" w:cs="Times New Roman"/>
                <w:color w:val="auto"/>
                <w:highlight w:val="none"/>
                <w:lang w:val="en-US" w:eastAsia="zh-CN"/>
              </w:rPr>
              <w:t>应急预案</w:t>
            </w:r>
            <w:r>
              <w:rPr>
                <w:rFonts w:hint="eastAsia" w:ascii="Times New Roman" w:hAnsi="Times New Roman" w:cs="Times New Roman"/>
                <w:color w:val="auto"/>
                <w:highlight w:val="none"/>
                <w:lang w:val="en-US" w:eastAsia="zh-CN"/>
              </w:rPr>
              <w:t>进行修订</w:t>
            </w:r>
            <w:r>
              <w:rPr>
                <w:rFonts w:hint="default" w:ascii="Times New Roman" w:hAnsi="Times New Roman" w:cs="Times New Roman"/>
                <w:color w:val="auto"/>
                <w:highlight w:val="none"/>
                <w:lang w:val="en-US" w:eastAsia="zh-CN"/>
              </w:rPr>
              <w:t>并备案。</w:t>
            </w:r>
          </w:p>
          <w:p>
            <w:pPr>
              <w:pStyle w:val="11"/>
              <w:bidi w:val="0"/>
              <w:rPr>
                <w:rFonts w:hint="default" w:ascii="Times New Roman" w:hAnsi="Times New Roman" w:cs="Times New Roman"/>
                <w:color w:val="auto"/>
                <w:highlight w:val="none"/>
                <w:lang w:val="en-US" w:eastAsia="zh-CN"/>
              </w:rPr>
            </w:pPr>
            <w:r>
              <w:rPr>
                <w:rFonts w:hint="eastAsia" w:cs="Times New Roman"/>
                <w:color w:val="auto"/>
                <w:highlight w:val="none"/>
                <w:lang w:val="en-US" w:eastAsia="zh-CN"/>
              </w:rPr>
              <w:t>6</w:t>
            </w:r>
            <w:r>
              <w:rPr>
                <w:rFonts w:hint="default" w:ascii="Times New Roman" w:hAnsi="Times New Roman" w:cs="Times New Roman"/>
                <w:color w:val="auto"/>
                <w:highlight w:val="none"/>
                <w:lang w:val="en-US" w:eastAsia="zh-CN"/>
              </w:rPr>
              <w:t>.</w:t>
            </w:r>
            <w:r>
              <w:rPr>
                <w:rFonts w:hint="eastAsia" w:cs="Times New Roman"/>
                <w:color w:val="auto"/>
                <w:highlight w:val="none"/>
                <w:lang w:val="en-US" w:eastAsia="zh-CN"/>
              </w:rPr>
              <w:t>4</w:t>
            </w:r>
            <w:r>
              <w:rPr>
                <w:rFonts w:hint="default" w:ascii="Times New Roman" w:hAnsi="Times New Roman" w:cs="Times New Roman"/>
                <w:color w:val="auto"/>
                <w:highlight w:val="none"/>
                <w:lang w:val="en-US" w:eastAsia="zh-CN"/>
              </w:rPr>
              <w:t>环境风险简单分析</w:t>
            </w:r>
          </w:p>
          <w:p>
            <w:pPr>
              <w:numPr>
                <w:ilvl w:val="0"/>
                <w:numId w:val="0"/>
              </w:numPr>
              <w:spacing w:line="240" w:lineRule="auto"/>
              <w:ind w:leftChars="0"/>
              <w:jc w:val="center"/>
              <w:rPr>
                <w:rFonts w:hint="default" w:ascii="Times New Roman" w:hAnsi="Times New Roman" w:eastAsia="宋体" w:cs="Times New Roman"/>
                <w:b/>
                <w:bCs/>
                <w:color w:val="auto"/>
                <w:kern w:val="2"/>
                <w:sz w:val="24"/>
                <w:szCs w:val="24"/>
                <w:highlight w:val="none"/>
                <w:lang w:val="en-US" w:eastAsia="zh-CN" w:bidi="ar-SA"/>
              </w:rPr>
            </w:pPr>
            <w:r>
              <w:rPr>
                <w:rFonts w:hint="default" w:ascii="Times New Roman" w:hAnsi="Times New Roman" w:eastAsia="宋体" w:cs="Times New Roman"/>
                <w:b/>
                <w:bCs/>
                <w:color w:val="auto"/>
                <w:kern w:val="2"/>
                <w:sz w:val="24"/>
                <w:szCs w:val="24"/>
                <w:highlight w:val="none"/>
                <w:lang w:val="en-US" w:eastAsia="zh-CN" w:bidi="ar-SA"/>
              </w:rPr>
              <w:t>表</w:t>
            </w:r>
            <w:r>
              <w:rPr>
                <w:rFonts w:hint="eastAsia" w:ascii="Times New Roman" w:hAnsi="Times New Roman" w:eastAsia="宋体" w:cs="Times New Roman"/>
                <w:b/>
                <w:bCs/>
                <w:color w:val="auto"/>
                <w:kern w:val="2"/>
                <w:sz w:val="24"/>
                <w:szCs w:val="24"/>
                <w:highlight w:val="none"/>
                <w:lang w:val="en-US" w:eastAsia="zh-CN" w:bidi="ar-SA"/>
              </w:rPr>
              <w:t>4-1</w:t>
            </w:r>
            <w:r>
              <w:rPr>
                <w:rFonts w:hint="eastAsia" w:cs="Times New Roman"/>
                <w:b/>
                <w:bCs/>
                <w:color w:val="auto"/>
                <w:kern w:val="2"/>
                <w:sz w:val="24"/>
                <w:szCs w:val="24"/>
                <w:highlight w:val="none"/>
                <w:lang w:val="en-US" w:eastAsia="zh-CN" w:bidi="ar-SA"/>
              </w:rPr>
              <w:t>1</w:t>
            </w:r>
            <w:r>
              <w:rPr>
                <w:rFonts w:hint="default" w:ascii="Times New Roman" w:hAnsi="Times New Roman" w:eastAsia="宋体" w:cs="Times New Roman"/>
                <w:b/>
                <w:bCs/>
                <w:color w:val="auto"/>
                <w:kern w:val="2"/>
                <w:sz w:val="24"/>
                <w:szCs w:val="24"/>
                <w:highlight w:val="none"/>
                <w:lang w:val="en-US" w:eastAsia="zh-CN" w:bidi="ar-SA"/>
              </w:rPr>
              <w:t xml:space="preserve"> 建设项目环境风险简单分析内容表</w:t>
            </w:r>
          </w:p>
          <w:tbl>
            <w:tblPr>
              <w:tblStyle w:val="3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7"/>
              <w:gridCol w:w="68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944" w:type="pct"/>
                  <w:tcBorders>
                    <w:tl2br w:val="nil"/>
                    <w:tr2bl w:val="nil"/>
                  </w:tcBorders>
                  <w:noWrap/>
                  <w:vAlign w:val="center"/>
                </w:tcPr>
                <w:p>
                  <w:pPr>
                    <w:pStyle w:val="60"/>
                    <w:bidi w:val="0"/>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建设项目名称</w:t>
                  </w:r>
                </w:p>
              </w:tc>
              <w:tc>
                <w:tcPr>
                  <w:tcW w:w="4055" w:type="pct"/>
                  <w:tcBorders>
                    <w:tl2br w:val="nil"/>
                    <w:tr2bl w:val="nil"/>
                  </w:tcBorders>
                  <w:noWrap/>
                  <w:vAlign w:val="center"/>
                </w:tcPr>
                <w:p>
                  <w:pPr>
                    <w:pStyle w:val="60"/>
                    <w:bidi w:val="0"/>
                    <w:spacing w:line="240" w:lineRule="auto"/>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特种机械设备生产线</w:t>
                  </w:r>
                  <w:r>
                    <w:rPr>
                      <w:rFonts w:hint="eastAsia" w:cs="Times New Roman"/>
                      <w:color w:val="auto"/>
                      <w:highlight w:val="none"/>
                      <w:lang w:val="en-US" w:eastAsia="zh-CN"/>
                    </w:rPr>
                    <w:t>技改</w:t>
                  </w:r>
                  <w:r>
                    <w:rPr>
                      <w:rFonts w:hint="default" w:ascii="Times New Roman" w:hAnsi="Times New Roman" w:cs="Times New Roman"/>
                      <w:color w:val="auto"/>
                      <w:highlight w:val="none"/>
                      <w:lang w:val="en-US" w:eastAsia="zh-CN"/>
                    </w:rPr>
                    <w:t>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jc w:val="center"/>
              </w:trPr>
              <w:tc>
                <w:tcPr>
                  <w:tcW w:w="944" w:type="pct"/>
                  <w:tcBorders>
                    <w:tl2br w:val="nil"/>
                    <w:tr2bl w:val="nil"/>
                  </w:tcBorders>
                  <w:noWrap/>
                  <w:vAlign w:val="center"/>
                </w:tcPr>
                <w:p>
                  <w:pPr>
                    <w:pStyle w:val="60"/>
                    <w:bidi w:val="0"/>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建设地点</w:t>
                  </w:r>
                </w:p>
              </w:tc>
              <w:tc>
                <w:tcPr>
                  <w:tcW w:w="4055" w:type="pct"/>
                  <w:tcBorders>
                    <w:tl2br w:val="nil"/>
                    <w:tr2bl w:val="nil"/>
                  </w:tcBorders>
                  <w:noWrap/>
                  <w:vAlign w:val="center"/>
                </w:tcPr>
                <w:p>
                  <w:pPr>
                    <w:pStyle w:val="60"/>
                    <w:bidi w:val="0"/>
                    <w:spacing w:line="240" w:lineRule="auto"/>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抚宁经济开发区北规一街南创业路东 秦皇岛联安机械科技有限公司院内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944" w:type="pct"/>
                  <w:tcBorders>
                    <w:tl2br w:val="nil"/>
                    <w:tr2bl w:val="nil"/>
                  </w:tcBorders>
                  <w:noWrap/>
                  <w:vAlign w:val="center"/>
                </w:tcPr>
                <w:p>
                  <w:pPr>
                    <w:pStyle w:val="60"/>
                    <w:bidi w:val="0"/>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地理坐标</w:t>
                  </w:r>
                </w:p>
              </w:tc>
              <w:tc>
                <w:tcPr>
                  <w:tcW w:w="4055" w:type="pct"/>
                  <w:tcBorders>
                    <w:tl2br w:val="nil"/>
                    <w:tr2bl w:val="nil"/>
                  </w:tcBorders>
                  <w:noWrap/>
                  <w:vAlign w:val="center"/>
                </w:tcPr>
                <w:p>
                  <w:pPr>
                    <w:pStyle w:val="60"/>
                    <w:bidi w:val="0"/>
                    <w:spacing w:line="240" w:lineRule="auto"/>
                    <w:rPr>
                      <w:rFonts w:hint="default" w:ascii="Times New Roman" w:hAnsi="Times New Roman" w:cs="Times New Roman"/>
                      <w:color w:val="auto"/>
                      <w:highlight w:val="none"/>
                      <w:lang w:val="en-US" w:eastAsia="zh-CN"/>
                    </w:rPr>
                  </w:pPr>
                  <w:r>
                    <w:rPr>
                      <w:rFonts w:hint="default" w:ascii="Times New Roman" w:hAnsi="Times New Roman" w:eastAsia="宋体" w:cs="Times New Roman"/>
                      <w:color w:val="auto"/>
                      <w:highlight w:val="none"/>
                    </w:rPr>
                    <w:t>北纬39°55′17.170″，东经119°13′53.83</w:t>
                  </w:r>
                  <w:r>
                    <w:rPr>
                      <w:rFonts w:hint="eastAsia" w:eastAsia="宋体" w:cs="Times New Roman"/>
                      <w:color w:val="auto"/>
                      <w:highlight w:val="none"/>
                      <w:lang w:val="en-US" w:eastAsia="zh-CN"/>
                    </w:rPr>
                    <w:t>0</w:t>
                  </w:r>
                  <w:r>
                    <w:rPr>
                      <w:rFonts w:hint="default" w:ascii="Times New Roman" w:hAnsi="Times New Roman" w:eastAsia="宋体" w:cs="Times New Roman"/>
                      <w:color w:val="auto"/>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944" w:type="pct"/>
                  <w:tcBorders>
                    <w:tl2br w:val="nil"/>
                    <w:tr2bl w:val="nil"/>
                  </w:tcBorders>
                  <w:noWrap/>
                  <w:vAlign w:val="center"/>
                </w:tcPr>
                <w:p>
                  <w:pPr>
                    <w:pStyle w:val="60"/>
                    <w:bidi w:val="0"/>
                    <w:spacing w:line="240" w:lineRule="auto"/>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主要危险物质及分布</w:t>
                  </w:r>
                </w:p>
              </w:tc>
              <w:tc>
                <w:tcPr>
                  <w:tcW w:w="4055" w:type="pct"/>
                  <w:tcBorders>
                    <w:tl2br w:val="nil"/>
                    <w:tr2bl w:val="nil"/>
                  </w:tcBorders>
                  <w:noWrap/>
                  <w:vAlign w:val="center"/>
                </w:tcPr>
                <w:p>
                  <w:pPr>
                    <w:pStyle w:val="60"/>
                    <w:bidi w:val="0"/>
                    <w:spacing w:line="240" w:lineRule="auto"/>
                    <w:jc w:val="both"/>
                    <w:rPr>
                      <w:rFonts w:hint="default" w:ascii="Times New Roman" w:hAnsi="Times New Roman" w:cs="Times New Roman"/>
                      <w:color w:val="auto"/>
                      <w:highlight w:val="none"/>
                      <w:lang w:val="en-US" w:eastAsia="zh-CN"/>
                    </w:rPr>
                  </w:pPr>
                  <w:r>
                    <w:rPr>
                      <w:rFonts w:hint="eastAsia" w:cs="Times New Roman"/>
                      <w:color w:val="auto"/>
                      <w:highlight w:val="none"/>
                      <w:lang w:val="en-US" w:eastAsia="zh-CN"/>
                    </w:rPr>
                    <w:t>风险</w:t>
                  </w:r>
                  <w:r>
                    <w:rPr>
                      <w:rFonts w:hint="default" w:ascii="Times New Roman" w:hAnsi="Times New Roman" w:cs="Times New Roman"/>
                      <w:color w:val="auto"/>
                      <w:highlight w:val="none"/>
                      <w:lang w:val="en-US" w:eastAsia="zh-CN"/>
                    </w:rPr>
                    <w:t>物质：</w:t>
                  </w:r>
                  <w:r>
                    <w:rPr>
                      <w:rFonts w:hint="eastAsia" w:eastAsia="宋体" w:cs="Times New Roman"/>
                      <w:color w:val="auto"/>
                      <w:highlight w:val="none"/>
                      <w:lang w:val="en-US" w:eastAsia="zh-CN"/>
                    </w:rPr>
                    <w:t>机油、液压油、润滑剂、油漆、稀释剂、</w:t>
                  </w:r>
                  <w:r>
                    <w:rPr>
                      <w:rFonts w:hint="default" w:ascii="Times New Roman" w:hAnsi="Times New Roman" w:eastAsia="宋体" w:cs="Times New Roman"/>
                      <w:color w:val="auto"/>
                      <w:highlight w:val="none"/>
                      <w:lang w:val="en-US" w:eastAsia="zh-CN"/>
                    </w:rPr>
                    <w:t>废机油、废机油桶、</w:t>
                  </w:r>
                  <w:r>
                    <w:rPr>
                      <w:rFonts w:hint="eastAsia" w:eastAsia="宋体" w:cs="Times New Roman"/>
                      <w:color w:val="auto"/>
                      <w:highlight w:val="none"/>
                      <w:lang w:val="en-US" w:eastAsia="zh-CN"/>
                    </w:rPr>
                    <w:t>废</w:t>
                  </w:r>
                  <w:r>
                    <w:rPr>
                      <w:rFonts w:hint="default" w:ascii="Times New Roman" w:hAnsi="Times New Roman" w:eastAsia="宋体" w:cs="Times New Roman"/>
                      <w:color w:val="auto"/>
                      <w:highlight w:val="none"/>
                      <w:lang w:val="en-US" w:eastAsia="zh-CN"/>
                    </w:rPr>
                    <w:t>润滑剂</w:t>
                  </w:r>
                  <w:r>
                    <w:rPr>
                      <w:rFonts w:hint="eastAsia" w:ascii="Times New Roman" w:hAnsi="Times New Roman" w:eastAsia="宋体" w:cs="Times New Roman"/>
                      <w:color w:val="auto"/>
                      <w:highlight w:val="none"/>
                      <w:lang w:val="en-US" w:eastAsia="zh-CN"/>
                    </w:rPr>
                    <w:t>、</w:t>
                  </w:r>
                  <w:r>
                    <w:rPr>
                      <w:rFonts w:hint="default" w:ascii="Times New Roman" w:hAnsi="Times New Roman" w:eastAsia="宋体" w:cs="Times New Roman"/>
                      <w:color w:val="auto"/>
                      <w:highlight w:val="none"/>
                      <w:lang w:val="en-US" w:eastAsia="zh-CN"/>
                    </w:rPr>
                    <w:t>废液压油</w:t>
                  </w:r>
                  <w:r>
                    <w:rPr>
                      <w:rFonts w:hint="eastAsia" w:eastAsia="宋体" w:cs="Times New Roman"/>
                      <w:color w:val="auto"/>
                      <w:highlight w:val="none"/>
                      <w:lang w:val="en-US" w:eastAsia="zh-CN"/>
                    </w:rPr>
                    <w:t>、废油桶、漆渣、漆桶、</w:t>
                  </w:r>
                  <w:r>
                    <w:rPr>
                      <w:rFonts w:hint="eastAsia" w:eastAsia="宋体" w:cs="Times New Roman"/>
                      <w:color w:val="auto"/>
                      <w:sz w:val="21"/>
                      <w:szCs w:val="21"/>
                      <w:highlight w:val="none"/>
                      <w:lang w:val="en-US" w:eastAsia="zh-CN"/>
                    </w:rPr>
                    <w:t>废稀释剂桶、废活性炭、废过滤棉</w:t>
                  </w:r>
                </w:p>
                <w:p>
                  <w:pPr>
                    <w:pStyle w:val="60"/>
                    <w:bidi w:val="0"/>
                    <w:spacing w:line="240" w:lineRule="auto"/>
                    <w:jc w:val="both"/>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分布：</w:t>
                  </w:r>
                  <w:r>
                    <w:rPr>
                      <w:rFonts w:hint="eastAsia" w:cs="Times New Roman"/>
                      <w:color w:val="auto"/>
                      <w:highlight w:val="none"/>
                      <w:lang w:val="en-US" w:eastAsia="zh-CN"/>
                    </w:rPr>
                    <w:t>危废间、库房</w:t>
                  </w:r>
                  <w:r>
                    <w:rPr>
                      <w:rFonts w:hint="default" w:ascii="Times New Roman" w:hAnsi="Times New Roman" w:cs="Times New Roman"/>
                      <w:color w:val="auto"/>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944" w:type="pct"/>
                  <w:tcBorders>
                    <w:tl2br w:val="nil"/>
                    <w:tr2bl w:val="nil"/>
                  </w:tcBorders>
                  <w:noWrap/>
                  <w:vAlign w:val="center"/>
                </w:tcPr>
                <w:p>
                  <w:pPr>
                    <w:pStyle w:val="60"/>
                    <w:bidi w:val="0"/>
                    <w:spacing w:line="240" w:lineRule="auto"/>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环境影响途径及危害后果</w:t>
                  </w:r>
                </w:p>
              </w:tc>
              <w:tc>
                <w:tcPr>
                  <w:tcW w:w="4055" w:type="pct"/>
                  <w:tcBorders>
                    <w:tl2br w:val="nil"/>
                    <w:tr2bl w:val="nil"/>
                  </w:tcBorders>
                  <w:noWrap/>
                  <w:vAlign w:val="center"/>
                </w:tcPr>
                <w:p>
                  <w:pPr>
                    <w:pStyle w:val="60"/>
                    <w:bidi w:val="0"/>
                    <w:spacing w:line="240" w:lineRule="auto"/>
                    <w:jc w:val="both"/>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若危废间</w:t>
                  </w:r>
                  <w:r>
                    <w:rPr>
                      <w:rFonts w:hint="eastAsia" w:cs="Times New Roman"/>
                      <w:color w:val="auto"/>
                      <w:highlight w:val="none"/>
                      <w:lang w:val="en-US" w:eastAsia="zh-CN"/>
                    </w:rPr>
                    <w:t>、库房</w:t>
                  </w:r>
                  <w:r>
                    <w:rPr>
                      <w:rFonts w:hint="default" w:ascii="Times New Roman" w:hAnsi="Times New Roman" w:cs="Times New Roman"/>
                      <w:color w:val="auto"/>
                      <w:highlight w:val="none"/>
                      <w:lang w:val="en-US" w:eastAsia="zh-CN"/>
                    </w:rPr>
                    <w:t>发生火灾，引燃风险物质，随消防废水影响地下水环境。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944" w:type="pct"/>
                  <w:tcBorders>
                    <w:tl2br w:val="nil"/>
                    <w:tr2bl w:val="nil"/>
                  </w:tcBorders>
                  <w:noWrap/>
                  <w:vAlign w:val="center"/>
                </w:tcPr>
                <w:p>
                  <w:pPr>
                    <w:pStyle w:val="60"/>
                    <w:bidi w:val="0"/>
                    <w:spacing w:line="240" w:lineRule="auto"/>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风险防范措施要求</w:t>
                  </w:r>
                </w:p>
              </w:tc>
              <w:tc>
                <w:tcPr>
                  <w:tcW w:w="4055" w:type="pct"/>
                  <w:tcBorders>
                    <w:tl2br w:val="nil"/>
                    <w:tr2bl w:val="nil"/>
                  </w:tcBorders>
                  <w:noWrap/>
                  <w:vAlign w:val="center"/>
                </w:tcPr>
                <w:p>
                  <w:pPr>
                    <w:pStyle w:val="60"/>
                    <w:bidi w:val="0"/>
                    <w:spacing w:line="240" w:lineRule="auto"/>
                    <w:jc w:val="both"/>
                    <w:rPr>
                      <w:rFonts w:hint="default"/>
                      <w:color w:val="auto"/>
                      <w:highlight w:val="none"/>
                      <w:lang w:val="en-US" w:eastAsia="zh-CN"/>
                    </w:rPr>
                  </w:pPr>
                  <w:r>
                    <w:rPr>
                      <w:rFonts w:hint="default"/>
                      <w:color w:val="auto"/>
                      <w:highlight w:val="none"/>
                      <w:lang w:val="en-US" w:eastAsia="zh-CN"/>
                    </w:rPr>
                    <w:t>1、危废间非工作人员不得靠近；</w:t>
                  </w:r>
                </w:p>
                <w:p>
                  <w:pPr>
                    <w:pStyle w:val="60"/>
                    <w:bidi w:val="0"/>
                    <w:spacing w:line="240" w:lineRule="auto"/>
                    <w:jc w:val="both"/>
                    <w:rPr>
                      <w:rFonts w:hint="default"/>
                      <w:color w:val="auto"/>
                      <w:highlight w:val="none"/>
                      <w:lang w:val="en-US" w:eastAsia="zh-CN"/>
                    </w:rPr>
                  </w:pPr>
                  <w:r>
                    <w:rPr>
                      <w:rFonts w:hint="default"/>
                      <w:color w:val="auto"/>
                      <w:highlight w:val="none"/>
                      <w:lang w:val="en-US" w:eastAsia="zh-CN"/>
                    </w:rPr>
                    <w:t>2、环境风险物质必须分类妥善存放，严格管理，保持通风良好，并设置明显标志。</w:t>
                  </w:r>
                  <w:r>
                    <w:rPr>
                      <w:rFonts w:hint="eastAsia"/>
                      <w:color w:val="auto"/>
                      <w:highlight w:val="none"/>
                      <w:lang w:val="en-US" w:eastAsia="zh-CN"/>
                    </w:rPr>
                    <w:t>车间、库房</w:t>
                  </w:r>
                  <w:r>
                    <w:rPr>
                      <w:rFonts w:hint="default"/>
                      <w:color w:val="auto"/>
                      <w:highlight w:val="none"/>
                      <w:lang w:val="en-US" w:eastAsia="zh-CN"/>
                    </w:rPr>
                    <w:t>以及危废间</w:t>
                  </w:r>
                  <w:r>
                    <w:rPr>
                      <w:rFonts w:hint="eastAsia"/>
                      <w:color w:val="auto"/>
                      <w:highlight w:val="none"/>
                      <w:lang w:val="en-US" w:eastAsia="zh-CN"/>
                    </w:rPr>
                    <w:t>等风险单元</w:t>
                  </w:r>
                  <w:r>
                    <w:rPr>
                      <w:rFonts w:hint="default"/>
                      <w:color w:val="auto"/>
                      <w:highlight w:val="none"/>
                      <w:lang w:val="en-US" w:eastAsia="zh-CN"/>
                    </w:rPr>
                    <w:t>使用防爆灯具</w:t>
                  </w:r>
                  <w:r>
                    <w:rPr>
                      <w:rFonts w:hint="eastAsia"/>
                      <w:color w:val="auto"/>
                      <w:highlight w:val="none"/>
                      <w:lang w:val="en-US" w:eastAsia="zh-CN"/>
                    </w:rPr>
                    <w:t>，</w:t>
                  </w:r>
                  <w:r>
                    <w:rPr>
                      <w:rFonts w:hint="default"/>
                      <w:color w:val="auto"/>
                      <w:highlight w:val="none"/>
                      <w:lang w:val="en-US" w:eastAsia="zh-CN"/>
                    </w:rPr>
                    <w:t>区域禁止明火。　　</w:t>
                  </w:r>
                </w:p>
                <w:p>
                  <w:pPr>
                    <w:pStyle w:val="60"/>
                    <w:bidi w:val="0"/>
                    <w:spacing w:line="240" w:lineRule="auto"/>
                    <w:jc w:val="both"/>
                    <w:rPr>
                      <w:rFonts w:hint="default"/>
                      <w:color w:val="auto"/>
                      <w:highlight w:val="none"/>
                      <w:lang w:val="en-US" w:eastAsia="zh-CN"/>
                    </w:rPr>
                  </w:pPr>
                  <w:r>
                    <w:rPr>
                      <w:rFonts w:hint="default"/>
                      <w:color w:val="auto"/>
                      <w:highlight w:val="none"/>
                      <w:lang w:val="en-US" w:eastAsia="zh-CN"/>
                    </w:rPr>
                    <w:t>3、设置专人保管，保管员要详细核对产品名称、规格、牌号、质量、数量、查清危险性质。遇有包装不良、质量异变、标号不符合等情况，应及时进行安全处理。</w:t>
                  </w:r>
                </w:p>
                <w:p>
                  <w:pPr>
                    <w:pStyle w:val="60"/>
                    <w:bidi w:val="0"/>
                    <w:spacing w:line="240" w:lineRule="auto"/>
                    <w:jc w:val="both"/>
                    <w:rPr>
                      <w:rFonts w:hint="default"/>
                      <w:color w:val="auto"/>
                      <w:highlight w:val="none"/>
                      <w:lang w:val="en-US" w:eastAsia="zh-CN"/>
                    </w:rPr>
                  </w:pPr>
                  <w:r>
                    <w:rPr>
                      <w:rFonts w:hint="default"/>
                      <w:color w:val="auto"/>
                      <w:highlight w:val="none"/>
                      <w:lang w:val="en-US" w:eastAsia="zh-CN"/>
                    </w:rPr>
                    <w:t>4、容器包装要密闭，完整无损。</w:t>
                  </w:r>
                </w:p>
                <w:p>
                  <w:pPr>
                    <w:pStyle w:val="60"/>
                    <w:bidi w:val="0"/>
                    <w:spacing w:line="240" w:lineRule="auto"/>
                    <w:jc w:val="both"/>
                    <w:rPr>
                      <w:rFonts w:hint="default"/>
                      <w:color w:val="auto"/>
                      <w:highlight w:val="none"/>
                      <w:lang w:val="en-US" w:eastAsia="zh-CN"/>
                    </w:rPr>
                  </w:pPr>
                  <w:r>
                    <w:rPr>
                      <w:rFonts w:hint="default"/>
                      <w:color w:val="auto"/>
                      <w:highlight w:val="none"/>
                      <w:lang w:val="en-US" w:eastAsia="zh-CN"/>
                    </w:rPr>
                    <w:t>5、厂区内禁止吸烟，储存区及危废间周围严禁明火作业。</w:t>
                  </w:r>
                </w:p>
                <w:p>
                  <w:pPr>
                    <w:pStyle w:val="60"/>
                    <w:pageBreakBefore w:val="0"/>
                    <w:widowControl w:val="0"/>
                    <w:kinsoku/>
                    <w:wordWrap/>
                    <w:overflowPunct/>
                    <w:topLinePunct w:val="0"/>
                    <w:autoSpaceDE/>
                    <w:autoSpaceDN/>
                    <w:bidi w:val="0"/>
                    <w:adjustRightInd/>
                    <w:snapToGrid/>
                    <w:spacing w:beforeLines="0" w:afterLines="0" w:line="240" w:lineRule="auto"/>
                    <w:jc w:val="both"/>
                    <w:textAlignment w:val="auto"/>
                    <w:rPr>
                      <w:rFonts w:hint="default" w:ascii="Times New Roman" w:hAnsi="Times New Roman" w:cs="Times New Roman"/>
                      <w:color w:val="auto"/>
                      <w:highlight w:val="none"/>
                      <w:lang w:val="en-US" w:eastAsia="zh-CN"/>
                    </w:rPr>
                  </w:pPr>
                  <w:r>
                    <w:rPr>
                      <w:rFonts w:hint="default"/>
                      <w:color w:val="auto"/>
                      <w:highlight w:val="none"/>
                      <w:lang w:val="en-US" w:eastAsia="zh-CN"/>
                    </w:rPr>
                    <w:t>6</w:t>
                  </w:r>
                  <w:r>
                    <w:rPr>
                      <w:rFonts w:hint="default" w:ascii="Times New Roman" w:hAnsi="Times New Roman" w:cs="Times New Roman"/>
                      <w:color w:val="auto"/>
                      <w:highlight w:val="none"/>
                      <w:lang w:val="en-US" w:eastAsia="zh-CN"/>
                    </w:rPr>
                    <w:t>、进行定期和不定期的安全检查，查出隐患，要及时整改和上报。如发现不安全的紧急情况，应先停止工作，再报有关部门研究处理。</w:t>
                  </w:r>
                </w:p>
                <w:p>
                  <w:pPr>
                    <w:pStyle w:val="60"/>
                    <w:pageBreakBefore w:val="0"/>
                    <w:widowControl w:val="0"/>
                    <w:kinsoku/>
                    <w:wordWrap/>
                    <w:overflowPunct/>
                    <w:topLinePunct w:val="0"/>
                    <w:autoSpaceDE/>
                    <w:autoSpaceDN/>
                    <w:bidi w:val="0"/>
                    <w:adjustRightInd/>
                    <w:snapToGrid/>
                    <w:spacing w:beforeLines="0" w:afterLines="0" w:line="240" w:lineRule="auto"/>
                    <w:jc w:val="both"/>
                    <w:textAlignment w:val="auto"/>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7、各种安全防护装置设备要定期检查，不得随意拆除和非法占用。</w:t>
                  </w:r>
                </w:p>
                <w:p>
                  <w:pPr>
                    <w:pageBreakBefore w:val="0"/>
                    <w:widowControl w:val="0"/>
                    <w:kinsoku/>
                    <w:wordWrap/>
                    <w:overflowPunct/>
                    <w:topLinePunct w:val="0"/>
                    <w:autoSpaceDE/>
                    <w:autoSpaceDN/>
                    <w:bidi w:val="0"/>
                    <w:adjustRightInd/>
                    <w:snapToGrid/>
                    <w:spacing w:line="240" w:lineRule="auto"/>
                    <w:textAlignment w:val="auto"/>
                    <w:rPr>
                      <w:rFonts w:hint="default"/>
                      <w:color w:val="auto"/>
                      <w:highlight w:val="none"/>
                      <w:lang w:val="en-US" w:eastAsia="zh-CN"/>
                    </w:rPr>
                  </w:pPr>
                  <w:r>
                    <w:rPr>
                      <w:rFonts w:hint="default" w:ascii="Times New Roman" w:hAnsi="Times New Roman" w:eastAsia="宋体" w:cs="Times New Roman"/>
                      <w:color w:val="auto"/>
                      <w:kern w:val="2"/>
                      <w:sz w:val="21"/>
                      <w:szCs w:val="21"/>
                      <w:highlight w:val="none"/>
                      <w:lang w:val="en-US" w:eastAsia="zh-CN" w:bidi="ar-SA"/>
                    </w:rPr>
                    <w:t>8、公司已编制环境突发事件应急预案，配备应急物资，</w:t>
                  </w:r>
                  <w:r>
                    <w:rPr>
                      <w:rFonts w:hint="default" w:ascii="Times New Roman" w:hAnsi="Times New Roman" w:cs="Times New Roman"/>
                      <w:color w:val="auto"/>
                      <w:kern w:val="2"/>
                      <w:sz w:val="21"/>
                      <w:szCs w:val="21"/>
                      <w:highlight w:val="none"/>
                      <w:lang w:val="en-US" w:eastAsia="zh-CN" w:bidi="ar-SA"/>
                    </w:rPr>
                    <w:t>如发生火灾产生消防废水，应立即使用储备的沙袋进行拦截。并使用水泵将消防废水收集至桶内，防止流出厂界，对土壤及地下水环境造成影响。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944" w:type="pct"/>
                  <w:tcBorders>
                    <w:tl2br w:val="nil"/>
                    <w:tr2bl w:val="nil"/>
                  </w:tcBorders>
                  <w:noWrap/>
                  <w:vAlign w:val="center"/>
                </w:tcPr>
                <w:p>
                  <w:pPr>
                    <w:pStyle w:val="60"/>
                    <w:bidi w:val="0"/>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填表说明（列出项目相关信息及评价说明）</w:t>
                  </w:r>
                </w:p>
              </w:tc>
              <w:tc>
                <w:tcPr>
                  <w:tcW w:w="4055" w:type="pct"/>
                  <w:tcBorders>
                    <w:tl2br w:val="nil"/>
                    <w:tr2bl w:val="nil"/>
                  </w:tcBorders>
                  <w:noWrap/>
                  <w:vAlign w:val="center"/>
                </w:tcPr>
                <w:p>
                  <w:pPr>
                    <w:pStyle w:val="60"/>
                    <w:bidi w:val="0"/>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无</w:t>
                  </w:r>
                </w:p>
              </w:tc>
            </w:tr>
          </w:tbl>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auto"/>
              <w:ind w:left="0" w:leftChars="0" w:right="0" w:firstLine="0" w:firstLineChars="0"/>
              <w:textAlignment w:val="auto"/>
              <w:rPr>
                <w:rFonts w:hint="default" w:eastAsia="宋体"/>
                <w:color w:val="auto"/>
                <w:sz w:val="24"/>
                <w:szCs w:val="24"/>
                <w:highlight w:val="none"/>
                <w:lang w:val="en-US" w:eastAsia="zh-CN"/>
              </w:rPr>
            </w:pPr>
            <w:r>
              <w:rPr>
                <w:rFonts w:hint="eastAsia" w:cs="Times New Roman"/>
                <w:b/>
                <w:bCs/>
                <w:color w:val="auto"/>
                <w:sz w:val="24"/>
                <w:szCs w:val="24"/>
                <w:highlight w:val="none"/>
                <w:lang w:val="en-US" w:eastAsia="zh-CN"/>
              </w:rPr>
              <w:t>7、</w:t>
            </w:r>
            <w:r>
              <w:rPr>
                <w:rFonts w:hint="eastAsia" w:ascii="Times New Roman" w:hAnsi="Times New Roman" w:eastAsia="宋体" w:cs="Times New Roman"/>
                <w:b/>
                <w:bCs/>
                <w:color w:val="auto"/>
                <w:kern w:val="44"/>
                <w:sz w:val="24"/>
                <w:szCs w:val="24"/>
                <w:highlight w:val="none"/>
                <w:lang w:val="en-US" w:eastAsia="zh-CN" w:bidi="ar-SA"/>
              </w:rPr>
              <w:t>碳排放</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auto"/>
              <w:ind w:left="0" w:right="0" w:firstLine="480" w:firstLineChars="200"/>
              <w:textAlignment w:val="auto"/>
              <w:rPr>
                <w:rFonts w:hint="eastAsia" w:ascii="Times New Roman" w:hAnsi="Times New Roman" w:cs="Times New Roman"/>
                <w:color w:val="auto"/>
                <w:sz w:val="24"/>
                <w:szCs w:val="24"/>
                <w:highlight w:val="none"/>
                <w:lang w:val="en-US" w:eastAsia="zh-CN"/>
              </w:rPr>
            </w:pPr>
            <w:r>
              <w:rPr>
                <w:rFonts w:hint="eastAsia" w:ascii="Times New Roman" w:hAnsi="Times New Roman" w:cs="Times New Roman"/>
                <w:color w:val="auto"/>
                <w:sz w:val="24"/>
                <w:szCs w:val="24"/>
                <w:highlight w:val="none"/>
                <w:lang w:val="en-US" w:eastAsia="zh-CN"/>
              </w:rPr>
              <w:t>《国务院关于印发“十三五”控制温室气体排放工作方案的通知》(国发[2016]61号)中提出：“顺应绿色低碳发展国际潮流，把低碳发展作为我国经济社会发展的重大战略和生态文明建设的重要途径，采取积极措施，有效控制温室气体排放。加快科技创新和制度创新，健全激励和约束机制，发挥市场配置资源的决定性作用和更好发挥政府作用，加强碳排放和大气污染物排放协同控制，强化低碳引领，推动能源革命和产业革命，推动供给侧结构性改革和消费端转型，推动区域协调发展，深度参与全球气候治理，为促进我国经济社会可持续发展和维护全球生态安全作出新贡献”。</w:t>
            </w:r>
          </w:p>
          <w:p>
            <w:pPr>
              <w:adjustRightInd w:val="0"/>
              <w:snapToGrid w:val="0"/>
              <w:spacing w:line="360" w:lineRule="auto"/>
              <w:ind w:firstLine="480" w:firstLineChars="200"/>
              <w:rPr>
                <w:rFonts w:ascii="Times New Roman" w:hAnsi="Times New Roman"/>
                <w:snapToGrid w:val="0"/>
                <w:color w:val="auto"/>
                <w:sz w:val="24"/>
                <w:szCs w:val="24"/>
                <w:highlight w:val="none"/>
              </w:rPr>
            </w:pPr>
            <w:r>
              <w:rPr>
                <w:rFonts w:hint="eastAsia" w:ascii="Times New Roman" w:hAnsi="Times New Roman" w:cs="Times New Roman"/>
                <w:color w:val="auto"/>
                <w:sz w:val="24"/>
                <w:szCs w:val="24"/>
                <w:highlight w:val="none"/>
                <w:lang w:val="en-US" w:eastAsia="zh-CN"/>
              </w:rPr>
              <w:t>本项目生产过程仅消耗部分电能，不使用燃料。</w:t>
            </w:r>
            <w:bookmarkStart w:id="0" w:name="_Toc465954898"/>
            <w:r>
              <w:rPr>
                <w:rFonts w:ascii="Times New Roman" w:hAnsi="Times New Roman"/>
                <w:snapToGrid w:val="0"/>
                <w:color w:val="auto"/>
                <w:sz w:val="24"/>
                <w:szCs w:val="24"/>
                <w:highlight w:val="none"/>
              </w:rPr>
              <w:t>根据《秦皇岛市深入打好污染防治攻坚战实施方案》（秦皇岛市委、市政府2022年7月9日发布）</w:t>
            </w:r>
            <w:bookmarkEnd w:id="0"/>
            <w:r>
              <w:rPr>
                <w:rFonts w:ascii="Times New Roman" w:hAnsi="Times New Roman"/>
                <w:snapToGrid w:val="0"/>
                <w:color w:val="auto"/>
                <w:sz w:val="24"/>
                <w:szCs w:val="24"/>
                <w:highlight w:val="none"/>
              </w:rPr>
              <w:t>相关要求，开展碳排放影响评价。</w:t>
            </w:r>
          </w:p>
          <w:p>
            <w:pPr>
              <w:adjustRightInd w:val="0"/>
              <w:snapToGrid w:val="0"/>
              <w:spacing w:line="360" w:lineRule="auto"/>
              <w:ind w:firstLine="480" w:firstLineChars="200"/>
              <w:rPr>
                <w:rFonts w:ascii="Times New Roman" w:hAnsi="Times New Roman"/>
                <w:snapToGrid w:val="0"/>
                <w:color w:val="auto"/>
                <w:sz w:val="24"/>
                <w:szCs w:val="24"/>
                <w:highlight w:val="none"/>
              </w:rPr>
            </w:pPr>
            <w:r>
              <w:rPr>
                <w:rFonts w:ascii="Times New Roman" w:hAnsi="Times New Roman"/>
                <w:snapToGrid w:val="0"/>
                <w:color w:val="auto"/>
                <w:sz w:val="24"/>
                <w:szCs w:val="24"/>
                <w:highlight w:val="none"/>
              </w:rPr>
              <w:t>根据项目特点，碳排放核算范围包括电力</w:t>
            </w:r>
            <w:r>
              <w:rPr>
                <w:rFonts w:hint="eastAsia" w:ascii="Times New Roman" w:hAnsi="Times New Roman"/>
                <w:snapToGrid w:val="0"/>
                <w:color w:val="auto"/>
                <w:sz w:val="24"/>
                <w:szCs w:val="24"/>
                <w:highlight w:val="none"/>
                <w:lang w:val="en-US" w:eastAsia="zh-CN"/>
              </w:rPr>
              <w:t>使用</w:t>
            </w:r>
            <w:r>
              <w:rPr>
                <w:rFonts w:ascii="Times New Roman" w:hAnsi="Times New Roman"/>
                <w:snapToGrid w:val="0"/>
                <w:color w:val="auto"/>
                <w:sz w:val="24"/>
                <w:szCs w:val="24"/>
                <w:highlight w:val="none"/>
              </w:rPr>
              <w:t>、柴油燃烧产生二氧化碳排放。</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auto"/>
              <w:ind w:right="0"/>
              <w:textAlignment w:val="auto"/>
              <w:rPr>
                <w:rFonts w:hint="eastAsia" w:ascii="Times New Roman" w:hAnsi="Times New Roman" w:cs="Times New Roman"/>
                <w:color w:val="auto"/>
                <w:sz w:val="24"/>
                <w:szCs w:val="24"/>
                <w:highlight w:val="none"/>
                <w:lang w:val="en-US" w:eastAsia="zh-CN"/>
              </w:rPr>
            </w:pPr>
            <w:r>
              <w:rPr>
                <w:rFonts w:hint="eastAsia" w:ascii="Times New Roman" w:hAnsi="Times New Roman" w:cs="Times New Roman"/>
                <w:color w:val="auto"/>
                <w:sz w:val="24"/>
                <w:szCs w:val="24"/>
                <w:highlight w:val="none"/>
                <w:lang w:val="en-US" w:eastAsia="zh-CN"/>
              </w:rPr>
              <w:t>公式如下：</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auto"/>
              <w:ind w:left="0" w:leftChars="0" w:right="0" w:firstLine="480" w:firstLineChars="200"/>
              <w:jc w:val="center"/>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AE</w:t>
            </w:r>
            <w:r>
              <w:rPr>
                <w:rFonts w:hint="default" w:ascii="Times New Roman" w:hAnsi="Times New Roman" w:cs="Times New Roman"/>
                <w:color w:val="auto"/>
                <w:sz w:val="24"/>
                <w:szCs w:val="24"/>
                <w:highlight w:val="none"/>
                <w:vertAlign w:val="subscript"/>
                <w:lang w:val="en-US" w:eastAsia="zh-CN"/>
              </w:rPr>
              <w:t>净调入电力</w:t>
            </w:r>
            <w:r>
              <w:rPr>
                <w:rFonts w:hint="default" w:ascii="Times New Roman" w:hAnsi="Times New Roman" w:cs="Times New Roman"/>
                <w:color w:val="auto"/>
                <w:sz w:val="24"/>
                <w:szCs w:val="24"/>
                <w:highlight w:val="none"/>
                <w:lang w:val="en-US" w:eastAsia="zh-CN"/>
              </w:rPr>
              <w:t>=AD</w:t>
            </w:r>
            <w:r>
              <w:rPr>
                <w:rFonts w:hint="default" w:ascii="Times New Roman" w:hAnsi="Times New Roman" w:cs="Times New Roman"/>
                <w:color w:val="auto"/>
                <w:sz w:val="24"/>
                <w:szCs w:val="24"/>
                <w:highlight w:val="none"/>
                <w:vertAlign w:val="subscript"/>
                <w:lang w:val="en-US" w:eastAsia="zh-CN"/>
              </w:rPr>
              <w:t>净调入电量</w:t>
            </w:r>
            <w:r>
              <w:rPr>
                <w:rFonts w:hint="default" w:ascii="Times New Roman" w:hAnsi="Times New Roman" w:cs="Times New Roman"/>
                <w:color w:val="auto"/>
                <w:sz w:val="24"/>
                <w:szCs w:val="24"/>
                <w:highlight w:val="none"/>
                <w:lang w:val="en-US" w:eastAsia="zh-CN"/>
              </w:rPr>
              <w:t>×EF</w:t>
            </w:r>
            <w:r>
              <w:rPr>
                <w:rFonts w:hint="default" w:ascii="Times New Roman" w:hAnsi="Times New Roman" w:cs="Times New Roman"/>
                <w:color w:val="auto"/>
                <w:sz w:val="24"/>
                <w:szCs w:val="24"/>
                <w:highlight w:val="none"/>
                <w:vertAlign w:val="subscript"/>
                <w:lang w:val="en-US" w:eastAsia="zh-CN"/>
              </w:rPr>
              <w:t>电力</w:t>
            </w:r>
          </w:p>
          <w:p>
            <w:pPr>
              <w:pStyle w:val="12"/>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式中：AD</w:t>
            </w:r>
            <w:r>
              <w:rPr>
                <w:rFonts w:hint="default" w:ascii="Times New Roman" w:hAnsi="Times New Roman" w:cs="Times New Roman"/>
                <w:color w:val="auto"/>
                <w:sz w:val="24"/>
                <w:szCs w:val="24"/>
                <w:highlight w:val="none"/>
                <w:vertAlign w:val="subscript"/>
                <w:lang w:val="en-US" w:eastAsia="zh-CN"/>
              </w:rPr>
              <w:t>净调入电量</w:t>
            </w:r>
            <w:r>
              <w:rPr>
                <w:rFonts w:hint="default" w:ascii="Times New Roman" w:hAnsi="Times New Roman" w:cs="Times New Roman"/>
                <w:color w:val="auto"/>
                <w:sz w:val="24"/>
                <w:szCs w:val="24"/>
                <w:highlight w:val="none"/>
                <w:lang w:val="en-US" w:eastAsia="zh-CN"/>
              </w:rPr>
              <w:t>=净调入电力消耗量（WMh）</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auto"/>
              <w:ind w:left="0" w:leftChars="0" w:right="0" w:firstLine="480" w:firstLineChars="200"/>
              <w:jc w:val="both"/>
              <w:textAlignment w:val="auto"/>
              <w:rPr>
                <w:rFonts w:hint="default" w:ascii="Times New Roman" w:hAnsi="Times New Roman" w:cs="Times New Roman"/>
                <w:color w:val="auto"/>
                <w:sz w:val="24"/>
                <w:szCs w:val="24"/>
                <w:highlight w:val="none"/>
                <w:vertAlign w:val="baseline"/>
                <w:lang w:val="en-US" w:eastAsia="zh-CN"/>
              </w:rPr>
            </w:pPr>
            <w:r>
              <w:rPr>
                <w:rFonts w:hint="default" w:ascii="Times New Roman" w:hAnsi="Times New Roman" w:cs="Times New Roman"/>
                <w:color w:val="auto"/>
                <w:sz w:val="24"/>
                <w:szCs w:val="24"/>
                <w:highlight w:val="none"/>
                <w:lang w:val="en-US" w:eastAsia="zh-CN"/>
              </w:rPr>
              <w:t>EF</w:t>
            </w:r>
            <w:r>
              <w:rPr>
                <w:rFonts w:hint="default" w:ascii="Times New Roman" w:hAnsi="Times New Roman" w:cs="Times New Roman"/>
                <w:color w:val="auto"/>
                <w:sz w:val="24"/>
                <w:szCs w:val="24"/>
                <w:highlight w:val="none"/>
                <w:vertAlign w:val="subscript"/>
                <w:lang w:val="en-US" w:eastAsia="zh-CN"/>
              </w:rPr>
              <w:t>电力——</w:t>
            </w:r>
            <w:r>
              <w:rPr>
                <w:rFonts w:hint="default" w:ascii="Times New Roman" w:hAnsi="Times New Roman" w:cs="Times New Roman"/>
                <w:color w:val="auto"/>
                <w:sz w:val="24"/>
                <w:szCs w:val="24"/>
                <w:highlight w:val="none"/>
                <w:vertAlign w:val="baseline"/>
                <w:lang w:val="en-US" w:eastAsia="zh-CN"/>
              </w:rPr>
              <w:t>电子排放因子（tCO</w:t>
            </w:r>
            <w:r>
              <w:rPr>
                <w:rFonts w:hint="default" w:ascii="Times New Roman" w:hAnsi="Times New Roman" w:cs="Times New Roman"/>
                <w:color w:val="auto"/>
                <w:sz w:val="24"/>
                <w:szCs w:val="24"/>
                <w:highlight w:val="none"/>
                <w:vertAlign w:val="subscript"/>
                <w:lang w:val="en-US" w:eastAsia="zh-CN"/>
              </w:rPr>
              <w:t>2</w:t>
            </w:r>
            <w:r>
              <w:rPr>
                <w:rFonts w:hint="default" w:ascii="Times New Roman" w:hAnsi="Times New Roman" w:cs="Times New Roman"/>
                <w:color w:val="auto"/>
                <w:sz w:val="24"/>
                <w:szCs w:val="24"/>
                <w:highlight w:val="none"/>
                <w:vertAlign w:val="baseline"/>
                <w:lang w:val="en-US" w:eastAsia="zh-CN"/>
              </w:rPr>
              <w:t>eWMh），为0.58</w:t>
            </w:r>
            <w:r>
              <w:rPr>
                <w:rFonts w:hint="eastAsia" w:cs="Times New Roman"/>
                <w:color w:val="auto"/>
                <w:sz w:val="24"/>
                <w:szCs w:val="24"/>
                <w:highlight w:val="none"/>
                <w:vertAlign w:val="baseline"/>
                <w:lang w:val="en-US" w:eastAsia="zh-CN"/>
              </w:rPr>
              <w:t>03</w:t>
            </w:r>
            <w:r>
              <w:rPr>
                <w:rFonts w:hint="default" w:ascii="Times New Roman" w:hAnsi="Times New Roman" w:cs="Times New Roman"/>
                <w:color w:val="auto"/>
                <w:sz w:val="24"/>
                <w:szCs w:val="24"/>
                <w:highlight w:val="none"/>
                <w:vertAlign w:val="baseline"/>
                <w:lang w:val="en-US" w:eastAsia="zh-CN"/>
              </w:rPr>
              <w:t>tCO</w:t>
            </w:r>
            <w:r>
              <w:rPr>
                <w:rFonts w:hint="default" w:ascii="Times New Roman" w:hAnsi="Times New Roman" w:cs="Times New Roman"/>
                <w:color w:val="auto"/>
                <w:sz w:val="24"/>
                <w:szCs w:val="24"/>
                <w:highlight w:val="none"/>
                <w:vertAlign w:val="subscript"/>
                <w:lang w:val="en-US" w:eastAsia="zh-CN"/>
              </w:rPr>
              <w:t>2</w:t>
            </w:r>
            <w:r>
              <w:rPr>
                <w:rFonts w:hint="default" w:ascii="Times New Roman" w:hAnsi="Times New Roman" w:cs="Times New Roman"/>
                <w:color w:val="auto"/>
                <w:sz w:val="24"/>
                <w:szCs w:val="24"/>
                <w:highlight w:val="none"/>
                <w:vertAlign w:val="baseline"/>
                <w:lang w:val="en-US" w:eastAsia="zh-CN"/>
              </w:rPr>
              <w:t>/WMh</w:t>
            </w:r>
          </w:p>
          <w:p>
            <w:pPr>
              <w:keepNext w:val="0"/>
              <w:keepLines w:val="0"/>
              <w:pageBreakBefore w:val="0"/>
              <w:suppressLineNumbers w:val="0"/>
              <w:kinsoku/>
              <w:wordWrap/>
              <w:overflowPunct/>
              <w:topLinePunct w:val="0"/>
              <w:autoSpaceDE/>
              <w:autoSpaceDN/>
              <w:bidi w:val="0"/>
              <w:spacing w:before="0" w:beforeAutospacing="0" w:after="0" w:afterAutospacing="0" w:line="360" w:lineRule="auto"/>
              <w:ind w:left="0" w:right="0" w:firstLine="480" w:firstLineChars="200"/>
              <w:rPr>
                <w:rFonts w:hint="default" w:ascii="Times New Roman" w:hAnsi="Times New Roman" w:cs="Times New Roman"/>
                <w:color w:val="auto"/>
                <w:sz w:val="24"/>
                <w:szCs w:val="24"/>
                <w:highlight w:val="none"/>
                <w:lang w:val="en-US" w:eastAsia="zh-CN"/>
              </w:rPr>
            </w:pPr>
            <w:r>
              <w:rPr>
                <w:rFonts w:hint="eastAsia" w:ascii="Times New Roman" w:hAnsi="Times New Roman" w:cs="Times New Roman"/>
                <w:color w:val="auto"/>
                <w:sz w:val="24"/>
                <w:szCs w:val="24"/>
                <w:highlight w:val="none"/>
                <w:lang w:val="en-US" w:eastAsia="zh-CN"/>
              </w:rPr>
              <w:t>本项目用电量为</w:t>
            </w:r>
            <w:r>
              <w:rPr>
                <w:rFonts w:hint="eastAsia" w:cs="Times New Roman"/>
                <w:color w:val="auto"/>
                <w:sz w:val="24"/>
                <w:szCs w:val="24"/>
                <w:highlight w:val="none"/>
                <w:lang w:val="en-US" w:eastAsia="zh-CN"/>
              </w:rPr>
              <w:t>2000</w:t>
            </w:r>
            <w:r>
              <w:rPr>
                <w:rFonts w:hint="eastAsia" w:ascii="Times New Roman" w:hAnsi="Times New Roman" w:cs="Times New Roman"/>
                <w:color w:val="auto"/>
                <w:sz w:val="24"/>
                <w:szCs w:val="24"/>
                <w:highlight w:val="none"/>
                <w:lang w:val="en-US" w:eastAsia="zh-CN"/>
              </w:rPr>
              <w:t>kWh/a，净调入电力消耗碳排放量</w:t>
            </w:r>
            <w:r>
              <w:rPr>
                <w:rFonts w:hint="eastAsia" w:cs="Times New Roman"/>
                <w:color w:val="auto"/>
                <w:sz w:val="24"/>
                <w:szCs w:val="24"/>
                <w:highlight w:val="none"/>
                <w:lang w:val="en-US" w:eastAsia="zh-CN"/>
              </w:rPr>
              <w:t>1.1606t</w:t>
            </w:r>
            <w:r>
              <w:rPr>
                <w:rFonts w:hint="eastAsia" w:ascii="Times New Roman" w:hAnsi="Times New Roman" w:cs="Times New Roman"/>
                <w:color w:val="auto"/>
                <w:sz w:val="24"/>
                <w:szCs w:val="24"/>
                <w:highlight w:val="none"/>
                <w:lang w:val="en-US" w:eastAsia="zh-CN"/>
              </w:rPr>
              <w:t>CO</w:t>
            </w:r>
            <w:r>
              <w:rPr>
                <w:rFonts w:hint="eastAsia" w:ascii="Times New Roman" w:hAnsi="Times New Roman" w:cs="Times New Roman"/>
                <w:color w:val="auto"/>
                <w:sz w:val="24"/>
                <w:szCs w:val="24"/>
                <w:highlight w:val="none"/>
                <w:vertAlign w:val="subscript"/>
                <w:lang w:val="en-US" w:eastAsia="zh-CN"/>
              </w:rPr>
              <w:t>2</w:t>
            </w:r>
            <w:r>
              <w:rPr>
                <w:rFonts w:hint="eastAsia" w:ascii="Times New Roman" w:hAnsi="Times New Roman" w:cs="Times New Roman"/>
                <w:color w:val="auto"/>
                <w:sz w:val="24"/>
                <w:szCs w:val="24"/>
                <w:highlight w:val="none"/>
                <w:lang w:val="en-US" w:eastAsia="zh-CN"/>
              </w:rPr>
              <w:t>。</w:t>
            </w:r>
          </w:p>
          <w:p>
            <w:pPr>
              <w:keepNext w:val="0"/>
              <w:keepLines w:val="0"/>
              <w:pageBreakBefore w:val="0"/>
              <w:suppressLineNumbers w:val="0"/>
              <w:kinsoku/>
              <w:wordWrap/>
              <w:overflowPunct/>
              <w:topLinePunct w:val="0"/>
              <w:autoSpaceDE/>
              <w:autoSpaceDN/>
              <w:bidi w:val="0"/>
              <w:spacing w:before="0" w:beforeAutospacing="0" w:after="0" w:afterAutospacing="0" w:line="360" w:lineRule="auto"/>
              <w:ind w:left="0" w:right="0" w:firstLine="480" w:firstLineChars="200"/>
              <w:rPr>
                <w:rFonts w:hint="eastAsia" w:ascii="Times New Roman" w:hAnsi="Times New Roman" w:cs="Times New Roman"/>
                <w:color w:val="auto"/>
                <w:sz w:val="24"/>
                <w:szCs w:val="24"/>
                <w:highlight w:val="none"/>
                <w:lang w:val="en-US" w:eastAsia="zh-CN"/>
              </w:rPr>
            </w:pPr>
            <w:r>
              <w:rPr>
                <w:rFonts w:hint="eastAsia" w:ascii="Times New Roman" w:hAnsi="Times New Roman" w:cs="Times New Roman"/>
                <w:color w:val="auto"/>
                <w:sz w:val="24"/>
                <w:szCs w:val="24"/>
                <w:highlight w:val="none"/>
                <w:lang w:val="en-US" w:eastAsia="zh-CN"/>
              </w:rPr>
              <w:t>针对项目碳排放，采取如下碳减排措施：</w:t>
            </w:r>
          </w:p>
          <w:p>
            <w:pPr>
              <w:keepNext w:val="0"/>
              <w:keepLines w:val="0"/>
              <w:pageBreakBefore w:val="0"/>
              <w:suppressLineNumbers w:val="0"/>
              <w:kinsoku/>
              <w:wordWrap/>
              <w:overflowPunct/>
              <w:topLinePunct w:val="0"/>
              <w:autoSpaceDE/>
              <w:autoSpaceDN/>
              <w:bidi w:val="0"/>
              <w:spacing w:before="0" w:beforeAutospacing="0" w:after="0" w:afterAutospacing="0" w:line="360" w:lineRule="auto"/>
              <w:ind w:left="0" w:right="0" w:firstLine="480" w:firstLineChars="200"/>
              <w:rPr>
                <w:rFonts w:hint="eastAsia" w:ascii="Times New Roman" w:hAnsi="Times New Roman" w:cs="Times New Roman"/>
                <w:color w:val="auto"/>
                <w:sz w:val="24"/>
                <w:szCs w:val="24"/>
                <w:highlight w:val="none"/>
                <w:lang w:val="en-US" w:eastAsia="zh-CN"/>
              </w:rPr>
            </w:pPr>
            <w:r>
              <w:rPr>
                <w:rFonts w:hint="eastAsia" w:cs="Times New Roman"/>
                <w:color w:val="auto"/>
                <w:sz w:val="24"/>
                <w:szCs w:val="24"/>
                <w:highlight w:val="none"/>
                <w:lang w:val="en-US" w:eastAsia="zh-CN"/>
              </w:rPr>
              <w:t>（1）</w:t>
            </w:r>
            <w:r>
              <w:rPr>
                <w:rFonts w:hint="eastAsia" w:ascii="Times New Roman" w:hAnsi="Times New Roman" w:cs="Times New Roman"/>
                <w:color w:val="auto"/>
                <w:sz w:val="24"/>
                <w:szCs w:val="24"/>
                <w:highlight w:val="none"/>
                <w:lang w:val="en-US" w:eastAsia="zh-CN"/>
              </w:rPr>
              <w:t>采用节能电气化设施：项目生产用电机、风机、照明灯全部采用节能设施，降低能源消耗，根据设计资料及工程分析，项目综合能耗均满足清洁生产要求和单位产品能源消耗限额要求；</w:t>
            </w:r>
          </w:p>
          <w:p>
            <w:pPr>
              <w:keepNext w:val="0"/>
              <w:keepLines w:val="0"/>
              <w:pageBreakBefore w:val="0"/>
              <w:suppressLineNumbers w:val="0"/>
              <w:kinsoku/>
              <w:wordWrap/>
              <w:overflowPunct/>
              <w:topLinePunct w:val="0"/>
              <w:autoSpaceDE/>
              <w:autoSpaceDN/>
              <w:bidi w:val="0"/>
              <w:spacing w:before="0" w:beforeAutospacing="0" w:after="0" w:afterAutospacing="0" w:line="360" w:lineRule="auto"/>
              <w:ind w:left="0" w:right="0" w:firstLine="480" w:firstLineChars="200"/>
              <w:rPr>
                <w:rFonts w:hint="eastAsia" w:ascii="Times New Roman" w:hAnsi="Times New Roman" w:cs="Times New Roman"/>
                <w:color w:val="auto"/>
                <w:sz w:val="24"/>
                <w:szCs w:val="24"/>
                <w:highlight w:val="none"/>
                <w:lang w:val="en-US" w:eastAsia="zh-CN"/>
              </w:rPr>
            </w:pPr>
            <w:r>
              <w:rPr>
                <w:rFonts w:hint="eastAsia" w:cs="Times New Roman"/>
                <w:color w:val="auto"/>
                <w:sz w:val="24"/>
                <w:szCs w:val="24"/>
                <w:highlight w:val="none"/>
                <w:lang w:val="en-US" w:eastAsia="zh-CN"/>
              </w:rPr>
              <w:t>（2）</w:t>
            </w:r>
            <w:r>
              <w:rPr>
                <w:rFonts w:hint="eastAsia" w:ascii="Times New Roman" w:hAnsi="Times New Roman" w:cs="Times New Roman"/>
                <w:color w:val="auto"/>
                <w:sz w:val="24"/>
                <w:szCs w:val="24"/>
                <w:highlight w:val="none"/>
                <w:lang w:val="en-US" w:eastAsia="zh-CN"/>
              </w:rPr>
              <w:t>合理平面布置，各工序之间有效衔接，减少物料转运距离及转运时间；</w:t>
            </w:r>
          </w:p>
          <w:p>
            <w:pPr>
              <w:pStyle w:val="55"/>
              <w:ind w:firstLine="480"/>
              <w:rPr>
                <w:rFonts w:hint="eastAsia" w:cs="Times New Roman"/>
                <w:b/>
                <w:bCs/>
                <w:color w:val="auto"/>
                <w:sz w:val="24"/>
                <w:szCs w:val="24"/>
                <w:highlight w:val="none"/>
                <w:lang w:val="en-US" w:eastAsia="zh-CN"/>
              </w:rPr>
            </w:pPr>
            <w:r>
              <w:rPr>
                <w:rFonts w:hint="eastAsia" w:cs="Times New Roman"/>
                <w:color w:val="auto"/>
                <w:sz w:val="24"/>
                <w:szCs w:val="24"/>
                <w:highlight w:val="none"/>
                <w:lang w:val="en-US" w:eastAsia="zh-CN"/>
              </w:rPr>
              <w:t>（3）</w:t>
            </w:r>
            <w:r>
              <w:rPr>
                <w:rFonts w:hint="eastAsia" w:ascii="Times New Roman" w:hAnsi="Times New Roman" w:cs="Times New Roman"/>
                <w:color w:val="auto"/>
                <w:sz w:val="24"/>
                <w:szCs w:val="24"/>
                <w:highlight w:val="none"/>
                <w:lang w:val="en-US" w:eastAsia="zh-CN"/>
              </w:rPr>
              <w:t>建立健全的能源管理机构和管理制度，定期开展清洁生产审核以及节能减排等活动</w:t>
            </w:r>
            <w:r>
              <w:rPr>
                <w:rFonts w:hint="eastAsia" w:cs="Times New Roman"/>
                <w:color w:val="auto"/>
                <w:sz w:val="24"/>
                <w:szCs w:val="24"/>
                <w:highlight w:val="none"/>
                <w:lang w:val="en-US" w:eastAsia="zh-CN"/>
              </w:rPr>
              <w:t>。</w:t>
            </w:r>
          </w:p>
          <w:p>
            <w:pPr>
              <w:keepNext w:val="0"/>
              <w:keepLines w:val="0"/>
              <w:pageBreakBefore w:val="0"/>
              <w:suppressLineNumbers w:val="0"/>
              <w:kinsoku/>
              <w:wordWrap/>
              <w:overflowPunct/>
              <w:topLinePunct w:val="0"/>
              <w:autoSpaceDE/>
              <w:autoSpaceDN/>
              <w:bidi w:val="0"/>
              <w:spacing w:before="0" w:beforeAutospacing="0" w:after="0" w:afterAutospacing="0" w:line="360" w:lineRule="auto"/>
              <w:ind w:left="0" w:leftChars="0" w:right="0" w:firstLine="0" w:firstLineChars="0"/>
              <w:rPr>
                <w:rFonts w:hint="eastAsia" w:ascii="Times New Roman" w:hAnsi="Times New Roman" w:eastAsia="宋体" w:cs="Times New Roman"/>
                <w:b/>
                <w:bCs/>
                <w:color w:val="auto"/>
                <w:sz w:val="24"/>
                <w:szCs w:val="24"/>
                <w:highlight w:val="none"/>
                <w:lang w:val="en-US" w:eastAsia="zh-CN"/>
              </w:rPr>
            </w:pPr>
            <w:r>
              <w:rPr>
                <w:rFonts w:hint="eastAsia" w:cs="Times New Roman"/>
                <w:b/>
                <w:bCs/>
                <w:color w:val="auto"/>
                <w:sz w:val="24"/>
                <w:szCs w:val="24"/>
                <w:highlight w:val="none"/>
                <w:lang w:val="en-US" w:eastAsia="zh-CN"/>
              </w:rPr>
              <w:t>8、</w:t>
            </w:r>
            <w:r>
              <w:rPr>
                <w:rFonts w:ascii="Times New Roman" w:hAnsi="Times New Roman"/>
                <w:b/>
                <w:bCs/>
                <w:snapToGrid w:val="0"/>
                <w:color w:val="auto"/>
                <w:sz w:val="24"/>
                <w:szCs w:val="24"/>
                <w:highlight w:val="none"/>
              </w:rPr>
              <w:t>排污口规范化</w:t>
            </w:r>
          </w:p>
          <w:p>
            <w:pPr>
              <w:adjustRightInd w:val="0"/>
              <w:snapToGrid w:val="0"/>
              <w:spacing w:line="360" w:lineRule="auto"/>
              <w:ind w:firstLine="480" w:firstLineChars="200"/>
              <w:rPr>
                <w:rFonts w:ascii="Times New Roman" w:hAnsi="Times New Roman"/>
                <w:color w:val="auto"/>
                <w:sz w:val="24"/>
                <w:szCs w:val="24"/>
                <w:highlight w:val="none"/>
              </w:rPr>
            </w:pPr>
            <w:r>
              <w:rPr>
                <w:rFonts w:ascii="Times New Roman" w:hAnsi="Times New Roman"/>
                <w:color w:val="auto"/>
                <w:sz w:val="24"/>
                <w:szCs w:val="24"/>
                <w:highlight w:val="none"/>
              </w:rPr>
              <w:t xml:space="preserve">（1）落实按证排污责任 </w:t>
            </w:r>
          </w:p>
          <w:p>
            <w:pPr>
              <w:adjustRightInd w:val="0"/>
              <w:snapToGrid w:val="0"/>
              <w:spacing w:line="360" w:lineRule="auto"/>
              <w:ind w:firstLine="480" w:firstLineChars="200"/>
              <w:rPr>
                <w:rFonts w:ascii="Times New Roman" w:hAnsi="Times New Roman"/>
                <w:color w:val="auto"/>
                <w:sz w:val="24"/>
                <w:szCs w:val="24"/>
                <w:highlight w:val="none"/>
              </w:rPr>
            </w:pPr>
            <w:r>
              <w:rPr>
                <w:rFonts w:ascii="Times New Roman" w:hAnsi="Times New Roman"/>
                <w:color w:val="auto"/>
                <w:sz w:val="24"/>
                <w:szCs w:val="24"/>
                <w:highlight w:val="none"/>
              </w:rPr>
              <w:t>建设单位必须按期持证排污、按证排污，不得无证排污，及时申领排污许可证，对申请材料的真实性、准确性和完整性承担法律责任，承诺按照排污许可证的规定排污并严格执行；落实污染物排放控制措施和其他各项环境管理要求，确保污染物排放种类、浓度和排放量等达到许可要求；明确单位负责人和相关人员环境保护责任，不断提高污染治理和环境管理水平，自觉接受监督检查。</w:t>
            </w:r>
          </w:p>
          <w:p>
            <w:pPr>
              <w:adjustRightInd w:val="0"/>
              <w:snapToGrid w:val="0"/>
              <w:spacing w:line="360" w:lineRule="auto"/>
              <w:ind w:firstLine="480" w:firstLineChars="200"/>
              <w:rPr>
                <w:rFonts w:ascii="Times New Roman" w:hAnsi="Times New Roman"/>
                <w:color w:val="auto"/>
                <w:sz w:val="24"/>
                <w:szCs w:val="24"/>
                <w:highlight w:val="none"/>
              </w:rPr>
            </w:pPr>
            <w:r>
              <w:rPr>
                <w:rFonts w:ascii="Times New Roman" w:hAnsi="Times New Roman"/>
                <w:color w:val="auto"/>
                <w:sz w:val="24"/>
                <w:szCs w:val="24"/>
                <w:highlight w:val="none"/>
              </w:rPr>
              <w:t xml:space="preserve"> （2）实行自行监测和定期报告制度 </w:t>
            </w:r>
          </w:p>
          <w:p>
            <w:pPr>
              <w:adjustRightInd w:val="0"/>
              <w:snapToGrid w:val="0"/>
              <w:spacing w:line="360" w:lineRule="auto"/>
              <w:ind w:firstLine="480" w:firstLineChars="200"/>
              <w:rPr>
                <w:rFonts w:ascii="Times New Roman" w:hAnsi="Times New Roman"/>
                <w:color w:val="auto"/>
                <w:sz w:val="24"/>
                <w:szCs w:val="24"/>
                <w:highlight w:val="none"/>
              </w:rPr>
            </w:pPr>
            <w:r>
              <w:rPr>
                <w:rFonts w:ascii="Times New Roman" w:hAnsi="Times New Roman"/>
                <w:color w:val="auto"/>
                <w:sz w:val="24"/>
                <w:szCs w:val="24"/>
                <w:highlight w:val="none"/>
              </w:rPr>
              <w:t>依法开展自行监测，安装或使用监测设备应符合国家有关环境监测、计量认证规定和技术规范，保障数据合法有效，保证设备正常运行，妥善保存原始记录，建立准确完整的环境管理台账。如实向环境保护部门报告排污许可证执行情况，依法向社会公开污染物排放数据并对数据真实性负责。排放情况与排污许可证要求不符的，应及时向环境保护部门报告。</w:t>
            </w:r>
          </w:p>
          <w:p>
            <w:pPr>
              <w:adjustRightInd w:val="0"/>
              <w:snapToGrid w:val="0"/>
              <w:spacing w:line="360" w:lineRule="auto"/>
              <w:ind w:firstLine="480" w:firstLineChars="200"/>
              <w:rPr>
                <w:rFonts w:ascii="Times New Roman" w:hAnsi="Times New Roman"/>
                <w:color w:val="auto"/>
                <w:sz w:val="24"/>
                <w:szCs w:val="24"/>
                <w:highlight w:val="none"/>
              </w:rPr>
            </w:pPr>
            <w:r>
              <w:rPr>
                <w:rFonts w:ascii="Times New Roman" w:hAnsi="Times New Roman"/>
                <w:color w:val="auto"/>
                <w:sz w:val="24"/>
                <w:szCs w:val="24"/>
                <w:highlight w:val="none"/>
              </w:rPr>
              <w:t>（3）排污许可证管理</w:t>
            </w:r>
          </w:p>
          <w:p>
            <w:pPr>
              <w:adjustRightInd w:val="0"/>
              <w:snapToGrid w:val="0"/>
              <w:spacing w:line="360" w:lineRule="auto"/>
              <w:ind w:firstLine="480" w:firstLineChars="200"/>
              <w:rPr>
                <w:rFonts w:ascii="Times New Roman" w:hAnsi="Times New Roman"/>
                <w:color w:val="auto"/>
                <w:sz w:val="24"/>
                <w:szCs w:val="24"/>
                <w:highlight w:val="none"/>
              </w:rPr>
            </w:pPr>
            <w:r>
              <w:rPr>
                <w:rFonts w:ascii="Times New Roman" w:hAnsi="Times New Roman"/>
                <w:color w:val="auto"/>
                <w:sz w:val="24"/>
                <w:szCs w:val="24"/>
                <w:highlight w:val="none"/>
              </w:rPr>
              <w:t>①排污口位置和数量、排放方式、排放去向、排放污染物种类、排放浓度和排放量、执行的排放标准等符合排污许可证的规定，不得私设暗管或以其他方式逃避监管。</w:t>
            </w:r>
          </w:p>
          <w:p>
            <w:pPr>
              <w:adjustRightInd w:val="0"/>
              <w:snapToGrid w:val="0"/>
              <w:spacing w:line="360" w:lineRule="auto"/>
              <w:ind w:firstLine="480" w:firstLineChars="200"/>
              <w:rPr>
                <w:rFonts w:ascii="Times New Roman" w:hAnsi="Times New Roman"/>
                <w:color w:val="auto"/>
                <w:sz w:val="24"/>
                <w:szCs w:val="24"/>
                <w:highlight w:val="none"/>
              </w:rPr>
            </w:pPr>
            <w:r>
              <w:rPr>
                <w:rFonts w:ascii="Times New Roman" w:hAnsi="Times New Roman"/>
                <w:color w:val="auto"/>
                <w:sz w:val="24"/>
                <w:szCs w:val="24"/>
                <w:highlight w:val="none"/>
              </w:rPr>
              <w:t>②落实重污染天气应急管控措施、遵守法律规定的最新环境保护要求等。</w:t>
            </w:r>
          </w:p>
          <w:p>
            <w:pPr>
              <w:adjustRightInd w:val="0"/>
              <w:snapToGrid w:val="0"/>
              <w:spacing w:line="360" w:lineRule="auto"/>
              <w:ind w:firstLine="480" w:firstLineChars="200"/>
              <w:rPr>
                <w:rFonts w:ascii="Times New Roman" w:hAnsi="Times New Roman"/>
                <w:color w:val="auto"/>
                <w:sz w:val="24"/>
                <w:szCs w:val="24"/>
                <w:highlight w:val="none"/>
              </w:rPr>
            </w:pPr>
            <w:r>
              <w:rPr>
                <w:rFonts w:ascii="Times New Roman" w:hAnsi="Times New Roman"/>
                <w:color w:val="auto"/>
                <w:sz w:val="24"/>
                <w:szCs w:val="24"/>
                <w:highlight w:val="none"/>
              </w:rPr>
              <w:t>③按排污许可证规定的监测点位、监测因子、监测频次和相关监测技术规范开展自行监测并公开。</w:t>
            </w:r>
          </w:p>
          <w:p>
            <w:pPr>
              <w:adjustRightInd w:val="0"/>
              <w:snapToGrid w:val="0"/>
              <w:spacing w:line="360" w:lineRule="auto"/>
              <w:ind w:firstLine="480" w:firstLineChars="200"/>
              <w:rPr>
                <w:rFonts w:ascii="Times New Roman" w:hAnsi="Times New Roman"/>
                <w:color w:val="auto"/>
                <w:sz w:val="24"/>
                <w:szCs w:val="24"/>
                <w:highlight w:val="none"/>
              </w:rPr>
            </w:pPr>
            <w:r>
              <w:rPr>
                <w:rFonts w:ascii="Times New Roman" w:hAnsi="Times New Roman"/>
                <w:color w:val="auto"/>
                <w:sz w:val="24"/>
                <w:szCs w:val="24"/>
                <w:highlight w:val="none"/>
              </w:rPr>
              <w:t>④按规范进行台账记录，主要内容包括生产信息、原辅材料使用情况、污染防治设施运行记录、监测数据等。</w:t>
            </w:r>
          </w:p>
          <w:p>
            <w:pPr>
              <w:adjustRightInd w:val="0"/>
              <w:snapToGrid w:val="0"/>
              <w:spacing w:line="360" w:lineRule="auto"/>
              <w:ind w:firstLine="480" w:firstLineChars="200"/>
              <w:rPr>
                <w:rFonts w:ascii="Times New Roman" w:hAnsi="Times New Roman"/>
                <w:color w:val="auto"/>
                <w:sz w:val="24"/>
                <w:szCs w:val="24"/>
                <w:highlight w:val="none"/>
              </w:rPr>
            </w:pPr>
            <w:r>
              <w:rPr>
                <w:rFonts w:ascii="Times New Roman" w:hAnsi="Times New Roman"/>
                <w:color w:val="auto"/>
                <w:sz w:val="24"/>
                <w:szCs w:val="24"/>
                <w:highlight w:val="none"/>
              </w:rPr>
              <w:t>⑤按排污许可证规定，定期在国家排污许可证管理信息平台填报信息，编制排污许可证执行报告，及时报送有核发权的环境保护主管部门并公开，执行报告主要内容包括生产信息、污染防治设施运行情况、污染物按证排放情况等。</w:t>
            </w:r>
          </w:p>
          <w:p>
            <w:pPr>
              <w:adjustRightInd w:val="0"/>
              <w:snapToGrid w:val="0"/>
              <w:spacing w:line="360" w:lineRule="auto"/>
              <w:ind w:firstLine="480" w:firstLineChars="200"/>
              <w:rPr>
                <w:rFonts w:ascii="Times New Roman" w:hAnsi="Times New Roman"/>
                <w:color w:val="auto"/>
                <w:sz w:val="24"/>
                <w:szCs w:val="24"/>
                <w:highlight w:val="none"/>
              </w:rPr>
            </w:pPr>
            <w:r>
              <w:rPr>
                <w:rFonts w:ascii="Times New Roman" w:hAnsi="Times New Roman"/>
                <w:color w:val="auto"/>
                <w:sz w:val="24"/>
                <w:szCs w:val="24"/>
                <w:highlight w:val="none"/>
              </w:rPr>
              <w:t>⑥按照国家环境保护相关法律法规以及排污许可证申请与核发技术规范要求申请排污许可证，不得无证排污或不按证排污。申请排污许可证后，排污单位应按照自行监测方案开展自行监测；按照排污许可证中环境管理台账记录要求记录相关内容，记录频次形式等；按照排污许可证中执行报告要求定期上报等；按照排污许可证要求定期开展信息公开；排污单位应满足特殊时段污染防治要求。</w:t>
            </w:r>
          </w:p>
          <w:p>
            <w:pPr>
              <w:adjustRightInd w:val="0"/>
              <w:snapToGrid w:val="0"/>
              <w:spacing w:line="360" w:lineRule="auto"/>
              <w:ind w:firstLine="480" w:firstLineChars="200"/>
              <w:rPr>
                <w:rFonts w:ascii="Times New Roman" w:hAnsi="Times New Roman"/>
                <w:color w:val="auto"/>
                <w:sz w:val="24"/>
                <w:szCs w:val="24"/>
                <w:highlight w:val="none"/>
              </w:rPr>
            </w:pPr>
            <w:r>
              <w:rPr>
                <w:rFonts w:ascii="Times New Roman" w:hAnsi="Times New Roman"/>
                <w:color w:val="auto"/>
                <w:sz w:val="24"/>
                <w:szCs w:val="24"/>
                <w:highlight w:val="none"/>
              </w:rPr>
              <w:t>排污口图形符号见下表。</w:t>
            </w:r>
          </w:p>
          <w:p>
            <w:pPr>
              <w:pStyle w:val="107"/>
              <w:adjustRightInd w:val="0"/>
              <w:snapToGrid w:val="0"/>
              <w:spacing w:line="240" w:lineRule="auto"/>
              <w:ind w:firstLine="0" w:firstLineChars="0"/>
              <w:jc w:val="center"/>
              <w:rPr>
                <w:rFonts w:ascii="Times New Roman" w:hAnsi="Times New Roman" w:cs="Times New Roman"/>
                <w:b/>
                <w:color w:val="auto"/>
                <w:sz w:val="24"/>
                <w:szCs w:val="24"/>
                <w:highlight w:val="none"/>
              </w:rPr>
            </w:pPr>
            <w:r>
              <w:rPr>
                <w:rFonts w:ascii="Times New Roman" w:hAnsi="Times New Roman" w:cs="Times New Roman"/>
                <w:b/>
                <w:color w:val="auto"/>
                <w:sz w:val="24"/>
                <w:szCs w:val="24"/>
                <w:highlight w:val="none"/>
              </w:rPr>
              <w:t>表</w:t>
            </w:r>
            <w:r>
              <w:rPr>
                <w:rFonts w:hint="eastAsia" w:ascii="Times New Roman" w:hAnsi="Times New Roman" w:cs="Times New Roman"/>
                <w:b/>
                <w:color w:val="auto"/>
                <w:sz w:val="24"/>
                <w:szCs w:val="24"/>
                <w:highlight w:val="none"/>
                <w:lang w:val="en-US" w:eastAsia="zh-CN"/>
              </w:rPr>
              <w:t xml:space="preserve">4-12 </w:t>
            </w:r>
            <w:r>
              <w:rPr>
                <w:rFonts w:ascii="Times New Roman" w:hAnsi="Times New Roman" w:cs="Times New Roman"/>
                <w:b/>
                <w:color w:val="auto"/>
                <w:sz w:val="24"/>
                <w:szCs w:val="24"/>
                <w:highlight w:val="none"/>
              </w:rPr>
              <w:t xml:space="preserve"> 厂区排污口图形符号（提示标志）一览表</w:t>
            </w:r>
          </w:p>
          <w:tbl>
            <w:tblPr>
              <w:tblStyle w:val="32"/>
              <w:tblW w:w="848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64"/>
              <w:gridCol w:w="1575"/>
              <w:gridCol w:w="1841"/>
              <w:gridCol w:w="1800"/>
              <w:gridCol w:w="18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42" w:hRule="atLeast"/>
                <w:jc w:val="center"/>
              </w:trPr>
              <w:tc>
                <w:tcPr>
                  <w:tcW w:w="1464"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ascii="Times New Roman" w:hAnsi="Times New Roman"/>
                      <w:color w:val="auto"/>
                      <w:sz w:val="21"/>
                      <w:szCs w:val="21"/>
                      <w:highlight w:val="none"/>
                      <w:lang w:val="en-GB"/>
                    </w:rPr>
                  </w:pPr>
                  <w:r>
                    <w:rPr>
                      <w:rFonts w:ascii="Times New Roman" w:hAnsi="Times New Roman"/>
                      <w:color w:val="auto"/>
                      <w:sz w:val="21"/>
                      <w:szCs w:val="21"/>
                      <w:highlight w:val="none"/>
                      <w:lang w:val="en-GB"/>
                    </w:rPr>
                    <w:t>排放部位</w:t>
                  </w:r>
                </w:p>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ascii="Times New Roman" w:hAnsi="Times New Roman"/>
                      <w:color w:val="auto"/>
                      <w:sz w:val="21"/>
                      <w:szCs w:val="21"/>
                      <w:highlight w:val="none"/>
                      <w:lang w:val="en-GB"/>
                    </w:rPr>
                  </w:pPr>
                  <w:r>
                    <w:rPr>
                      <w:rFonts w:ascii="Times New Roman" w:hAnsi="Times New Roman"/>
                      <w:color w:val="auto"/>
                      <w:sz w:val="21"/>
                      <w:szCs w:val="21"/>
                      <w:highlight w:val="none"/>
                      <w:lang w:val="en-GB"/>
                    </w:rPr>
                    <w:t>项目</w:t>
                  </w:r>
                </w:p>
              </w:tc>
              <w:tc>
                <w:tcPr>
                  <w:tcW w:w="1575"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ascii="Times New Roman" w:hAnsi="Times New Roman"/>
                      <w:color w:val="auto"/>
                      <w:sz w:val="21"/>
                      <w:szCs w:val="21"/>
                      <w:highlight w:val="none"/>
                      <w:lang w:val="en-GB"/>
                    </w:rPr>
                  </w:pPr>
                  <w:r>
                    <w:rPr>
                      <w:rFonts w:ascii="Times New Roman" w:hAnsi="Times New Roman"/>
                      <w:color w:val="auto"/>
                      <w:sz w:val="21"/>
                      <w:szCs w:val="21"/>
                      <w:highlight w:val="none"/>
                      <w:lang w:val="en-GB"/>
                    </w:rPr>
                    <w:t>噪声排放源</w:t>
                  </w:r>
                </w:p>
              </w:tc>
              <w:tc>
                <w:tcPr>
                  <w:tcW w:w="1841"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olor w:val="auto"/>
                      <w:sz w:val="21"/>
                      <w:szCs w:val="21"/>
                      <w:highlight w:val="none"/>
                      <w:lang w:val="en-US" w:eastAsia="zh-CN"/>
                    </w:rPr>
                  </w:pPr>
                  <w:r>
                    <w:rPr>
                      <w:rFonts w:hint="eastAsia" w:ascii="Times New Roman" w:hAnsi="Times New Roman"/>
                      <w:color w:val="auto"/>
                      <w:sz w:val="21"/>
                      <w:szCs w:val="21"/>
                      <w:highlight w:val="none"/>
                      <w:lang w:val="en-US" w:eastAsia="zh-CN"/>
                    </w:rPr>
                    <w:t>废气排放源</w:t>
                  </w:r>
                </w:p>
              </w:tc>
              <w:tc>
                <w:tcPr>
                  <w:tcW w:w="180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ascii="Times New Roman" w:hAnsi="Times New Roman"/>
                      <w:color w:val="auto"/>
                      <w:sz w:val="21"/>
                      <w:szCs w:val="21"/>
                      <w:highlight w:val="none"/>
                      <w:lang w:val="en-GB"/>
                    </w:rPr>
                  </w:pPr>
                  <w:r>
                    <w:rPr>
                      <w:rFonts w:ascii="Times New Roman" w:hAnsi="Times New Roman"/>
                      <w:color w:val="auto"/>
                      <w:sz w:val="21"/>
                      <w:szCs w:val="21"/>
                      <w:highlight w:val="none"/>
                      <w:lang w:val="en-GB"/>
                    </w:rPr>
                    <w:t>固体废物</w:t>
                  </w:r>
                </w:p>
              </w:tc>
              <w:tc>
                <w:tcPr>
                  <w:tcW w:w="1809"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ascii="Times New Roman" w:hAnsi="Times New Roman"/>
                      <w:color w:val="auto"/>
                      <w:sz w:val="21"/>
                      <w:szCs w:val="21"/>
                      <w:highlight w:val="none"/>
                      <w:lang w:val="en-GB"/>
                    </w:rPr>
                  </w:pPr>
                  <w:r>
                    <w:rPr>
                      <w:rFonts w:ascii="Times New Roman" w:hAnsi="Times New Roman"/>
                      <w:color w:val="auto"/>
                      <w:sz w:val="21"/>
                      <w:szCs w:val="21"/>
                      <w:highlight w:val="none"/>
                      <w:lang w:val="en-GB"/>
                    </w:rPr>
                    <w:t>危险废物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72" w:hRule="atLeast"/>
                <w:jc w:val="center"/>
              </w:trPr>
              <w:tc>
                <w:tcPr>
                  <w:tcW w:w="1464"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ascii="Times New Roman" w:hAnsi="Times New Roman"/>
                      <w:color w:val="auto"/>
                      <w:sz w:val="21"/>
                      <w:szCs w:val="21"/>
                      <w:highlight w:val="none"/>
                      <w:lang w:val="en-GB"/>
                    </w:rPr>
                  </w:pPr>
                  <w:r>
                    <w:rPr>
                      <w:rFonts w:ascii="Times New Roman" w:hAnsi="Times New Roman"/>
                      <w:color w:val="auto"/>
                      <w:sz w:val="21"/>
                      <w:szCs w:val="21"/>
                      <w:highlight w:val="none"/>
                      <w:lang w:val="en-GB"/>
                    </w:rPr>
                    <w:t>图形符号</w:t>
                  </w:r>
                </w:p>
              </w:tc>
              <w:tc>
                <w:tcPr>
                  <w:tcW w:w="1575"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ascii="Times New Roman" w:hAnsi="Times New Roman"/>
                      <w:color w:val="auto"/>
                      <w:sz w:val="21"/>
                      <w:szCs w:val="21"/>
                      <w:highlight w:val="none"/>
                      <w:lang w:val="en-GB"/>
                    </w:rPr>
                  </w:pPr>
                  <w:r>
                    <w:rPr>
                      <w:rFonts w:ascii="Times New Roman" w:hAnsi="Times New Roman"/>
                      <w:color w:val="auto"/>
                      <w:sz w:val="21"/>
                      <w:szCs w:val="21"/>
                      <w:highlight w:val="none"/>
                    </w:rPr>
                    <w:drawing>
                      <wp:inline distT="0" distB="0" distL="114300" distR="114300">
                        <wp:extent cx="723900" cy="723900"/>
                        <wp:effectExtent l="0" t="0" r="0" b="0"/>
                        <wp:docPr id="24" name="图片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50"/>
                                <pic:cNvPicPr>
                                  <a:picLocks noChangeAspect="1"/>
                                </pic:cNvPicPr>
                              </pic:nvPicPr>
                              <pic:blipFill>
                                <a:blip r:embed="rId116"/>
                                <a:stretch>
                                  <a:fillRect/>
                                </a:stretch>
                              </pic:blipFill>
                              <pic:spPr>
                                <a:xfrm>
                                  <a:off x="0" y="0"/>
                                  <a:ext cx="723900" cy="723900"/>
                                </a:xfrm>
                                <a:prstGeom prst="rect">
                                  <a:avLst/>
                                </a:prstGeom>
                                <a:noFill/>
                                <a:ln>
                                  <a:noFill/>
                                </a:ln>
                              </pic:spPr>
                            </pic:pic>
                          </a:graphicData>
                        </a:graphic>
                      </wp:inline>
                    </w:drawing>
                  </w:r>
                </w:p>
              </w:tc>
              <w:tc>
                <w:tcPr>
                  <w:tcW w:w="1841"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eastAsia" w:ascii="Times New Roman" w:hAnsi="Times New Roman" w:eastAsia="宋体"/>
                      <w:color w:val="auto"/>
                      <w:sz w:val="21"/>
                      <w:szCs w:val="21"/>
                      <w:highlight w:val="none"/>
                      <w:lang w:eastAsia="zh-CN"/>
                    </w:rPr>
                  </w:pPr>
                  <w:r>
                    <w:rPr>
                      <w:rFonts w:hint="eastAsia" w:ascii="Times New Roman" w:hAnsi="Times New Roman" w:eastAsia="宋体"/>
                      <w:color w:val="auto"/>
                      <w:sz w:val="21"/>
                      <w:szCs w:val="21"/>
                      <w:highlight w:val="none"/>
                      <w:lang w:eastAsia="zh-CN"/>
                    </w:rPr>
                    <w:drawing>
                      <wp:inline distT="0" distB="0" distL="114300" distR="114300">
                        <wp:extent cx="780415" cy="786130"/>
                        <wp:effectExtent l="0" t="0" r="635" b="13970"/>
                        <wp:docPr id="26" name="图片 26" descr="16703801004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6" descr="1670380100453"/>
                                <pic:cNvPicPr>
                                  <a:picLocks noChangeAspect="1"/>
                                </pic:cNvPicPr>
                              </pic:nvPicPr>
                              <pic:blipFill>
                                <a:blip r:embed="rId117"/>
                                <a:stretch>
                                  <a:fillRect/>
                                </a:stretch>
                              </pic:blipFill>
                              <pic:spPr>
                                <a:xfrm>
                                  <a:off x="0" y="0"/>
                                  <a:ext cx="780415" cy="786130"/>
                                </a:xfrm>
                                <a:prstGeom prst="rect">
                                  <a:avLst/>
                                </a:prstGeom>
                              </pic:spPr>
                            </pic:pic>
                          </a:graphicData>
                        </a:graphic>
                      </wp:inline>
                    </w:drawing>
                  </w:r>
                </w:p>
              </w:tc>
              <w:tc>
                <w:tcPr>
                  <w:tcW w:w="1800"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ascii="Times New Roman" w:hAnsi="Times New Roman"/>
                      <w:color w:val="auto"/>
                      <w:sz w:val="21"/>
                      <w:szCs w:val="21"/>
                      <w:highlight w:val="none"/>
                      <w:lang w:val="en-GB"/>
                    </w:rPr>
                  </w:pPr>
                  <w:r>
                    <w:rPr>
                      <w:rFonts w:ascii="Times New Roman" w:hAnsi="Times New Roman"/>
                      <w:color w:val="auto"/>
                      <w:sz w:val="21"/>
                      <w:szCs w:val="21"/>
                      <w:highlight w:val="none"/>
                    </w:rPr>
                    <w:drawing>
                      <wp:inline distT="0" distB="0" distL="114300" distR="114300">
                        <wp:extent cx="723900" cy="723900"/>
                        <wp:effectExtent l="0" t="0" r="0" b="0"/>
                        <wp:docPr id="23" name="图片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51"/>
                                <pic:cNvPicPr>
                                  <a:picLocks noChangeAspect="1"/>
                                </pic:cNvPicPr>
                              </pic:nvPicPr>
                              <pic:blipFill>
                                <a:blip r:embed="rId118"/>
                                <a:stretch>
                                  <a:fillRect/>
                                </a:stretch>
                              </pic:blipFill>
                              <pic:spPr>
                                <a:xfrm>
                                  <a:off x="0" y="0"/>
                                  <a:ext cx="723900" cy="723900"/>
                                </a:xfrm>
                                <a:prstGeom prst="rect">
                                  <a:avLst/>
                                </a:prstGeom>
                                <a:noFill/>
                                <a:ln>
                                  <a:noFill/>
                                </a:ln>
                              </pic:spPr>
                            </pic:pic>
                          </a:graphicData>
                        </a:graphic>
                      </wp:inline>
                    </w:drawing>
                  </w:r>
                </w:p>
              </w:tc>
              <w:tc>
                <w:tcPr>
                  <w:tcW w:w="1809"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ascii="Times New Roman" w:hAnsi="Times New Roman"/>
                      <w:color w:val="auto"/>
                      <w:sz w:val="21"/>
                      <w:szCs w:val="21"/>
                      <w:highlight w:val="none"/>
                    </w:rPr>
                  </w:pPr>
                  <w:r>
                    <w:drawing>
                      <wp:inline distT="0" distB="0" distL="114300" distR="114300">
                        <wp:extent cx="842010" cy="782320"/>
                        <wp:effectExtent l="0" t="0" r="15240" b="17780"/>
                        <wp:docPr id="6" name="图片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51"/>
                                <pic:cNvPicPr>
                                  <a:picLocks noChangeAspect="1"/>
                                </pic:cNvPicPr>
                              </pic:nvPicPr>
                              <pic:blipFill>
                                <a:blip r:embed="rId119"/>
                                <a:stretch>
                                  <a:fillRect/>
                                </a:stretch>
                              </pic:blipFill>
                              <pic:spPr>
                                <a:xfrm>
                                  <a:off x="0" y="0"/>
                                  <a:ext cx="842010" cy="782320"/>
                                </a:xfrm>
                                <a:prstGeom prst="rect">
                                  <a:avLst/>
                                </a:prstGeom>
                                <a:noFill/>
                                <a:ln>
                                  <a:noFill/>
                                </a:ln>
                              </pic:spPr>
                            </pic:pic>
                          </a:graphicData>
                        </a:graphic>
                      </wp:inline>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18" w:hRule="atLeast"/>
                <w:jc w:val="center"/>
              </w:trPr>
              <w:tc>
                <w:tcPr>
                  <w:tcW w:w="1464"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ascii="Times New Roman" w:hAnsi="Times New Roman"/>
                      <w:color w:val="auto"/>
                      <w:sz w:val="21"/>
                      <w:szCs w:val="21"/>
                      <w:highlight w:val="none"/>
                      <w:lang w:val="en-GB"/>
                    </w:rPr>
                  </w:pPr>
                  <w:r>
                    <w:rPr>
                      <w:rFonts w:ascii="Times New Roman" w:hAnsi="Times New Roman"/>
                      <w:color w:val="auto"/>
                      <w:sz w:val="21"/>
                      <w:szCs w:val="21"/>
                      <w:highlight w:val="none"/>
                      <w:lang w:val="en-GB"/>
                    </w:rPr>
                    <w:t>形状</w:t>
                  </w:r>
                </w:p>
              </w:tc>
              <w:tc>
                <w:tcPr>
                  <w:tcW w:w="5216" w:type="dxa"/>
                  <w:gridSpan w:val="3"/>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ascii="Times New Roman" w:hAnsi="Times New Roman"/>
                      <w:color w:val="auto"/>
                      <w:sz w:val="21"/>
                      <w:szCs w:val="21"/>
                      <w:highlight w:val="none"/>
                      <w:lang w:val="en-GB"/>
                    </w:rPr>
                  </w:pPr>
                  <w:r>
                    <w:rPr>
                      <w:rFonts w:ascii="Times New Roman" w:hAnsi="Times New Roman"/>
                      <w:color w:val="auto"/>
                      <w:sz w:val="21"/>
                      <w:szCs w:val="21"/>
                      <w:highlight w:val="none"/>
                      <w:lang w:val="en-GB"/>
                    </w:rPr>
                    <w:t>正方形边框</w:t>
                  </w:r>
                </w:p>
              </w:tc>
              <w:tc>
                <w:tcPr>
                  <w:tcW w:w="1809"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ascii="Times New Roman" w:hAnsi="Times New Roman"/>
                      <w:color w:val="auto"/>
                      <w:sz w:val="21"/>
                      <w:szCs w:val="21"/>
                      <w:highlight w:val="none"/>
                      <w:lang w:val="en-GB"/>
                    </w:rPr>
                  </w:pPr>
                  <w:r>
                    <w:rPr>
                      <w:rFonts w:ascii="Times New Roman" w:hAnsi="Times New Roman"/>
                      <w:color w:val="auto"/>
                      <w:sz w:val="21"/>
                      <w:szCs w:val="21"/>
                      <w:highlight w:val="none"/>
                      <w:lang w:val="en-GB"/>
                    </w:rPr>
                    <w:t>等边三角形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12" w:hRule="atLeast"/>
                <w:jc w:val="center"/>
              </w:trPr>
              <w:tc>
                <w:tcPr>
                  <w:tcW w:w="1464"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ascii="Times New Roman" w:hAnsi="Times New Roman"/>
                      <w:color w:val="auto"/>
                      <w:sz w:val="21"/>
                      <w:szCs w:val="21"/>
                      <w:highlight w:val="none"/>
                      <w:lang w:val="en-GB"/>
                    </w:rPr>
                  </w:pPr>
                  <w:r>
                    <w:rPr>
                      <w:rFonts w:ascii="Times New Roman" w:hAnsi="Times New Roman"/>
                      <w:color w:val="auto"/>
                      <w:sz w:val="21"/>
                      <w:szCs w:val="21"/>
                      <w:highlight w:val="none"/>
                      <w:lang w:val="en-GB"/>
                    </w:rPr>
                    <w:t>背景颜色</w:t>
                  </w:r>
                </w:p>
              </w:tc>
              <w:tc>
                <w:tcPr>
                  <w:tcW w:w="5216" w:type="dxa"/>
                  <w:gridSpan w:val="3"/>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ascii="Times New Roman" w:hAnsi="Times New Roman"/>
                      <w:color w:val="auto"/>
                      <w:sz w:val="21"/>
                      <w:szCs w:val="21"/>
                      <w:highlight w:val="none"/>
                      <w:lang w:val="en-GB"/>
                    </w:rPr>
                  </w:pPr>
                  <w:r>
                    <w:rPr>
                      <w:rFonts w:ascii="Times New Roman" w:hAnsi="Times New Roman"/>
                      <w:color w:val="auto"/>
                      <w:sz w:val="21"/>
                      <w:szCs w:val="21"/>
                      <w:highlight w:val="none"/>
                      <w:lang w:val="en-GB"/>
                    </w:rPr>
                    <w:t>绿色</w:t>
                  </w:r>
                </w:p>
              </w:tc>
              <w:tc>
                <w:tcPr>
                  <w:tcW w:w="1809"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ascii="Times New Roman" w:hAnsi="Times New Roman"/>
                      <w:color w:val="auto"/>
                      <w:sz w:val="21"/>
                      <w:szCs w:val="21"/>
                      <w:highlight w:val="none"/>
                      <w:lang w:val="en-GB"/>
                    </w:rPr>
                  </w:pPr>
                  <w:r>
                    <w:rPr>
                      <w:rFonts w:ascii="Times New Roman" w:hAnsi="Times New Roman"/>
                      <w:color w:val="auto"/>
                      <w:sz w:val="21"/>
                      <w:szCs w:val="21"/>
                      <w:highlight w:val="none"/>
                      <w:lang w:val="en-GB"/>
                    </w:rPr>
                    <w:t>黄色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4" w:hRule="atLeast"/>
                <w:jc w:val="center"/>
              </w:trPr>
              <w:tc>
                <w:tcPr>
                  <w:tcW w:w="1464"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ascii="Times New Roman" w:hAnsi="Times New Roman"/>
                      <w:color w:val="auto"/>
                      <w:sz w:val="21"/>
                      <w:szCs w:val="21"/>
                      <w:highlight w:val="none"/>
                      <w:lang w:val="en-GB"/>
                    </w:rPr>
                  </w:pPr>
                  <w:r>
                    <w:rPr>
                      <w:rFonts w:ascii="Times New Roman" w:hAnsi="Times New Roman"/>
                      <w:color w:val="auto"/>
                      <w:sz w:val="21"/>
                      <w:szCs w:val="21"/>
                      <w:highlight w:val="none"/>
                      <w:lang w:val="en-GB"/>
                    </w:rPr>
                    <w:t>图形颜色</w:t>
                  </w:r>
                </w:p>
              </w:tc>
              <w:tc>
                <w:tcPr>
                  <w:tcW w:w="5216" w:type="dxa"/>
                  <w:gridSpan w:val="3"/>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ascii="Times New Roman" w:hAnsi="Times New Roman"/>
                      <w:color w:val="auto"/>
                      <w:sz w:val="21"/>
                      <w:szCs w:val="21"/>
                      <w:highlight w:val="none"/>
                      <w:lang w:val="en-GB"/>
                    </w:rPr>
                  </w:pPr>
                  <w:r>
                    <w:rPr>
                      <w:rFonts w:ascii="Times New Roman" w:hAnsi="Times New Roman"/>
                      <w:color w:val="auto"/>
                      <w:sz w:val="21"/>
                      <w:szCs w:val="21"/>
                      <w:highlight w:val="none"/>
                      <w:lang w:val="en-GB"/>
                    </w:rPr>
                    <w:t>白色</w:t>
                  </w:r>
                </w:p>
              </w:tc>
              <w:tc>
                <w:tcPr>
                  <w:tcW w:w="1809"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ascii="Times New Roman" w:hAnsi="Times New Roman"/>
                      <w:color w:val="auto"/>
                      <w:sz w:val="21"/>
                      <w:szCs w:val="21"/>
                      <w:highlight w:val="none"/>
                      <w:lang w:val="en-GB"/>
                    </w:rPr>
                  </w:pPr>
                  <w:r>
                    <w:rPr>
                      <w:rFonts w:ascii="Times New Roman" w:hAnsi="Times New Roman"/>
                      <w:color w:val="auto"/>
                      <w:sz w:val="21"/>
                      <w:szCs w:val="21"/>
                      <w:highlight w:val="none"/>
                      <w:lang w:val="en-GB"/>
                    </w:rPr>
                    <w:t>黑色</w:t>
                  </w:r>
                </w:p>
              </w:tc>
            </w:tr>
          </w:tbl>
          <w:p>
            <w:pPr>
              <w:pStyle w:val="55"/>
              <w:spacing w:line="360" w:lineRule="auto"/>
              <w:ind w:firstLine="480"/>
              <w:rPr>
                <w:rFonts w:hint="eastAsia" w:ascii="宋体" w:hAnsi="宋体" w:eastAsia="宋体" w:cs="宋体"/>
                <w:color w:val="auto"/>
                <w:highlight w:val="none"/>
              </w:rPr>
            </w:pPr>
            <w:r>
              <w:rPr>
                <w:rFonts w:hint="eastAsia" w:ascii="宋体" w:hAnsi="宋体" w:eastAsia="宋体" w:cs="宋体"/>
                <w:color w:val="auto"/>
                <w:highlight w:val="none"/>
              </w:rPr>
              <w:t>台账管理制度：</w:t>
            </w:r>
          </w:p>
          <w:p>
            <w:pPr>
              <w:pStyle w:val="55"/>
              <w:spacing w:line="360" w:lineRule="auto"/>
              <w:ind w:firstLine="480"/>
              <w:rPr>
                <w:rFonts w:hint="eastAsia" w:ascii="宋体" w:hAnsi="宋体" w:eastAsia="宋体" w:cs="宋体"/>
                <w:color w:val="auto"/>
                <w:highlight w:val="none"/>
              </w:rPr>
            </w:pPr>
            <w:r>
              <w:rPr>
                <w:rFonts w:hint="eastAsia" w:ascii="宋体" w:hAnsi="宋体" w:eastAsia="宋体" w:cs="宋体"/>
                <w:color w:val="auto"/>
                <w:highlight w:val="none"/>
              </w:rPr>
              <w:t>①台账录入要及时、准确、清晰，便于查看。</w:t>
            </w:r>
          </w:p>
          <w:p>
            <w:pPr>
              <w:pStyle w:val="55"/>
              <w:spacing w:line="360" w:lineRule="auto"/>
              <w:ind w:firstLine="480"/>
              <w:rPr>
                <w:rFonts w:hint="eastAsia" w:ascii="宋体" w:hAnsi="宋体" w:eastAsia="宋体" w:cs="宋体"/>
                <w:color w:val="auto"/>
                <w:highlight w:val="none"/>
              </w:rPr>
            </w:pPr>
            <w:r>
              <w:rPr>
                <w:rFonts w:hint="eastAsia" w:ascii="宋体" w:hAnsi="宋体" w:eastAsia="宋体" w:cs="宋体"/>
                <w:color w:val="auto"/>
                <w:highlight w:val="none"/>
              </w:rPr>
              <w:t>②台账要专人录入，数据、信息、记录内容要真实，与实际相符。</w:t>
            </w:r>
          </w:p>
          <w:p>
            <w:pPr>
              <w:pStyle w:val="55"/>
              <w:spacing w:line="360" w:lineRule="auto"/>
              <w:ind w:firstLine="480"/>
              <w:rPr>
                <w:rFonts w:hint="eastAsia" w:ascii="宋体" w:hAnsi="宋体" w:eastAsia="宋体" w:cs="宋体"/>
                <w:color w:val="auto"/>
                <w:highlight w:val="none"/>
              </w:rPr>
            </w:pPr>
            <w:r>
              <w:rPr>
                <w:rFonts w:hint="eastAsia" w:ascii="宋体" w:hAnsi="宋体" w:eastAsia="宋体" w:cs="宋体"/>
                <w:color w:val="auto"/>
                <w:highlight w:val="none"/>
              </w:rPr>
              <w:t>③台账要设专人管理，定点存放。无关人员不得随意移动、查看。</w:t>
            </w:r>
          </w:p>
          <w:p>
            <w:pPr>
              <w:pStyle w:val="55"/>
              <w:spacing w:line="360" w:lineRule="auto"/>
              <w:ind w:firstLine="480"/>
              <w:rPr>
                <w:rFonts w:hint="eastAsia" w:ascii="宋体" w:hAnsi="宋体" w:eastAsia="宋体" w:cs="宋体"/>
                <w:color w:val="auto"/>
                <w:highlight w:val="none"/>
              </w:rPr>
            </w:pPr>
            <w:r>
              <w:rPr>
                <w:rFonts w:hint="eastAsia" w:ascii="宋体" w:hAnsi="宋体" w:eastAsia="宋体" w:cs="宋体"/>
                <w:color w:val="auto"/>
                <w:highlight w:val="none"/>
              </w:rPr>
              <w:t>④重要台账必须纸版与电子版两种形式保存。</w:t>
            </w:r>
          </w:p>
          <w:p>
            <w:pPr>
              <w:pStyle w:val="55"/>
              <w:spacing w:line="360" w:lineRule="auto"/>
              <w:ind w:firstLine="480"/>
              <w:rPr>
                <w:rFonts w:hint="eastAsia" w:ascii="宋体" w:hAnsi="宋体" w:eastAsia="宋体" w:cs="宋体"/>
                <w:color w:val="auto"/>
                <w:highlight w:val="none"/>
              </w:rPr>
            </w:pPr>
            <w:r>
              <w:rPr>
                <w:rFonts w:hint="eastAsia" w:ascii="宋体" w:hAnsi="宋体" w:eastAsia="宋体" w:cs="宋体"/>
                <w:color w:val="auto"/>
                <w:highlight w:val="none"/>
              </w:rPr>
              <w:t>⑤环保部定期对台账数据进行审核，定期检查台账录入内容，确保台账数据的准确性、及时性和完整性。</w:t>
            </w:r>
          </w:p>
          <w:p>
            <w:pPr>
              <w:pStyle w:val="55"/>
              <w:spacing w:line="360" w:lineRule="auto"/>
              <w:ind w:firstLine="480"/>
              <w:rPr>
                <w:rFonts w:hint="eastAsia" w:ascii="宋体" w:hAnsi="宋体" w:eastAsia="宋体" w:cs="宋体"/>
                <w:color w:val="auto"/>
                <w:highlight w:val="none"/>
              </w:rPr>
            </w:pPr>
            <w:r>
              <w:rPr>
                <w:rFonts w:hint="eastAsia" w:ascii="宋体" w:hAnsi="宋体" w:eastAsia="宋体" w:cs="宋体"/>
                <w:color w:val="auto"/>
                <w:highlight w:val="none"/>
              </w:rPr>
              <w:t>⑥环保台账应与其他台账分开放置，由专职环保员亲自管理。</w:t>
            </w:r>
          </w:p>
          <w:p>
            <w:pPr>
              <w:spacing w:line="360" w:lineRule="auto"/>
              <w:ind w:firstLine="480" w:firstLineChars="200"/>
              <w:jc w:val="both"/>
              <w:rPr>
                <w:rFonts w:hint="eastAsia" w:ascii="宋体" w:hAnsi="宋体" w:eastAsia="宋体" w:cs="宋体"/>
                <w:color w:val="auto"/>
                <w:highlight w:val="none"/>
              </w:rPr>
            </w:pPr>
            <w:r>
              <w:rPr>
                <w:rFonts w:hint="eastAsia" w:ascii="宋体" w:hAnsi="宋体" w:eastAsia="宋体" w:cs="宋体"/>
                <w:color w:val="auto"/>
                <w:highlight w:val="none"/>
              </w:rPr>
              <w:t>⑦所有台账盒签必须统一打印，名称清楚、完整。</w:t>
            </w:r>
          </w:p>
          <w:p>
            <w:pPr>
              <w:pStyle w:val="109"/>
              <w:rPr>
                <w:rFonts w:hint="eastAsia" w:ascii="Times New Roman" w:hAnsi="Times New Roman" w:cs="Times New Roman" w:eastAsiaTheme="minorEastAsia"/>
                <w:b/>
                <w:bCs/>
                <w:color w:val="auto"/>
                <w:kern w:val="2"/>
                <w:sz w:val="28"/>
                <w:szCs w:val="72"/>
                <w:highlight w:val="none"/>
                <w:lang w:val="en-US" w:eastAsia="zh-CN" w:bidi="ar-SA"/>
              </w:rPr>
            </w:pPr>
            <w:r>
              <w:rPr>
                <w:rFonts w:hint="eastAsia" w:cs="Times New Roman" w:eastAsiaTheme="minorEastAsia"/>
                <w:b/>
                <w:bCs/>
                <w:color w:val="auto"/>
                <w:kern w:val="2"/>
                <w:sz w:val="28"/>
                <w:szCs w:val="72"/>
                <w:highlight w:val="none"/>
                <w:lang w:val="en-US" w:eastAsia="zh-CN" w:bidi="ar-SA"/>
              </w:rPr>
              <w:t>9</w:t>
            </w:r>
            <w:r>
              <w:rPr>
                <w:rFonts w:hint="eastAsia" w:ascii="Times New Roman" w:hAnsi="Times New Roman" w:cs="Times New Roman" w:eastAsiaTheme="minorEastAsia"/>
                <w:b/>
                <w:bCs/>
                <w:color w:val="auto"/>
                <w:kern w:val="2"/>
                <w:sz w:val="28"/>
                <w:szCs w:val="72"/>
                <w:highlight w:val="none"/>
                <w:lang w:val="en-US" w:eastAsia="zh-CN" w:bidi="ar-SA"/>
              </w:rPr>
              <w:t xml:space="preserve"> </w:t>
            </w:r>
            <w:r>
              <w:rPr>
                <w:rFonts w:hint="eastAsia" w:ascii="Times New Roman" w:hAnsi="Times New Roman" w:cs="Times New Roman" w:eastAsiaTheme="minorEastAsia"/>
                <w:color w:val="auto"/>
                <w:highlight w:val="none"/>
                <w:lang w:val="en-US" w:eastAsia="zh-CN"/>
              </w:rPr>
              <w:t>环境</w:t>
            </w:r>
            <w:r>
              <w:rPr>
                <w:rFonts w:hint="eastAsia" w:ascii="Times New Roman" w:hAnsi="Times New Roman" w:cs="Times New Roman" w:eastAsiaTheme="minorEastAsia"/>
                <w:b/>
                <w:bCs/>
                <w:color w:val="auto"/>
                <w:kern w:val="2"/>
                <w:sz w:val="28"/>
                <w:szCs w:val="72"/>
                <w:highlight w:val="none"/>
                <w:lang w:val="en-US" w:eastAsia="zh-CN" w:bidi="ar-SA"/>
              </w:rPr>
              <w:t>管理</w:t>
            </w:r>
          </w:p>
          <w:p>
            <w:pPr>
              <w:rPr>
                <w:rFonts w:hint="eastAsia" w:ascii="Times New Roman" w:hAnsi="Times New Roman" w:eastAsia="宋体" w:cs="Times New Roman"/>
                <w:b/>
                <w:bCs/>
                <w:color w:val="auto"/>
                <w:highlight w:val="none"/>
                <w:lang w:val="en-US" w:eastAsia="zh-CN"/>
              </w:rPr>
            </w:pPr>
            <w:r>
              <w:rPr>
                <w:rFonts w:hint="eastAsia" w:eastAsia="宋体" w:cs="Times New Roman"/>
                <w:b/>
                <w:bCs/>
                <w:color w:val="auto"/>
                <w:highlight w:val="none"/>
                <w:lang w:val="en-US" w:eastAsia="zh-CN"/>
              </w:rPr>
              <w:t>9</w:t>
            </w:r>
            <w:r>
              <w:rPr>
                <w:rFonts w:hint="eastAsia" w:ascii="Times New Roman" w:hAnsi="Times New Roman" w:eastAsia="宋体" w:cs="Times New Roman"/>
                <w:b/>
                <w:bCs/>
                <w:color w:val="auto"/>
                <w:highlight w:val="none"/>
                <w:lang w:val="en-US" w:eastAsia="zh-CN"/>
              </w:rPr>
              <w:t xml:space="preserve">.1环境管理组织机构 </w:t>
            </w:r>
          </w:p>
          <w:p>
            <w:pPr>
              <w:keepNext w:val="0"/>
              <w:keepLines w:val="0"/>
              <w:pageBreakBefore w:val="0"/>
              <w:widowControl/>
              <w:suppressLineNumbers w:val="0"/>
              <w:kinsoku/>
              <w:wordWrap/>
              <w:overflowPunct/>
              <w:topLinePunct w:val="0"/>
              <w:autoSpaceDE/>
              <w:autoSpaceDN/>
              <w:bidi w:val="0"/>
              <w:adjustRightInd/>
              <w:snapToGrid/>
              <w:spacing w:line="360" w:lineRule="auto"/>
              <w:ind w:firstLine="480" w:firstLineChars="200"/>
              <w:jc w:val="both"/>
              <w:textAlignment w:val="auto"/>
              <w:rPr>
                <w:color w:val="auto"/>
                <w:sz w:val="24"/>
                <w:szCs w:val="24"/>
                <w:highlight w:val="none"/>
              </w:rPr>
            </w:pPr>
            <w:r>
              <w:rPr>
                <w:rFonts w:hint="eastAsia" w:ascii="宋体" w:hAnsi="宋体" w:cs="宋体"/>
                <w:color w:val="auto"/>
                <w:kern w:val="0"/>
                <w:sz w:val="24"/>
                <w:szCs w:val="24"/>
                <w:highlight w:val="none"/>
                <w:lang w:val="en-US" w:eastAsia="zh-CN" w:bidi="ar"/>
              </w:rPr>
              <w:t>企业指定负责人，对</w:t>
            </w:r>
            <w:r>
              <w:rPr>
                <w:rFonts w:hint="eastAsia" w:ascii="宋体" w:hAnsi="宋体" w:eastAsia="宋体" w:cs="宋体"/>
                <w:color w:val="auto"/>
                <w:kern w:val="0"/>
                <w:sz w:val="24"/>
                <w:szCs w:val="24"/>
                <w:highlight w:val="none"/>
                <w:lang w:val="en-US" w:eastAsia="zh-CN" w:bidi="ar"/>
              </w:rPr>
              <w:t xml:space="preserve">项目整个过程（包括施工期和运行期）的环境保护工作。 </w:t>
            </w:r>
          </w:p>
          <w:p>
            <w:pPr>
              <w:rPr>
                <w:rFonts w:hint="eastAsia" w:ascii="Times New Roman" w:hAnsi="Times New Roman" w:eastAsia="宋体" w:cs="Times New Roman"/>
                <w:b/>
                <w:bCs/>
                <w:color w:val="auto"/>
                <w:highlight w:val="none"/>
                <w:lang w:val="en-US" w:eastAsia="zh-CN"/>
              </w:rPr>
            </w:pPr>
            <w:r>
              <w:rPr>
                <w:rFonts w:hint="eastAsia" w:eastAsia="宋体" w:cs="Times New Roman"/>
                <w:b/>
                <w:bCs/>
                <w:color w:val="auto"/>
                <w:highlight w:val="none"/>
                <w:lang w:val="en-US" w:eastAsia="zh-CN"/>
              </w:rPr>
              <w:t>9</w:t>
            </w:r>
            <w:r>
              <w:rPr>
                <w:rFonts w:hint="eastAsia" w:ascii="Times New Roman" w:hAnsi="Times New Roman" w:eastAsia="宋体" w:cs="Times New Roman"/>
                <w:b/>
                <w:bCs/>
                <w:color w:val="auto"/>
                <w:highlight w:val="none"/>
                <w:lang w:val="en-US" w:eastAsia="zh-CN"/>
              </w:rPr>
              <w:t xml:space="preserve">.2环境管理台账要求 </w:t>
            </w:r>
          </w:p>
          <w:p>
            <w:pPr>
              <w:keepNext w:val="0"/>
              <w:keepLines w:val="0"/>
              <w:pageBreakBefore w:val="0"/>
              <w:widowControl/>
              <w:suppressLineNumbers w:val="0"/>
              <w:kinsoku/>
              <w:wordWrap/>
              <w:overflowPunct/>
              <w:topLinePunct w:val="0"/>
              <w:autoSpaceDE/>
              <w:autoSpaceDN/>
              <w:bidi w:val="0"/>
              <w:adjustRightInd/>
              <w:snapToGrid/>
              <w:spacing w:line="360" w:lineRule="auto"/>
              <w:ind w:firstLine="480" w:firstLineChars="200"/>
              <w:jc w:val="both"/>
              <w:textAlignment w:val="auto"/>
              <w:rPr>
                <w:color w:val="auto"/>
                <w:sz w:val="24"/>
                <w:szCs w:val="24"/>
                <w:highlight w:val="none"/>
              </w:rPr>
            </w:pPr>
            <w:r>
              <w:rPr>
                <w:rFonts w:hint="eastAsia" w:ascii="宋体" w:hAnsi="宋体" w:eastAsia="宋体" w:cs="宋体"/>
                <w:color w:val="auto"/>
                <w:kern w:val="0"/>
                <w:sz w:val="24"/>
                <w:szCs w:val="24"/>
                <w:highlight w:val="none"/>
                <w:lang w:val="en-US" w:eastAsia="zh-CN" w:bidi="ar"/>
              </w:rPr>
              <w:t>将</w:t>
            </w:r>
            <w:r>
              <w:rPr>
                <w:rFonts w:hint="eastAsia" w:ascii="宋体" w:hAnsi="宋体" w:cs="宋体"/>
                <w:color w:val="auto"/>
                <w:kern w:val="0"/>
                <w:sz w:val="24"/>
                <w:szCs w:val="24"/>
                <w:highlight w:val="none"/>
                <w:lang w:val="en-US" w:eastAsia="zh-CN" w:bidi="ar"/>
              </w:rPr>
              <w:t>非甲烷总烃治理设施</w:t>
            </w:r>
            <w:r>
              <w:rPr>
                <w:rFonts w:hint="eastAsia" w:ascii="宋体" w:hAnsi="宋体" w:eastAsia="宋体" w:cs="宋体"/>
                <w:color w:val="auto"/>
                <w:kern w:val="0"/>
                <w:sz w:val="24"/>
                <w:szCs w:val="24"/>
                <w:highlight w:val="none"/>
                <w:lang w:val="en-US" w:eastAsia="zh-CN" w:bidi="ar"/>
              </w:rPr>
              <w:t xml:space="preserve">的运行情况、环保设备日常检查、环境事件等建立环境管理台账。 </w:t>
            </w:r>
          </w:p>
          <w:p>
            <w:pPr>
              <w:rPr>
                <w:rFonts w:hint="default" w:ascii="Times New Roman" w:hAnsi="Times New Roman" w:eastAsia="宋体" w:cs="Times New Roman"/>
                <w:b/>
                <w:bCs/>
                <w:color w:val="auto"/>
                <w:highlight w:val="none"/>
                <w:lang w:val="en-US" w:eastAsia="zh-CN"/>
              </w:rPr>
            </w:pPr>
            <w:r>
              <w:rPr>
                <w:rFonts w:hint="eastAsia" w:eastAsia="宋体" w:cs="Times New Roman"/>
                <w:b/>
                <w:bCs/>
                <w:color w:val="auto"/>
                <w:highlight w:val="none"/>
                <w:lang w:val="en-US" w:eastAsia="zh-CN"/>
              </w:rPr>
              <w:t>9</w:t>
            </w:r>
            <w:r>
              <w:rPr>
                <w:rFonts w:hint="eastAsia" w:ascii="Times New Roman" w:hAnsi="Times New Roman" w:eastAsia="宋体" w:cs="Times New Roman"/>
                <w:b/>
                <w:bCs/>
                <w:color w:val="auto"/>
                <w:highlight w:val="none"/>
                <w:lang w:val="en-US" w:eastAsia="zh-CN"/>
              </w:rPr>
              <w:t xml:space="preserve">.3环保设备及措施运行及维护费用保障计划 </w:t>
            </w:r>
          </w:p>
          <w:p>
            <w:pPr>
              <w:keepNext w:val="0"/>
              <w:keepLines w:val="0"/>
              <w:pageBreakBefore w:val="0"/>
              <w:widowControl/>
              <w:suppressLineNumbers w:val="0"/>
              <w:kinsoku/>
              <w:wordWrap/>
              <w:overflowPunct/>
              <w:topLinePunct w:val="0"/>
              <w:autoSpaceDE/>
              <w:autoSpaceDN/>
              <w:bidi w:val="0"/>
              <w:adjustRightInd/>
              <w:snapToGrid/>
              <w:spacing w:line="360" w:lineRule="auto"/>
              <w:ind w:firstLine="480" w:firstLineChars="200"/>
              <w:jc w:val="both"/>
              <w:textAlignment w:val="auto"/>
              <w:rPr>
                <w:color w:val="auto"/>
                <w:sz w:val="24"/>
                <w:szCs w:val="24"/>
                <w:highlight w:val="none"/>
              </w:rPr>
            </w:pPr>
            <w:r>
              <w:rPr>
                <w:rFonts w:hint="eastAsia" w:ascii="宋体" w:hAnsi="宋体" w:eastAsia="宋体" w:cs="宋体"/>
                <w:color w:val="auto"/>
                <w:kern w:val="0"/>
                <w:sz w:val="24"/>
                <w:szCs w:val="24"/>
                <w:highlight w:val="none"/>
                <w:lang w:val="en-US" w:eastAsia="zh-CN" w:bidi="ar"/>
              </w:rPr>
              <w:t xml:space="preserve">项目营运期主要运行费用为人工定期检修维护费等，运行费用较小，处于企 </w:t>
            </w:r>
          </w:p>
          <w:p>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业可接受范围内。</w:t>
            </w:r>
          </w:p>
          <w:p>
            <w:pPr>
              <w:keepNext w:val="0"/>
              <w:keepLines w:val="0"/>
              <w:pageBreakBefore w:val="0"/>
              <w:widowControl/>
              <w:suppressLineNumbers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color w:val="auto"/>
                <w:kern w:val="0"/>
                <w:sz w:val="24"/>
                <w:szCs w:val="24"/>
                <w:highlight w:val="none"/>
                <w:lang w:val="en-US" w:eastAsia="zh-CN" w:bidi="ar"/>
              </w:rPr>
            </w:pPr>
            <w:r>
              <w:rPr>
                <w:rFonts w:hint="default" w:ascii="宋体" w:hAnsi="宋体" w:eastAsia="宋体" w:cs="宋体"/>
                <w:color w:val="auto"/>
                <w:kern w:val="0"/>
                <w:sz w:val="24"/>
                <w:szCs w:val="24"/>
                <w:highlight w:val="none"/>
                <w:lang w:val="en-US" w:eastAsia="zh-CN" w:bidi="ar"/>
              </w:rPr>
              <w:t>环境监测环境监测是环境管理的依据和基础，为环境统计和环境定量评价提供科学依据，根据项目特点和主要污染源及污染物排放情况，提出如下监测要求：厂方应定期对噪声进行监测；定期向环境管理部门上报监测结果；监测中发现其它异常情况，及时报告企业环保管理部门查找原因、解决处理，遇有特殊情况时应随时监测</w:t>
            </w:r>
            <w:r>
              <w:rPr>
                <w:rFonts w:hint="eastAsia" w:ascii="宋体" w:hAnsi="宋体" w:eastAsia="宋体" w:cs="宋体"/>
                <w:color w:val="auto"/>
                <w:kern w:val="0"/>
                <w:sz w:val="24"/>
                <w:szCs w:val="24"/>
                <w:highlight w:val="none"/>
                <w:lang w:val="en-US" w:eastAsia="zh-CN" w:bidi="ar"/>
              </w:rPr>
              <w:t>。</w:t>
            </w:r>
          </w:p>
          <w:p>
            <w:pPr>
              <w:keepNext w:val="0"/>
              <w:keepLines w:val="0"/>
              <w:pageBreakBefore w:val="0"/>
              <w:suppressLineNumbers w:val="0"/>
              <w:kinsoku/>
              <w:wordWrap/>
              <w:overflowPunct/>
              <w:topLinePunct w:val="0"/>
              <w:autoSpaceDE/>
              <w:autoSpaceDN/>
              <w:bidi w:val="0"/>
              <w:spacing w:before="0" w:beforeAutospacing="0" w:after="0" w:afterAutospacing="0" w:line="360" w:lineRule="auto"/>
              <w:ind w:left="0" w:right="0" w:firstLine="480" w:firstLineChars="200"/>
              <w:rPr>
                <w:rFonts w:hint="eastAsia" w:ascii="宋体" w:hAnsi="宋体" w:cs="宋体"/>
                <w:color w:val="auto"/>
                <w:kern w:val="0"/>
                <w:sz w:val="24"/>
                <w:szCs w:val="24"/>
                <w:highlight w:val="none"/>
                <w:lang w:val="en-US" w:eastAsia="zh-CN" w:bidi="ar"/>
              </w:rPr>
            </w:pPr>
            <w:r>
              <w:rPr>
                <w:rFonts w:hint="default" w:ascii="宋体" w:hAnsi="宋体" w:eastAsia="宋体" w:cs="宋体"/>
                <w:color w:val="auto"/>
                <w:kern w:val="0"/>
                <w:sz w:val="24"/>
                <w:szCs w:val="24"/>
                <w:highlight w:val="none"/>
                <w:lang w:val="en-US" w:eastAsia="zh-CN" w:bidi="ar"/>
              </w:rPr>
              <w:t>监测要求：监测工作中涉及监测点位布设、监测时段、采样方法、化验室分析、质量控制、数据统计等按照《建设项目环境保护设施竣工验收监测技术要求 （试行）》、《环境影响评价技术导则》、《环境监测技术规范》和相应的环境标准要求进行。监测结果应及时建立档案，并定期向当地环保部门汇报，对于常规监测数据应该进行公开，如发现异常或者发生事故时应加密监测频次，并分析污染原因，及时采取应对措施</w:t>
            </w:r>
            <w:r>
              <w:rPr>
                <w:rFonts w:hint="eastAsia" w:ascii="宋体" w:hAnsi="宋体" w:cs="宋体"/>
                <w:color w:val="auto"/>
                <w:kern w:val="0"/>
                <w:sz w:val="24"/>
                <w:szCs w:val="24"/>
                <w:highlight w:val="none"/>
                <w:lang w:val="en-US" w:eastAsia="zh-CN" w:bidi="ar"/>
              </w:rPr>
              <w:t>。</w:t>
            </w:r>
          </w:p>
          <w:p>
            <w:pPr>
              <w:pStyle w:val="9"/>
              <w:rPr>
                <w:rFonts w:hint="eastAsia" w:ascii="宋体" w:hAnsi="宋体" w:cs="宋体"/>
                <w:color w:val="auto"/>
                <w:kern w:val="0"/>
                <w:sz w:val="24"/>
                <w:szCs w:val="24"/>
                <w:highlight w:val="none"/>
                <w:lang w:val="en-US" w:eastAsia="zh-CN" w:bidi="ar"/>
              </w:rPr>
            </w:pPr>
          </w:p>
          <w:p>
            <w:pPr>
              <w:rPr>
                <w:rFonts w:hint="eastAsia" w:ascii="宋体" w:hAnsi="宋体" w:cs="宋体"/>
                <w:color w:val="auto"/>
                <w:kern w:val="0"/>
                <w:sz w:val="24"/>
                <w:szCs w:val="24"/>
                <w:highlight w:val="none"/>
                <w:lang w:val="en-US" w:eastAsia="zh-CN" w:bidi="ar"/>
              </w:rPr>
            </w:pPr>
          </w:p>
          <w:p>
            <w:pPr>
              <w:pStyle w:val="2"/>
              <w:rPr>
                <w:rFonts w:hint="eastAsia" w:ascii="宋体" w:hAnsi="宋体" w:cs="宋体"/>
                <w:color w:val="auto"/>
                <w:kern w:val="0"/>
                <w:sz w:val="24"/>
                <w:szCs w:val="24"/>
                <w:highlight w:val="none"/>
                <w:lang w:val="en-US" w:eastAsia="zh-CN" w:bidi="ar"/>
              </w:rPr>
            </w:pPr>
          </w:p>
          <w:p>
            <w:pPr>
              <w:pStyle w:val="6"/>
              <w:rPr>
                <w:rFonts w:hint="eastAsia"/>
                <w:color w:val="auto"/>
                <w:highlight w:val="none"/>
                <w:lang w:val="en-US" w:eastAsia="zh-CN"/>
              </w:rPr>
            </w:pPr>
          </w:p>
          <w:p>
            <w:pPr>
              <w:keepNext w:val="0"/>
              <w:keepLines w:val="0"/>
              <w:pageBreakBefore w:val="0"/>
              <w:suppressLineNumbers w:val="0"/>
              <w:kinsoku/>
              <w:wordWrap/>
              <w:overflowPunct/>
              <w:topLinePunct w:val="0"/>
              <w:autoSpaceDE/>
              <w:autoSpaceDN/>
              <w:bidi w:val="0"/>
              <w:spacing w:before="0" w:beforeAutospacing="0" w:after="0" w:afterAutospacing="0" w:line="360" w:lineRule="auto"/>
              <w:ind w:left="0" w:right="0" w:firstLine="480" w:firstLineChars="200"/>
              <w:rPr>
                <w:rFonts w:hint="eastAsia" w:ascii="宋体" w:hAnsi="宋体" w:cs="宋体"/>
                <w:color w:val="auto"/>
                <w:kern w:val="0"/>
                <w:sz w:val="24"/>
                <w:szCs w:val="24"/>
                <w:highlight w:val="none"/>
                <w:lang w:val="en-US" w:eastAsia="zh-CN" w:bidi="ar"/>
              </w:rPr>
            </w:pPr>
          </w:p>
          <w:p>
            <w:pPr>
              <w:keepNext w:val="0"/>
              <w:keepLines w:val="0"/>
              <w:pageBreakBefore w:val="0"/>
              <w:suppressLineNumbers w:val="0"/>
              <w:kinsoku/>
              <w:wordWrap/>
              <w:overflowPunct/>
              <w:topLinePunct w:val="0"/>
              <w:autoSpaceDE/>
              <w:autoSpaceDN/>
              <w:bidi w:val="0"/>
              <w:spacing w:before="0" w:beforeAutospacing="0" w:after="0" w:afterAutospacing="0" w:line="360" w:lineRule="auto"/>
              <w:ind w:left="0" w:right="0" w:firstLine="480" w:firstLineChars="200"/>
              <w:rPr>
                <w:rFonts w:hint="eastAsia" w:ascii="宋体" w:hAnsi="宋体" w:cs="宋体"/>
                <w:color w:val="auto"/>
                <w:kern w:val="0"/>
                <w:sz w:val="24"/>
                <w:szCs w:val="24"/>
                <w:highlight w:val="none"/>
                <w:lang w:val="en-US" w:eastAsia="zh-CN" w:bidi="ar"/>
              </w:rPr>
            </w:pPr>
          </w:p>
          <w:p>
            <w:pPr>
              <w:keepNext w:val="0"/>
              <w:keepLines w:val="0"/>
              <w:pageBreakBefore w:val="0"/>
              <w:suppressLineNumbers w:val="0"/>
              <w:kinsoku/>
              <w:wordWrap/>
              <w:overflowPunct/>
              <w:topLinePunct w:val="0"/>
              <w:autoSpaceDE/>
              <w:autoSpaceDN/>
              <w:bidi w:val="0"/>
              <w:spacing w:before="0" w:beforeAutospacing="0" w:after="0" w:afterAutospacing="0" w:line="360" w:lineRule="auto"/>
              <w:ind w:left="0" w:right="0" w:firstLine="480" w:firstLineChars="200"/>
              <w:rPr>
                <w:rFonts w:hint="eastAsia" w:ascii="宋体" w:hAnsi="宋体" w:cs="宋体"/>
                <w:color w:val="auto"/>
                <w:kern w:val="0"/>
                <w:sz w:val="24"/>
                <w:szCs w:val="24"/>
                <w:highlight w:val="none"/>
                <w:lang w:val="en-US" w:eastAsia="zh-CN" w:bidi="ar"/>
              </w:rPr>
            </w:pPr>
          </w:p>
          <w:p>
            <w:pPr>
              <w:keepNext w:val="0"/>
              <w:keepLines w:val="0"/>
              <w:pageBreakBefore w:val="0"/>
              <w:suppressLineNumbers w:val="0"/>
              <w:kinsoku/>
              <w:wordWrap/>
              <w:overflowPunct/>
              <w:topLinePunct w:val="0"/>
              <w:autoSpaceDE/>
              <w:autoSpaceDN/>
              <w:bidi w:val="0"/>
              <w:spacing w:before="0" w:beforeAutospacing="0" w:after="0" w:afterAutospacing="0" w:line="360" w:lineRule="auto"/>
              <w:ind w:right="0"/>
              <w:rPr>
                <w:rFonts w:hint="default" w:ascii="Times New Roman" w:hAnsi="Times New Roman" w:eastAsia="宋体" w:cs="Times New Roman"/>
                <w:bCs/>
                <w:color w:val="auto"/>
                <w:spacing w:val="4"/>
                <w:kern w:val="0"/>
                <w:sz w:val="24"/>
                <w:szCs w:val="24"/>
                <w:highlight w:val="none"/>
                <w:lang w:val="en-US" w:eastAsia="zh-CN"/>
              </w:rPr>
            </w:pPr>
          </w:p>
        </w:tc>
      </w:tr>
    </w:tbl>
    <w:p>
      <w:pPr>
        <w:bidi w:val="0"/>
        <w:rPr>
          <w:rFonts w:hint="default" w:ascii="Times New Roman" w:hAnsi="Times New Roman" w:cs="Times New Roman"/>
          <w:color w:val="auto"/>
          <w:highlight w:val="none"/>
        </w:rPr>
        <w:sectPr>
          <w:pgSz w:w="11905" w:h="16838"/>
          <w:pgMar w:top="1440" w:right="1587" w:bottom="1440" w:left="1587" w:header="851" w:footer="850" w:gutter="0"/>
          <w:pgBorders>
            <w:top w:val="none" w:sz="0" w:space="0"/>
            <w:left w:val="none" w:sz="0" w:space="0"/>
            <w:bottom w:val="none" w:sz="0" w:space="0"/>
            <w:right w:val="none" w:sz="0" w:space="0"/>
          </w:pgBorders>
          <w:pgNumType w:fmt="decimal"/>
          <w:cols w:space="0" w:num="1"/>
          <w:rtlGutter w:val="0"/>
          <w:docGrid w:linePitch="312" w:charSpace="0"/>
        </w:sectPr>
      </w:pPr>
    </w:p>
    <w:p>
      <w:pPr>
        <w:pStyle w:val="10"/>
        <w:bidi w:val="0"/>
        <w:jc w:val="center"/>
        <w:rPr>
          <w:rFonts w:hint="default" w:ascii="Times New Roman" w:hAnsi="Times New Roman" w:cs="Times New Roman"/>
          <w:color w:val="auto"/>
          <w:highlight w:val="none"/>
        </w:rPr>
      </w:pPr>
      <w:r>
        <w:rPr>
          <w:rFonts w:hint="default" w:ascii="Times New Roman" w:hAnsi="Times New Roman" w:cs="Times New Roman"/>
          <w:color w:val="auto"/>
          <w:highlight w:val="none"/>
        </w:rPr>
        <w:t>五、</w:t>
      </w:r>
      <w:bookmarkStart w:id="1" w:name="_Hlk54167917"/>
      <w:r>
        <w:rPr>
          <w:rFonts w:hint="default" w:ascii="Times New Roman" w:hAnsi="Times New Roman" w:cs="Times New Roman"/>
          <w:color w:val="auto"/>
          <w:highlight w:val="none"/>
        </w:rPr>
        <w:t>环境保护措施监督检查清单</w:t>
      </w:r>
      <w:bookmarkEnd w:id="1"/>
    </w:p>
    <w:tbl>
      <w:tblPr>
        <w:tblStyle w:val="32"/>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213"/>
        <w:gridCol w:w="1162"/>
        <w:gridCol w:w="1200"/>
        <w:gridCol w:w="1488"/>
        <w:gridCol w:w="3884"/>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213" w:type="dxa"/>
            <w:tcBorders>
              <w:tl2br w:val="single" w:color="auto" w:sz="4" w:space="0"/>
            </w:tcBorders>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482" w:firstLineChars="200"/>
              <w:jc w:val="center"/>
              <w:textAlignment w:val="auto"/>
              <w:rPr>
                <w:rFonts w:hint="default" w:ascii="Times New Roman" w:hAnsi="Times New Roman" w:eastAsia="宋体" w:cs="Times New Roman"/>
                <w:b/>
                <w:bCs/>
                <w:color w:val="auto"/>
                <w:szCs w:val="21"/>
                <w:highlight w:val="none"/>
              </w:rPr>
            </w:pPr>
            <w:r>
              <w:rPr>
                <w:rFonts w:hint="default" w:ascii="Times New Roman" w:hAnsi="Times New Roman" w:eastAsia="宋体" w:cs="Times New Roman"/>
                <w:b/>
                <w:bCs/>
                <w:color w:val="auto"/>
                <w:szCs w:val="21"/>
                <w:highlight w:val="none"/>
              </w:rPr>
              <w:t>内容</w:t>
            </w:r>
          </w:p>
          <w:p>
            <w:pPr>
              <w:keepNext w:val="0"/>
              <w:keepLines w:val="0"/>
              <w:pageBreakBefore w:val="0"/>
              <w:kinsoku/>
              <w:wordWrap/>
              <w:overflowPunct/>
              <w:topLinePunct w:val="0"/>
              <w:autoSpaceDE/>
              <w:autoSpaceDN/>
              <w:bidi w:val="0"/>
              <w:adjustRightInd w:val="0"/>
              <w:snapToGrid w:val="0"/>
              <w:spacing w:line="240" w:lineRule="auto"/>
              <w:jc w:val="both"/>
              <w:textAlignment w:val="auto"/>
              <w:rPr>
                <w:rFonts w:hint="default" w:ascii="Times New Roman" w:hAnsi="Times New Roman" w:eastAsia="宋体" w:cs="Times New Roman"/>
                <w:b/>
                <w:bCs/>
                <w:color w:val="auto"/>
                <w:szCs w:val="21"/>
                <w:highlight w:val="none"/>
              </w:rPr>
            </w:pPr>
            <w:r>
              <w:rPr>
                <w:rFonts w:hint="default" w:ascii="Times New Roman" w:hAnsi="Times New Roman" w:eastAsia="宋体" w:cs="Times New Roman"/>
                <w:b/>
                <w:bCs/>
                <w:color w:val="auto"/>
                <w:szCs w:val="21"/>
                <w:highlight w:val="none"/>
              </w:rPr>
              <w:t>要素</w:t>
            </w:r>
          </w:p>
        </w:tc>
        <w:tc>
          <w:tcPr>
            <w:tcW w:w="1162" w:type="dxa"/>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bCs/>
                <w:color w:val="auto"/>
                <w:szCs w:val="21"/>
                <w:highlight w:val="none"/>
              </w:rPr>
            </w:pPr>
            <w:r>
              <w:rPr>
                <w:rFonts w:hint="default" w:ascii="Times New Roman" w:hAnsi="Times New Roman" w:eastAsia="宋体" w:cs="Times New Roman"/>
                <w:b/>
                <w:bCs/>
                <w:color w:val="auto"/>
                <w:szCs w:val="21"/>
                <w:highlight w:val="none"/>
              </w:rPr>
              <w:t>排放口(编号、</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bCs/>
                <w:color w:val="auto"/>
                <w:szCs w:val="21"/>
                <w:highlight w:val="none"/>
              </w:rPr>
            </w:pPr>
            <w:r>
              <w:rPr>
                <w:rFonts w:hint="default" w:ascii="Times New Roman" w:hAnsi="Times New Roman" w:eastAsia="宋体" w:cs="Times New Roman"/>
                <w:b/>
                <w:bCs/>
                <w:color w:val="auto"/>
                <w:szCs w:val="21"/>
                <w:highlight w:val="none"/>
              </w:rPr>
              <w:t>名称)/污染源</w:t>
            </w:r>
          </w:p>
        </w:tc>
        <w:tc>
          <w:tcPr>
            <w:tcW w:w="1200" w:type="dxa"/>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bCs/>
                <w:color w:val="auto"/>
                <w:szCs w:val="21"/>
                <w:highlight w:val="none"/>
              </w:rPr>
            </w:pPr>
            <w:r>
              <w:rPr>
                <w:rFonts w:hint="default" w:ascii="Times New Roman" w:hAnsi="Times New Roman" w:eastAsia="宋体" w:cs="Times New Roman"/>
                <w:b/>
                <w:bCs/>
                <w:color w:val="auto"/>
                <w:szCs w:val="21"/>
                <w:highlight w:val="none"/>
              </w:rPr>
              <w:t>污染物项目</w:t>
            </w:r>
          </w:p>
        </w:tc>
        <w:tc>
          <w:tcPr>
            <w:tcW w:w="1488" w:type="dxa"/>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bCs/>
                <w:color w:val="auto"/>
                <w:szCs w:val="21"/>
                <w:highlight w:val="none"/>
              </w:rPr>
            </w:pPr>
            <w:r>
              <w:rPr>
                <w:rFonts w:hint="default" w:ascii="Times New Roman" w:hAnsi="Times New Roman" w:eastAsia="宋体" w:cs="Times New Roman"/>
                <w:b/>
                <w:bCs/>
                <w:color w:val="auto"/>
                <w:szCs w:val="21"/>
                <w:highlight w:val="none"/>
              </w:rPr>
              <w:t>环境保护措施</w:t>
            </w:r>
          </w:p>
        </w:tc>
        <w:tc>
          <w:tcPr>
            <w:tcW w:w="3884" w:type="dxa"/>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bCs/>
                <w:color w:val="auto"/>
                <w:szCs w:val="21"/>
                <w:highlight w:val="none"/>
              </w:rPr>
            </w:pPr>
            <w:r>
              <w:rPr>
                <w:rFonts w:hint="default" w:ascii="Times New Roman" w:hAnsi="Times New Roman" w:eastAsia="宋体" w:cs="Times New Roman"/>
                <w:b/>
                <w:bCs/>
                <w:color w:val="auto"/>
                <w:szCs w:val="21"/>
                <w:highlight w:val="none"/>
              </w:rPr>
              <w:t>执行标准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1213" w:type="dxa"/>
            <w:vMerge w:val="restart"/>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bCs/>
                <w:color w:val="auto"/>
                <w:sz w:val="21"/>
                <w:szCs w:val="18"/>
                <w:highlight w:val="none"/>
                <w:lang w:val="en-US" w:eastAsia="zh-CN"/>
              </w:rPr>
            </w:pPr>
            <w:r>
              <w:rPr>
                <w:rFonts w:hint="default" w:ascii="Times New Roman" w:hAnsi="Times New Roman" w:cs="Times New Roman"/>
                <w:b/>
                <w:bCs/>
                <w:color w:val="auto"/>
                <w:sz w:val="21"/>
                <w:szCs w:val="18"/>
                <w:highlight w:val="none"/>
                <w:lang w:val="en-US" w:eastAsia="zh-CN"/>
              </w:rPr>
              <w:t>大气环境</w:t>
            </w:r>
          </w:p>
        </w:tc>
        <w:tc>
          <w:tcPr>
            <w:tcW w:w="1162"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喷漆（</w:t>
            </w:r>
            <w:r>
              <w:rPr>
                <w:rFonts w:hint="eastAsia" w:eastAsia="宋体" w:cs="Times New Roman"/>
                <w:color w:val="auto"/>
                <w:kern w:val="2"/>
                <w:sz w:val="21"/>
                <w:szCs w:val="21"/>
                <w:highlight w:val="none"/>
                <w:lang w:val="en-US" w:eastAsia="zh-CN" w:bidi="ar-SA"/>
              </w:rPr>
              <w:t>调漆、喷漆、晾干</w:t>
            </w:r>
            <w:r>
              <w:rPr>
                <w:rFonts w:hint="eastAsia" w:cs="Times New Roman"/>
                <w:color w:val="auto"/>
                <w:sz w:val="21"/>
                <w:szCs w:val="21"/>
                <w:highlight w:val="none"/>
                <w:lang w:val="en-US" w:eastAsia="zh-CN"/>
              </w:rPr>
              <w:t>）</w:t>
            </w:r>
          </w:p>
        </w:tc>
        <w:tc>
          <w:tcPr>
            <w:tcW w:w="1200" w:type="dxa"/>
            <w:noWrap w:val="0"/>
            <w:vAlign w:val="center"/>
          </w:tcPr>
          <w:p>
            <w:pPr>
              <w:pageBreakBefore w:val="0"/>
              <w:widowControl w:val="0"/>
              <w:kinsoku/>
              <w:wordWrap/>
              <w:overflowPunct/>
              <w:topLinePunct w:val="0"/>
              <w:autoSpaceDE/>
              <w:autoSpaceDN/>
              <w:bidi w:val="0"/>
              <w:spacing w:line="240" w:lineRule="auto"/>
              <w:ind w:left="0" w:left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eastAsia="宋体" w:cs="Times New Roman"/>
                <w:color w:val="auto"/>
                <w:kern w:val="2"/>
                <w:sz w:val="21"/>
                <w:szCs w:val="21"/>
                <w:highlight w:val="none"/>
                <w:lang w:val="en-US" w:eastAsia="zh-CN" w:bidi="ar-SA"/>
              </w:rPr>
              <w:t>颗粒物</w:t>
            </w:r>
          </w:p>
        </w:tc>
        <w:tc>
          <w:tcPr>
            <w:tcW w:w="1488" w:type="dxa"/>
            <w:vMerge w:val="restart"/>
            <w:noWrap w:val="0"/>
            <w:vAlign w:val="center"/>
          </w:tcPr>
          <w:p>
            <w:pPr>
              <w:keepNext w:val="0"/>
              <w:keepLines w:val="0"/>
              <w:pageBreakBefore w:val="0"/>
              <w:kinsoku/>
              <w:wordWrap/>
              <w:overflowPunct/>
              <w:topLinePunct w:val="0"/>
              <w:autoSpaceDE/>
              <w:autoSpaceDN/>
              <w:bidi w:val="0"/>
              <w:adjustRightInd/>
              <w:snapToGrid/>
              <w:spacing w:line="240" w:lineRule="auto"/>
              <w:jc w:val="center"/>
              <w:textAlignment w:val="auto"/>
              <w:rPr>
                <w:rFonts w:hint="eastAsia" w:cs="Times New Roman"/>
                <w:color w:val="auto"/>
                <w:sz w:val="21"/>
                <w:szCs w:val="21"/>
                <w:highlight w:val="none"/>
                <w:lang w:val="en-US" w:eastAsia="zh-CN"/>
              </w:rPr>
            </w:pPr>
            <w:r>
              <w:rPr>
                <w:rFonts w:hint="eastAsia" w:cs="Times New Roman"/>
                <w:color w:val="auto"/>
                <w:sz w:val="21"/>
                <w:szCs w:val="21"/>
                <w:highlight w:val="none"/>
                <w:lang w:val="en-US" w:eastAsia="zh-CN"/>
              </w:rPr>
              <w:t>喷漆房有组织废气经过1套干式过滤器+二级</w:t>
            </w:r>
            <w:r>
              <w:rPr>
                <w:rFonts w:hint="default" w:ascii="Times New Roman" w:hAnsi="Times New Roman" w:cs="Times New Roman"/>
                <w:color w:val="auto"/>
                <w:sz w:val="21"/>
                <w:szCs w:val="21"/>
                <w:highlight w:val="none"/>
                <w:lang w:val="en-US" w:eastAsia="zh-CN"/>
              </w:rPr>
              <w:t>活性炭吸附装置</w:t>
            </w:r>
            <w:r>
              <w:rPr>
                <w:rFonts w:hint="eastAsia" w:cs="Times New Roman"/>
                <w:color w:val="auto"/>
                <w:sz w:val="21"/>
                <w:szCs w:val="21"/>
                <w:highlight w:val="none"/>
                <w:lang w:val="en-US" w:eastAsia="zh-CN"/>
              </w:rPr>
              <w:t>+1根</w:t>
            </w:r>
            <w:r>
              <w:rPr>
                <w:rFonts w:hint="default" w:ascii="Times New Roman" w:hAnsi="Times New Roman" w:cs="Times New Roman"/>
                <w:color w:val="auto"/>
                <w:sz w:val="21"/>
                <w:szCs w:val="21"/>
                <w:highlight w:val="none"/>
                <w:lang w:val="en-US" w:eastAsia="zh-CN"/>
              </w:rPr>
              <w:t>15m高排气筒排放</w:t>
            </w:r>
            <w:r>
              <w:rPr>
                <w:rFonts w:hint="eastAsia" w:cs="Times New Roman"/>
                <w:color w:val="auto"/>
                <w:sz w:val="21"/>
                <w:szCs w:val="21"/>
                <w:highlight w:val="none"/>
                <w:lang w:val="en-US" w:eastAsia="zh-CN"/>
              </w:rPr>
              <w:t>，风机风量为15120m</w:t>
            </w:r>
            <w:r>
              <w:rPr>
                <w:rFonts w:hint="eastAsia" w:cs="Times New Roman"/>
                <w:color w:val="auto"/>
                <w:sz w:val="21"/>
                <w:szCs w:val="21"/>
                <w:highlight w:val="none"/>
                <w:vertAlign w:val="superscript"/>
                <w:lang w:val="en-US" w:eastAsia="zh-CN"/>
              </w:rPr>
              <w:t>3</w:t>
            </w:r>
            <w:r>
              <w:rPr>
                <w:rFonts w:hint="eastAsia" w:cs="Times New Roman"/>
                <w:color w:val="auto"/>
                <w:sz w:val="21"/>
                <w:szCs w:val="21"/>
                <w:highlight w:val="none"/>
                <w:lang w:val="en-US" w:eastAsia="zh-CN"/>
              </w:rPr>
              <w:t>/h</w:t>
            </w:r>
            <w:r>
              <w:rPr>
                <w:rFonts w:hint="eastAsia" w:ascii="Times New Roman" w:hAnsi="Times New Roman" w:cs="Times New Roman"/>
                <w:color w:val="auto"/>
                <w:sz w:val="21"/>
                <w:szCs w:val="21"/>
                <w:highlight w:val="none"/>
                <w:lang w:val="en-US" w:eastAsia="zh-CN"/>
              </w:rPr>
              <w:t>（DA001）</w:t>
            </w:r>
            <w:r>
              <w:rPr>
                <w:rFonts w:hint="eastAsia" w:cs="Times New Roman"/>
                <w:color w:val="auto"/>
                <w:sz w:val="21"/>
                <w:szCs w:val="21"/>
                <w:highlight w:val="none"/>
                <w:lang w:val="en-US" w:eastAsia="zh-CN"/>
              </w:rPr>
              <w:t>；</w:t>
            </w:r>
          </w:p>
          <w:p>
            <w:pPr>
              <w:keepNext w:val="0"/>
              <w:keepLines w:val="0"/>
              <w:pageBreakBefore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废气治理设施中活性炭每半年更换1次，要足量添加，并选择碘值不低于800毫克/克的活性炭；</w:t>
            </w:r>
          </w:p>
        </w:tc>
        <w:tc>
          <w:tcPr>
            <w:tcW w:w="3884" w:type="dxa"/>
            <w:noWrap w:val="0"/>
            <w:vAlign w:val="center"/>
          </w:tcPr>
          <w:p>
            <w:pPr>
              <w:keepNext w:val="0"/>
              <w:keepLines w:val="0"/>
              <w:pageBreakBefore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b w:val="0"/>
                <w:snapToGrid/>
                <w:color w:val="auto"/>
                <w:kern w:val="2"/>
                <w:sz w:val="21"/>
                <w:szCs w:val="21"/>
                <w:highlight w:val="none"/>
                <w:lang w:val="en-US" w:eastAsia="zh-CN" w:bidi="ar-SA"/>
              </w:rPr>
              <w:t>《大气污染物综合排放标准》（GB16297-1996）表2中颗粒物（染料尘）二级最高允许排放浓度≤</w:t>
            </w:r>
            <w:r>
              <w:rPr>
                <w:rFonts w:hint="eastAsia" w:ascii="Times New Roman" w:hAnsi="Times New Roman" w:eastAsia="宋体" w:cs="Times New Roman"/>
                <w:b w:val="0"/>
                <w:snapToGrid/>
                <w:color w:val="auto"/>
                <w:kern w:val="2"/>
                <w:sz w:val="21"/>
                <w:szCs w:val="21"/>
                <w:highlight w:val="none"/>
                <w:lang w:val="en-US" w:eastAsia="zh-CN" w:bidi="ar-SA"/>
              </w:rPr>
              <w:t>18</w:t>
            </w:r>
            <w:r>
              <w:rPr>
                <w:rFonts w:hint="default" w:ascii="Times New Roman" w:hAnsi="Times New Roman" w:eastAsia="宋体" w:cs="Times New Roman"/>
                <w:b w:val="0"/>
                <w:snapToGrid/>
                <w:color w:val="auto"/>
                <w:kern w:val="2"/>
                <w:sz w:val="21"/>
                <w:szCs w:val="21"/>
                <w:highlight w:val="none"/>
                <w:lang w:val="en-US" w:eastAsia="zh-CN" w:bidi="ar-SA"/>
              </w:rPr>
              <w:t>mg/m³，排放速率≤</w:t>
            </w:r>
            <w:r>
              <w:rPr>
                <w:rFonts w:hint="eastAsia" w:ascii="Times New Roman" w:hAnsi="Times New Roman" w:eastAsia="宋体" w:cs="Times New Roman"/>
                <w:b w:val="0"/>
                <w:snapToGrid/>
                <w:color w:val="auto"/>
                <w:kern w:val="2"/>
                <w:sz w:val="21"/>
                <w:szCs w:val="21"/>
                <w:highlight w:val="none"/>
                <w:lang w:val="en-US" w:eastAsia="zh-CN" w:bidi="ar-SA"/>
              </w:rPr>
              <w:t>0.51</w:t>
            </w:r>
            <w:r>
              <w:rPr>
                <w:rFonts w:hint="default" w:ascii="Times New Roman" w:hAnsi="Times New Roman" w:eastAsia="宋体" w:cs="Times New Roman"/>
                <w:b w:val="0"/>
                <w:snapToGrid/>
                <w:color w:val="auto"/>
                <w:kern w:val="2"/>
                <w:sz w:val="21"/>
                <w:szCs w:val="21"/>
                <w:highlight w:val="none"/>
                <w:lang w:val="en-US" w:eastAsia="zh-CN" w:bidi="ar-SA"/>
              </w:rPr>
              <w:t>kg/h</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13" w:hRule="atLeast"/>
          <w:jc w:val="center"/>
        </w:trPr>
        <w:tc>
          <w:tcPr>
            <w:tcW w:w="1213" w:type="dxa"/>
            <w:vMerge w:val="continue"/>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bCs/>
                <w:color w:val="auto"/>
                <w:sz w:val="21"/>
                <w:szCs w:val="18"/>
                <w:highlight w:val="none"/>
                <w:lang w:val="en-US" w:eastAsia="zh-CN"/>
              </w:rPr>
            </w:pPr>
          </w:p>
        </w:tc>
        <w:tc>
          <w:tcPr>
            <w:tcW w:w="1162"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s="Times New Roman"/>
                <w:color w:val="auto"/>
                <w:sz w:val="21"/>
                <w:szCs w:val="21"/>
                <w:highlight w:val="none"/>
                <w:lang w:val="en-US" w:eastAsia="zh-CN"/>
              </w:rPr>
            </w:pPr>
          </w:p>
        </w:tc>
        <w:tc>
          <w:tcPr>
            <w:tcW w:w="1200" w:type="dxa"/>
            <w:noWrap w:val="0"/>
            <w:vAlign w:val="center"/>
          </w:tcPr>
          <w:p>
            <w:pPr>
              <w:pageBreakBefore w:val="0"/>
              <w:widowControl w:val="0"/>
              <w:kinsoku/>
              <w:wordWrap/>
              <w:overflowPunct/>
              <w:topLinePunct w:val="0"/>
              <w:autoSpaceDE/>
              <w:autoSpaceDN/>
              <w:bidi w:val="0"/>
              <w:spacing w:line="240" w:lineRule="auto"/>
              <w:ind w:left="0" w:leftChars="0"/>
              <w:jc w:val="center"/>
              <w:textAlignment w:val="auto"/>
              <w:rPr>
                <w:rFonts w:hint="default" w:ascii="Times New Roman" w:hAnsi="Times New Roman" w:cs="Times New Roman"/>
                <w:color w:val="auto"/>
                <w:sz w:val="21"/>
                <w:szCs w:val="21"/>
                <w:highlight w:val="none"/>
                <w:lang w:val="en-US" w:eastAsia="zh-CN"/>
              </w:rPr>
            </w:pPr>
            <w:r>
              <w:rPr>
                <w:rFonts w:hint="eastAsia" w:ascii="Times New Roman" w:eastAsia="宋体" w:cs="Times New Roman"/>
                <w:color w:val="auto"/>
                <w:kern w:val="2"/>
                <w:sz w:val="21"/>
                <w:szCs w:val="21"/>
                <w:highlight w:val="none"/>
                <w:lang w:val="en-US" w:eastAsia="zh-CN" w:bidi="ar-SA"/>
              </w:rPr>
              <w:t>非甲烷总烃</w:t>
            </w:r>
          </w:p>
        </w:tc>
        <w:tc>
          <w:tcPr>
            <w:tcW w:w="1488" w:type="dxa"/>
            <w:vMerge w:val="continue"/>
            <w:noWrap w:val="0"/>
            <w:vAlign w:val="center"/>
          </w:tcPr>
          <w:p>
            <w:pPr>
              <w:keepNext w:val="0"/>
              <w:keepLines w:val="0"/>
              <w:pageBreakBefore w:val="0"/>
              <w:kinsoku/>
              <w:wordWrap/>
              <w:overflowPunct/>
              <w:topLinePunct w:val="0"/>
              <w:autoSpaceDE/>
              <w:autoSpaceDN/>
              <w:bidi w:val="0"/>
              <w:adjustRightInd/>
              <w:snapToGrid/>
              <w:spacing w:line="240" w:lineRule="auto"/>
              <w:jc w:val="center"/>
              <w:textAlignment w:val="auto"/>
              <w:rPr>
                <w:rFonts w:hint="eastAsia" w:cs="Times New Roman"/>
                <w:color w:val="auto"/>
                <w:sz w:val="21"/>
                <w:szCs w:val="21"/>
                <w:highlight w:val="none"/>
                <w:lang w:val="en-US" w:eastAsia="zh-CN"/>
              </w:rPr>
            </w:pPr>
          </w:p>
        </w:tc>
        <w:tc>
          <w:tcPr>
            <w:tcW w:w="3884" w:type="dxa"/>
            <w:noWrap w:val="0"/>
            <w:vAlign w:val="center"/>
          </w:tcPr>
          <w:p>
            <w:pPr>
              <w:keepNext w:val="0"/>
              <w:keepLines w:val="0"/>
              <w:pageBreakBefore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《工业企业挥发性有机物排放控制标准》（DB13/2322-2016）</w:t>
            </w:r>
            <w:r>
              <w:rPr>
                <w:rFonts w:hint="eastAsia" w:cs="Times New Roman"/>
                <w:color w:val="auto"/>
                <w:sz w:val="21"/>
                <w:szCs w:val="21"/>
                <w:highlight w:val="none"/>
                <w:lang w:val="en-US" w:eastAsia="zh-CN"/>
              </w:rPr>
              <w:t>表面涂装业</w:t>
            </w:r>
            <w:r>
              <w:rPr>
                <w:rFonts w:hint="default" w:ascii="Times New Roman" w:hAnsi="Times New Roman" w:eastAsia="宋体" w:cs="Times New Roman"/>
                <w:color w:val="auto"/>
                <w:sz w:val="21"/>
                <w:szCs w:val="21"/>
                <w:highlight w:val="none"/>
                <w:lang w:val="en-US" w:eastAsia="zh-CN"/>
              </w:rPr>
              <w:t>挥发性有机物排放浓度限值要求（有组织</w:t>
            </w:r>
            <w:r>
              <w:rPr>
                <w:rFonts w:hint="eastAsia" w:cs="Times New Roman"/>
                <w:color w:val="auto"/>
                <w:sz w:val="21"/>
                <w:szCs w:val="21"/>
                <w:highlight w:val="none"/>
                <w:lang w:val="en-US" w:eastAsia="zh-CN"/>
              </w:rPr>
              <w:t>60</w:t>
            </w:r>
            <w:r>
              <w:rPr>
                <w:rFonts w:hint="default" w:ascii="Times New Roman" w:hAnsi="Times New Roman" w:eastAsia="宋体" w:cs="Times New Roman"/>
                <w:color w:val="auto"/>
                <w:sz w:val="21"/>
                <w:szCs w:val="21"/>
                <w:highlight w:val="none"/>
                <w:lang w:val="en-US" w:eastAsia="zh-CN"/>
              </w:rPr>
              <w:t>mg/m³、效率≥70%，企业边界2.0mg/m³，生产车间或生产设备任意一小时浓度4.0mg/m³）与《挥发性有机物无组织排放控制标准》（GB37822-2019）相关要求（监控点处1h平均浓度为6.0mg/m³，监控点处任意一次浓度20mg/m³）</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13" w:hRule="atLeast"/>
          <w:jc w:val="center"/>
        </w:trPr>
        <w:tc>
          <w:tcPr>
            <w:tcW w:w="1213" w:type="dxa"/>
            <w:vMerge w:val="continue"/>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bCs/>
                <w:color w:val="auto"/>
                <w:sz w:val="21"/>
                <w:szCs w:val="18"/>
                <w:highlight w:val="none"/>
                <w:lang w:val="en-US" w:eastAsia="zh-CN"/>
              </w:rPr>
            </w:pPr>
          </w:p>
        </w:tc>
        <w:tc>
          <w:tcPr>
            <w:tcW w:w="1162"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厂界</w:t>
            </w:r>
          </w:p>
        </w:tc>
        <w:tc>
          <w:tcPr>
            <w:tcW w:w="120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焊接无组织颗粒物</w:t>
            </w:r>
          </w:p>
        </w:tc>
        <w:tc>
          <w:tcPr>
            <w:tcW w:w="1488" w:type="dxa"/>
            <w:noWrap w:val="0"/>
            <w:vAlign w:val="center"/>
          </w:tcPr>
          <w:p>
            <w:pPr>
              <w:keepNext w:val="0"/>
              <w:keepLines w:val="0"/>
              <w:pageBreakBefore w:val="0"/>
              <w:kinsoku/>
              <w:wordWrap/>
              <w:overflowPunct/>
              <w:topLinePunct w:val="0"/>
              <w:autoSpaceDE/>
              <w:autoSpaceDN/>
              <w:bidi w:val="0"/>
              <w:adjustRightInd/>
              <w:snapToGrid/>
              <w:spacing w:line="240" w:lineRule="auto"/>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2台移动式焊烟净化机处理后车间内无组织排放</w:t>
            </w:r>
          </w:p>
        </w:tc>
        <w:tc>
          <w:tcPr>
            <w:tcW w:w="3884" w:type="dxa"/>
            <w:vMerge w:val="restart"/>
            <w:noWrap w:val="0"/>
            <w:vAlign w:val="center"/>
          </w:tcPr>
          <w:p>
            <w:pPr>
              <w:keepNext w:val="0"/>
              <w:keepLines w:val="0"/>
              <w:pageBreakBefore w:val="0"/>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auto"/>
                <w:sz w:val="21"/>
                <w:szCs w:val="21"/>
                <w:highlight w:val="none"/>
                <w:lang w:val="en-US" w:eastAsia="zh-CN"/>
              </w:rPr>
            </w:pPr>
            <w:r>
              <w:rPr>
                <w:color w:val="auto"/>
                <w:sz w:val="21"/>
                <w:szCs w:val="21"/>
                <w:highlight w:val="none"/>
              </w:rPr>
              <w:t>《大气污染物综合排放标准》（GB16297-1996）</w:t>
            </w:r>
            <w:r>
              <w:rPr>
                <w:rFonts w:hint="eastAsia"/>
                <w:color w:val="auto"/>
                <w:sz w:val="21"/>
                <w:szCs w:val="21"/>
                <w:highlight w:val="none"/>
              </w:rPr>
              <w:t>以及《秦皇岛市人民政府办公室关于执行钢铁等行业大气污染物排放特别要求的通知》：0.3mg/m</w:t>
            </w:r>
            <w:r>
              <w:rPr>
                <w:rFonts w:hint="eastAsia"/>
                <w:color w:val="auto"/>
                <w:sz w:val="21"/>
                <w:szCs w:val="21"/>
                <w:highlight w:val="none"/>
                <w:vertAlign w:val="superscript"/>
                <w:lang w:val="en-US" w:eastAsia="zh-CN"/>
              </w:rPr>
              <w:t>3</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8" w:hRule="atLeast"/>
          <w:jc w:val="center"/>
        </w:trPr>
        <w:tc>
          <w:tcPr>
            <w:tcW w:w="1213" w:type="dxa"/>
            <w:vMerge w:val="continue"/>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bCs/>
                <w:color w:val="auto"/>
                <w:sz w:val="21"/>
                <w:szCs w:val="18"/>
                <w:highlight w:val="none"/>
                <w:lang w:val="en-US" w:eastAsia="zh-CN"/>
              </w:rPr>
            </w:pPr>
          </w:p>
        </w:tc>
        <w:tc>
          <w:tcPr>
            <w:tcW w:w="1162"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cs="Times New Roman"/>
                <w:color w:val="auto"/>
                <w:sz w:val="21"/>
                <w:szCs w:val="21"/>
                <w:highlight w:val="none"/>
                <w:lang w:val="en-US" w:eastAsia="zh-CN"/>
              </w:rPr>
            </w:pPr>
          </w:p>
        </w:tc>
        <w:tc>
          <w:tcPr>
            <w:tcW w:w="120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喷漆房无组织颗粒物</w:t>
            </w:r>
          </w:p>
        </w:tc>
        <w:tc>
          <w:tcPr>
            <w:tcW w:w="1488" w:type="dxa"/>
            <w:noWrap w:val="0"/>
            <w:vAlign w:val="center"/>
          </w:tcPr>
          <w:p>
            <w:pPr>
              <w:keepNext w:val="0"/>
              <w:keepLines w:val="0"/>
              <w:pageBreakBefore w:val="0"/>
              <w:kinsoku/>
              <w:wordWrap/>
              <w:overflowPunct/>
              <w:topLinePunct w:val="0"/>
              <w:autoSpaceDE/>
              <w:autoSpaceDN/>
              <w:bidi w:val="0"/>
              <w:adjustRightInd/>
              <w:snapToGrid/>
              <w:spacing w:line="240" w:lineRule="auto"/>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w:t>
            </w:r>
          </w:p>
        </w:tc>
        <w:tc>
          <w:tcPr>
            <w:tcW w:w="3884" w:type="dxa"/>
            <w:vMerge w:val="continue"/>
            <w:noWrap w:val="0"/>
            <w:vAlign w:val="center"/>
          </w:tcPr>
          <w:p>
            <w:pPr>
              <w:keepNext w:val="0"/>
              <w:keepLines w:val="0"/>
              <w:pageBreakBefore w:val="0"/>
              <w:kinsoku/>
              <w:wordWrap/>
              <w:overflowPunct/>
              <w:topLinePunct w:val="0"/>
              <w:autoSpaceDE/>
              <w:autoSpaceDN/>
              <w:bidi w:val="0"/>
              <w:adjustRightInd/>
              <w:snapToGrid/>
              <w:spacing w:line="240" w:lineRule="auto"/>
              <w:jc w:val="center"/>
              <w:textAlignment w:val="auto"/>
              <w:rPr>
                <w:color w:val="auto"/>
                <w:sz w:val="21"/>
                <w:szCs w:val="21"/>
                <w:highlight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93" w:hRule="atLeast"/>
          <w:jc w:val="center"/>
        </w:trPr>
        <w:tc>
          <w:tcPr>
            <w:tcW w:w="1213" w:type="dxa"/>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bCs/>
                <w:color w:val="auto"/>
                <w:sz w:val="21"/>
                <w:szCs w:val="18"/>
                <w:highlight w:val="none"/>
                <w:lang w:val="en-US" w:eastAsia="zh-CN"/>
              </w:rPr>
            </w:pPr>
            <w:r>
              <w:rPr>
                <w:rFonts w:hint="default" w:ascii="Times New Roman" w:hAnsi="Times New Roman" w:cs="Times New Roman"/>
                <w:b/>
                <w:bCs/>
                <w:color w:val="auto"/>
                <w:sz w:val="21"/>
                <w:szCs w:val="18"/>
                <w:highlight w:val="none"/>
                <w:lang w:val="en-US" w:eastAsia="zh-CN"/>
              </w:rPr>
              <w:t>水环境</w:t>
            </w:r>
          </w:p>
        </w:tc>
        <w:tc>
          <w:tcPr>
            <w:tcW w:w="1162" w:type="dxa"/>
            <w:noWrap w:val="0"/>
            <w:vAlign w:val="center"/>
          </w:tcPr>
          <w:p>
            <w:pPr>
              <w:keepNext w:val="0"/>
              <w:keepLines w:val="0"/>
              <w:pageBreakBefore w:val="0"/>
              <w:kinsoku/>
              <w:wordWrap/>
              <w:overflowPunct/>
              <w:topLinePunct w:val="0"/>
              <w:autoSpaceDE/>
              <w:autoSpaceDN/>
              <w:bidi w:val="0"/>
              <w:spacing w:line="240" w:lineRule="auto"/>
              <w:jc w:val="center"/>
              <w:textAlignment w:val="auto"/>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w:t>
            </w:r>
          </w:p>
        </w:tc>
        <w:tc>
          <w:tcPr>
            <w:tcW w:w="1200" w:type="dxa"/>
            <w:noWrap w:val="0"/>
            <w:vAlign w:val="center"/>
          </w:tcPr>
          <w:p>
            <w:pPr>
              <w:keepNext w:val="0"/>
              <w:keepLines w:val="0"/>
              <w:pageBreakBefore w:val="0"/>
              <w:kinsoku/>
              <w:wordWrap/>
              <w:overflowPunct/>
              <w:topLinePunct w:val="0"/>
              <w:autoSpaceDE/>
              <w:autoSpaceDN/>
              <w:bidi w:val="0"/>
              <w:spacing w:line="240" w:lineRule="auto"/>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w:t>
            </w:r>
          </w:p>
        </w:tc>
        <w:tc>
          <w:tcPr>
            <w:tcW w:w="1488" w:type="dxa"/>
            <w:noWrap w:val="0"/>
            <w:vAlign w:val="center"/>
          </w:tcPr>
          <w:p>
            <w:pPr>
              <w:keepNext w:val="0"/>
              <w:keepLines w:val="0"/>
              <w:pageBreakBefore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w:t>
            </w:r>
          </w:p>
        </w:tc>
        <w:tc>
          <w:tcPr>
            <w:tcW w:w="3884"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213" w:type="dxa"/>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bCs/>
                <w:color w:val="auto"/>
                <w:sz w:val="21"/>
                <w:szCs w:val="18"/>
                <w:highlight w:val="none"/>
              </w:rPr>
            </w:pPr>
            <w:r>
              <w:rPr>
                <w:rFonts w:hint="default" w:ascii="Times New Roman" w:hAnsi="Times New Roman" w:eastAsia="宋体" w:cs="Times New Roman"/>
                <w:b/>
                <w:bCs/>
                <w:color w:val="auto"/>
                <w:sz w:val="21"/>
                <w:szCs w:val="18"/>
                <w:highlight w:val="none"/>
              </w:rPr>
              <w:t>声环境</w:t>
            </w:r>
          </w:p>
        </w:tc>
        <w:tc>
          <w:tcPr>
            <w:tcW w:w="1162" w:type="dxa"/>
            <w:noWrap w:val="0"/>
            <w:vAlign w:val="center"/>
          </w:tcPr>
          <w:p>
            <w:pPr>
              <w:keepNext w:val="0"/>
              <w:keepLines w:val="0"/>
              <w:pageBreakBefore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车间</w:t>
            </w:r>
          </w:p>
        </w:tc>
        <w:tc>
          <w:tcPr>
            <w:tcW w:w="1200" w:type="dxa"/>
            <w:noWrap w:val="0"/>
            <w:vAlign w:val="center"/>
          </w:tcPr>
          <w:p>
            <w:pPr>
              <w:keepNext w:val="0"/>
              <w:keepLines w:val="0"/>
              <w:pageBreakBefore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等效A声级</w:t>
            </w:r>
          </w:p>
        </w:tc>
        <w:tc>
          <w:tcPr>
            <w:tcW w:w="1488" w:type="dxa"/>
            <w:noWrap w:val="0"/>
            <w:vAlign w:val="center"/>
          </w:tcPr>
          <w:p>
            <w:pPr>
              <w:keepNext w:val="0"/>
              <w:keepLines w:val="0"/>
              <w:pageBreakBefore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建筑隔声、距离衰减、安装减振基础</w:t>
            </w:r>
          </w:p>
        </w:tc>
        <w:tc>
          <w:tcPr>
            <w:tcW w:w="3884" w:type="dxa"/>
            <w:noWrap w:val="0"/>
            <w:vAlign w:val="center"/>
          </w:tcPr>
          <w:p>
            <w:pPr>
              <w:keepNext w:val="0"/>
              <w:keepLines w:val="0"/>
              <w:pageBreakBefore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《工业企业厂界环境噪声排放标准》(GB12348—2008)中的</w:t>
            </w:r>
            <w:r>
              <w:rPr>
                <w:rFonts w:hint="eastAsia" w:cs="Times New Roman"/>
                <w:color w:val="auto"/>
                <w:sz w:val="21"/>
                <w:szCs w:val="21"/>
                <w:highlight w:val="none"/>
                <w:lang w:val="en-US" w:eastAsia="zh-CN"/>
              </w:rPr>
              <w:t>3</w:t>
            </w:r>
            <w:r>
              <w:rPr>
                <w:rFonts w:hint="default" w:ascii="Times New Roman" w:hAnsi="Times New Roman" w:eastAsia="宋体" w:cs="Times New Roman"/>
                <w:color w:val="auto"/>
                <w:sz w:val="21"/>
                <w:szCs w:val="21"/>
                <w:highlight w:val="none"/>
                <w:lang w:val="en-US" w:eastAsia="zh-CN"/>
              </w:rPr>
              <w:t>类标准</w:t>
            </w:r>
            <w:r>
              <w:rPr>
                <w:rFonts w:hint="default" w:ascii="Times New Roman" w:hAnsi="Times New Roman" w:cs="Times New Roman"/>
                <w:color w:val="auto"/>
                <w:sz w:val="21"/>
                <w:szCs w:val="21"/>
                <w:highlight w:val="none"/>
                <w:lang w:val="en-US" w:eastAsia="zh-CN"/>
              </w:rPr>
              <w:t>，昼间≤</w:t>
            </w:r>
            <w:r>
              <w:rPr>
                <w:rFonts w:hint="eastAsia" w:cs="Times New Roman"/>
                <w:color w:val="auto"/>
                <w:sz w:val="21"/>
                <w:szCs w:val="21"/>
                <w:highlight w:val="none"/>
                <w:lang w:val="en-US" w:eastAsia="zh-CN"/>
              </w:rPr>
              <w:t>65</w:t>
            </w:r>
            <w:r>
              <w:rPr>
                <w:rFonts w:hint="default" w:ascii="Times New Roman" w:hAnsi="Times New Roman" w:cs="Times New Roman"/>
                <w:color w:val="auto"/>
                <w:sz w:val="21"/>
                <w:szCs w:val="21"/>
                <w:highlight w:val="none"/>
                <w:lang w:val="en-US" w:eastAsia="zh-CN"/>
              </w:rPr>
              <w:t>dB(A)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13" w:type="dxa"/>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bCs/>
                <w:color w:val="auto"/>
                <w:sz w:val="21"/>
                <w:szCs w:val="18"/>
                <w:highlight w:val="none"/>
              </w:rPr>
            </w:pPr>
            <w:r>
              <w:rPr>
                <w:rFonts w:hint="default" w:ascii="Times New Roman" w:hAnsi="Times New Roman" w:eastAsia="宋体" w:cs="Times New Roman"/>
                <w:b/>
                <w:bCs/>
                <w:color w:val="auto"/>
                <w:sz w:val="21"/>
                <w:szCs w:val="18"/>
                <w:highlight w:val="none"/>
              </w:rPr>
              <w:t>电磁辐射</w:t>
            </w:r>
          </w:p>
        </w:tc>
        <w:tc>
          <w:tcPr>
            <w:tcW w:w="7734" w:type="dxa"/>
            <w:gridSpan w:val="4"/>
            <w:noWrap w:val="0"/>
            <w:vAlign w:val="center"/>
          </w:tcPr>
          <w:p>
            <w:pPr>
              <w:keepNext w:val="0"/>
              <w:keepLines w:val="0"/>
              <w:pageBreakBefore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不涉及</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10" w:hRule="atLeast"/>
          <w:jc w:val="center"/>
        </w:trPr>
        <w:tc>
          <w:tcPr>
            <w:tcW w:w="1213" w:type="dxa"/>
            <w:vMerge w:val="restart"/>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bCs/>
                <w:color w:val="auto"/>
                <w:sz w:val="21"/>
                <w:szCs w:val="18"/>
                <w:highlight w:val="none"/>
              </w:rPr>
            </w:pPr>
            <w:r>
              <w:rPr>
                <w:rFonts w:hint="default" w:ascii="Times New Roman" w:hAnsi="Times New Roman" w:eastAsia="宋体" w:cs="Times New Roman"/>
                <w:b/>
                <w:bCs/>
                <w:color w:val="auto"/>
                <w:sz w:val="21"/>
                <w:szCs w:val="18"/>
                <w:highlight w:val="none"/>
              </w:rPr>
              <w:t>固体废物</w:t>
            </w:r>
          </w:p>
        </w:tc>
        <w:tc>
          <w:tcPr>
            <w:tcW w:w="7734" w:type="dxa"/>
            <w:gridSpan w:val="4"/>
            <w:noWrap w:val="0"/>
            <w:vAlign w:val="center"/>
          </w:tcPr>
          <w:p>
            <w:pPr>
              <w:keepNext w:val="0"/>
              <w:keepLines w:val="0"/>
              <w:pageBreakBefore w:val="0"/>
              <w:kinsoku/>
              <w:wordWrap/>
              <w:overflowPunct/>
              <w:topLinePunct w:val="0"/>
              <w:autoSpaceDE/>
              <w:autoSpaceDN/>
              <w:bidi w:val="0"/>
              <w:spacing w:line="240" w:lineRule="auto"/>
              <w:ind w:firstLine="420" w:firstLineChars="200"/>
              <w:jc w:val="both"/>
              <w:textAlignment w:val="auto"/>
              <w:rPr>
                <w:rFonts w:hint="default" w:ascii="Times New Roman" w:hAnsi="Times New Roman" w:eastAsia="宋体" w:cs="Times New Roman"/>
                <w:color w:val="auto"/>
                <w:sz w:val="21"/>
                <w:szCs w:val="21"/>
                <w:highlight w:val="none"/>
                <w:lang w:val="en-US"/>
              </w:rPr>
            </w:pPr>
            <w:r>
              <w:rPr>
                <w:rFonts w:hint="default" w:ascii="Times New Roman" w:hAnsi="Times New Roman" w:cs="Times New Roman"/>
                <w:color w:val="auto"/>
                <w:sz w:val="21"/>
                <w:szCs w:val="21"/>
                <w:highlight w:val="none"/>
                <w:lang w:val="en-US" w:eastAsia="zh-CN"/>
              </w:rPr>
              <w:t>边角料、</w:t>
            </w:r>
            <w:r>
              <w:rPr>
                <w:rFonts w:hint="eastAsia" w:cs="Times New Roman"/>
                <w:color w:val="auto"/>
                <w:sz w:val="21"/>
                <w:szCs w:val="21"/>
                <w:highlight w:val="none"/>
                <w:lang w:val="en-US" w:eastAsia="zh-CN"/>
              </w:rPr>
              <w:t>金属屑</w:t>
            </w:r>
            <w:r>
              <w:rPr>
                <w:rFonts w:hint="default" w:ascii="Times New Roman" w:hAnsi="Times New Roman" w:cs="Times New Roman"/>
                <w:color w:val="auto"/>
                <w:sz w:val="21"/>
                <w:szCs w:val="21"/>
                <w:highlight w:val="none"/>
                <w:lang w:val="en-US" w:eastAsia="zh-CN"/>
              </w:rPr>
              <w:t>、废焊头</w:t>
            </w:r>
            <w:r>
              <w:rPr>
                <w:rFonts w:hint="eastAsia" w:cs="Times New Roman"/>
                <w:color w:val="auto"/>
                <w:sz w:val="21"/>
                <w:szCs w:val="21"/>
                <w:highlight w:val="none"/>
                <w:lang w:val="en-US" w:eastAsia="zh-CN"/>
              </w:rPr>
              <w:t>、除尘灰收集后统一外售；含油抹布与生活垃圾一起交由环卫部门处置。</w:t>
            </w:r>
            <w:r>
              <w:rPr>
                <w:rFonts w:hint="default" w:ascii="Times New Roman" w:hAnsi="Times New Roman" w:cs="Times New Roman"/>
                <w:color w:val="auto"/>
                <w:sz w:val="21"/>
                <w:szCs w:val="21"/>
                <w:highlight w:val="none"/>
                <w:lang w:val="en-US" w:eastAsia="zh-CN"/>
              </w:rPr>
              <w:t>依据《中华人民共和国固体废物污染环境防治法》第十六条规定：收集、贮存、运输、利用、处置固体废物的单位和个人，必须采取防扬散、防流失、防渗漏或者其他防止污染环境的措施。不得在运输过程中沿途丢弃、遗撒固体废物</w:t>
            </w:r>
            <w:r>
              <w:rPr>
                <w:rFonts w:hint="eastAsia" w:cs="Times New Roman"/>
                <w:color w:val="auto"/>
                <w:sz w:val="21"/>
                <w:szCs w:val="21"/>
                <w:highlight w:val="none"/>
                <w:lang w:val="en-US"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91" w:hRule="atLeast"/>
          <w:jc w:val="center"/>
        </w:trPr>
        <w:tc>
          <w:tcPr>
            <w:tcW w:w="1213" w:type="dxa"/>
            <w:vMerge w:val="continue"/>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bCs/>
                <w:color w:val="auto"/>
                <w:sz w:val="21"/>
                <w:szCs w:val="18"/>
                <w:highlight w:val="none"/>
              </w:rPr>
            </w:pPr>
          </w:p>
        </w:tc>
        <w:tc>
          <w:tcPr>
            <w:tcW w:w="7734" w:type="dxa"/>
            <w:gridSpan w:val="4"/>
            <w:noWrap w:val="0"/>
            <w:vAlign w:val="center"/>
          </w:tcPr>
          <w:p>
            <w:pPr>
              <w:keepNext w:val="0"/>
              <w:keepLines w:val="0"/>
              <w:pageBreakBefore w:val="0"/>
              <w:kinsoku/>
              <w:wordWrap/>
              <w:overflowPunct/>
              <w:topLinePunct w:val="0"/>
              <w:autoSpaceDE/>
              <w:autoSpaceDN/>
              <w:bidi w:val="0"/>
              <w:spacing w:line="240" w:lineRule="auto"/>
              <w:ind w:firstLine="420" w:firstLineChars="200"/>
              <w:jc w:val="both"/>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废机油、</w:t>
            </w:r>
            <w:r>
              <w:rPr>
                <w:rFonts w:hint="eastAsia" w:eastAsia="宋体" w:cs="Times New Roman"/>
                <w:color w:val="auto"/>
                <w:sz w:val="21"/>
                <w:szCs w:val="21"/>
                <w:highlight w:val="none"/>
                <w:lang w:val="en-US" w:eastAsia="zh-CN"/>
              </w:rPr>
              <w:t>废</w:t>
            </w:r>
            <w:r>
              <w:rPr>
                <w:rFonts w:hint="default" w:ascii="Times New Roman" w:hAnsi="Times New Roman" w:eastAsia="宋体" w:cs="Times New Roman"/>
                <w:color w:val="auto"/>
                <w:sz w:val="21"/>
                <w:szCs w:val="21"/>
                <w:highlight w:val="none"/>
                <w:lang w:eastAsia="zh-CN"/>
              </w:rPr>
              <w:t>润滑剂、</w:t>
            </w:r>
            <w:r>
              <w:rPr>
                <w:rFonts w:hint="eastAsia" w:eastAsia="宋体" w:cs="Times New Roman"/>
                <w:color w:val="auto"/>
                <w:sz w:val="21"/>
                <w:szCs w:val="21"/>
                <w:highlight w:val="none"/>
                <w:lang w:val="en-US" w:eastAsia="zh-CN"/>
              </w:rPr>
              <w:t>废</w:t>
            </w:r>
            <w:r>
              <w:rPr>
                <w:rFonts w:hint="default" w:ascii="Times New Roman" w:hAnsi="Times New Roman" w:eastAsia="宋体" w:cs="Times New Roman"/>
                <w:color w:val="auto"/>
                <w:sz w:val="21"/>
                <w:szCs w:val="21"/>
                <w:highlight w:val="none"/>
                <w:lang w:eastAsia="zh-CN"/>
              </w:rPr>
              <w:t>液压油</w:t>
            </w:r>
            <w:r>
              <w:rPr>
                <w:rFonts w:hint="eastAsia" w:eastAsia="宋体" w:cs="Times New Roman"/>
                <w:color w:val="auto"/>
                <w:sz w:val="21"/>
                <w:szCs w:val="21"/>
                <w:highlight w:val="none"/>
                <w:lang w:eastAsia="zh-CN"/>
              </w:rPr>
              <w:t>、</w:t>
            </w:r>
            <w:r>
              <w:rPr>
                <w:rFonts w:hint="eastAsia" w:eastAsia="宋体" w:cs="Times New Roman"/>
                <w:color w:val="auto"/>
                <w:sz w:val="21"/>
                <w:szCs w:val="21"/>
                <w:highlight w:val="none"/>
                <w:lang w:val="en-US" w:eastAsia="zh-CN"/>
              </w:rPr>
              <w:t>废油桶、漆渣、漆桶、废稀释剂桶、废活性炭、废过滤棉属于危险废物</w:t>
            </w:r>
            <w:r>
              <w:rPr>
                <w:rFonts w:hint="eastAsia" w:cs="Times New Roman"/>
                <w:color w:val="auto"/>
                <w:sz w:val="21"/>
                <w:szCs w:val="21"/>
                <w:highlight w:val="none"/>
                <w:lang w:val="en-US" w:eastAsia="zh-CN"/>
              </w:rPr>
              <w:t>，危险废物收集后暂存现有危废暂存间内，定期交由有资质单位进行处置。</w:t>
            </w:r>
            <w:r>
              <w:rPr>
                <w:rFonts w:hint="eastAsia" w:ascii="Times New Roman" w:hAnsi="Times New Roman" w:eastAsia="宋体" w:cs="Times New Roman"/>
                <w:color w:val="auto"/>
                <w:sz w:val="21"/>
                <w:szCs w:val="21"/>
                <w:highlight w:val="none"/>
                <w:lang w:val="en-US" w:eastAsia="zh-CN"/>
              </w:rPr>
              <w:t>危险废物</w:t>
            </w:r>
            <w:r>
              <w:rPr>
                <w:rFonts w:hint="default" w:ascii="Times New Roman" w:hAnsi="Times New Roman" w:eastAsia="宋体" w:cs="Times New Roman"/>
                <w:color w:val="auto"/>
                <w:sz w:val="21"/>
                <w:szCs w:val="21"/>
                <w:highlight w:val="none"/>
                <w:lang w:val="en-US" w:eastAsia="zh-CN"/>
              </w:rPr>
              <w:t>处置</w:t>
            </w:r>
            <w:r>
              <w:rPr>
                <w:rFonts w:hint="default" w:ascii="Times New Roman" w:hAnsi="Times New Roman" w:cs="Times New Roman"/>
                <w:color w:val="auto"/>
                <w:sz w:val="21"/>
                <w:szCs w:val="21"/>
                <w:highlight w:val="none"/>
                <w:lang w:val="en-US" w:eastAsia="zh-CN"/>
              </w:rPr>
              <w:t>执行《危险废物贮存污染控制标准》（GB18597-2023）规定。</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32" w:hRule="atLeast"/>
          <w:jc w:val="center"/>
        </w:trPr>
        <w:tc>
          <w:tcPr>
            <w:tcW w:w="1213" w:type="dxa"/>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bCs/>
                <w:color w:val="auto"/>
                <w:sz w:val="21"/>
                <w:szCs w:val="18"/>
                <w:highlight w:val="none"/>
              </w:rPr>
            </w:pPr>
            <w:r>
              <w:rPr>
                <w:rFonts w:hint="default" w:ascii="Times New Roman" w:hAnsi="Times New Roman" w:eastAsia="宋体" w:cs="Times New Roman"/>
                <w:b/>
                <w:bCs/>
                <w:color w:val="auto"/>
                <w:sz w:val="21"/>
                <w:szCs w:val="18"/>
                <w:highlight w:val="none"/>
              </w:rPr>
              <w:t>土壤及地下水污染防治措施</w:t>
            </w:r>
          </w:p>
        </w:tc>
        <w:tc>
          <w:tcPr>
            <w:tcW w:w="7734" w:type="dxa"/>
            <w:gridSpan w:val="4"/>
            <w:noWrap w:val="0"/>
            <w:vAlign w:val="center"/>
          </w:tcPr>
          <w:p>
            <w:pPr>
              <w:keepNext w:val="0"/>
              <w:keepLines w:val="0"/>
              <w:pageBreakBefore w:val="0"/>
              <w:kinsoku/>
              <w:wordWrap/>
              <w:overflowPunct/>
              <w:topLinePunct w:val="0"/>
              <w:autoSpaceDE/>
              <w:autoSpaceDN/>
              <w:bidi w:val="0"/>
              <w:spacing w:line="240" w:lineRule="auto"/>
              <w:ind w:firstLine="420" w:firstLineChars="200"/>
              <w:jc w:val="both"/>
              <w:textAlignment w:val="auto"/>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库房</w:t>
            </w:r>
            <w:r>
              <w:rPr>
                <w:rFonts w:hint="eastAsia" w:eastAsia="宋体" w:cs="Times New Roman"/>
                <w:color w:val="auto"/>
                <w:sz w:val="21"/>
                <w:szCs w:val="21"/>
                <w:highlight w:val="none"/>
                <w:lang w:val="en-US" w:eastAsia="zh-CN"/>
              </w:rPr>
              <w:t>以及</w:t>
            </w:r>
            <w:r>
              <w:rPr>
                <w:rFonts w:hint="default" w:ascii="Times New Roman" w:hAnsi="Times New Roman" w:eastAsia="宋体" w:cs="Times New Roman"/>
                <w:color w:val="auto"/>
                <w:sz w:val="21"/>
                <w:szCs w:val="21"/>
                <w:highlight w:val="none"/>
              </w:rPr>
              <w:t>危险废物暂存间地面</w:t>
            </w:r>
            <w:r>
              <w:rPr>
                <w:rFonts w:hint="eastAsia" w:eastAsia="宋体" w:cs="Times New Roman"/>
                <w:color w:val="auto"/>
                <w:sz w:val="21"/>
                <w:szCs w:val="21"/>
                <w:highlight w:val="none"/>
                <w:lang w:val="en-US" w:eastAsia="zh-CN"/>
              </w:rPr>
              <w:t>采区</w:t>
            </w:r>
            <w:r>
              <w:rPr>
                <w:rFonts w:hint="default" w:ascii="Times New Roman" w:hAnsi="Times New Roman" w:eastAsia="宋体" w:cs="Times New Roman"/>
                <w:color w:val="auto"/>
                <w:sz w:val="21"/>
                <w:szCs w:val="21"/>
                <w:highlight w:val="none"/>
              </w:rPr>
              <w:t>严格防渗</w:t>
            </w:r>
            <w:r>
              <w:rPr>
                <w:rFonts w:hint="eastAsia" w:eastAsia="宋体" w:cs="Times New Roman"/>
                <w:color w:val="auto"/>
                <w:sz w:val="21"/>
                <w:szCs w:val="21"/>
                <w:highlight w:val="none"/>
                <w:lang w:eastAsia="zh-CN"/>
              </w:rPr>
              <w:t>，</w:t>
            </w:r>
            <w:r>
              <w:rPr>
                <w:rFonts w:hint="eastAsia" w:eastAsia="宋体" w:cs="Times New Roman"/>
                <w:color w:val="auto"/>
                <w:sz w:val="21"/>
                <w:szCs w:val="21"/>
                <w:highlight w:val="none"/>
                <w:lang w:val="en-US" w:eastAsia="zh-CN"/>
              </w:rPr>
              <w:t>车间及厂区采区一般防渗措施。</w:t>
            </w:r>
            <w:r>
              <w:rPr>
                <w:rFonts w:hint="default" w:ascii="Times New Roman" w:hAnsi="Times New Roman" w:eastAsia="宋体" w:cs="Times New Roman"/>
                <w:color w:val="auto"/>
                <w:sz w:val="21"/>
                <w:szCs w:val="21"/>
                <w:highlight w:val="none"/>
              </w:rPr>
              <w:t>无地下水、土壤和大气污染途径。对地下水和土壤的影响很小。</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9" w:hRule="atLeast"/>
          <w:jc w:val="center"/>
        </w:trPr>
        <w:tc>
          <w:tcPr>
            <w:tcW w:w="1213" w:type="dxa"/>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bCs/>
                <w:color w:val="auto"/>
                <w:sz w:val="21"/>
                <w:szCs w:val="18"/>
                <w:highlight w:val="none"/>
              </w:rPr>
            </w:pPr>
            <w:r>
              <w:rPr>
                <w:rFonts w:hint="default" w:ascii="Times New Roman" w:hAnsi="Times New Roman" w:eastAsia="宋体" w:cs="Times New Roman"/>
                <w:b/>
                <w:bCs/>
                <w:color w:val="auto"/>
                <w:sz w:val="21"/>
                <w:szCs w:val="18"/>
                <w:highlight w:val="none"/>
              </w:rPr>
              <w:t>生态保护措施</w:t>
            </w:r>
          </w:p>
        </w:tc>
        <w:tc>
          <w:tcPr>
            <w:tcW w:w="7734" w:type="dxa"/>
            <w:gridSpan w:val="4"/>
            <w:noWrap w:val="0"/>
            <w:vAlign w:val="center"/>
          </w:tcPr>
          <w:p>
            <w:pPr>
              <w:keepNext w:val="0"/>
              <w:keepLines w:val="0"/>
              <w:pageBreakBefore w:val="0"/>
              <w:kinsoku/>
              <w:wordWrap/>
              <w:overflowPunct/>
              <w:topLinePunct w:val="0"/>
              <w:autoSpaceDE/>
              <w:autoSpaceDN/>
              <w:bidi w:val="0"/>
              <w:spacing w:line="240" w:lineRule="auto"/>
              <w:jc w:val="both"/>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352" w:hRule="atLeast"/>
          <w:jc w:val="center"/>
        </w:trPr>
        <w:tc>
          <w:tcPr>
            <w:tcW w:w="1213" w:type="dxa"/>
            <w:noWrap w:val="0"/>
            <w:vAlign w:val="center"/>
          </w:tcPr>
          <w:p>
            <w:pPr>
              <w:pStyle w:val="11"/>
              <w:keepNext w:val="0"/>
              <w:keepLines w:val="0"/>
              <w:pageBreakBefore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auto"/>
                <w:sz w:val="21"/>
                <w:szCs w:val="18"/>
                <w:highlight w:val="none"/>
              </w:rPr>
            </w:pPr>
            <w:r>
              <w:rPr>
                <w:rFonts w:hint="default" w:ascii="Times New Roman" w:hAnsi="Times New Roman" w:eastAsia="宋体" w:cs="Times New Roman"/>
                <w:color w:val="auto"/>
                <w:sz w:val="21"/>
                <w:szCs w:val="18"/>
                <w:highlight w:val="none"/>
              </w:rPr>
              <w:t>环境风险</w:t>
            </w:r>
          </w:p>
          <w:p>
            <w:pPr>
              <w:pStyle w:val="11"/>
              <w:keepNext w:val="0"/>
              <w:keepLines w:val="0"/>
              <w:pageBreakBefore w:val="0"/>
              <w:kinsoku/>
              <w:wordWrap/>
              <w:overflowPunct/>
              <w:topLinePunct w:val="0"/>
              <w:autoSpaceDE/>
              <w:autoSpaceDN/>
              <w:bidi w:val="0"/>
              <w:spacing w:line="240" w:lineRule="auto"/>
              <w:jc w:val="center"/>
              <w:textAlignment w:val="auto"/>
              <w:rPr>
                <w:rFonts w:hint="default" w:ascii="Times New Roman" w:hAnsi="Times New Roman" w:eastAsia="宋体" w:cs="Times New Roman"/>
                <w:b/>
                <w:bCs/>
                <w:color w:val="auto"/>
                <w:spacing w:val="-8"/>
                <w:sz w:val="21"/>
                <w:szCs w:val="18"/>
                <w:highlight w:val="none"/>
              </w:rPr>
            </w:pPr>
            <w:r>
              <w:rPr>
                <w:rFonts w:hint="default" w:ascii="Times New Roman" w:hAnsi="Times New Roman" w:eastAsia="宋体" w:cs="Times New Roman"/>
                <w:color w:val="auto"/>
                <w:sz w:val="21"/>
                <w:szCs w:val="18"/>
                <w:highlight w:val="none"/>
              </w:rPr>
              <w:t>防范措施</w:t>
            </w:r>
          </w:p>
        </w:tc>
        <w:tc>
          <w:tcPr>
            <w:tcW w:w="7734" w:type="dxa"/>
            <w:gridSpan w:val="4"/>
            <w:noWrap w:val="0"/>
            <w:vAlign w:val="center"/>
          </w:tcPr>
          <w:p>
            <w:pPr>
              <w:keepNext w:val="0"/>
              <w:keepLines w:val="0"/>
              <w:pageBreakBefore w:val="0"/>
              <w:kinsoku/>
              <w:wordWrap/>
              <w:overflowPunct/>
              <w:topLinePunct w:val="0"/>
              <w:autoSpaceDE/>
              <w:autoSpaceDN/>
              <w:bidi w:val="0"/>
              <w:spacing w:line="240" w:lineRule="auto"/>
              <w:ind w:firstLine="420" w:firstLineChars="200"/>
              <w:jc w:val="both"/>
              <w:textAlignment w:val="auto"/>
              <w:rPr>
                <w:rFonts w:hint="default" w:cs="Times New Roman"/>
                <w:color w:val="auto"/>
                <w:sz w:val="21"/>
                <w:szCs w:val="21"/>
                <w:highlight w:val="none"/>
                <w:lang w:val="en-US" w:eastAsia="zh-CN"/>
              </w:rPr>
            </w:pPr>
            <w:r>
              <w:rPr>
                <w:rFonts w:hint="default" w:cs="Times New Roman"/>
                <w:color w:val="auto"/>
                <w:sz w:val="21"/>
                <w:szCs w:val="21"/>
                <w:highlight w:val="none"/>
                <w:lang w:val="en-US" w:eastAsia="zh-CN"/>
              </w:rPr>
              <w:t>现场应当有警戒标识；</w:t>
            </w:r>
          </w:p>
          <w:p>
            <w:pPr>
              <w:keepNext w:val="0"/>
              <w:keepLines w:val="0"/>
              <w:pageBreakBefore w:val="0"/>
              <w:kinsoku/>
              <w:wordWrap/>
              <w:overflowPunct/>
              <w:topLinePunct w:val="0"/>
              <w:autoSpaceDE/>
              <w:autoSpaceDN/>
              <w:bidi w:val="0"/>
              <w:spacing w:line="240" w:lineRule="auto"/>
              <w:ind w:firstLine="420" w:firstLineChars="200"/>
              <w:jc w:val="both"/>
              <w:textAlignment w:val="auto"/>
              <w:rPr>
                <w:rFonts w:hint="default" w:cs="Times New Roman"/>
                <w:color w:val="auto"/>
                <w:sz w:val="21"/>
                <w:szCs w:val="21"/>
                <w:highlight w:val="none"/>
                <w:lang w:val="en-US" w:eastAsia="zh-CN"/>
              </w:rPr>
            </w:pPr>
            <w:r>
              <w:rPr>
                <w:rFonts w:hint="default" w:cs="Times New Roman"/>
                <w:color w:val="auto"/>
                <w:sz w:val="21"/>
                <w:szCs w:val="21"/>
                <w:highlight w:val="none"/>
                <w:lang w:val="en-US" w:eastAsia="zh-CN"/>
              </w:rPr>
              <w:t>设置专人保管，保管员要详细核对产品名称、规格、牌号、质量、数量、查清危险性质。遇有包装不良、质量异变、标号不符合等情况，应及时进行安全处理；</w:t>
            </w:r>
          </w:p>
          <w:p>
            <w:pPr>
              <w:keepNext w:val="0"/>
              <w:keepLines w:val="0"/>
              <w:pageBreakBefore w:val="0"/>
              <w:kinsoku/>
              <w:wordWrap/>
              <w:overflowPunct/>
              <w:topLinePunct w:val="0"/>
              <w:autoSpaceDE/>
              <w:autoSpaceDN/>
              <w:bidi w:val="0"/>
              <w:spacing w:line="240" w:lineRule="auto"/>
              <w:ind w:firstLine="420" w:firstLineChars="200"/>
              <w:jc w:val="both"/>
              <w:textAlignment w:val="auto"/>
              <w:rPr>
                <w:rFonts w:hint="default" w:cs="Times New Roman"/>
                <w:color w:val="auto"/>
                <w:sz w:val="21"/>
                <w:szCs w:val="21"/>
                <w:highlight w:val="none"/>
                <w:lang w:val="en-US" w:eastAsia="zh-CN"/>
              </w:rPr>
            </w:pPr>
            <w:r>
              <w:rPr>
                <w:rFonts w:hint="default" w:cs="Times New Roman"/>
                <w:color w:val="auto"/>
                <w:sz w:val="21"/>
                <w:szCs w:val="21"/>
                <w:highlight w:val="none"/>
                <w:lang w:val="en-US" w:eastAsia="zh-CN"/>
              </w:rPr>
              <w:t>避免无任何防护措施直接接触、工作区域保持良好通风状态；</w:t>
            </w:r>
          </w:p>
          <w:p>
            <w:pPr>
              <w:keepNext w:val="0"/>
              <w:keepLines w:val="0"/>
              <w:pageBreakBefore w:val="0"/>
              <w:kinsoku/>
              <w:wordWrap/>
              <w:overflowPunct/>
              <w:topLinePunct w:val="0"/>
              <w:autoSpaceDE/>
              <w:autoSpaceDN/>
              <w:bidi w:val="0"/>
              <w:spacing w:line="240" w:lineRule="auto"/>
              <w:ind w:firstLine="420" w:firstLineChars="200"/>
              <w:jc w:val="both"/>
              <w:textAlignment w:val="auto"/>
              <w:rPr>
                <w:rFonts w:hint="default" w:cs="Times New Roman"/>
                <w:color w:val="auto"/>
                <w:sz w:val="21"/>
                <w:szCs w:val="21"/>
                <w:highlight w:val="none"/>
                <w:lang w:val="en-US" w:eastAsia="zh-CN"/>
              </w:rPr>
            </w:pPr>
            <w:r>
              <w:rPr>
                <w:rFonts w:hint="default" w:cs="Times New Roman"/>
                <w:color w:val="auto"/>
                <w:sz w:val="21"/>
                <w:szCs w:val="21"/>
                <w:highlight w:val="none"/>
                <w:lang w:val="en-US" w:eastAsia="zh-CN"/>
              </w:rPr>
              <w:t>容器包装要密闭，完整无损、放置处防火防高温；</w:t>
            </w:r>
          </w:p>
          <w:p>
            <w:pPr>
              <w:keepNext w:val="0"/>
              <w:keepLines w:val="0"/>
              <w:pageBreakBefore w:val="0"/>
              <w:kinsoku/>
              <w:wordWrap/>
              <w:overflowPunct/>
              <w:topLinePunct w:val="0"/>
              <w:autoSpaceDE/>
              <w:autoSpaceDN/>
              <w:bidi w:val="0"/>
              <w:spacing w:line="240" w:lineRule="auto"/>
              <w:ind w:firstLine="420" w:firstLineChars="200"/>
              <w:jc w:val="both"/>
              <w:textAlignment w:val="auto"/>
              <w:rPr>
                <w:rFonts w:hint="default" w:cs="Times New Roman"/>
                <w:color w:val="auto"/>
                <w:sz w:val="21"/>
                <w:szCs w:val="21"/>
                <w:highlight w:val="none"/>
                <w:lang w:val="en-US" w:eastAsia="zh-CN"/>
              </w:rPr>
            </w:pPr>
            <w:r>
              <w:rPr>
                <w:rFonts w:hint="default" w:cs="Times New Roman"/>
                <w:color w:val="auto"/>
                <w:sz w:val="21"/>
                <w:szCs w:val="21"/>
                <w:highlight w:val="none"/>
                <w:lang w:val="en-US" w:eastAsia="zh-CN"/>
              </w:rPr>
              <w:t>厂区内禁止吸烟，严禁明火作业；</w:t>
            </w:r>
          </w:p>
          <w:p>
            <w:pPr>
              <w:keepNext w:val="0"/>
              <w:keepLines w:val="0"/>
              <w:pageBreakBefore w:val="0"/>
              <w:kinsoku/>
              <w:wordWrap/>
              <w:overflowPunct/>
              <w:topLinePunct w:val="0"/>
              <w:autoSpaceDE/>
              <w:autoSpaceDN/>
              <w:bidi w:val="0"/>
              <w:spacing w:line="240" w:lineRule="auto"/>
              <w:ind w:firstLine="420" w:firstLineChars="200"/>
              <w:jc w:val="both"/>
              <w:textAlignment w:val="auto"/>
              <w:rPr>
                <w:rFonts w:hint="default" w:cs="Times New Roman"/>
                <w:color w:val="auto"/>
                <w:sz w:val="21"/>
                <w:szCs w:val="21"/>
                <w:highlight w:val="none"/>
                <w:lang w:val="en-US" w:eastAsia="zh-CN"/>
              </w:rPr>
            </w:pPr>
            <w:r>
              <w:rPr>
                <w:rFonts w:hint="default" w:cs="Times New Roman"/>
                <w:color w:val="auto"/>
                <w:sz w:val="21"/>
                <w:szCs w:val="21"/>
                <w:highlight w:val="none"/>
                <w:lang w:val="en-US" w:eastAsia="zh-CN"/>
              </w:rPr>
              <w:t>进行定期和不定期的安全检查，查出隐患，要及时整改和上报。如发现不安全的紧急情况，应先停止工作，再报有关部门研究处理；</w:t>
            </w:r>
          </w:p>
          <w:p>
            <w:pPr>
              <w:keepNext w:val="0"/>
              <w:keepLines w:val="0"/>
              <w:pageBreakBefore w:val="0"/>
              <w:kinsoku/>
              <w:wordWrap/>
              <w:overflowPunct/>
              <w:topLinePunct w:val="0"/>
              <w:autoSpaceDE/>
              <w:autoSpaceDN/>
              <w:bidi w:val="0"/>
              <w:spacing w:line="240" w:lineRule="auto"/>
              <w:ind w:firstLine="420" w:firstLineChars="200"/>
              <w:jc w:val="both"/>
              <w:textAlignment w:val="auto"/>
              <w:rPr>
                <w:rFonts w:hint="default" w:cs="Times New Roman"/>
                <w:color w:val="auto"/>
                <w:sz w:val="21"/>
                <w:szCs w:val="21"/>
                <w:highlight w:val="none"/>
                <w:lang w:val="en-US" w:eastAsia="zh-CN"/>
              </w:rPr>
            </w:pPr>
            <w:r>
              <w:rPr>
                <w:rFonts w:hint="default" w:cs="Times New Roman"/>
                <w:color w:val="auto"/>
                <w:sz w:val="21"/>
                <w:szCs w:val="21"/>
                <w:highlight w:val="none"/>
                <w:lang w:val="en-US" w:eastAsia="zh-CN"/>
              </w:rPr>
              <w:t>各种安全防护装置设备要定期检查，不得随意拆除和非法占用；</w:t>
            </w:r>
          </w:p>
          <w:p>
            <w:pPr>
              <w:keepNext w:val="0"/>
              <w:keepLines w:val="0"/>
              <w:pageBreakBefore w:val="0"/>
              <w:kinsoku/>
              <w:wordWrap/>
              <w:overflowPunct/>
              <w:topLinePunct w:val="0"/>
              <w:autoSpaceDE/>
              <w:autoSpaceDN/>
              <w:bidi w:val="0"/>
              <w:spacing w:line="240" w:lineRule="auto"/>
              <w:ind w:firstLine="420" w:firstLineChars="200"/>
              <w:jc w:val="both"/>
              <w:textAlignment w:val="auto"/>
              <w:rPr>
                <w:rFonts w:hint="eastAsia" w:cs="Times New Roman"/>
                <w:color w:val="auto"/>
                <w:sz w:val="21"/>
                <w:szCs w:val="21"/>
                <w:highlight w:val="none"/>
                <w:lang w:val="en-US" w:eastAsia="zh-CN"/>
              </w:rPr>
            </w:pPr>
            <w:r>
              <w:rPr>
                <w:rFonts w:hint="default" w:cs="Times New Roman"/>
                <w:color w:val="auto"/>
                <w:sz w:val="21"/>
                <w:szCs w:val="21"/>
                <w:highlight w:val="none"/>
                <w:lang w:val="en-US" w:eastAsia="zh-CN"/>
              </w:rPr>
              <w:t>危废间做好防渗防漏措施，各个危险物质分类存放，且设置钢板托盘，防止</w:t>
            </w:r>
            <w:r>
              <w:rPr>
                <w:rFonts w:hint="eastAsia" w:cs="Times New Roman"/>
                <w:color w:val="auto"/>
                <w:sz w:val="21"/>
                <w:szCs w:val="21"/>
                <w:highlight w:val="none"/>
                <w:lang w:val="en-US" w:eastAsia="zh-CN"/>
              </w:rPr>
              <w:t>泄漏，危废暂存间按照《危险废物识别标志设置技术规范》(HJ1276-2022)中要求粘贴标签；</w:t>
            </w:r>
          </w:p>
          <w:p>
            <w:pPr>
              <w:keepNext w:val="0"/>
              <w:keepLines w:val="0"/>
              <w:pageBreakBefore w:val="0"/>
              <w:kinsoku/>
              <w:wordWrap/>
              <w:overflowPunct/>
              <w:topLinePunct w:val="0"/>
              <w:autoSpaceDE/>
              <w:autoSpaceDN/>
              <w:bidi w:val="0"/>
              <w:spacing w:line="240" w:lineRule="auto"/>
              <w:ind w:firstLine="420" w:firstLineChars="200"/>
              <w:jc w:val="both"/>
              <w:textAlignment w:val="auto"/>
              <w:rPr>
                <w:rFonts w:hint="default"/>
                <w:color w:val="auto"/>
                <w:highlight w:val="none"/>
                <w:lang w:val="en-US" w:eastAsia="zh-CN"/>
              </w:rPr>
            </w:pPr>
            <w:r>
              <w:rPr>
                <w:rFonts w:hint="eastAsia" w:cs="Times New Roman"/>
                <w:color w:val="auto"/>
                <w:sz w:val="21"/>
                <w:szCs w:val="21"/>
                <w:highlight w:val="none"/>
                <w:lang w:val="en-US" w:eastAsia="zh-CN"/>
              </w:rPr>
              <w:t>厂区内增加沙袋储备量，并定期检查，防止沙袋破损。</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213" w:type="dxa"/>
            <w:vMerge w:val="restart"/>
            <w:noWrap w:val="0"/>
            <w:vAlign w:val="center"/>
          </w:tcPr>
          <w:p>
            <w:pPr>
              <w:keepNext w:val="0"/>
              <w:keepLines w:val="0"/>
              <w:pageBreakBefore w:val="0"/>
              <w:kinsoku/>
              <w:wordWrap/>
              <w:overflowPunct/>
              <w:topLinePunct w:val="0"/>
              <w:autoSpaceDE/>
              <w:autoSpaceDN/>
              <w:bidi w:val="0"/>
              <w:adjustRightInd w:val="0"/>
              <w:snapToGrid w:val="0"/>
              <w:spacing w:line="240" w:lineRule="auto"/>
              <w:jc w:val="both"/>
              <w:textAlignment w:val="auto"/>
              <w:rPr>
                <w:rFonts w:hint="default" w:ascii="Times New Roman" w:hAnsi="Times New Roman" w:eastAsia="宋体" w:cs="Times New Roman"/>
                <w:b/>
                <w:bCs/>
                <w:color w:val="auto"/>
                <w:spacing w:val="-8"/>
                <w:sz w:val="21"/>
                <w:szCs w:val="18"/>
                <w:highlight w:val="none"/>
              </w:rPr>
            </w:pPr>
            <w:r>
              <w:rPr>
                <w:rFonts w:hint="default" w:ascii="Times New Roman" w:hAnsi="Times New Roman" w:eastAsia="宋体" w:cs="Times New Roman"/>
                <w:b/>
                <w:bCs/>
                <w:color w:val="auto"/>
                <w:spacing w:val="-8"/>
                <w:sz w:val="21"/>
                <w:szCs w:val="18"/>
                <w:highlight w:val="none"/>
              </w:rPr>
              <w:t>其他环境</w:t>
            </w:r>
          </w:p>
          <w:p>
            <w:pPr>
              <w:keepNext w:val="0"/>
              <w:keepLines w:val="0"/>
              <w:pageBreakBefore w:val="0"/>
              <w:kinsoku/>
              <w:wordWrap/>
              <w:overflowPunct/>
              <w:topLinePunct w:val="0"/>
              <w:autoSpaceDE/>
              <w:autoSpaceDN/>
              <w:bidi w:val="0"/>
              <w:adjustRightInd w:val="0"/>
              <w:snapToGrid w:val="0"/>
              <w:spacing w:line="240" w:lineRule="auto"/>
              <w:jc w:val="both"/>
              <w:textAlignment w:val="auto"/>
              <w:rPr>
                <w:rFonts w:hint="default" w:ascii="Times New Roman" w:hAnsi="Times New Roman" w:eastAsia="宋体" w:cs="Times New Roman"/>
                <w:color w:val="auto"/>
                <w:spacing w:val="-8"/>
                <w:sz w:val="21"/>
                <w:szCs w:val="18"/>
                <w:highlight w:val="none"/>
              </w:rPr>
            </w:pPr>
            <w:r>
              <w:rPr>
                <w:rFonts w:hint="default" w:ascii="Times New Roman" w:hAnsi="Times New Roman" w:eastAsia="宋体" w:cs="Times New Roman"/>
                <w:b/>
                <w:bCs/>
                <w:color w:val="auto"/>
                <w:spacing w:val="-8"/>
                <w:sz w:val="21"/>
                <w:szCs w:val="18"/>
                <w:highlight w:val="none"/>
              </w:rPr>
              <w:t>管理要求</w:t>
            </w:r>
          </w:p>
        </w:tc>
        <w:tc>
          <w:tcPr>
            <w:tcW w:w="7734" w:type="dxa"/>
            <w:gridSpan w:val="4"/>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both"/>
              <w:textAlignment w:val="auto"/>
              <w:rPr>
                <w:rFonts w:hint="default" w:cs="Times New Roman"/>
                <w:b/>
                <w:bCs/>
                <w:color w:val="auto"/>
                <w:sz w:val="21"/>
                <w:szCs w:val="21"/>
                <w:highlight w:val="none"/>
                <w:lang w:val="en-US" w:eastAsia="zh-CN"/>
              </w:rPr>
            </w:pPr>
            <w:r>
              <w:rPr>
                <w:rFonts w:hint="eastAsia" w:cs="Times New Roman"/>
                <w:b/>
                <w:bCs/>
                <w:color w:val="auto"/>
                <w:sz w:val="21"/>
                <w:szCs w:val="21"/>
                <w:highlight w:val="none"/>
                <w:lang w:val="en-US" w:eastAsia="zh-CN"/>
              </w:rPr>
              <w:t>喷漆房管理要求：</w:t>
            </w:r>
          </w:p>
          <w:p>
            <w:pPr>
              <w:keepNext w:val="0"/>
              <w:keepLines w:val="0"/>
              <w:pageBreakBefore w:val="0"/>
              <w:widowControl w:val="0"/>
              <w:kinsoku/>
              <w:wordWrap/>
              <w:overflowPunct/>
              <w:topLinePunct w:val="0"/>
              <w:autoSpaceDE/>
              <w:autoSpaceDN/>
              <w:bidi w:val="0"/>
              <w:adjustRightInd/>
              <w:snapToGrid/>
              <w:spacing w:line="240" w:lineRule="auto"/>
              <w:ind w:left="0" w:leftChars="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①加强生产车间密闭管理，在符合安全生产、职业卫生相关规定前提下，采用自动卷帘门、密闭性好的塑钢门窗等，在非必要时保持关闭。</w:t>
            </w:r>
          </w:p>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②采用活性炭吸附技术的，应选择碘值不低于800毫克/克的活性炭，并按设计要求足量添加、</w:t>
            </w:r>
            <w:r>
              <w:rPr>
                <w:rFonts w:hint="eastAsia" w:cs="Times New Roman"/>
                <w:color w:val="auto"/>
                <w:sz w:val="21"/>
                <w:szCs w:val="21"/>
                <w:highlight w:val="none"/>
                <w:lang w:val="en-US" w:eastAsia="zh-CN"/>
              </w:rPr>
              <w:t>每4个月更换1次</w:t>
            </w:r>
            <w:r>
              <w:rPr>
                <w:rFonts w:hint="default" w:ascii="Times New Roman" w:hAnsi="Times New Roman" w:eastAsia="宋体" w:cs="Times New Roman"/>
                <w:color w:val="auto"/>
                <w:sz w:val="21"/>
                <w:szCs w:val="21"/>
                <w:highlight w:val="none"/>
              </w:rPr>
              <w:t>；</w:t>
            </w:r>
          </w:p>
          <w:p>
            <w:pPr>
              <w:pStyle w:val="2"/>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textAlignment w:val="auto"/>
              <w:rPr>
                <w:rFonts w:hint="eastAsia"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③</w:t>
            </w:r>
            <w:r>
              <w:rPr>
                <w:rFonts w:hint="eastAsia" w:cs="Times New Roman"/>
                <w:color w:val="auto"/>
                <w:sz w:val="21"/>
                <w:szCs w:val="21"/>
                <w:highlight w:val="none"/>
                <w:lang w:val="en-US" w:eastAsia="zh-CN"/>
              </w:rPr>
              <w:t>按照</w:t>
            </w:r>
            <w:r>
              <w:rPr>
                <w:rFonts w:hint="eastAsia" w:ascii="Times New Roman" w:hAnsi="Times New Roman" w:eastAsia="宋体" w:cs="Times New Roman"/>
                <w:color w:val="auto"/>
                <w:kern w:val="0"/>
                <w:sz w:val="21"/>
                <w:szCs w:val="21"/>
                <w:highlight w:val="none"/>
                <w:lang w:val="en-US" w:eastAsia="zh-CN" w:bidi="ar-SA"/>
              </w:rPr>
              <w:t>《低挥发性有机化合物含量涂料产品技术要求》（ GBT 38597-2020）</w:t>
            </w:r>
            <w:r>
              <w:rPr>
                <w:rFonts w:hint="eastAsia" w:cs="Times New Roman"/>
                <w:color w:val="auto"/>
                <w:kern w:val="0"/>
                <w:sz w:val="21"/>
                <w:szCs w:val="21"/>
                <w:highlight w:val="none"/>
                <w:lang w:val="en-US" w:eastAsia="zh-CN" w:bidi="ar-SA"/>
              </w:rPr>
              <w:t>中非甲烷总烃含量要求，选择低VOCs含量的油漆进行使用</w:t>
            </w:r>
            <w:r>
              <w:rPr>
                <w:rFonts w:hint="eastAsia" w:cs="Times New Roman"/>
                <w:color w:val="auto"/>
                <w:sz w:val="21"/>
                <w:szCs w:val="21"/>
                <w:highlight w:val="none"/>
                <w:lang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746" w:hRule="atLeast"/>
          <w:jc w:val="center"/>
        </w:trPr>
        <w:tc>
          <w:tcPr>
            <w:tcW w:w="1213" w:type="dxa"/>
            <w:vMerge w:val="continue"/>
            <w:noWrap w:val="0"/>
            <w:vAlign w:val="center"/>
          </w:tcPr>
          <w:p>
            <w:pPr>
              <w:keepNext w:val="0"/>
              <w:keepLines w:val="0"/>
              <w:pageBreakBefore w:val="0"/>
              <w:kinsoku/>
              <w:wordWrap/>
              <w:overflowPunct/>
              <w:topLinePunct w:val="0"/>
              <w:autoSpaceDE/>
              <w:autoSpaceDN/>
              <w:bidi w:val="0"/>
              <w:adjustRightInd w:val="0"/>
              <w:snapToGrid w:val="0"/>
              <w:spacing w:line="240" w:lineRule="auto"/>
              <w:jc w:val="both"/>
              <w:textAlignment w:val="auto"/>
              <w:rPr>
                <w:rFonts w:hint="default" w:ascii="Times New Roman" w:hAnsi="Times New Roman" w:eastAsia="宋体" w:cs="Times New Roman"/>
                <w:b/>
                <w:bCs/>
                <w:color w:val="auto"/>
                <w:spacing w:val="-8"/>
                <w:sz w:val="21"/>
                <w:szCs w:val="18"/>
                <w:highlight w:val="none"/>
              </w:rPr>
            </w:pPr>
          </w:p>
        </w:tc>
        <w:tc>
          <w:tcPr>
            <w:tcW w:w="7734" w:type="dxa"/>
            <w:gridSpan w:val="4"/>
            <w:noWrap w:val="0"/>
            <w:vAlign w:val="center"/>
          </w:tcPr>
          <w:p>
            <w:pPr>
              <w:pageBreakBefore w:val="0"/>
              <w:widowControl w:val="0"/>
              <w:kinsoku/>
              <w:wordWrap/>
              <w:overflowPunct/>
              <w:topLinePunct w:val="0"/>
              <w:autoSpaceDE/>
              <w:autoSpaceDN/>
              <w:bidi w:val="0"/>
              <w:spacing w:line="240" w:lineRule="auto"/>
              <w:ind w:left="0" w:leftChars="0"/>
              <w:jc w:val="both"/>
              <w:textAlignment w:val="auto"/>
              <w:rPr>
                <w:rFonts w:hint="eastAsia" w:ascii="Times New Roman" w:hAnsi="Times New Roman" w:eastAsia="宋体" w:cs="Times New Roman"/>
                <w:b/>
                <w:bCs/>
                <w:color w:val="auto"/>
                <w:sz w:val="21"/>
                <w:szCs w:val="21"/>
                <w:highlight w:val="none"/>
                <w:lang w:val="en-US" w:eastAsia="zh-CN"/>
              </w:rPr>
            </w:pPr>
            <w:r>
              <w:rPr>
                <w:rFonts w:hint="eastAsia" w:cs="Times New Roman"/>
                <w:b/>
                <w:bCs/>
                <w:color w:val="auto"/>
                <w:sz w:val="21"/>
                <w:szCs w:val="21"/>
                <w:highlight w:val="none"/>
                <w:lang w:val="en-US" w:eastAsia="zh-CN"/>
              </w:rPr>
              <w:t>其他管理要求：</w:t>
            </w:r>
          </w:p>
          <w:p>
            <w:pPr>
              <w:pageBreakBefore w:val="0"/>
              <w:widowControl w:val="0"/>
              <w:kinsoku/>
              <w:wordWrap/>
              <w:overflowPunct/>
              <w:topLinePunct w:val="0"/>
              <w:autoSpaceDE/>
              <w:autoSpaceDN/>
              <w:bidi w:val="0"/>
              <w:spacing w:line="240" w:lineRule="auto"/>
              <w:ind w:left="0" w:leftChars="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①排污口规范化：按照《排污口规范化要求》设置便于采样、监测的采样口。采样口设置应符合《污染源监测技术规范》要求；必须按照国家标准《环境保护图形标志》（GB15562.1-1995）的规定。</w:t>
            </w:r>
          </w:p>
          <w:p>
            <w:pPr>
              <w:pageBreakBefore w:val="0"/>
              <w:widowControl w:val="0"/>
              <w:kinsoku/>
              <w:wordWrap/>
              <w:overflowPunct/>
              <w:topLinePunct w:val="0"/>
              <w:autoSpaceDE/>
              <w:autoSpaceDN/>
              <w:bidi w:val="0"/>
              <w:spacing w:line="240" w:lineRule="auto"/>
              <w:ind w:left="0" w:leftChars="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②环保管理制度：企业应制定环境保护规章制度，由专人负责，环保管理制度。</w:t>
            </w:r>
          </w:p>
          <w:p>
            <w:pPr>
              <w:pageBreakBefore w:val="0"/>
              <w:widowControl w:val="0"/>
              <w:kinsoku/>
              <w:wordWrap/>
              <w:overflowPunct/>
              <w:topLinePunct w:val="0"/>
              <w:autoSpaceDE/>
              <w:autoSpaceDN/>
              <w:bidi w:val="0"/>
              <w:adjustRightInd w:val="0"/>
              <w:snapToGrid w:val="0"/>
              <w:spacing w:line="240" w:lineRule="auto"/>
              <w:ind w:left="0" w:leftChars="0"/>
              <w:jc w:val="both"/>
              <w:textAlignment w:val="auto"/>
              <w:rPr>
                <w:rFonts w:hint="eastAsia"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rPr>
              <w:t>③竣工验收制度：根据《建设项目竣工环境保护验收暂行办法》，建设项目配套建设的环境保护设施竣工后，公开竣工日期；对配套建设的环境保护设施进行调试前，公开调试的起止日期；验收报告编制完成后5个工作日内，公开验收报告，公示的期限不得少于20个工作日；建设单位公开上述信息的同时，应当向所在地县级以上环境保护主管部门报送相关信息，并接受监督检查。根据《排污许可证申请与核发技术规范》</w:t>
            </w:r>
            <w:r>
              <w:rPr>
                <w:rFonts w:hint="eastAsia" w:eastAsia="宋体" w:cs="Times New Roman"/>
                <w:color w:val="auto"/>
                <w:sz w:val="21"/>
                <w:szCs w:val="21"/>
                <w:highlight w:val="none"/>
                <w:lang w:val="en-US" w:eastAsia="zh-CN"/>
              </w:rPr>
              <w:t>变更</w:t>
            </w:r>
            <w:r>
              <w:rPr>
                <w:rFonts w:hint="default" w:ascii="Times New Roman" w:hAnsi="Times New Roman" w:eastAsia="宋体" w:cs="Times New Roman"/>
                <w:color w:val="auto"/>
                <w:sz w:val="21"/>
                <w:szCs w:val="21"/>
                <w:highlight w:val="none"/>
              </w:rPr>
              <w:t>排污许可</w:t>
            </w:r>
            <w:r>
              <w:rPr>
                <w:rFonts w:hint="eastAsia" w:eastAsia="宋体" w:cs="Times New Roman"/>
                <w:color w:val="auto"/>
                <w:sz w:val="21"/>
                <w:szCs w:val="21"/>
                <w:highlight w:val="none"/>
                <w:lang w:val="en-US" w:eastAsia="zh-CN"/>
              </w:rPr>
              <w:t>登记。</w:t>
            </w:r>
          </w:p>
          <w:p>
            <w:pPr>
              <w:pageBreakBefore w:val="0"/>
              <w:widowControl w:val="0"/>
              <w:kinsoku/>
              <w:wordWrap/>
              <w:overflowPunct/>
              <w:topLinePunct w:val="0"/>
              <w:autoSpaceDE/>
              <w:autoSpaceDN/>
              <w:bidi w:val="0"/>
              <w:adjustRightInd w:val="0"/>
              <w:snapToGrid w:val="0"/>
              <w:spacing w:line="240" w:lineRule="auto"/>
              <w:ind w:left="0" w:leftChars="0"/>
              <w:jc w:val="both"/>
              <w:textAlignment w:val="auto"/>
              <w:rPr>
                <w:rFonts w:hint="eastAsia" w:cs="Times New Roman"/>
                <w:color w:val="auto"/>
                <w:sz w:val="21"/>
                <w:szCs w:val="21"/>
                <w:highlight w:val="none"/>
                <w:lang w:val="en-US" w:eastAsia="zh-CN"/>
              </w:rPr>
            </w:pPr>
            <w:r>
              <w:rPr>
                <w:rFonts w:hint="eastAsia" w:eastAsia="宋体" w:cs="Times New Roman"/>
                <w:color w:val="auto"/>
                <w:sz w:val="21"/>
                <w:szCs w:val="21"/>
                <w:highlight w:val="none"/>
                <w:lang w:val="en-US" w:eastAsia="zh-CN"/>
              </w:rPr>
              <w:t>④按相关要求安装VOCs报警装置以及</w:t>
            </w:r>
            <w:r>
              <w:rPr>
                <w:rFonts w:hint="eastAsia" w:cs="Times New Roman"/>
                <w:color w:val="auto"/>
                <w:sz w:val="21"/>
                <w:szCs w:val="21"/>
                <w:highlight w:val="none"/>
                <w:lang w:val="en-US" w:eastAsia="zh-CN"/>
              </w:rPr>
              <w:t>在线监测装置，并进行“</w:t>
            </w:r>
            <w:r>
              <w:rPr>
                <w:rFonts w:hint="eastAsia" w:eastAsia="宋体" w:cs="Times New Roman"/>
                <w:color w:val="auto"/>
                <w:sz w:val="21"/>
                <w:szCs w:val="21"/>
                <w:highlight w:val="none"/>
                <w:lang w:val="en-US" w:eastAsia="zh-CN"/>
              </w:rPr>
              <w:t>分表计电</w:t>
            </w:r>
            <w:r>
              <w:rPr>
                <w:rFonts w:hint="eastAsia" w:cs="Times New Roman"/>
                <w:color w:val="auto"/>
                <w:sz w:val="21"/>
                <w:szCs w:val="21"/>
                <w:highlight w:val="none"/>
                <w:lang w:val="en-US" w:eastAsia="zh-CN"/>
              </w:rPr>
              <w:t>”；</w:t>
            </w:r>
          </w:p>
          <w:p>
            <w:pPr>
              <w:keepNext w:val="0"/>
              <w:keepLines w:val="0"/>
              <w:pageBreakBefore w:val="0"/>
              <w:kinsoku/>
              <w:wordWrap/>
              <w:overflowPunct/>
              <w:topLinePunct w:val="0"/>
              <w:autoSpaceDE/>
              <w:autoSpaceDN/>
              <w:bidi w:val="0"/>
              <w:spacing w:line="240" w:lineRule="auto"/>
              <w:jc w:val="both"/>
              <w:textAlignment w:val="auto"/>
              <w:rPr>
                <w:rFonts w:hint="eastAsia" w:cs="Times New Roman"/>
                <w:color w:val="auto"/>
                <w:sz w:val="21"/>
                <w:szCs w:val="21"/>
                <w:highlight w:val="none"/>
                <w:lang w:val="en-US" w:eastAsia="zh-CN"/>
              </w:rPr>
            </w:pPr>
            <w:r>
              <w:rPr>
                <w:rFonts w:hint="eastAsia" w:eastAsia="宋体" w:cs="Times New Roman"/>
                <w:color w:val="auto"/>
                <w:sz w:val="21"/>
                <w:szCs w:val="21"/>
                <w:highlight w:val="none"/>
                <w:lang w:val="en-US" w:eastAsia="zh-CN"/>
              </w:rPr>
              <w:t>⑤</w:t>
            </w:r>
            <w:r>
              <w:rPr>
                <w:rFonts w:hint="eastAsia" w:cs="Times New Roman"/>
                <w:color w:val="auto"/>
                <w:sz w:val="21"/>
                <w:szCs w:val="21"/>
                <w:highlight w:val="none"/>
                <w:lang w:val="en-US" w:eastAsia="zh-CN"/>
              </w:rPr>
              <w:t>排气筒设置监测平台及检测口，方便运营期进行监测；</w:t>
            </w:r>
          </w:p>
          <w:p>
            <w:pPr>
              <w:pageBreakBefore w:val="0"/>
              <w:widowControl w:val="0"/>
              <w:kinsoku/>
              <w:wordWrap/>
              <w:overflowPunct/>
              <w:topLinePunct w:val="0"/>
              <w:autoSpaceDE/>
              <w:autoSpaceDN/>
              <w:bidi w:val="0"/>
              <w:spacing w:line="240" w:lineRule="auto"/>
              <w:ind w:left="0" w:leftChars="0"/>
              <w:jc w:val="both"/>
              <w:textAlignment w:val="auto"/>
              <w:rPr>
                <w:rFonts w:hint="eastAsia" w:cs="Times New Roman"/>
                <w:color w:val="auto"/>
                <w:sz w:val="21"/>
                <w:szCs w:val="21"/>
                <w:highlight w:val="none"/>
                <w:lang w:val="en-US" w:eastAsia="zh-CN"/>
              </w:rPr>
            </w:pPr>
            <w:r>
              <w:rPr>
                <w:rFonts w:hint="eastAsia" w:ascii="宋体" w:hAnsi="宋体" w:eastAsia="宋体" w:cs="宋体"/>
                <w:color w:val="auto"/>
                <w:sz w:val="21"/>
                <w:szCs w:val="21"/>
                <w:highlight w:val="none"/>
                <w:lang w:val="en-US" w:eastAsia="zh-CN"/>
              </w:rPr>
              <w:t>⑥</w:t>
            </w:r>
            <w:r>
              <w:rPr>
                <w:rFonts w:hint="eastAsia" w:eastAsia="宋体" w:cs="Times New Roman"/>
                <w:color w:val="auto"/>
                <w:sz w:val="21"/>
                <w:szCs w:val="21"/>
                <w:highlight w:val="none"/>
                <w:lang w:val="en-US" w:eastAsia="zh-CN"/>
              </w:rPr>
              <w:t>按相关要求</w:t>
            </w:r>
            <w:r>
              <w:rPr>
                <w:rFonts w:hint="eastAsia" w:ascii="Times New Roman" w:hAnsi="Times New Roman" w:eastAsia="宋体" w:cs="Times New Roman"/>
                <w:color w:val="auto"/>
                <w:sz w:val="21"/>
                <w:szCs w:val="21"/>
                <w:highlight w:val="none"/>
                <w:lang w:val="en-US" w:eastAsia="zh-CN"/>
              </w:rPr>
              <w:t>修订应急预案</w:t>
            </w:r>
            <w:r>
              <w:rPr>
                <w:rFonts w:hint="eastAsia" w:cs="Times New Roman"/>
                <w:color w:val="auto"/>
                <w:sz w:val="21"/>
                <w:szCs w:val="21"/>
                <w:highlight w:val="none"/>
                <w:lang w:val="en-US" w:eastAsia="zh-CN"/>
              </w:rPr>
              <w:t>并备案</w:t>
            </w:r>
            <w:r>
              <w:rPr>
                <w:rFonts w:hint="eastAsia" w:ascii="Times New Roman" w:hAnsi="Times New Roman" w:eastAsia="宋体" w:cs="Times New Roman"/>
                <w:color w:val="auto"/>
                <w:sz w:val="21"/>
                <w:szCs w:val="21"/>
                <w:highlight w:val="none"/>
                <w:lang w:val="en-US" w:eastAsia="zh-CN"/>
              </w:rPr>
              <w:t>。</w:t>
            </w:r>
          </w:p>
          <w:p>
            <w:pPr>
              <w:keepNext w:val="0"/>
              <w:keepLines w:val="0"/>
              <w:pageBreakBefore w:val="0"/>
              <w:kinsoku/>
              <w:wordWrap/>
              <w:overflowPunct/>
              <w:topLinePunct w:val="0"/>
              <w:autoSpaceDE/>
              <w:autoSpaceDN/>
              <w:bidi w:val="0"/>
              <w:spacing w:line="240" w:lineRule="auto"/>
              <w:jc w:val="both"/>
              <w:textAlignment w:val="auto"/>
              <w:rPr>
                <w:rFonts w:hint="default" w:ascii="Times New Roman" w:hAnsi="Times New Roman" w:cs="Times New Roman"/>
                <w:color w:val="auto"/>
                <w:sz w:val="21"/>
                <w:szCs w:val="21"/>
                <w:highlight w:val="none"/>
                <w:lang w:val="en-US" w:eastAsia="zh-CN"/>
              </w:rPr>
            </w:pPr>
          </w:p>
        </w:tc>
      </w:tr>
    </w:tbl>
    <w:p>
      <w:pPr>
        <w:pStyle w:val="10"/>
        <w:bidi w:val="0"/>
        <w:rPr>
          <w:rFonts w:hint="default" w:ascii="Times New Roman" w:hAnsi="Times New Roman" w:eastAsia="黑体" w:cs="Times New Roman"/>
          <w:snapToGrid w:val="0"/>
          <w:color w:val="auto"/>
          <w:sz w:val="30"/>
          <w:szCs w:val="30"/>
          <w:highlight w:val="none"/>
        </w:rPr>
      </w:pPr>
      <w:r>
        <w:rPr>
          <w:rFonts w:hint="default" w:ascii="Times New Roman" w:hAnsi="Times New Roman" w:cs="Times New Roman"/>
          <w:snapToGrid w:val="0"/>
          <w:color w:val="auto"/>
          <w:highlight w:val="none"/>
        </w:rPr>
        <w:br w:type="page"/>
      </w:r>
      <w:r>
        <w:rPr>
          <w:rFonts w:hint="default" w:ascii="Times New Roman" w:hAnsi="Times New Roman" w:eastAsia="黑体" w:cs="Times New Roman"/>
          <w:snapToGrid w:val="0"/>
          <w:color w:val="auto"/>
          <w:sz w:val="30"/>
          <w:szCs w:val="30"/>
          <w:highlight w:val="none"/>
        </w:rPr>
        <w:t>六、结论</w:t>
      </w:r>
    </w:p>
    <w:tbl>
      <w:tblPr>
        <w:tblStyle w:val="32"/>
        <w:tblW w:w="907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9071"/>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991" w:hRule="atLeast"/>
          <w:jc w:val="center"/>
        </w:trPr>
        <w:tc>
          <w:tcPr>
            <w:tcW w:w="8865" w:type="dxa"/>
            <w:noWrap w:val="0"/>
            <w:vAlign w:val="center"/>
          </w:tcPr>
          <w:p>
            <w:pPr>
              <w:spacing w:line="360" w:lineRule="auto"/>
              <w:ind w:firstLine="480" w:firstLineChars="200"/>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该项目符合国家产业政策，厂址选择可行，工程采取了较为完善的污染防治措施，可确保达标排放，项目的建设不会对周围环境产生明显的污染影响。从环保角度分析项目的建设可行。</w:t>
            </w:r>
          </w:p>
          <w:p>
            <w:pPr>
              <w:pStyle w:val="6"/>
              <w:ind w:left="0" w:leftChars="0" w:firstLine="0" w:firstLineChars="0"/>
              <w:rPr>
                <w:rFonts w:hint="default" w:ascii="Times New Roman" w:hAnsi="Times New Roman" w:eastAsia="宋体" w:cs="Times New Roman"/>
                <w:color w:val="auto"/>
                <w:highlight w:val="none"/>
              </w:rPr>
            </w:pPr>
          </w:p>
        </w:tc>
      </w:tr>
    </w:tbl>
    <w:p>
      <w:pPr>
        <w:rPr>
          <w:rFonts w:hint="default" w:ascii="Times New Roman" w:hAnsi="Times New Roman" w:cs="Times New Roman"/>
          <w:color w:val="auto"/>
          <w:highlight w:val="none"/>
        </w:rPr>
        <w:sectPr>
          <w:pgSz w:w="11905" w:h="16838"/>
          <w:pgMar w:top="1440" w:right="1587" w:bottom="1440" w:left="1587" w:header="851" w:footer="850" w:gutter="0"/>
          <w:pgBorders>
            <w:top w:val="none" w:sz="0" w:space="0"/>
            <w:left w:val="none" w:sz="0" w:space="0"/>
            <w:bottom w:val="none" w:sz="0" w:space="0"/>
            <w:right w:val="none" w:sz="0" w:space="0"/>
          </w:pgBorders>
          <w:pgNumType w:fmt="decimal"/>
          <w:cols w:space="0" w:num="1"/>
          <w:rtlGutter w:val="0"/>
          <w:docGrid w:linePitch="312" w:charSpace="0"/>
        </w:sectPr>
      </w:pPr>
    </w:p>
    <w:p>
      <w:pPr>
        <w:pStyle w:val="10"/>
        <w:bidi w:val="0"/>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附表</w:t>
      </w:r>
    </w:p>
    <w:p>
      <w:pPr>
        <w:pStyle w:val="30"/>
        <w:keepNext w:val="0"/>
        <w:keepLines w:val="0"/>
        <w:pageBreakBefore w:val="0"/>
        <w:widowControl/>
        <w:kinsoku/>
        <w:wordWrap/>
        <w:overflowPunct/>
        <w:topLinePunct w:val="0"/>
        <w:autoSpaceDE/>
        <w:autoSpaceDN/>
        <w:bidi w:val="0"/>
        <w:adjustRightInd w:val="0"/>
        <w:snapToGrid w:val="0"/>
        <w:spacing w:before="0" w:beforeAutospacing="0" w:after="0" w:afterAutospacing="0" w:line="240" w:lineRule="auto"/>
        <w:jc w:val="center"/>
        <w:textAlignment w:val="auto"/>
        <w:outlineLvl w:val="0"/>
        <w:rPr>
          <w:rFonts w:hint="default" w:ascii="Times New Roman" w:hAnsi="Times New Roman" w:eastAsia="黑体" w:cs="Times New Roman"/>
          <w:snapToGrid w:val="0"/>
          <w:color w:val="auto"/>
          <w:sz w:val="32"/>
          <w:szCs w:val="32"/>
          <w:highlight w:val="none"/>
        </w:rPr>
      </w:pPr>
      <w:r>
        <w:rPr>
          <w:rFonts w:hint="default" w:ascii="Times New Roman" w:hAnsi="Times New Roman" w:eastAsia="黑体" w:cs="Times New Roman"/>
          <w:snapToGrid w:val="0"/>
          <w:color w:val="auto"/>
          <w:sz w:val="32"/>
          <w:szCs w:val="32"/>
          <w:highlight w:val="none"/>
        </w:rPr>
        <w:t>建设项目污染物排放量汇总表</w:t>
      </w:r>
    </w:p>
    <w:tbl>
      <w:tblPr>
        <w:tblStyle w:val="32"/>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255"/>
        <w:gridCol w:w="1910"/>
        <w:gridCol w:w="1617"/>
        <w:gridCol w:w="1298"/>
        <w:gridCol w:w="1728"/>
        <w:gridCol w:w="1585"/>
        <w:gridCol w:w="1789"/>
        <w:gridCol w:w="1759"/>
        <w:gridCol w:w="1073"/>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255" w:type="dxa"/>
            <w:tcBorders>
              <w:tl2br w:val="single" w:color="auto" w:sz="4" w:space="0"/>
            </w:tcBorders>
            <w:noWrap w:val="0"/>
            <w:tcMar>
              <w:left w:w="28" w:type="dxa"/>
              <w:right w:w="28" w:type="dxa"/>
            </w:tcMar>
            <w:vAlign w:val="center"/>
          </w:tcPr>
          <w:p>
            <w:pPr>
              <w:pStyle w:val="81"/>
              <w:bidi w:val="0"/>
              <w:spacing w:line="240" w:lineRule="auto"/>
              <w:ind w:firstLine="630" w:firstLineChars="300"/>
              <w:jc w:val="both"/>
              <w:rPr>
                <w:rFonts w:hint="default" w:ascii="Times New Roman" w:hAnsi="Times New Roman" w:cs="Times New Roman"/>
                <w:color w:val="auto"/>
                <w:highlight w:val="none"/>
              </w:rPr>
            </w:pPr>
            <w:r>
              <w:rPr>
                <w:rFonts w:hint="default" w:ascii="Times New Roman" w:hAnsi="Times New Roman" w:cs="Times New Roman"/>
                <w:color w:val="auto"/>
                <w:highlight w:val="none"/>
              </w:rPr>
              <w:t>项目</w:t>
            </w:r>
          </w:p>
          <w:p>
            <w:pPr>
              <w:pStyle w:val="81"/>
              <w:bidi w:val="0"/>
              <w:spacing w:line="240" w:lineRule="auto"/>
              <w:jc w:val="both"/>
              <w:rPr>
                <w:rFonts w:hint="default" w:ascii="Times New Roman" w:hAnsi="Times New Roman" w:cs="Times New Roman"/>
                <w:color w:val="auto"/>
                <w:highlight w:val="none"/>
              </w:rPr>
            </w:pPr>
            <w:r>
              <w:rPr>
                <w:rFonts w:hint="default" w:ascii="Times New Roman" w:hAnsi="Times New Roman" w:cs="Times New Roman"/>
                <w:color w:val="auto"/>
                <w:highlight w:val="none"/>
              </w:rPr>
              <w:t>分类</w:t>
            </w:r>
          </w:p>
        </w:tc>
        <w:tc>
          <w:tcPr>
            <w:tcW w:w="1910" w:type="dxa"/>
            <w:noWrap w:val="0"/>
            <w:tcMar>
              <w:left w:w="28" w:type="dxa"/>
              <w:right w:w="28" w:type="dxa"/>
            </w:tcMar>
            <w:vAlign w:val="center"/>
          </w:tcPr>
          <w:p>
            <w:pPr>
              <w:pStyle w:val="81"/>
              <w:bidi w:val="0"/>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污染物名称</w:t>
            </w:r>
          </w:p>
        </w:tc>
        <w:tc>
          <w:tcPr>
            <w:tcW w:w="1617" w:type="dxa"/>
            <w:noWrap w:val="0"/>
            <w:tcMar>
              <w:left w:w="28" w:type="dxa"/>
              <w:right w:w="28" w:type="dxa"/>
            </w:tcMar>
            <w:vAlign w:val="center"/>
          </w:tcPr>
          <w:p>
            <w:pPr>
              <w:pStyle w:val="81"/>
              <w:bidi w:val="0"/>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现有工程</w:t>
            </w:r>
          </w:p>
          <w:p>
            <w:pPr>
              <w:pStyle w:val="81"/>
              <w:bidi w:val="0"/>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排放量（固体废物产生量）</w:t>
            </w:r>
            <w:r>
              <w:rPr>
                <w:rFonts w:hint="default" w:ascii="Times New Roman" w:hAnsi="Times New Roman" w:cs="Times New Roman"/>
                <w:color w:val="auto"/>
                <w:highlight w:val="none"/>
              </w:rPr>
              <w:fldChar w:fldCharType="begin"/>
            </w:r>
            <w:r>
              <w:rPr>
                <w:rFonts w:hint="default" w:ascii="Times New Roman" w:hAnsi="Times New Roman" w:cs="Times New Roman"/>
                <w:color w:val="auto"/>
                <w:highlight w:val="none"/>
              </w:rPr>
              <w:instrText xml:space="preserve"> = 1 \* GB3 \* MERGEFORMAT </w:instrText>
            </w:r>
            <w:r>
              <w:rPr>
                <w:rFonts w:hint="default" w:ascii="Times New Roman" w:hAnsi="Times New Roman" w:cs="Times New Roman"/>
                <w:color w:val="auto"/>
                <w:highlight w:val="none"/>
              </w:rPr>
              <w:fldChar w:fldCharType="separate"/>
            </w:r>
            <w:r>
              <w:rPr>
                <w:rFonts w:hint="default" w:ascii="Times New Roman" w:hAnsi="Times New Roman" w:cs="Times New Roman"/>
                <w:color w:val="auto"/>
                <w:highlight w:val="none"/>
              </w:rPr>
              <w:t>①</w:t>
            </w:r>
            <w:r>
              <w:rPr>
                <w:rFonts w:hint="default" w:ascii="Times New Roman" w:hAnsi="Times New Roman" w:cs="Times New Roman"/>
                <w:color w:val="auto"/>
                <w:highlight w:val="none"/>
              </w:rPr>
              <w:fldChar w:fldCharType="end"/>
            </w:r>
          </w:p>
        </w:tc>
        <w:tc>
          <w:tcPr>
            <w:tcW w:w="1298" w:type="dxa"/>
            <w:noWrap w:val="0"/>
            <w:tcMar>
              <w:left w:w="28" w:type="dxa"/>
              <w:right w:w="28" w:type="dxa"/>
            </w:tcMar>
            <w:vAlign w:val="center"/>
          </w:tcPr>
          <w:p>
            <w:pPr>
              <w:pStyle w:val="81"/>
              <w:bidi w:val="0"/>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现有工程</w:t>
            </w:r>
          </w:p>
          <w:p>
            <w:pPr>
              <w:pStyle w:val="81"/>
              <w:bidi w:val="0"/>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许可排放量</w:t>
            </w:r>
          </w:p>
          <w:p>
            <w:pPr>
              <w:pStyle w:val="81"/>
              <w:bidi w:val="0"/>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fldChar w:fldCharType="begin"/>
            </w:r>
            <w:r>
              <w:rPr>
                <w:rFonts w:hint="default" w:ascii="Times New Roman" w:hAnsi="Times New Roman" w:cs="Times New Roman"/>
                <w:color w:val="auto"/>
                <w:highlight w:val="none"/>
              </w:rPr>
              <w:instrText xml:space="preserve"> = 2 \* GB3 \* MERGEFORMAT </w:instrText>
            </w:r>
            <w:r>
              <w:rPr>
                <w:rFonts w:hint="default" w:ascii="Times New Roman" w:hAnsi="Times New Roman" w:cs="Times New Roman"/>
                <w:color w:val="auto"/>
                <w:highlight w:val="none"/>
              </w:rPr>
              <w:fldChar w:fldCharType="separate"/>
            </w:r>
            <w:r>
              <w:rPr>
                <w:rFonts w:hint="default" w:ascii="Times New Roman" w:hAnsi="Times New Roman" w:cs="Times New Roman"/>
                <w:color w:val="auto"/>
                <w:highlight w:val="none"/>
              </w:rPr>
              <w:t>②</w:t>
            </w:r>
            <w:r>
              <w:rPr>
                <w:rFonts w:hint="default" w:ascii="Times New Roman" w:hAnsi="Times New Roman" w:cs="Times New Roman"/>
                <w:color w:val="auto"/>
                <w:highlight w:val="none"/>
              </w:rPr>
              <w:fldChar w:fldCharType="end"/>
            </w:r>
          </w:p>
        </w:tc>
        <w:tc>
          <w:tcPr>
            <w:tcW w:w="1728" w:type="dxa"/>
            <w:noWrap w:val="0"/>
            <w:tcMar>
              <w:left w:w="28" w:type="dxa"/>
              <w:right w:w="28" w:type="dxa"/>
            </w:tcMar>
            <w:vAlign w:val="center"/>
          </w:tcPr>
          <w:p>
            <w:pPr>
              <w:pStyle w:val="81"/>
              <w:bidi w:val="0"/>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在建工程</w:t>
            </w:r>
          </w:p>
          <w:p>
            <w:pPr>
              <w:pStyle w:val="81"/>
              <w:bidi w:val="0"/>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排放量（固体废物产生量）</w:t>
            </w:r>
            <w:r>
              <w:rPr>
                <w:rFonts w:hint="default" w:ascii="Times New Roman" w:hAnsi="Times New Roman" w:cs="Times New Roman"/>
                <w:color w:val="auto"/>
                <w:highlight w:val="none"/>
              </w:rPr>
              <w:fldChar w:fldCharType="begin"/>
            </w:r>
            <w:r>
              <w:rPr>
                <w:rFonts w:hint="default" w:ascii="Times New Roman" w:hAnsi="Times New Roman" w:cs="Times New Roman"/>
                <w:color w:val="auto"/>
                <w:highlight w:val="none"/>
              </w:rPr>
              <w:instrText xml:space="preserve"> = 3 \* GB3 \* MERGEFORMAT </w:instrText>
            </w:r>
            <w:r>
              <w:rPr>
                <w:rFonts w:hint="default" w:ascii="Times New Roman" w:hAnsi="Times New Roman" w:cs="Times New Roman"/>
                <w:color w:val="auto"/>
                <w:highlight w:val="none"/>
              </w:rPr>
              <w:fldChar w:fldCharType="separate"/>
            </w:r>
            <w:r>
              <w:rPr>
                <w:rFonts w:hint="default" w:ascii="Times New Roman" w:hAnsi="Times New Roman" w:cs="Times New Roman"/>
                <w:color w:val="auto"/>
                <w:highlight w:val="none"/>
              </w:rPr>
              <w:t>③</w:t>
            </w:r>
            <w:r>
              <w:rPr>
                <w:rFonts w:hint="default" w:ascii="Times New Roman" w:hAnsi="Times New Roman" w:cs="Times New Roman"/>
                <w:color w:val="auto"/>
                <w:highlight w:val="none"/>
              </w:rPr>
              <w:fldChar w:fldCharType="end"/>
            </w:r>
          </w:p>
        </w:tc>
        <w:tc>
          <w:tcPr>
            <w:tcW w:w="1585" w:type="dxa"/>
            <w:noWrap w:val="0"/>
            <w:tcMar>
              <w:left w:w="28" w:type="dxa"/>
              <w:right w:w="28" w:type="dxa"/>
            </w:tcMar>
            <w:vAlign w:val="center"/>
          </w:tcPr>
          <w:p>
            <w:pPr>
              <w:pStyle w:val="81"/>
              <w:bidi w:val="0"/>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本项目</w:t>
            </w:r>
          </w:p>
          <w:p>
            <w:pPr>
              <w:pStyle w:val="81"/>
              <w:bidi w:val="0"/>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排放量（固体废物产生量）</w:t>
            </w:r>
            <w:r>
              <w:rPr>
                <w:rFonts w:hint="default" w:ascii="Times New Roman" w:hAnsi="Times New Roman" w:cs="Times New Roman"/>
                <w:color w:val="auto"/>
                <w:highlight w:val="none"/>
              </w:rPr>
              <w:fldChar w:fldCharType="begin"/>
            </w:r>
            <w:r>
              <w:rPr>
                <w:rFonts w:hint="default" w:ascii="Times New Roman" w:hAnsi="Times New Roman" w:cs="Times New Roman"/>
                <w:color w:val="auto"/>
                <w:highlight w:val="none"/>
              </w:rPr>
              <w:instrText xml:space="preserve"> = 4 \* GB3 \* MERGEFORMAT </w:instrText>
            </w:r>
            <w:r>
              <w:rPr>
                <w:rFonts w:hint="default" w:ascii="Times New Roman" w:hAnsi="Times New Roman" w:cs="Times New Roman"/>
                <w:color w:val="auto"/>
                <w:highlight w:val="none"/>
              </w:rPr>
              <w:fldChar w:fldCharType="separate"/>
            </w:r>
            <w:r>
              <w:rPr>
                <w:rFonts w:hint="default" w:ascii="Times New Roman" w:hAnsi="Times New Roman" w:cs="Times New Roman"/>
                <w:color w:val="auto"/>
                <w:highlight w:val="none"/>
              </w:rPr>
              <w:t>④</w:t>
            </w:r>
            <w:r>
              <w:rPr>
                <w:rFonts w:hint="default" w:ascii="Times New Roman" w:hAnsi="Times New Roman" w:cs="Times New Roman"/>
                <w:color w:val="auto"/>
                <w:highlight w:val="none"/>
              </w:rPr>
              <w:fldChar w:fldCharType="end"/>
            </w:r>
          </w:p>
        </w:tc>
        <w:tc>
          <w:tcPr>
            <w:tcW w:w="1789" w:type="dxa"/>
            <w:noWrap w:val="0"/>
            <w:tcMar>
              <w:left w:w="28" w:type="dxa"/>
              <w:right w:w="28" w:type="dxa"/>
            </w:tcMar>
            <w:vAlign w:val="center"/>
          </w:tcPr>
          <w:p>
            <w:pPr>
              <w:pStyle w:val="81"/>
              <w:bidi w:val="0"/>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以新带老削减量</w:t>
            </w:r>
          </w:p>
          <w:p>
            <w:pPr>
              <w:pStyle w:val="81"/>
              <w:bidi w:val="0"/>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（新建项目不填）</w:t>
            </w:r>
            <w:r>
              <w:rPr>
                <w:rFonts w:hint="default" w:ascii="Times New Roman" w:hAnsi="Times New Roman" w:cs="Times New Roman"/>
                <w:color w:val="auto"/>
                <w:highlight w:val="none"/>
              </w:rPr>
              <w:fldChar w:fldCharType="begin"/>
            </w:r>
            <w:r>
              <w:rPr>
                <w:rFonts w:hint="default" w:ascii="Times New Roman" w:hAnsi="Times New Roman" w:cs="Times New Roman"/>
                <w:color w:val="auto"/>
                <w:highlight w:val="none"/>
              </w:rPr>
              <w:instrText xml:space="preserve"> = 5 \* GB3 \* MERGEFORMAT </w:instrText>
            </w:r>
            <w:r>
              <w:rPr>
                <w:rFonts w:hint="default" w:ascii="Times New Roman" w:hAnsi="Times New Roman" w:cs="Times New Roman"/>
                <w:color w:val="auto"/>
                <w:highlight w:val="none"/>
              </w:rPr>
              <w:fldChar w:fldCharType="separate"/>
            </w:r>
            <w:r>
              <w:rPr>
                <w:rFonts w:hint="default" w:ascii="Times New Roman" w:hAnsi="Times New Roman" w:cs="Times New Roman"/>
                <w:color w:val="auto"/>
                <w:highlight w:val="none"/>
              </w:rPr>
              <w:t>⑤</w:t>
            </w:r>
            <w:r>
              <w:rPr>
                <w:rFonts w:hint="default" w:ascii="Times New Roman" w:hAnsi="Times New Roman" w:cs="Times New Roman"/>
                <w:color w:val="auto"/>
                <w:highlight w:val="none"/>
              </w:rPr>
              <w:fldChar w:fldCharType="end"/>
            </w:r>
          </w:p>
        </w:tc>
        <w:tc>
          <w:tcPr>
            <w:tcW w:w="1759" w:type="dxa"/>
            <w:noWrap w:val="0"/>
            <w:tcMar>
              <w:left w:w="28" w:type="dxa"/>
              <w:right w:w="28" w:type="dxa"/>
            </w:tcMar>
            <w:vAlign w:val="center"/>
          </w:tcPr>
          <w:p>
            <w:pPr>
              <w:pStyle w:val="81"/>
              <w:bidi w:val="0"/>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本项目建成后</w:t>
            </w:r>
          </w:p>
          <w:p>
            <w:pPr>
              <w:pStyle w:val="81"/>
              <w:bidi w:val="0"/>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全厂排放量（固体废物产生量）</w:t>
            </w:r>
            <w:r>
              <w:rPr>
                <w:rFonts w:hint="default" w:ascii="Times New Roman" w:hAnsi="Times New Roman" w:cs="Times New Roman"/>
                <w:color w:val="auto"/>
                <w:highlight w:val="none"/>
              </w:rPr>
              <w:fldChar w:fldCharType="begin"/>
            </w:r>
            <w:r>
              <w:rPr>
                <w:rFonts w:hint="default" w:ascii="Times New Roman" w:hAnsi="Times New Roman" w:cs="Times New Roman"/>
                <w:color w:val="auto"/>
                <w:highlight w:val="none"/>
              </w:rPr>
              <w:instrText xml:space="preserve"> = 6 \* GB3 \* MERGEFORMAT </w:instrText>
            </w:r>
            <w:r>
              <w:rPr>
                <w:rFonts w:hint="default" w:ascii="Times New Roman" w:hAnsi="Times New Roman" w:cs="Times New Roman"/>
                <w:color w:val="auto"/>
                <w:highlight w:val="none"/>
              </w:rPr>
              <w:fldChar w:fldCharType="separate"/>
            </w:r>
            <w:r>
              <w:rPr>
                <w:rFonts w:hint="default" w:ascii="Times New Roman" w:hAnsi="Times New Roman" w:cs="Times New Roman"/>
                <w:color w:val="auto"/>
                <w:highlight w:val="none"/>
              </w:rPr>
              <w:t>⑥</w:t>
            </w:r>
            <w:r>
              <w:rPr>
                <w:rFonts w:hint="default" w:ascii="Times New Roman" w:hAnsi="Times New Roman" w:cs="Times New Roman"/>
                <w:color w:val="auto"/>
                <w:highlight w:val="none"/>
              </w:rPr>
              <w:fldChar w:fldCharType="end"/>
            </w:r>
          </w:p>
        </w:tc>
        <w:tc>
          <w:tcPr>
            <w:tcW w:w="1073" w:type="dxa"/>
            <w:noWrap w:val="0"/>
            <w:tcMar>
              <w:left w:w="28" w:type="dxa"/>
              <w:right w:w="28" w:type="dxa"/>
            </w:tcMar>
            <w:vAlign w:val="center"/>
          </w:tcPr>
          <w:p>
            <w:pPr>
              <w:pStyle w:val="81"/>
              <w:bidi w:val="0"/>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变化量</w:t>
            </w:r>
          </w:p>
          <w:p>
            <w:pPr>
              <w:pStyle w:val="81"/>
              <w:bidi w:val="0"/>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fldChar w:fldCharType="begin"/>
            </w:r>
            <w:r>
              <w:rPr>
                <w:rFonts w:hint="default" w:ascii="Times New Roman" w:hAnsi="Times New Roman" w:cs="Times New Roman"/>
                <w:color w:val="auto"/>
                <w:highlight w:val="none"/>
              </w:rPr>
              <w:instrText xml:space="preserve"> = 7 \* GB3 \* MERGEFORMAT </w:instrText>
            </w:r>
            <w:r>
              <w:rPr>
                <w:rFonts w:hint="default" w:ascii="Times New Roman" w:hAnsi="Times New Roman" w:cs="Times New Roman"/>
                <w:color w:val="auto"/>
                <w:highlight w:val="none"/>
              </w:rPr>
              <w:fldChar w:fldCharType="separate"/>
            </w:r>
            <w:r>
              <w:rPr>
                <w:rFonts w:hint="default" w:ascii="Times New Roman" w:hAnsi="Times New Roman" w:cs="Times New Roman"/>
                <w:color w:val="auto"/>
                <w:highlight w:val="none"/>
              </w:rPr>
              <w:t>⑦</w:t>
            </w:r>
            <w:r>
              <w:rPr>
                <w:rFonts w:hint="default" w:ascii="Times New Roman" w:hAnsi="Times New Roman" w:cs="Times New Roman"/>
                <w:color w:val="auto"/>
                <w:highlight w:val="none"/>
              </w:rPr>
              <w:fldChar w:fldCharType="end"/>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73" w:hRule="atLeast"/>
          <w:jc w:val="center"/>
        </w:trPr>
        <w:tc>
          <w:tcPr>
            <w:tcW w:w="1255" w:type="dxa"/>
            <w:vMerge w:val="restart"/>
            <w:noWrap w:val="0"/>
            <w:vAlign w:val="center"/>
          </w:tcPr>
          <w:p>
            <w:pPr>
              <w:pStyle w:val="81"/>
              <w:bidi w:val="0"/>
              <w:spacing w:line="240" w:lineRule="auto"/>
              <w:rPr>
                <w:rFonts w:hint="default" w:ascii="Times New Roman" w:hAnsi="Times New Roman" w:eastAsia="宋体" w:cs="Times New Roman"/>
                <w:color w:val="auto"/>
                <w:highlight w:val="none"/>
                <w:lang w:val="en-US" w:eastAsia="zh-CN"/>
              </w:rPr>
            </w:pPr>
            <w:r>
              <w:rPr>
                <w:rFonts w:hint="default" w:ascii="Times New Roman" w:hAnsi="Times New Roman" w:cs="Times New Roman"/>
                <w:color w:val="auto"/>
                <w:highlight w:val="none"/>
                <w:lang w:val="en-US" w:eastAsia="zh-CN"/>
              </w:rPr>
              <w:t>废气</w:t>
            </w:r>
          </w:p>
        </w:tc>
        <w:tc>
          <w:tcPr>
            <w:tcW w:w="1910" w:type="dxa"/>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非甲烷总烃</w:t>
            </w:r>
          </w:p>
        </w:tc>
        <w:tc>
          <w:tcPr>
            <w:tcW w:w="1617" w:type="dxa"/>
            <w:noWrap w:val="0"/>
            <w:vAlign w:val="center"/>
          </w:tcPr>
          <w:p>
            <w:pPr>
              <w:pStyle w:val="81"/>
              <w:bidi w:val="0"/>
              <w:spacing w:line="240" w:lineRule="auto"/>
              <w:rPr>
                <w:rFonts w:hint="default" w:ascii="Times New Roman" w:hAnsi="Times New Roman" w:cs="Times New Roman"/>
                <w:color w:val="auto"/>
                <w:highlight w:val="none"/>
                <w:vertAlign w:val="baseline"/>
                <w:lang w:val="en-US" w:eastAsia="zh-CN"/>
              </w:rPr>
            </w:pPr>
            <w:r>
              <w:rPr>
                <w:rFonts w:hint="eastAsia" w:ascii="Times New Roman" w:hAnsi="Times New Roman" w:cs="Times New Roman"/>
                <w:color w:val="auto"/>
                <w:highlight w:val="none"/>
                <w:vertAlign w:val="baseline"/>
                <w:lang w:val="en-US" w:eastAsia="zh-CN"/>
              </w:rPr>
              <w:t>/</w:t>
            </w:r>
          </w:p>
        </w:tc>
        <w:tc>
          <w:tcPr>
            <w:tcW w:w="1298" w:type="dxa"/>
            <w:noWrap w:val="0"/>
            <w:vAlign w:val="center"/>
          </w:tcPr>
          <w:p>
            <w:pPr>
              <w:pStyle w:val="81"/>
              <w:bidi w:val="0"/>
              <w:spacing w:line="240" w:lineRule="auto"/>
              <w:rPr>
                <w:rFonts w:hint="default" w:ascii="Times New Roman" w:hAnsi="Times New Roman" w:eastAsia="宋体" w:cs="Times New Roman"/>
                <w:color w:val="auto"/>
                <w:kern w:val="0"/>
                <w:sz w:val="21"/>
                <w:szCs w:val="20"/>
                <w:highlight w:val="none"/>
                <w:vertAlign w:val="baseline"/>
                <w:lang w:val="en-US" w:eastAsia="zh-CN" w:bidi="ar-SA"/>
              </w:rPr>
            </w:pPr>
            <w:r>
              <w:rPr>
                <w:rFonts w:hint="eastAsia" w:ascii="Times New Roman" w:hAnsi="Times New Roman" w:cs="Times New Roman"/>
                <w:color w:val="auto"/>
                <w:kern w:val="0"/>
                <w:sz w:val="21"/>
                <w:szCs w:val="20"/>
                <w:highlight w:val="none"/>
                <w:vertAlign w:val="baseline"/>
                <w:lang w:val="en-US" w:eastAsia="zh-CN" w:bidi="ar-SA"/>
              </w:rPr>
              <w:t>/</w:t>
            </w:r>
          </w:p>
        </w:tc>
        <w:tc>
          <w:tcPr>
            <w:tcW w:w="1728" w:type="dxa"/>
            <w:noWrap w:val="0"/>
            <w:vAlign w:val="center"/>
          </w:tcPr>
          <w:p>
            <w:pPr>
              <w:pStyle w:val="81"/>
              <w:bidi w:val="0"/>
              <w:spacing w:line="240" w:lineRule="auto"/>
              <w:rPr>
                <w:rFonts w:hint="default" w:ascii="Times New Roman" w:hAnsi="Times New Roman" w:eastAsia="宋体" w:cs="Times New Roman"/>
                <w:color w:val="auto"/>
                <w:kern w:val="0"/>
                <w:sz w:val="21"/>
                <w:szCs w:val="20"/>
                <w:highlight w:val="none"/>
                <w:vertAlign w:val="baseline"/>
                <w:lang w:val="en-US" w:eastAsia="zh-CN" w:bidi="ar-SA"/>
              </w:rPr>
            </w:pPr>
            <w:r>
              <w:rPr>
                <w:rFonts w:hint="default" w:ascii="Times New Roman" w:hAnsi="Times New Roman" w:cs="Times New Roman"/>
                <w:color w:val="auto"/>
                <w:highlight w:val="none"/>
                <w:vertAlign w:val="baseline"/>
                <w:lang w:val="en-US" w:eastAsia="zh-CN"/>
              </w:rPr>
              <w:t>/</w:t>
            </w:r>
          </w:p>
        </w:tc>
        <w:tc>
          <w:tcPr>
            <w:tcW w:w="1585" w:type="dxa"/>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0.1</w:t>
            </w:r>
            <w:r>
              <w:rPr>
                <w:rFonts w:hint="default" w:ascii="Times New Roman" w:hAnsi="Times New Roman" w:cs="Times New Roman"/>
                <w:color w:val="auto"/>
                <w:highlight w:val="none"/>
                <w:lang w:val="en-US" w:eastAsia="zh-CN"/>
              </w:rPr>
              <w:t>t/a</w:t>
            </w:r>
          </w:p>
        </w:tc>
        <w:tc>
          <w:tcPr>
            <w:tcW w:w="1789" w:type="dxa"/>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w:t>
            </w:r>
          </w:p>
        </w:tc>
        <w:tc>
          <w:tcPr>
            <w:tcW w:w="1759" w:type="dxa"/>
            <w:noWrap w:val="0"/>
            <w:vAlign w:val="center"/>
          </w:tcPr>
          <w:p>
            <w:pPr>
              <w:pStyle w:val="81"/>
              <w:bidi w:val="0"/>
              <w:spacing w:line="240" w:lineRule="auto"/>
              <w:rPr>
                <w:rFonts w:hint="default" w:ascii="Times New Roman" w:hAnsi="Times New Roman" w:eastAsia="宋体" w:cs="Times New Roman"/>
                <w:color w:val="auto"/>
                <w:kern w:val="0"/>
                <w:sz w:val="21"/>
                <w:szCs w:val="20"/>
                <w:highlight w:val="none"/>
                <w:lang w:val="en-US" w:eastAsia="zh-CN" w:bidi="ar-SA"/>
              </w:rPr>
            </w:pPr>
            <w:r>
              <w:rPr>
                <w:rFonts w:hint="eastAsia" w:ascii="Times New Roman" w:hAnsi="Times New Roman" w:cs="Times New Roman"/>
                <w:color w:val="auto"/>
                <w:highlight w:val="none"/>
                <w:lang w:val="en-US" w:eastAsia="zh-CN"/>
              </w:rPr>
              <w:t>0.1</w:t>
            </w:r>
            <w:r>
              <w:rPr>
                <w:rFonts w:hint="default" w:ascii="Times New Roman" w:hAnsi="Times New Roman" w:cs="Times New Roman"/>
                <w:color w:val="auto"/>
                <w:highlight w:val="none"/>
                <w:lang w:val="en-US" w:eastAsia="zh-CN"/>
              </w:rPr>
              <w:t>t/a</w:t>
            </w:r>
          </w:p>
        </w:tc>
        <w:tc>
          <w:tcPr>
            <w:tcW w:w="1073" w:type="dxa"/>
            <w:noWrap w:val="0"/>
            <w:vAlign w:val="center"/>
          </w:tcPr>
          <w:p>
            <w:pPr>
              <w:pStyle w:val="81"/>
              <w:bidi w:val="0"/>
              <w:spacing w:line="240" w:lineRule="auto"/>
              <w:rPr>
                <w:rFonts w:hint="default" w:ascii="Times New Roman" w:hAnsi="Times New Roman" w:eastAsia="宋体" w:cs="Times New Roman"/>
                <w:color w:val="auto"/>
                <w:kern w:val="0"/>
                <w:sz w:val="21"/>
                <w:szCs w:val="20"/>
                <w:highlight w:val="none"/>
                <w:vertAlign w:val="baseline"/>
                <w:lang w:val="en-US" w:eastAsia="zh-CN" w:bidi="ar-SA"/>
              </w:rPr>
            </w:pPr>
            <w:r>
              <w:rPr>
                <w:rFonts w:hint="eastAsia" w:ascii="Times New Roman" w:hAnsi="Times New Roman" w:cs="Times New Roman"/>
                <w:color w:val="auto"/>
                <w:highlight w:val="none"/>
                <w:lang w:val="en-US" w:eastAsia="zh-CN"/>
              </w:rPr>
              <w:t>+0.1</w:t>
            </w:r>
            <w:r>
              <w:rPr>
                <w:rFonts w:hint="default" w:ascii="Times New Roman" w:hAnsi="Times New Roman" w:cs="Times New Roman"/>
                <w:color w:val="auto"/>
                <w:highlight w:val="none"/>
                <w:lang w:val="en-US" w:eastAsia="zh-CN"/>
              </w:rPr>
              <w:t>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63" w:hRule="atLeast"/>
          <w:jc w:val="center"/>
        </w:trPr>
        <w:tc>
          <w:tcPr>
            <w:tcW w:w="1255" w:type="dxa"/>
            <w:vMerge w:val="continue"/>
            <w:noWrap w:val="0"/>
            <w:vAlign w:val="center"/>
          </w:tcPr>
          <w:p>
            <w:pPr>
              <w:pStyle w:val="81"/>
              <w:bidi w:val="0"/>
              <w:spacing w:line="240" w:lineRule="auto"/>
              <w:rPr>
                <w:rFonts w:hint="default" w:ascii="Times New Roman" w:hAnsi="Times New Roman" w:cs="Times New Roman"/>
                <w:color w:val="auto"/>
                <w:highlight w:val="none"/>
                <w:lang w:val="en-US" w:eastAsia="zh-CN"/>
              </w:rPr>
            </w:pPr>
          </w:p>
        </w:tc>
        <w:tc>
          <w:tcPr>
            <w:tcW w:w="1910" w:type="dxa"/>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颗粒物</w:t>
            </w:r>
          </w:p>
        </w:tc>
        <w:tc>
          <w:tcPr>
            <w:tcW w:w="1617" w:type="dxa"/>
            <w:noWrap w:val="0"/>
            <w:vAlign w:val="center"/>
          </w:tcPr>
          <w:p>
            <w:pPr>
              <w:pStyle w:val="81"/>
              <w:bidi w:val="0"/>
              <w:spacing w:line="240" w:lineRule="auto"/>
              <w:rPr>
                <w:rFonts w:hint="default" w:ascii="Times New Roman" w:hAnsi="Times New Roman" w:cs="Times New Roman"/>
                <w:color w:val="auto"/>
                <w:highlight w:val="none"/>
                <w:vertAlign w:val="baseline"/>
                <w:lang w:val="en-US" w:eastAsia="zh-CN"/>
              </w:rPr>
            </w:pPr>
            <w:r>
              <w:rPr>
                <w:rFonts w:hint="eastAsia" w:ascii="Times New Roman" w:hAnsi="Times New Roman" w:cs="Times New Roman"/>
                <w:color w:val="auto"/>
                <w:highlight w:val="none"/>
                <w:vertAlign w:val="baseline"/>
                <w:lang w:val="en-US" w:eastAsia="zh-CN"/>
              </w:rPr>
              <w:t>/</w:t>
            </w:r>
          </w:p>
        </w:tc>
        <w:tc>
          <w:tcPr>
            <w:tcW w:w="1298" w:type="dxa"/>
            <w:noWrap w:val="0"/>
            <w:vAlign w:val="center"/>
          </w:tcPr>
          <w:p>
            <w:pPr>
              <w:pStyle w:val="81"/>
              <w:bidi w:val="0"/>
              <w:spacing w:line="240" w:lineRule="auto"/>
              <w:rPr>
                <w:rFonts w:hint="default" w:ascii="Times New Roman" w:hAnsi="Times New Roman" w:eastAsia="宋体" w:cs="Times New Roman"/>
                <w:color w:val="auto"/>
                <w:kern w:val="0"/>
                <w:sz w:val="21"/>
                <w:szCs w:val="20"/>
                <w:highlight w:val="none"/>
                <w:vertAlign w:val="baseline"/>
                <w:lang w:val="en-US" w:eastAsia="zh-CN" w:bidi="ar-SA"/>
              </w:rPr>
            </w:pPr>
            <w:r>
              <w:rPr>
                <w:rFonts w:hint="eastAsia" w:ascii="Times New Roman" w:hAnsi="Times New Roman" w:cs="Times New Roman"/>
                <w:color w:val="auto"/>
                <w:kern w:val="0"/>
                <w:sz w:val="21"/>
                <w:szCs w:val="20"/>
                <w:highlight w:val="none"/>
                <w:vertAlign w:val="baseline"/>
                <w:lang w:val="en-US" w:eastAsia="zh-CN" w:bidi="ar-SA"/>
              </w:rPr>
              <w:t>/</w:t>
            </w:r>
          </w:p>
        </w:tc>
        <w:tc>
          <w:tcPr>
            <w:tcW w:w="1728" w:type="dxa"/>
            <w:noWrap w:val="0"/>
            <w:vAlign w:val="center"/>
          </w:tcPr>
          <w:p>
            <w:pPr>
              <w:pStyle w:val="81"/>
              <w:bidi w:val="0"/>
              <w:spacing w:line="240" w:lineRule="auto"/>
              <w:rPr>
                <w:rFonts w:hint="default" w:ascii="Times New Roman" w:hAnsi="Times New Roman" w:eastAsia="宋体" w:cs="Times New Roman"/>
                <w:color w:val="auto"/>
                <w:kern w:val="0"/>
                <w:sz w:val="21"/>
                <w:szCs w:val="20"/>
                <w:highlight w:val="none"/>
                <w:vertAlign w:val="baseline"/>
                <w:lang w:val="en-US" w:eastAsia="zh-CN" w:bidi="ar-SA"/>
              </w:rPr>
            </w:pPr>
            <w:r>
              <w:rPr>
                <w:rFonts w:hint="eastAsia" w:ascii="Times New Roman" w:hAnsi="Times New Roman" w:cs="Times New Roman"/>
                <w:color w:val="auto"/>
                <w:kern w:val="0"/>
                <w:sz w:val="21"/>
                <w:szCs w:val="20"/>
                <w:highlight w:val="none"/>
                <w:vertAlign w:val="baseline"/>
                <w:lang w:val="en-US" w:eastAsia="zh-CN" w:bidi="ar-SA"/>
              </w:rPr>
              <w:t>/</w:t>
            </w:r>
          </w:p>
        </w:tc>
        <w:tc>
          <w:tcPr>
            <w:tcW w:w="1585" w:type="dxa"/>
            <w:noWrap w:val="0"/>
            <w:vAlign w:val="center"/>
          </w:tcPr>
          <w:p>
            <w:pPr>
              <w:pStyle w:val="81"/>
              <w:bidi w:val="0"/>
              <w:spacing w:line="240" w:lineRule="auto"/>
              <w:rPr>
                <w:rFonts w:hint="default" w:ascii="Times New Roman" w:hAnsi="Times New Roman" w:eastAsia="宋体" w:cs="Times New Roman"/>
                <w:color w:val="auto"/>
                <w:kern w:val="0"/>
                <w:sz w:val="21"/>
                <w:szCs w:val="20"/>
                <w:highlight w:val="none"/>
                <w:vertAlign w:val="baseline"/>
                <w:lang w:val="en-US" w:eastAsia="zh-CN" w:bidi="ar-SA"/>
              </w:rPr>
            </w:pPr>
            <w:r>
              <w:rPr>
                <w:rFonts w:hint="eastAsia" w:ascii="Times New Roman" w:hAnsi="Times New Roman" w:cs="Times New Roman"/>
                <w:color w:val="auto"/>
                <w:kern w:val="0"/>
                <w:sz w:val="21"/>
                <w:szCs w:val="20"/>
                <w:highlight w:val="none"/>
                <w:vertAlign w:val="baseline"/>
                <w:lang w:val="en-US" w:eastAsia="zh-CN" w:bidi="ar-SA"/>
              </w:rPr>
              <w:t>0.09t/a</w:t>
            </w:r>
          </w:p>
        </w:tc>
        <w:tc>
          <w:tcPr>
            <w:tcW w:w="1789" w:type="dxa"/>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w:t>
            </w:r>
          </w:p>
        </w:tc>
        <w:tc>
          <w:tcPr>
            <w:tcW w:w="1759" w:type="dxa"/>
            <w:noWrap w:val="0"/>
            <w:vAlign w:val="center"/>
          </w:tcPr>
          <w:p>
            <w:pPr>
              <w:pStyle w:val="81"/>
              <w:bidi w:val="0"/>
              <w:spacing w:line="240" w:lineRule="auto"/>
              <w:rPr>
                <w:rFonts w:hint="default" w:ascii="Times New Roman" w:hAnsi="Times New Roman" w:eastAsia="宋体" w:cs="Times New Roman"/>
                <w:color w:val="auto"/>
                <w:kern w:val="0"/>
                <w:sz w:val="21"/>
                <w:szCs w:val="20"/>
                <w:highlight w:val="none"/>
                <w:vertAlign w:val="baseline"/>
                <w:lang w:val="en-US" w:eastAsia="zh-CN" w:bidi="ar-SA"/>
              </w:rPr>
            </w:pPr>
            <w:r>
              <w:rPr>
                <w:rFonts w:hint="eastAsia" w:ascii="Times New Roman" w:hAnsi="Times New Roman" w:cs="Times New Roman"/>
                <w:color w:val="auto"/>
                <w:kern w:val="0"/>
                <w:sz w:val="21"/>
                <w:szCs w:val="20"/>
                <w:highlight w:val="none"/>
                <w:vertAlign w:val="baseline"/>
                <w:lang w:val="en-US" w:eastAsia="zh-CN" w:bidi="ar-SA"/>
              </w:rPr>
              <w:t>+0.09t/a</w:t>
            </w:r>
          </w:p>
        </w:tc>
        <w:tc>
          <w:tcPr>
            <w:tcW w:w="1073" w:type="dxa"/>
            <w:noWrap w:val="0"/>
            <w:vAlign w:val="center"/>
          </w:tcPr>
          <w:p>
            <w:pPr>
              <w:pStyle w:val="81"/>
              <w:bidi w:val="0"/>
              <w:spacing w:line="240" w:lineRule="auto"/>
              <w:rPr>
                <w:rFonts w:hint="default" w:ascii="Times New Roman" w:hAnsi="Times New Roman" w:eastAsia="宋体" w:cs="Times New Roman"/>
                <w:color w:val="auto"/>
                <w:kern w:val="0"/>
                <w:sz w:val="21"/>
                <w:szCs w:val="20"/>
                <w:highlight w:val="none"/>
                <w:vertAlign w:val="baseline"/>
                <w:lang w:val="en-US" w:eastAsia="zh-CN" w:bidi="ar-SA"/>
              </w:rPr>
            </w:pPr>
            <w:r>
              <w:rPr>
                <w:rFonts w:hint="eastAsia" w:ascii="Times New Roman" w:hAnsi="Times New Roman" w:cs="Times New Roman"/>
                <w:color w:val="auto"/>
                <w:kern w:val="0"/>
                <w:sz w:val="21"/>
                <w:szCs w:val="20"/>
                <w:highlight w:val="none"/>
                <w:vertAlign w:val="baseline"/>
                <w:lang w:val="en-US" w:eastAsia="zh-CN" w:bidi="ar-SA"/>
              </w:rPr>
              <w:t>+0.09t/a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87" w:hRule="atLeast"/>
          <w:jc w:val="center"/>
        </w:trPr>
        <w:tc>
          <w:tcPr>
            <w:tcW w:w="1255" w:type="dxa"/>
            <w:vMerge w:val="continue"/>
            <w:noWrap w:val="0"/>
            <w:vAlign w:val="center"/>
          </w:tcPr>
          <w:p>
            <w:pPr>
              <w:pStyle w:val="81"/>
              <w:bidi w:val="0"/>
              <w:spacing w:line="240" w:lineRule="auto"/>
              <w:rPr>
                <w:rFonts w:hint="default" w:ascii="Times New Roman" w:hAnsi="Times New Roman" w:cs="Times New Roman"/>
                <w:color w:val="auto"/>
                <w:highlight w:val="none"/>
                <w:lang w:val="en-US" w:eastAsia="zh-CN"/>
              </w:rPr>
            </w:pPr>
          </w:p>
        </w:tc>
        <w:tc>
          <w:tcPr>
            <w:tcW w:w="1910" w:type="dxa"/>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二氧化硫</w:t>
            </w:r>
          </w:p>
        </w:tc>
        <w:tc>
          <w:tcPr>
            <w:tcW w:w="1617" w:type="dxa"/>
            <w:noWrap w:val="0"/>
            <w:vAlign w:val="center"/>
          </w:tcPr>
          <w:p>
            <w:pPr>
              <w:pStyle w:val="81"/>
              <w:bidi w:val="0"/>
              <w:spacing w:line="240" w:lineRule="auto"/>
              <w:rPr>
                <w:rFonts w:hint="default" w:ascii="Times New Roman" w:hAnsi="Times New Roman" w:cs="Times New Roman"/>
                <w:color w:val="auto"/>
                <w:highlight w:val="none"/>
                <w:vertAlign w:val="baseline"/>
                <w:lang w:val="en-US" w:eastAsia="zh-CN"/>
              </w:rPr>
            </w:pPr>
            <w:r>
              <w:rPr>
                <w:rFonts w:hint="default" w:ascii="Times New Roman" w:hAnsi="Times New Roman" w:cs="Times New Roman"/>
                <w:color w:val="auto"/>
                <w:highlight w:val="none"/>
                <w:vertAlign w:val="baseline"/>
                <w:lang w:val="en-US" w:eastAsia="zh-CN"/>
              </w:rPr>
              <w:t>/</w:t>
            </w:r>
          </w:p>
        </w:tc>
        <w:tc>
          <w:tcPr>
            <w:tcW w:w="1298" w:type="dxa"/>
            <w:noWrap w:val="0"/>
            <w:vAlign w:val="center"/>
          </w:tcPr>
          <w:p>
            <w:pPr>
              <w:pStyle w:val="81"/>
              <w:bidi w:val="0"/>
              <w:spacing w:line="240" w:lineRule="auto"/>
              <w:rPr>
                <w:rFonts w:hint="default" w:ascii="Times New Roman" w:hAnsi="Times New Roman" w:cs="Times New Roman"/>
                <w:color w:val="auto"/>
                <w:highlight w:val="none"/>
                <w:vertAlign w:val="baseline"/>
                <w:lang w:val="en-US" w:eastAsia="zh-CN"/>
              </w:rPr>
            </w:pPr>
            <w:r>
              <w:rPr>
                <w:rFonts w:hint="default" w:ascii="Times New Roman" w:hAnsi="Times New Roman" w:cs="Times New Roman"/>
                <w:color w:val="auto"/>
                <w:highlight w:val="none"/>
                <w:vertAlign w:val="baseline"/>
                <w:lang w:val="en-US" w:eastAsia="zh-CN"/>
              </w:rPr>
              <w:t>/</w:t>
            </w:r>
          </w:p>
        </w:tc>
        <w:tc>
          <w:tcPr>
            <w:tcW w:w="1728" w:type="dxa"/>
            <w:noWrap w:val="0"/>
            <w:vAlign w:val="center"/>
          </w:tcPr>
          <w:p>
            <w:pPr>
              <w:pStyle w:val="81"/>
              <w:bidi w:val="0"/>
              <w:spacing w:line="240" w:lineRule="auto"/>
              <w:rPr>
                <w:rFonts w:hint="default" w:ascii="Times New Roman" w:hAnsi="Times New Roman" w:cs="Times New Roman"/>
                <w:color w:val="auto"/>
                <w:highlight w:val="none"/>
                <w:vertAlign w:val="baseline"/>
                <w:lang w:val="en-US" w:eastAsia="zh-CN"/>
              </w:rPr>
            </w:pPr>
            <w:r>
              <w:rPr>
                <w:rFonts w:hint="default" w:ascii="Times New Roman" w:hAnsi="Times New Roman" w:cs="Times New Roman"/>
                <w:color w:val="auto"/>
                <w:highlight w:val="none"/>
                <w:vertAlign w:val="baseline"/>
                <w:lang w:val="en-US" w:eastAsia="zh-CN"/>
              </w:rPr>
              <w:t>/</w:t>
            </w:r>
          </w:p>
        </w:tc>
        <w:tc>
          <w:tcPr>
            <w:tcW w:w="1585" w:type="dxa"/>
            <w:noWrap w:val="0"/>
            <w:vAlign w:val="center"/>
          </w:tcPr>
          <w:p>
            <w:pPr>
              <w:pStyle w:val="81"/>
              <w:bidi w:val="0"/>
              <w:spacing w:line="240" w:lineRule="auto"/>
              <w:rPr>
                <w:rFonts w:hint="default" w:ascii="Times New Roman" w:hAnsi="Times New Roman" w:cs="Times New Roman"/>
                <w:color w:val="auto"/>
                <w:highlight w:val="none"/>
                <w:vertAlign w:val="baseline"/>
                <w:lang w:val="en-US" w:eastAsia="zh-CN"/>
              </w:rPr>
            </w:pPr>
            <w:r>
              <w:rPr>
                <w:rFonts w:hint="default" w:ascii="Times New Roman" w:hAnsi="Times New Roman" w:cs="Times New Roman"/>
                <w:color w:val="auto"/>
                <w:highlight w:val="none"/>
                <w:vertAlign w:val="baseline"/>
                <w:lang w:val="en-US" w:eastAsia="zh-CN"/>
              </w:rPr>
              <w:t>/</w:t>
            </w:r>
          </w:p>
        </w:tc>
        <w:tc>
          <w:tcPr>
            <w:tcW w:w="1789" w:type="dxa"/>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w:t>
            </w:r>
          </w:p>
        </w:tc>
        <w:tc>
          <w:tcPr>
            <w:tcW w:w="1759" w:type="dxa"/>
            <w:noWrap w:val="0"/>
            <w:vAlign w:val="center"/>
          </w:tcPr>
          <w:p>
            <w:pPr>
              <w:pStyle w:val="81"/>
              <w:bidi w:val="0"/>
              <w:spacing w:line="240" w:lineRule="auto"/>
              <w:rPr>
                <w:rFonts w:hint="default" w:ascii="Times New Roman" w:hAnsi="Times New Roman" w:cs="Times New Roman"/>
                <w:color w:val="auto"/>
                <w:highlight w:val="none"/>
                <w:vertAlign w:val="baseline"/>
                <w:lang w:val="en-US" w:eastAsia="zh-CN"/>
              </w:rPr>
            </w:pPr>
            <w:r>
              <w:rPr>
                <w:rFonts w:hint="default" w:ascii="Times New Roman" w:hAnsi="Times New Roman" w:cs="Times New Roman"/>
                <w:color w:val="auto"/>
                <w:highlight w:val="none"/>
                <w:vertAlign w:val="baseline"/>
                <w:lang w:val="en-US" w:eastAsia="zh-CN"/>
              </w:rPr>
              <w:t>/</w:t>
            </w:r>
          </w:p>
        </w:tc>
        <w:tc>
          <w:tcPr>
            <w:tcW w:w="1073" w:type="dxa"/>
            <w:noWrap w:val="0"/>
            <w:vAlign w:val="center"/>
          </w:tcPr>
          <w:p>
            <w:pPr>
              <w:pStyle w:val="81"/>
              <w:bidi w:val="0"/>
              <w:spacing w:line="240" w:lineRule="auto"/>
              <w:rPr>
                <w:rFonts w:hint="default" w:ascii="Times New Roman" w:hAnsi="Times New Roman" w:cs="Times New Roman"/>
                <w:color w:val="auto"/>
                <w:highlight w:val="none"/>
                <w:vertAlign w:val="baseline"/>
                <w:lang w:val="en-US" w:eastAsia="zh-CN"/>
              </w:rPr>
            </w:pPr>
            <w:r>
              <w:rPr>
                <w:rFonts w:hint="default" w:ascii="Times New Roman" w:hAnsi="Times New Roman" w:cs="Times New Roman"/>
                <w:color w:val="auto"/>
                <w:highlight w:val="none"/>
                <w:vertAlign w:val="baseline"/>
                <w:lang w:val="en-US"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9" w:hRule="atLeast"/>
          <w:jc w:val="center"/>
        </w:trPr>
        <w:tc>
          <w:tcPr>
            <w:tcW w:w="1255" w:type="dxa"/>
            <w:vMerge w:val="continue"/>
            <w:noWrap w:val="0"/>
            <w:vAlign w:val="center"/>
          </w:tcPr>
          <w:p>
            <w:pPr>
              <w:pStyle w:val="81"/>
              <w:bidi w:val="0"/>
              <w:spacing w:line="240" w:lineRule="auto"/>
              <w:rPr>
                <w:rFonts w:hint="default" w:ascii="Times New Roman" w:hAnsi="Times New Roman" w:cs="Times New Roman"/>
                <w:color w:val="auto"/>
                <w:highlight w:val="none"/>
                <w:lang w:val="en-US" w:eastAsia="zh-CN"/>
              </w:rPr>
            </w:pPr>
          </w:p>
        </w:tc>
        <w:tc>
          <w:tcPr>
            <w:tcW w:w="1910" w:type="dxa"/>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氮氧化物</w:t>
            </w:r>
          </w:p>
        </w:tc>
        <w:tc>
          <w:tcPr>
            <w:tcW w:w="1617" w:type="dxa"/>
            <w:noWrap w:val="0"/>
            <w:vAlign w:val="center"/>
          </w:tcPr>
          <w:p>
            <w:pPr>
              <w:pStyle w:val="81"/>
              <w:bidi w:val="0"/>
              <w:spacing w:line="240" w:lineRule="auto"/>
              <w:rPr>
                <w:rFonts w:hint="default" w:ascii="Times New Roman" w:hAnsi="Times New Roman" w:cs="Times New Roman"/>
                <w:color w:val="auto"/>
                <w:highlight w:val="none"/>
                <w:vertAlign w:val="baseline"/>
                <w:lang w:val="en-US" w:eastAsia="zh-CN"/>
              </w:rPr>
            </w:pPr>
            <w:r>
              <w:rPr>
                <w:rFonts w:hint="default" w:ascii="Times New Roman" w:hAnsi="Times New Roman" w:cs="Times New Roman"/>
                <w:color w:val="auto"/>
                <w:highlight w:val="none"/>
                <w:vertAlign w:val="baseline"/>
                <w:lang w:val="en-US" w:eastAsia="zh-CN"/>
              </w:rPr>
              <w:t>/</w:t>
            </w:r>
          </w:p>
        </w:tc>
        <w:tc>
          <w:tcPr>
            <w:tcW w:w="1298" w:type="dxa"/>
            <w:noWrap w:val="0"/>
            <w:vAlign w:val="center"/>
          </w:tcPr>
          <w:p>
            <w:pPr>
              <w:pStyle w:val="81"/>
              <w:bidi w:val="0"/>
              <w:spacing w:line="240" w:lineRule="auto"/>
              <w:rPr>
                <w:rFonts w:hint="default" w:ascii="Times New Roman" w:hAnsi="Times New Roman" w:eastAsia="宋体" w:cs="Times New Roman"/>
                <w:color w:val="auto"/>
                <w:kern w:val="0"/>
                <w:sz w:val="21"/>
                <w:szCs w:val="20"/>
                <w:highlight w:val="none"/>
                <w:vertAlign w:val="baseline"/>
                <w:lang w:val="en-US" w:eastAsia="zh-CN" w:bidi="ar-SA"/>
              </w:rPr>
            </w:pPr>
            <w:r>
              <w:rPr>
                <w:rFonts w:hint="default" w:ascii="Times New Roman" w:hAnsi="Times New Roman" w:cs="Times New Roman"/>
                <w:color w:val="auto"/>
                <w:highlight w:val="none"/>
                <w:vertAlign w:val="baseline"/>
                <w:lang w:val="en-US" w:eastAsia="zh-CN"/>
              </w:rPr>
              <w:t>/</w:t>
            </w:r>
          </w:p>
        </w:tc>
        <w:tc>
          <w:tcPr>
            <w:tcW w:w="1728" w:type="dxa"/>
            <w:noWrap w:val="0"/>
            <w:vAlign w:val="center"/>
          </w:tcPr>
          <w:p>
            <w:pPr>
              <w:pStyle w:val="81"/>
              <w:bidi w:val="0"/>
              <w:spacing w:line="240" w:lineRule="auto"/>
              <w:rPr>
                <w:rFonts w:hint="default" w:ascii="Times New Roman" w:hAnsi="Times New Roman" w:eastAsia="宋体" w:cs="Times New Roman"/>
                <w:color w:val="auto"/>
                <w:kern w:val="0"/>
                <w:sz w:val="21"/>
                <w:szCs w:val="20"/>
                <w:highlight w:val="none"/>
                <w:vertAlign w:val="baseline"/>
                <w:lang w:val="en-US" w:eastAsia="zh-CN" w:bidi="ar-SA"/>
              </w:rPr>
            </w:pPr>
            <w:r>
              <w:rPr>
                <w:rFonts w:hint="default" w:ascii="Times New Roman" w:hAnsi="Times New Roman" w:cs="Times New Roman"/>
                <w:color w:val="auto"/>
                <w:highlight w:val="none"/>
                <w:vertAlign w:val="baseline"/>
                <w:lang w:val="en-US" w:eastAsia="zh-CN"/>
              </w:rPr>
              <w:t>/</w:t>
            </w:r>
          </w:p>
        </w:tc>
        <w:tc>
          <w:tcPr>
            <w:tcW w:w="1585" w:type="dxa"/>
            <w:noWrap w:val="0"/>
            <w:vAlign w:val="center"/>
          </w:tcPr>
          <w:p>
            <w:pPr>
              <w:pStyle w:val="81"/>
              <w:bidi w:val="0"/>
              <w:spacing w:line="240" w:lineRule="auto"/>
              <w:rPr>
                <w:rFonts w:hint="default" w:ascii="Times New Roman" w:hAnsi="Times New Roman" w:eastAsia="宋体" w:cs="Times New Roman"/>
                <w:color w:val="auto"/>
                <w:kern w:val="0"/>
                <w:sz w:val="21"/>
                <w:szCs w:val="20"/>
                <w:highlight w:val="none"/>
                <w:vertAlign w:val="baseline"/>
                <w:lang w:val="en-US" w:eastAsia="zh-CN" w:bidi="ar-SA"/>
              </w:rPr>
            </w:pPr>
            <w:r>
              <w:rPr>
                <w:rFonts w:hint="default" w:ascii="Times New Roman" w:hAnsi="Times New Roman" w:cs="Times New Roman"/>
                <w:color w:val="auto"/>
                <w:highlight w:val="none"/>
                <w:vertAlign w:val="baseline"/>
                <w:lang w:val="en-US" w:eastAsia="zh-CN"/>
              </w:rPr>
              <w:t>/</w:t>
            </w:r>
          </w:p>
        </w:tc>
        <w:tc>
          <w:tcPr>
            <w:tcW w:w="1789" w:type="dxa"/>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w:t>
            </w:r>
          </w:p>
        </w:tc>
        <w:tc>
          <w:tcPr>
            <w:tcW w:w="1759" w:type="dxa"/>
            <w:noWrap w:val="0"/>
            <w:vAlign w:val="center"/>
          </w:tcPr>
          <w:p>
            <w:pPr>
              <w:pStyle w:val="81"/>
              <w:bidi w:val="0"/>
              <w:spacing w:line="240" w:lineRule="auto"/>
              <w:rPr>
                <w:rFonts w:hint="default" w:ascii="Times New Roman" w:hAnsi="Times New Roman" w:eastAsia="宋体" w:cs="Times New Roman"/>
                <w:color w:val="auto"/>
                <w:kern w:val="0"/>
                <w:sz w:val="21"/>
                <w:szCs w:val="20"/>
                <w:highlight w:val="none"/>
                <w:vertAlign w:val="baseline"/>
                <w:lang w:val="en-US" w:eastAsia="zh-CN" w:bidi="ar-SA"/>
              </w:rPr>
            </w:pPr>
            <w:r>
              <w:rPr>
                <w:rFonts w:hint="default" w:ascii="Times New Roman" w:hAnsi="Times New Roman" w:cs="Times New Roman"/>
                <w:color w:val="auto"/>
                <w:highlight w:val="none"/>
                <w:vertAlign w:val="baseline"/>
                <w:lang w:val="en-US" w:eastAsia="zh-CN"/>
              </w:rPr>
              <w:t>/</w:t>
            </w:r>
          </w:p>
        </w:tc>
        <w:tc>
          <w:tcPr>
            <w:tcW w:w="1073" w:type="dxa"/>
            <w:noWrap w:val="0"/>
            <w:vAlign w:val="center"/>
          </w:tcPr>
          <w:p>
            <w:pPr>
              <w:pStyle w:val="81"/>
              <w:bidi w:val="0"/>
              <w:spacing w:line="240" w:lineRule="auto"/>
              <w:rPr>
                <w:rFonts w:hint="default" w:ascii="Times New Roman" w:hAnsi="Times New Roman" w:eastAsia="宋体" w:cs="Times New Roman"/>
                <w:color w:val="auto"/>
                <w:kern w:val="0"/>
                <w:sz w:val="21"/>
                <w:szCs w:val="20"/>
                <w:highlight w:val="none"/>
                <w:vertAlign w:val="baseline"/>
                <w:lang w:val="en-US" w:eastAsia="zh-CN" w:bidi="ar-SA"/>
              </w:rPr>
            </w:pPr>
            <w:r>
              <w:rPr>
                <w:rFonts w:hint="default" w:ascii="Times New Roman" w:hAnsi="Times New Roman" w:cs="Times New Roman"/>
                <w:color w:val="auto"/>
                <w:highlight w:val="none"/>
                <w:vertAlign w:val="baseline"/>
                <w:lang w:val="en-US"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76" w:hRule="atLeast"/>
          <w:jc w:val="center"/>
        </w:trPr>
        <w:tc>
          <w:tcPr>
            <w:tcW w:w="1255" w:type="dxa"/>
            <w:vMerge w:val="restart"/>
            <w:noWrap w:val="0"/>
            <w:vAlign w:val="center"/>
          </w:tcPr>
          <w:p>
            <w:pPr>
              <w:pStyle w:val="81"/>
              <w:bidi w:val="0"/>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废水</w:t>
            </w:r>
          </w:p>
        </w:tc>
        <w:tc>
          <w:tcPr>
            <w:tcW w:w="1910" w:type="dxa"/>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COD</w:t>
            </w:r>
          </w:p>
        </w:tc>
        <w:tc>
          <w:tcPr>
            <w:tcW w:w="1617" w:type="dxa"/>
            <w:noWrap w:val="0"/>
            <w:vAlign w:val="center"/>
          </w:tcPr>
          <w:p>
            <w:pPr>
              <w:pStyle w:val="81"/>
              <w:bidi w:val="0"/>
              <w:spacing w:line="240" w:lineRule="auto"/>
              <w:rPr>
                <w:rFonts w:hint="default" w:ascii="Times New Roman" w:hAnsi="Times New Roman" w:cs="Times New Roman"/>
                <w:color w:val="auto"/>
                <w:highlight w:val="none"/>
                <w:vertAlign w:val="baseline"/>
                <w:lang w:val="en-US" w:eastAsia="zh-CN"/>
              </w:rPr>
            </w:pPr>
            <w:r>
              <w:rPr>
                <w:rFonts w:hint="eastAsia" w:ascii="Times New Roman" w:hAnsi="Times New Roman" w:cs="Times New Roman"/>
                <w:color w:val="auto"/>
                <w:highlight w:val="none"/>
                <w:vertAlign w:val="baseline"/>
                <w:lang w:val="en-US" w:eastAsia="zh-CN"/>
              </w:rPr>
              <w:t>0.16</w:t>
            </w:r>
            <w:r>
              <w:rPr>
                <w:rFonts w:hint="eastAsia" w:ascii="Times New Roman" w:hAnsi="Times New Roman" w:cs="Times New Roman"/>
                <w:color w:val="auto"/>
                <w:highlight w:val="none"/>
                <w:lang w:val="en-US" w:eastAsia="zh-CN"/>
              </w:rPr>
              <w:t>t/a</w:t>
            </w:r>
          </w:p>
        </w:tc>
        <w:tc>
          <w:tcPr>
            <w:tcW w:w="1298" w:type="dxa"/>
            <w:noWrap w:val="0"/>
            <w:vAlign w:val="center"/>
          </w:tcPr>
          <w:p>
            <w:pPr>
              <w:pStyle w:val="81"/>
              <w:bidi w:val="0"/>
              <w:spacing w:line="240" w:lineRule="auto"/>
              <w:rPr>
                <w:rFonts w:hint="default" w:ascii="Times New Roman" w:hAnsi="Times New Roman" w:eastAsia="宋体" w:cs="Times New Roman"/>
                <w:color w:val="auto"/>
                <w:highlight w:val="none"/>
                <w:lang w:val="en-US" w:eastAsia="zh-CN"/>
              </w:rPr>
            </w:pPr>
            <w:r>
              <w:rPr>
                <w:rFonts w:hint="eastAsia" w:ascii="Times New Roman" w:hAnsi="Times New Roman" w:cs="Times New Roman"/>
                <w:color w:val="auto"/>
                <w:highlight w:val="none"/>
                <w:vertAlign w:val="baseline"/>
                <w:lang w:val="en-US" w:eastAsia="zh-CN"/>
              </w:rPr>
              <w:t>0.16</w:t>
            </w:r>
            <w:r>
              <w:rPr>
                <w:rFonts w:hint="eastAsia" w:ascii="Times New Roman" w:hAnsi="Times New Roman" w:cs="Times New Roman"/>
                <w:color w:val="auto"/>
                <w:highlight w:val="none"/>
                <w:lang w:val="en-US" w:eastAsia="zh-CN"/>
              </w:rPr>
              <w:t>t/a</w:t>
            </w:r>
          </w:p>
        </w:tc>
        <w:tc>
          <w:tcPr>
            <w:tcW w:w="1728" w:type="dxa"/>
            <w:noWrap w:val="0"/>
            <w:vAlign w:val="center"/>
          </w:tcPr>
          <w:p>
            <w:pPr>
              <w:pStyle w:val="81"/>
              <w:bidi w:val="0"/>
              <w:spacing w:line="240" w:lineRule="auto"/>
              <w:rPr>
                <w:rFonts w:hint="default" w:ascii="Times New Roman" w:hAnsi="Times New Roman" w:eastAsia="宋体" w:cs="Times New Roman"/>
                <w:color w:val="auto"/>
                <w:highlight w:val="none"/>
                <w:lang w:val="en-US" w:eastAsia="zh-CN"/>
              </w:rPr>
            </w:pPr>
            <w:r>
              <w:rPr>
                <w:rFonts w:hint="default" w:ascii="Times New Roman" w:hAnsi="Times New Roman" w:cs="Times New Roman"/>
                <w:color w:val="auto"/>
                <w:highlight w:val="none"/>
                <w:lang w:val="en-US" w:eastAsia="zh-CN"/>
              </w:rPr>
              <w:t>/</w:t>
            </w:r>
          </w:p>
        </w:tc>
        <w:tc>
          <w:tcPr>
            <w:tcW w:w="1585" w:type="dxa"/>
            <w:noWrap w:val="0"/>
            <w:vAlign w:val="center"/>
          </w:tcPr>
          <w:p>
            <w:pPr>
              <w:pStyle w:val="81"/>
              <w:bidi w:val="0"/>
              <w:spacing w:line="240" w:lineRule="auto"/>
              <w:rPr>
                <w:rFonts w:hint="default" w:ascii="Times New Roman" w:hAnsi="Times New Roman" w:eastAsia="宋体" w:cs="Times New Roman"/>
                <w:color w:val="auto"/>
                <w:kern w:val="0"/>
                <w:sz w:val="21"/>
                <w:szCs w:val="20"/>
                <w:highlight w:val="none"/>
                <w:vertAlign w:val="baseline"/>
                <w:lang w:val="en-US" w:eastAsia="zh-CN" w:bidi="ar-SA"/>
              </w:rPr>
            </w:pPr>
            <w:r>
              <w:rPr>
                <w:rFonts w:hint="default" w:ascii="Times New Roman" w:hAnsi="Times New Roman" w:cs="Times New Roman"/>
                <w:color w:val="auto"/>
                <w:highlight w:val="none"/>
                <w:vertAlign w:val="baseline"/>
                <w:lang w:val="en-US" w:eastAsia="zh-CN"/>
              </w:rPr>
              <w:t>/</w:t>
            </w:r>
          </w:p>
        </w:tc>
        <w:tc>
          <w:tcPr>
            <w:tcW w:w="1789" w:type="dxa"/>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w:t>
            </w:r>
          </w:p>
        </w:tc>
        <w:tc>
          <w:tcPr>
            <w:tcW w:w="1759" w:type="dxa"/>
            <w:noWrap w:val="0"/>
            <w:vAlign w:val="center"/>
          </w:tcPr>
          <w:p>
            <w:pPr>
              <w:pStyle w:val="81"/>
              <w:bidi w:val="0"/>
              <w:spacing w:line="240" w:lineRule="auto"/>
              <w:rPr>
                <w:rFonts w:hint="default" w:ascii="Times New Roman" w:hAnsi="Times New Roman" w:eastAsia="宋体" w:cs="Times New Roman"/>
                <w:color w:val="auto"/>
                <w:kern w:val="0"/>
                <w:sz w:val="21"/>
                <w:szCs w:val="20"/>
                <w:highlight w:val="none"/>
                <w:vertAlign w:val="baseline"/>
                <w:lang w:val="en-US" w:eastAsia="zh-CN" w:bidi="ar-SA"/>
              </w:rPr>
            </w:pPr>
            <w:r>
              <w:rPr>
                <w:rFonts w:hint="eastAsia" w:ascii="Times New Roman" w:hAnsi="Times New Roman" w:cs="Times New Roman"/>
                <w:color w:val="auto"/>
                <w:highlight w:val="none"/>
                <w:vertAlign w:val="baseline"/>
                <w:lang w:val="en-US" w:eastAsia="zh-CN"/>
              </w:rPr>
              <w:t>0.16</w:t>
            </w:r>
            <w:r>
              <w:rPr>
                <w:rFonts w:hint="eastAsia" w:ascii="Times New Roman" w:hAnsi="Times New Roman" w:cs="Times New Roman"/>
                <w:color w:val="auto"/>
                <w:highlight w:val="none"/>
                <w:lang w:val="en-US" w:eastAsia="zh-CN"/>
              </w:rPr>
              <w:t>t/a</w:t>
            </w:r>
          </w:p>
        </w:tc>
        <w:tc>
          <w:tcPr>
            <w:tcW w:w="1073" w:type="dxa"/>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0t/a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75" w:hRule="atLeast"/>
          <w:jc w:val="center"/>
        </w:trPr>
        <w:tc>
          <w:tcPr>
            <w:tcW w:w="1255" w:type="dxa"/>
            <w:vMerge w:val="continue"/>
            <w:noWrap w:val="0"/>
            <w:vAlign w:val="center"/>
          </w:tcPr>
          <w:p>
            <w:pPr>
              <w:pStyle w:val="81"/>
              <w:bidi w:val="0"/>
              <w:spacing w:line="240" w:lineRule="auto"/>
              <w:rPr>
                <w:rFonts w:hint="default" w:ascii="Times New Roman" w:hAnsi="Times New Roman" w:cs="Times New Roman"/>
                <w:color w:val="auto"/>
                <w:highlight w:val="none"/>
              </w:rPr>
            </w:pPr>
          </w:p>
        </w:tc>
        <w:tc>
          <w:tcPr>
            <w:tcW w:w="1910" w:type="dxa"/>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SS</w:t>
            </w:r>
          </w:p>
        </w:tc>
        <w:tc>
          <w:tcPr>
            <w:tcW w:w="1617" w:type="dxa"/>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w:t>
            </w:r>
          </w:p>
        </w:tc>
        <w:tc>
          <w:tcPr>
            <w:tcW w:w="1298" w:type="dxa"/>
            <w:noWrap w:val="0"/>
            <w:vAlign w:val="center"/>
          </w:tcPr>
          <w:p>
            <w:pPr>
              <w:pStyle w:val="81"/>
              <w:bidi w:val="0"/>
              <w:spacing w:line="240" w:lineRule="auto"/>
              <w:rPr>
                <w:rFonts w:hint="default" w:ascii="Times New Roman" w:hAnsi="Times New Roman" w:eastAsia="宋体" w:cs="Times New Roman"/>
                <w:color w:val="auto"/>
                <w:highlight w:val="none"/>
                <w:lang w:val="en-US" w:eastAsia="zh-CN"/>
              </w:rPr>
            </w:pPr>
            <w:r>
              <w:rPr>
                <w:rFonts w:hint="default" w:ascii="Times New Roman" w:hAnsi="Times New Roman" w:cs="Times New Roman"/>
                <w:color w:val="auto"/>
                <w:highlight w:val="none"/>
                <w:lang w:val="en-US" w:eastAsia="zh-CN"/>
              </w:rPr>
              <w:t>/</w:t>
            </w:r>
          </w:p>
        </w:tc>
        <w:tc>
          <w:tcPr>
            <w:tcW w:w="1728" w:type="dxa"/>
            <w:noWrap w:val="0"/>
            <w:vAlign w:val="center"/>
          </w:tcPr>
          <w:p>
            <w:pPr>
              <w:pStyle w:val="81"/>
              <w:bidi w:val="0"/>
              <w:spacing w:line="240" w:lineRule="auto"/>
              <w:rPr>
                <w:rFonts w:hint="default" w:ascii="Times New Roman" w:hAnsi="Times New Roman" w:eastAsia="宋体" w:cs="Times New Roman"/>
                <w:color w:val="auto"/>
                <w:highlight w:val="none"/>
                <w:lang w:val="en-US" w:eastAsia="zh-CN"/>
              </w:rPr>
            </w:pPr>
            <w:r>
              <w:rPr>
                <w:rFonts w:hint="default" w:ascii="Times New Roman" w:hAnsi="Times New Roman" w:cs="Times New Roman"/>
                <w:color w:val="auto"/>
                <w:highlight w:val="none"/>
                <w:lang w:val="en-US" w:eastAsia="zh-CN"/>
              </w:rPr>
              <w:t>/</w:t>
            </w:r>
          </w:p>
        </w:tc>
        <w:tc>
          <w:tcPr>
            <w:tcW w:w="1585" w:type="dxa"/>
            <w:noWrap w:val="0"/>
            <w:vAlign w:val="center"/>
          </w:tcPr>
          <w:p>
            <w:pPr>
              <w:pStyle w:val="81"/>
              <w:bidi w:val="0"/>
              <w:spacing w:line="240" w:lineRule="auto"/>
              <w:rPr>
                <w:rFonts w:hint="default" w:ascii="Times New Roman" w:hAnsi="Times New Roman" w:eastAsia="宋体" w:cs="Times New Roman"/>
                <w:color w:val="auto"/>
                <w:kern w:val="0"/>
                <w:sz w:val="21"/>
                <w:szCs w:val="20"/>
                <w:highlight w:val="none"/>
                <w:vertAlign w:val="baseline"/>
                <w:lang w:val="en-US" w:eastAsia="zh-CN" w:bidi="ar-SA"/>
              </w:rPr>
            </w:pPr>
            <w:r>
              <w:rPr>
                <w:rFonts w:hint="default" w:ascii="Times New Roman" w:hAnsi="Times New Roman" w:cs="Times New Roman"/>
                <w:color w:val="auto"/>
                <w:highlight w:val="none"/>
                <w:vertAlign w:val="baseline"/>
                <w:lang w:val="en-US" w:eastAsia="zh-CN"/>
              </w:rPr>
              <w:t>/</w:t>
            </w:r>
          </w:p>
        </w:tc>
        <w:tc>
          <w:tcPr>
            <w:tcW w:w="1789" w:type="dxa"/>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w:t>
            </w:r>
          </w:p>
        </w:tc>
        <w:tc>
          <w:tcPr>
            <w:tcW w:w="1759" w:type="dxa"/>
            <w:noWrap w:val="0"/>
            <w:vAlign w:val="center"/>
          </w:tcPr>
          <w:p>
            <w:pPr>
              <w:pStyle w:val="81"/>
              <w:bidi w:val="0"/>
              <w:spacing w:line="240" w:lineRule="auto"/>
              <w:rPr>
                <w:rFonts w:hint="default" w:ascii="Times New Roman" w:hAnsi="Times New Roman" w:eastAsia="宋体" w:cs="Times New Roman"/>
                <w:color w:val="auto"/>
                <w:kern w:val="0"/>
                <w:sz w:val="21"/>
                <w:szCs w:val="20"/>
                <w:highlight w:val="none"/>
                <w:vertAlign w:val="baseline"/>
                <w:lang w:val="en-US" w:eastAsia="zh-CN" w:bidi="ar-SA"/>
              </w:rPr>
            </w:pPr>
            <w:r>
              <w:rPr>
                <w:rFonts w:hint="default" w:ascii="Times New Roman" w:hAnsi="Times New Roman" w:cs="Times New Roman"/>
                <w:color w:val="auto"/>
                <w:highlight w:val="none"/>
                <w:lang w:val="en-US" w:eastAsia="zh-CN"/>
              </w:rPr>
              <w:t>/</w:t>
            </w:r>
          </w:p>
        </w:tc>
        <w:tc>
          <w:tcPr>
            <w:tcW w:w="1073" w:type="dxa"/>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49" w:hRule="atLeast"/>
          <w:jc w:val="center"/>
        </w:trPr>
        <w:tc>
          <w:tcPr>
            <w:tcW w:w="1255" w:type="dxa"/>
            <w:vMerge w:val="continue"/>
            <w:noWrap w:val="0"/>
            <w:vAlign w:val="center"/>
          </w:tcPr>
          <w:p>
            <w:pPr>
              <w:pStyle w:val="81"/>
              <w:bidi w:val="0"/>
              <w:spacing w:line="240" w:lineRule="auto"/>
              <w:rPr>
                <w:rFonts w:hint="default" w:ascii="Times New Roman" w:hAnsi="Times New Roman" w:cs="Times New Roman"/>
                <w:color w:val="auto"/>
                <w:highlight w:val="none"/>
              </w:rPr>
            </w:pPr>
          </w:p>
        </w:tc>
        <w:tc>
          <w:tcPr>
            <w:tcW w:w="1910" w:type="dxa"/>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氨氮</w:t>
            </w:r>
          </w:p>
        </w:tc>
        <w:tc>
          <w:tcPr>
            <w:tcW w:w="1617" w:type="dxa"/>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0.01t/a</w:t>
            </w:r>
          </w:p>
        </w:tc>
        <w:tc>
          <w:tcPr>
            <w:tcW w:w="1298" w:type="dxa"/>
            <w:noWrap w:val="0"/>
            <w:vAlign w:val="center"/>
          </w:tcPr>
          <w:p>
            <w:pPr>
              <w:pStyle w:val="81"/>
              <w:bidi w:val="0"/>
              <w:spacing w:line="240" w:lineRule="auto"/>
              <w:rPr>
                <w:rFonts w:hint="default" w:ascii="Times New Roman" w:hAnsi="Times New Roman" w:eastAsia="宋体" w:cs="Times New Roman"/>
                <w:color w:val="auto"/>
                <w:highlight w:val="none"/>
                <w:lang w:val="en-US" w:eastAsia="zh-CN"/>
              </w:rPr>
            </w:pPr>
            <w:r>
              <w:rPr>
                <w:rFonts w:hint="eastAsia" w:ascii="Times New Roman" w:hAnsi="Times New Roman" w:cs="Times New Roman"/>
                <w:color w:val="auto"/>
                <w:highlight w:val="none"/>
                <w:lang w:val="en-US" w:eastAsia="zh-CN"/>
              </w:rPr>
              <w:t>0.01t/a</w:t>
            </w:r>
          </w:p>
        </w:tc>
        <w:tc>
          <w:tcPr>
            <w:tcW w:w="1728" w:type="dxa"/>
            <w:noWrap w:val="0"/>
            <w:vAlign w:val="center"/>
          </w:tcPr>
          <w:p>
            <w:pPr>
              <w:pStyle w:val="81"/>
              <w:bidi w:val="0"/>
              <w:spacing w:line="240" w:lineRule="auto"/>
              <w:rPr>
                <w:rFonts w:hint="default" w:ascii="Times New Roman" w:hAnsi="Times New Roman" w:eastAsia="宋体" w:cs="Times New Roman"/>
                <w:color w:val="auto"/>
                <w:highlight w:val="none"/>
                <w:lang w:val="en-US" w:eastAsia="zh-CN"/>
              </w:rPr>
            </w:pPr>
            <w:r>
              <w:rPr>
                <w:rFonts w:hint="default" w:ascii="Times New Roman" w:hAnsi="Times New Roman" w:cs="Times New Roman"/>
                <w:color w:val="auto"/>
                <w:highlight w:val="none"/>
                <w:lang w:val="en-US" w:eastAsia="zh-CN"/>
              </w:rPr>
              <w:t>/</w:t>
            </w:r>
          </w:p>
        </w:tc>
        <w:tc>
          <w:tcPr>
            <w:tcW w:w="1585" w:type="dxa"/>
            <w:noWrap w:val="0"/>
            <w:vAlign w:val="center"/>
          </w:tcPr>
          <w:p>
            <w:pPr>
              <w:pStyle w:val="81"/>
              <w:bidi w:val="0"/>
              <w:spacing w:line="240" w:lineRule="auto"/>
              <w:rPr>
                <w:rFonts w:hint="default" w:ascii="Times New Roman" w:hAnsi="Times New Roman" w:eastAsia="宋体" w:cs="Times New Roman"/>
                <w:color w:val="auto"/>
                <w:kern w:val="0"/>
                <w:sz w:val="21"/>
                <w:szCs w:val="20"/>
                <w:highlight w:val="none"/>
                <w:vertAlign w:val="baseline"/>
                <w:lang w:val="en-US" w:eastAsia="zh-CN" w:bidi="ar-SA"/>
              </w:rPr>
            </w:pPr>
            <w:r>
              <w:rPr>
                <w:rFonts w:hint="default" w:ascii="Times New Roman" w:hAnsi="Times New Roman" w:cs="Times New Roman"/>
                <w:color w:val="auto"/>
                <w:highlight w:val="none"/>
                <w:vertAlign w:val="baseline"/>
                <w:lang w:val="en-US" w:eastAsia="zh-CN"/>
              </w:rPr>
              <w:t>/</w:t>
            </w:r>
          </w:p>
        </w:tc>
        <w:tc>
          <w:tcPr>
            <w:tcW w:w="1789" w:type="dxa"/>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w:t>
            </w:r>
          </w:p>
        </w:tc>
        <w:tc>
          <w:tcPr>
            <w:tcW w:w="1759" w:type="dxa"/>
            <w:noWrap w:val="0"/>
            <w:vAlign w:val="center"/>
          </w:tcPr>
          <w:p>
            <w:pPr>
              <w:pStyle w:val="81"/>
              <w:bidi w:val="0"/>
              <w:spacing w:line="240" w:lineRule="auto"/>
              <w:rPr>
                <w:rFonts w:hint="default" w:ascii="Times New Roman" w:hAnsi="Times New Roman" w:eastAsia="宋体" w:cs="Times New Roman"/>
                <w:color w:val="auto"/>
                <w:kern w:val="0"/>
                <w:sz w:val="21"/>
                <w:szCs w:val="20"/>
                <w:highlight w:val="none"/>
                <w:vertAlign w:val="baseline"/>
                <w:lang w:val="en-US" w:eastAsia="zh-CN" w:bidi="ar-SA"/>
              </w:rPr>
            </w:pPr>
            <w:r>
              <w:rPr>
                <w:rFonts w:hint="eastAsia" w:ascii="Times New Roman" w:hAnsi="Times New Roman" w:cs="Times New Roman"/>
                <w:color w:val="auto"/>
                <w:highlight w:val="none"/>
                <w:lang w:val="en-US" w:eastAsia="zh-CN"/>
              </w:rPr>
              <w:t>0.01t/a</w:t>
            </w:r>
          </w:p>
        </w:tc>
        <w:tc>
          <w:tcPr>
            <w:tcW w:w="1073" w:type="dxa"/>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0t/a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75" w:hRule="atLeast"/>
          <w:jc w:val="center"/>
        </w:trPr>
        <w:tc>
          <w:tcPr>
            <w:tcW w:w="1255" w:type="dxa"/>
            <w:vMerge w:val="continue"/>
            <w:noWrap w:val="0"/>
            <w:vAlign w:val="center"/>
          </w:tcPr>
          <w:p>
            <w:pPr>
              <w:pStyle w:val="81"/>
              <w:bidi w:val="0"/>
              <w:spacing w:line="240" w:lineRule="auto"/>
              <w:rPr>
                <w:rFonts w:hint="default" w:ascii="Times New Roman" w:hAnsi="Times New Roman" w:cs="Times New Roman"/>
                <w:color w:val="auto"/>
                <w:highlight w:val="none"/>
              </w:rPr>
            </w:pPr>
          </w:p>
        </w:tc>
        <w:tc>
          <w:tcPr>
            <w:tcW w:w="1910" w:type="dxa"/>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BOD</w:t>
            </w:r>
            <w:r>
              <w:rPr>
                <w:rFonts w:hint="default" w:ascii="Times New Roman" w:hAnsi="Times New Roman" w:cs="Times New Roman"/>
                <w:color w:val="auto"/>
                <w:highlight w:val="none"/>
                <w:vertAlign w:val="subscript"/>
                <w:lang w:val="en-US" w:eastAsia="zh-CN"/>
              </w:rPr>
              <w:t>5</w:t>
            </w:r>
          </w:p>
        </w:tc>
        <w:tc>
          <w:tcPr>
            <w:tcW w:w="1617" w:type="dxa"/>
            <w:noWrap w:val="0"/>
            <w:vAlign w:val="center"/>
          </w:tcPr>
          <w:p>
            <w:pPr>
              <w:pStyle w:val="81"/>
              <w:bidi w:val="0"/>
              <w:spacing w:line="240" w:lineRule="auto"/>
              <w:rPr>
                <w:rFonts w:hint="default" w:ascii="Times New Roman" w:hAnsi="Times New Roman" w:eastAsia="宋体" w:cs="Times New Roman"/>
                <w:color w:val="auto"/>
                <w:kern w:val="0"/>
                <w:sz w:val="21"/>
                <w:szCs w:val="20"/>
                <w:highlight w:val="none"/>
                <w:lang w:val="en-US" w:eastAsia="zh-CN" w:bidi="ar-SA"/>
              </w:rPr>
            </w:pPr>
            <w:r>
              <w:rPr>
                <w:rFonts w:hint="default" w:ascii="Times New Roman" w:hAnsi="Times New Roman" w:cs="Times New Roman"/>
                <w:color w:val="auto"/>
                <w:highlight w:val="none"/>
                <w:lang w:val="en-US" w:eastAsia="zh-CN"/>
              </w:rPr>
              <w:t>/</w:t>
            </w:r>
          </w:p>
        </w:tc>
        <w:tc>
          <w:tcPr>
            <w:tcW w:w="1298" w:type="dxa"/>
            <w:noWrap w:val="0"/>
            <w:vAlign w:val="center"/>
          </w:tcPr>
          <w:p>
            <w:pPr>
              <w:pStyle w:val="81"/>
              <w:bidi w:val="0"/>
              <w:spacing w:line="240" w:lineRule="auto"/>
              <w:rPr>
                <w:rFonts w:hint="default" w:ascii="Times New Roman" w:hAnsi="Times New Roman" w:eastAsia="宋体" w:cs="Times New Roman"/>
                <w:color w:val="auto"/>
                <w:highlight w:val="none"/>
                <w:lang w:val="en-US" w:eastAsia="zh-CN"/>
              </w:rPr>
            </w:pPr>
            <w:r>
              <w:rPr>
                <w:rFonts w:hint="default" w:ascii="Times New Roman" w:hAnsi="Times New Roman" w:cs="Times New Roman"/>
                <w:color w:val="auto"/>
                <w:highlight w:val="none"/>
                <w:lang w:val="en-US" w:eastAsia="zh-CN"/>
              </w:rPr>
              <w:t>/</w:t>
            </w:r>
          </w:p>
        </w:tc>
        <w:tc>
          <w:tcPr>
            <w:tcW w:w="1728" w:type="dxa"/>
            <w:noWrap w:val="0"/>
            <w:vAlign w:val="center"/>
          </w:tcPr>
          <w:p>
            <w:pPr>
              <w:pStyle w:val="81"/>
              <w:bidi w:val="0"/>
              <w:spacing w:line="240" w:lineRule="auto"/>
              <w:rPr>
                <w:rFonts w:hint="default" w:ascii="Times New Roman" w:hAnsi="Times New Roman" w:eastAsia="宋体" w:cs="Times New Roman"/>
                <w:color w:val="auto"/>
                <w:highlight w:val="none"/>
                <w:lang w:val="en-US" w:eastAsia="zh-CN"/>
              </w:rPr>
            </w:pPr>
            <w:r>
              <w:rPr>
                <w:rFonts w:hint="default" w:ascii="Times New Roman" w:hAnsi="Times New Roman" w:cs="Times New Roman"/>
                <w:color w:val="auto"/>
                <w:highlight w:val="none"/>
                <w:lang w:val="en-US" w:eastAsia="zh-CN"/>
              </w:rPr>
              <w:t>/</w:t>
            </w:r>
          </w:p>
        </w:tc>
        <w:tc>
          <w:tcPr>
            <w:tcW w:w="1585" w:type="dxa"/>
            <w:noWrap w:val="0"/>
            <w:vAlign w:val="center"/>
          </w:tcPr>
          <w:p>
            <w:pPr>
              <w:pStyle w:val="81"/>
              <w:bidi w:val="0"/>
              <w:spacing w:line="240" w:lineRule="auto"/>
              <w:rPr>
                <w:rFonts w:hint="default" w:ascii="Times New Roman" w:hAnsi="Times New Roman" w:eastAsia="宋体" w:cs="Times New Roman"/>
                <w:color w:val="auto"/>
                <w:kern w:val="0"/>
                <w:sz w:val="21"/>
                <w:szCs w:val="20"/>
                <w:highlight w:val="none"/>
                <w:vertAlign w:val="baseline"/>
                <w:lang w:val="en-US" w:eastAsia="zh-CN" w:bidi="ar-SA"/>
              </w:rPr>
            </w:pPr>
            <w:r>
              <w:rPr>
                <w:rFonts w:hint="default" w:ascii="Times New Roman" w:hAnsi="Times New Roman" w:cs="Times New Roman"/>
                <w:color w:val="auto"/>
                <w:highlight w:val="none"/>
                <w:vertAlign w:val="baseline"/>
                <w:lang w:val="en-US" w:eastAsia="zh-CN"/>
              </w:rPr>
              <w:t>/</w:t>
            </w:r>
          </w:p>
        </w:tc>
        <w:tc>
          <w:tcPr>
            <w:tcW w:w="1789" w:type="dxa"/>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w:t>
            </w:r>
          </w:p>
        </w:tc>
        <w:tc>
          <w:tcPr>
            <w:tcW w:w="1759" w:type="dxa"/>
            <w:noWrap w:val="0"/>
            <w:vAlign w:val="center"/>
          </w:tcPr>
          <w:p>
            <w:pPr>
              <w:pStyle w:val="81"/>
              <w:bidi w:val="0"/>
              <w:spacing w:line="240" w:lineRule="auto"/>
              <w:rPr>
                <w:rFonts w:hint="default" w:ascii="Times New Roman" w:hAnsi="Times New Roman" w:eastAsia="宋体" w:cs="Times New Roman"/>
                <w:color w:val="auto"/>
                <w:kern w:val="0"/>
                <w:sz w:val="21"/>
                <w:szCs w:val="20"/>
                <w:highlight w:val="none"/>
                <w:vertAlign w:val="baseline"/>
                <w:lang w:val="en-US" w:eastAsia="zh-CN" w:bidi="ar-SA"/>
              </w:rPr>
            </w:pPr>
            <w:r>
              <w:rPr>
                <w:rFonts w:hint="default" w:ascii="Times New Roman" w:hAnsi="Times New Roman" w:cs="Times New Roman"/>
                <w:color w:val="auto"/>
                <w:highlight w:val="none"/>
                <w:vertAlign w:val="baseline"/>
                <w:lang w:val="en-US" w:eastAsia="zh-CN"/>
              </w:rPr>
              <w:t>/</w:t>
            </w:r>
          </w:p>
        </w:tc>
        <w:tc>
          <w:tcPr>
            <w:tcW w:w="1073" w:type="dxa"/>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255" w:type="dxa"/>
            <w:vMerge w:val="restart"/>
            <w:noWrap w:val="0"/>
            <w:vAlign w:val="center"/>
          </w:tcPr>
          <w:p>
            <w:pPr>
              <w:pStyle w:val="81"/>
              <w:bidi w:val="0"/>
              <w:spacing w:line="240" w:lineRule="auto"/>
              <w:rPr>
                <w:rFonts w:hint="default" w:ascii="Times New Roman" w:hAnsi="Times New Roman" w:cs="Times New Roman"/>
                <w:color w:val="auto"/>
                <w:highlight w:val="none"/>
              </w:rPr>
            </w:pPr>
            <w:r>
              <w:rPr>
                <w:rFonts w:hint="default" w:ascii="Times New Roman" w:hAnsi="Times New Roman" w:cs="Times New Roman"/>
                <w:color w:val="auto"/>
                <w:highlight w:val="none"/>
              </w:rPr>
              <w:t>危险废物</w:t>
            </w:r>
          </w:p>
        </w:tc>
        <w:tc>
          <w:tcPr>
            <w:tcW w:w="1910" w:type="dxa"/>
            <w:noWrap w:val="0"/>
            <w:vAlign w:val="center"/>
          </w:tcPr>
          <w:p>
            <w:pPr>
              <w:pStyle w:val="60"/>
              <w:bidi w:val="0"/>
              <w:spacing w:line="240" w:lineRule="auto"/>
              <w:ind w:firstLine="0" w:firstLineChars="0"/>
              <w:rPr>
                <w:rFonts w:hint="default" w:ascii="Times New Roman" w:hAnsi="Times New Roman" w:cs="Times New Roman"/>
                <w:color w:val="auto"/>
                <w:highlight w:val="none"/>
                <w:lang w:val="en-US" w:eastAsia="zh-CN"/>
              </w:rPr>
            </w:pPr>
            <w:r>
              <w:rPr>
                <w:rFonts w:hint="eastAsia" w:cs="Times New Roman"/>
                <w:color w:val="auto"/>
                <w:highlight w:val="none"/>
                <w:lang w:val="en-US" w:eastAsia="zh-CN"/>
              </w:rPr>
              <w:t>边角料、金属屑、废焊头</w:t>
            </w:r>
          </w:p>
        </w:tc>
        <w:tc>
          <w:tcPr>
            <w:tcW w:w="1617" w:type="dxa"/>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0.55t/a</w:t>
            </w:r>
          </w:p>
        </w:tc>
        <w:tc>
          <w:tcPr>
            <w:tcW w:w="1298" w:type="dxa"/>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0.55t/a</w:t>
            </w:r>
          </w:p>
        </w:tc>
        <w:tc>
          <w:tcPr>
            <w:tcW w:w="1728" w:type="dxa"/>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w:t>
            </w:r>
          </w:p>
        </w:tc>
        <w:tc>
          <w:tcPr>
            <w:tcW w:w="1585" w:type="dxa"/>
            <w:noWrap w:val="0"/>
            <w:vAlign w:val="center"/>
          </w:tcPr>
          <w:p>
            <w:pPr>
              <w:pStyle w:val="81"/>
              <w:spacing w:line="240" w:lineRule="auto"/>
              <w:ind w:firstLine="0" w:firstLineChars="0"/>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0.05t/a</w:t>
            </w:r>
          </w:p>
        </w:tc>
        <w:tc>
          <w:tcPr>
            <w:tcW w:w="1789" w:type="dxa"/>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w:t>
            </w:r>
          </w:p>
        </w:tc>
        <w:tc>
          <w:tcPr>
            <w:tcW w:w="1759" w:type="dxa"/>
            <w:noWrap w:val="0"/>
            <w:vAlign w:val="center"/>
          </w:tcPr>
          <w:p>
            <w:pPr>
              <w:pStyle w:val="81"/>
              <w:spacing w:line="240" w:lineRule="auto"/>
              <w:ind w:firstLine="0" w:firstLineChars="0"/>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0.6t/a</w:t>
            </w:r>
          </w:p>
        </w:tc>
        <w:tc>
          <w:tcPr>
            <w:tcW w:w="1073" w:type="dxa"/>
            <w:noWrap w:val="0"/>
            <w:vAlign w:val="center"/>
          </w:tcPr>
          <w:p>
            <w:pPr>
              <w:pStyle w:val="81"/>
              <w:spacing w:line="240" w:lineRule="auto"/>
              <w:ind w:firstLine="0" w:firstLineChars="0"/>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+0.05t/a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07" w:hRule="atLeast"/>
          <w:jc w:val="center"/>
        </w:trPr>
        <w:tc>
          <w:tcPr>
            <w:tcW w:w="1255" w:type="dxa"/>
            <w:vMerge w:val="continue"/>
            <w:noWrap w:val="0"/>
            <w:vAlign w:val="center"/>
          </w:tcPr>
          <w:p>
            <w:pPr>
              <w:pStyle w:val="81"/>
              <w:bidi w:val="0"/>
              <w:spacing w:line="240" w:lineRule="auto"/>
              <w:rPr>
                <w:rFonts w:hint="default" w:ascii="Times New Roman" w:hAnsi="Times New Roman" w:cs="Times New Roman"/>
                <w:color w:val="auto"/>
                <w:highlight w:val="none"/>
              </w:rPr>
            </w:pPr>
          </w:p>
        </w:tc>
        <w:tc>
          <w:tcPr>
            <w:tcW w:w="1910" w:type="dxa"/>
            <w:noWrap w:val="0"/>
            <w:vAlign w:val="center"/>
          </w:tcPr>
          <w:p>
            <w:pPr>
              <w:pStyle w:val="60"/>
              <w:bidi w:val="0"/>
              <w:spacing w:line="240" w:lineRule="auto"/>
              <w:ind w:firstLine="0" w:firstLineChars="0"/>
              <w:rPr>
                <w:rFonts w:hint="default" w:ascii="Times New Roman" w:hAnsi="Times New Roman" w:cs="Times New Roman"/>
                <w:color w:val="auto"/>
                <w:highlight w:val="none"/>
                <w:lang w:val="en-US" w:eastAsia="zh-CN"/>
              </w:rPr>
            </w:pPr>
            <w:r>
              <w:rPr>
                <w:rFonts w:hint="eastAsia" w:cs="Times New Roman"/>
                <w:color w:val="auto"/>
                <w:highlight w:val="none"/>
                <w:lang w:val="en-US" w:eastAsia="zh-CN"/>
              </w:rPr>
              <w:t>废抹布</w:t>
            </w:r>
          </w:p>
        </w:tc>
        <w:tc>
          <w:tcPr>
            <w:tcW w:w="1617" w:type="dxa"/>
            <w:noWrap w:val="0"/>
            <w:vAlign w:val="center"/>
          </w:tcPr>
          <w:p>
            <w:pPr>
              <w:pStyle w:val="81"/>
              <w:bidi w:val="0"/>
              <w:spacing w:line="240" w:lineRule="auto"/>
              <w:rPr>
                <w:rFonts w:hint="default" w:ascii="Times New Roman" w:hAnsi="Times New Roman" w:eastAsia="宋体" w:cs="Times New Roman"/>
                <w:color w:val="auto"/>
                <w:kern w:val="0"/>
                <w:sz w:val="21"/>
                <w:szCs w:val="20"/>
                <w:highlight w:val="none"/>
                <w:lang w:val="en-US" w:eastAsia="zh-CN" w:bidi="ar-SA"/>
              </w:rPr>
            </w:pPr>
            <w:r>
              <w:rPr>
                <w:rFonts w:hint="eastAsia" w:ascii="Times New Roman" w:hAnsi="Times New Roman" w:cs="Times New Roman"/>
                <w:color w:val="auto"/>
                <w:highlight w:val="none"/>
                <w:lang w:val="en-US" w:eastAsia="zh-CN"/>
              </w:rPr>
              <w:t>0.02t/a</w:t>
            </w:r>
          </w:p>
        </w:tc>
        <w:tc>
          <w:tcPr>
            <w:tcW w:w="1298" w:type="dxa"/>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0.02t/a</w:t>
            </w:r>
          </w:p>
        </w:tc>
        <w:tc>
          <w:tcPr>
            <w:tcW w:w="1728" w:type="dxa"/>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w:t>
            </w:r>
          </w:p>
        </w:tc>
        <w:tc>
          <w:tcPr>
            <w:tcW w:w="1585" w:type="dxa"/>
            <w:noWrap w:val="0"/>
            <w:vAlign w:val="center"/>
          </w:tcPr>
          <w:p>
            <w:pPr>
              <w:pStyle w:val="81"/>
              <w:spacing w:line="240" w:lineRule="auto"/>
              <w:ind w:firstLine="0" w:firstLineChars="0"/>
              <w:rPr>
                <w:rFonts w:hint="default" w:ascii="Times New Roman" w:hAnsi="Times New Roman" w:eastAsia="宋体" w:cs="Times New Roman"/>
                <w:color w:val="auto"/>
                <w:highlight w:val="none"/>
                <w:lang w:val="en-US" w:eastAsia="zh-CN"/>
              </w:rPr>
            </w:pPr>
            <w:r>
              <w:rPr>
                <w:rFonts w:hint="eastAsia" w:ascii="Times New Roman" w:hAnsi="Times New Roman" w:cs="Times New Roman"/>
                <w:color w:val="auto"/>
                <w:highlight w:val="none"/>
                <w:lang w:val="en-US" w:eastAsia="zh-CN"/>
              </w:rPr>
              <w:t>0.001t/a</w:t>
            </w:r>
          </w:p>
        </w:tc>
        <w:tc>
          <w:tcPr>
            <w:tcW w:w="1789" w:type="dxa"/>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w:t>
            </w:r>
          </w:p>
        </w:tc>
        <w:tc>
          <w:tcPr>
            <w:tcW w:w="1759" w:type="dxa"/>
            <w:noWrap w:val="0"/>
            <w:vAlign w:val="center"/>
          </w:tcPr>
          <w:p>
            <w:pPr>
              <w:pStyle w:val="81"/>
              <w:spacing w:line="240" w:lineRule="auto"/>
              <w:ind w:firstLine="0" w:firstLineChars="0"/>
              <w:rPr>
                <w:rFonts w:hint="default" w:ascii="Times New Roman" w:hAnsi="Times New Roman" w:eastAsia="宋体" w:cs="Times New Roman"/>
                <w:color w:val="auto"/>
                <w:kern w:val="0"/>
                <w:sz w:val="21"/>
                <w:szCs w:val="20"/>
                <w:highlight w:val="none"/>
                <w:lang w:val="en-US" w:eastAsia="zh-CN" w:bidi="ar-SA"/>
              </w:rPr>
            </w:pPr>
            <w:r>
              <w:rPr>
                <w:rFonts w:hint="eastAsia" w:ascii="Times New Roman" w:hAnsi="Times New Roman" w:cs="Times New Roman"/>
                <w:color w:val="auto"/>
                <w:kern w:val="0"/>
                <w:sz w:val="21"/>
                <w:szCs w:val="20"/>
                <w:highlight w:val="none"/>
                <w:lang w:val="en-US" w:eastAsia="zh-CN" w:bidi="ar-SA"/>
              </w:rPr>
              <w:t>0.021</w:t>
            </w:r>
            <w:r>
              <w:rPr>
                <w:rFonts w:hint="eastAsia" w:ascii="Times New Roman" w:hAnsi="Times New Roman" w:cs="Times New Roman"/>
                <w:color w:val="auto"/>
                <w:highlight w:val="none"/>
                <w:lang w:val="en-US" w:eastAsia="zh-CN"/>
              </w:rPr>
              <w:t>t/a</w:t>
            </w:r>
          </w:p>
        </w:tc>
        <w:tc>
          <w:tcPr>
            <w:tcW w:w="1073" w:type="dxa"/>
            <w:noWrap w:val="0"/>
            <w:vAlign w:val="center"/>
          </w:tcPr>
          <w:p>
            <w:pPr>
              <w:pStyle w:val="81"/>
              <w:spacing w:line="240" w:lineRule="auto"/>
              <w:ind w:firstLine="0" w:firstLineChars="0"/>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+0.001t/a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87" w:hRule="atLeast"/>
          <w:jc w:val="center"/>
        </w:trPr>
        <w:tc>
          <w:tcPr>
            <w:tcW w:w="1255" w:type="dxa"/>
            <w:vMerge w:val="continue"/>
            <w:noWrap w:val="0"/>
            <w:vAlign w:val="center"/>
          </w:tcPr>
          <w:p>
            <w:pPr>
              <w:pStyle w:val="81"/>
              <w:bidi w:val="0"/>
              <w:spacing w:line="240" w:lineRule="auto"/>
              <w:rPr>
                <w:rFonts w:hint="default" w:ascii="Times New Roman" w:hAnsi="Times New Roman" w:cs="Times New Roman"/>
                <w:color w:val="auto"/>
                <w:highlight w:val="none"/>
              </w:rPr>
            </w:pPr>
          </w:p>
        </w:tc>
        <w:tc>
          <w:tcPr>
            <w:tcW w:w="1910" w:type="dxa"/>
            <w:noWrap w:val="0"/>
            <w:vAlign w:val="center"/>
          </w:tcPr>
          <w:p>
            <w:pPr>
              <w:pStyle w:val="60"/>
              <w:bidi w:val="0"/>
              <w:spacing w:line="240" w:lineRule="auto"/>
              <w:ind w:firstLine="0" w:firstLineChars="0"/>
              <w:rPr>
                <w:rFonts w:hint="default" w:ascii="Times New Roman" w:hAnsi="Times New Roman" w:cs="Times New Roman"/>
                <w:color w:val="auto"/>
                <w:highlight w:val="none"/>
                <w:lang w:val="en-US" w:eastAsia="zh-CN"/>
              </w:rPr>
            </w:pPr>
            <w:r>
              <w:rPr>
                <w:rFonts w:hint="eastAsia" w:cs="Times New Roman"/>
                <w:color w:val="auto"/>
                <w:highlight w:val="none"/>
                <w:lang w:val="en-US" w:eastAsia="zh-CN"/>
              </w:rPr>
              <w:t>废机油、废润滑油、废液压油及其包装物</w:t>
            </w:r>
          </w:p>
        </w:tc>
        <w:tc>
          <w:tcPr>
            <w:tcW w:w="1617" w:type="dxa"/>
            <w:noWrap w:val="0"/>
            <w:vAlign w:val="center"/>
          </w:tcPr>
          <w:p>
            <w:pPr>
              <w:pStyle w:val="81"/>
              <w:bidi w:val="0"/>
              <w:spacing w:line="240" w:lineRule="auto"/>
              <w:rPr>
                <w:rFonts w:hint="default" w:ascii="Times New Roman" w:hAnsi="Times New Roman" w:eastAsia="宋体" w:cs="Times New Roman"/>
                <w:color w:val="auto"/>
                <w:kern w:val="0"/>
                <w:sz w:val="21"/>
                <w:szCs w:val="20"/>
                <w:highlight w:val="none"/>
                <w:lang w:val="en-US" w:eastAsia="zh-CN" w:bidi="ar-SA"/>
              </w:rPr>
            </w:pPr>
            <w:r>
              <w:rPr>
                <w:rFonts w:hint="eastAsia" w:ascii="Times New Roman" w:hAnsi="Times New Roman" w:cs="Times New Roman"/>
                <w:color w:val="auto"/>
                <w:kern w:val="0"/>
                <w:sz w:val="21"/>
                <w:szCs w:val="20"/>
                <w:highlight w:val="none"/>
                <w:lang w:val="en-US" w:eastAsia="zh-CN" w:bidi="ar-SA"/>
              </w:rPr>
              <w:t>0.05</w:t>
            </w:r>
            <w:r>
              <w:rPr>
                <w:rFonts w:hint="eastAsia" w:ascii="Times New Roman" w:hAnsi="Times New Roman" w:cs="Times New Roman"/>
                <w:color w:val="auto"/>
                <w:highlight w:val="none"/>
                <w:lang w:val="en-US" w:eastAsia="zh-CN"/>
              </w:rPr>
              <w:t>t/a</w:t>
            </w:r>
          </w:p>
        </w:tc>
        <w:tc>
          <w:tcPr>
            <w:tcW w:w="1298" w:type="dxa"/>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kern w:val="0"/>
                <w:sz w:val="21"/>
                <w:szCs w:val="20"/>
                <w:highlight w:val="none"/>
                <w:lang w:val="en-US" w:eastAsia="zh-CN" w:bidi="ar-SA"/>
              </w:rPr>
              <w:t>0.05</w:t>
            </w:r>
            <w:r>
              <w:rPr>
                <w:rFonts w:hint="eastAsia" w:ascii="Times New Roman" w:hAnsi="Times New Roman" w:cs="Times New Roman"/>
                <w:color w:val="auto"/>
                <w:highlight w:val="none"/>
                <w:lang w:val="en-US" w:eastAsia="zh-CN"/>
              </w:rPr>
              <w:t>t/a</w:t>
            </w:r>
          </w:p>
        </w:tc>
        <w:tc>
          <w:tcPr>
            <w:tcW w:w="1728" w:type="dxa"/>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w:t>
            </w:r>
          </w:p>
        </w:tc>
        <w:tc>
          <w:tcPr>
            <w:tcW w:w="1585" w:type="dxa"/>
            <w:noWrap w:val="0"/>
            <w:vAlign w:val="center"/>
          </w:tcPr>
          <w:p>
            <w:pPr>
              <w:pStyle w:val="81"/>
              <w:spacing w:line="240" w:lineRule="auto"/>
              <w:ind w:firstLine="0" w:firstLineChars="0"/>
              <w:rPr>
                <w:rFonts w:hint="default" w:ascii="Times New Roman" w:hAnsi="Times New Roman" w:eastAsia="宋体" w:cs="Times New Roman"/>
                <w:color w:val="auto"/>
                <w:highlight w:val="none"/>
                <w:lang w:val="en-US" w:eastAsia="zh-CN"/>
              </w:rPr>
            </w:pPr>
            <w:r>
              <w:rPr>
                <w:rFonts w:hint="eastAsia" w:ascii="Times New Roman" w:hAnsi="Times New Roman" w:cs="Times New Roman"/>
                <w:color w:val="auto"/>
                <w:highlight w:val="none"/>
                <w:lang w:val="en-US" w:eastAsia="zh-CN"/>
              </w:rPr>
              <w:t>0.01t/a</w:t>
            </w:r>
          </w:p>
        </w:tc>
        <w:tc>
          <w:tcPr>
            <w:tcW w:w="1789" w:type="dxa"/>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w:t>
            </w:r>
          </w:p>
        </w:tc>
        <w:tc>
          <w:tcPr>
            <w:tcW w:w="1759" w:type="dxa"/>
            <w:noWrap w:val="0"/>
            <w:vAlign w:val="center"/>
          </w:tcPr>
          <w:p>
            <w:pPr>
              <w:pStyle w:val="81"/>
              <w:spacing w:line="240" w:lineRule="auto"/>
              <w:ind w:firstLine="0" w:firstLineChars="0"/>
              <w:rPr>
                <w:rFonts w:hint="default" w:ascii="Times New Roman" w:hAnsi="Times New Roman" w:eastAsia="宋体" w:cs="Times New Roman"/>
                <w:color w:val="auto"/>
                <w:kern w:val="0"/>
                <w:sz w:val="21"/>
                <w:szCs w:val="20"/>
                <w:highlight w:val="none"/>
                <w:lang w:val="en-US" w:eastAsia="zh-CN" w:bidi="ar-SA"/>
              </w:rPr>
            </w:pPr>
            <w:r>
              <w:rPr>
                <w:rFonts w:hint="eastAsia" w:ascii="Times New Roman" w:hAnsi="Times New Roman" w:cs="Times New Roman"/>
                <w:color w:val="auto"/>
                <w:kern w:val="0"/>
                <w:sz w:val="21"/>
                <w:szCs w:val="20"/>
                <w:highlight w:val="none"/>
                <w:lang w:val="en-US" w:eastAsia="zh-CN" w:bidi="ar-SA"/>
              </w:rPr>
              <w:t>0.06</w:t>
            </w:r>
            <w:r>
              <w:rPr>
                <w:rFonts w:hint="eastAsia" w:ascii="Times New Roman" w:hAnsi="Times New Roman" w:cs="Times New Roman"/>
                <w:color w:val="auto"/>
                <w:highlight w:val="none"/>
                <w:lang w:val="en-US" w:eastAsia="zh-CN"/>
              </w:rPr>
              <w:t>t/a</w:t>
            </w:r>
          </w:p>
        </w:tc>
        <w:tc>
          <w:tcPr>
            <w:tcW w:w="1073" w:type="dxa"/>
            <w:noWrap w:val="0"/>
            <w:vAlign w:val="center"/>
          </w:tcPr>
          <w:p>
            <w:pPr>
              <w:pStyle w:val="81"/>
              <w:spacing w:line="240" w:lineRule="auto"/>
              <w:ind w:firstLine="0" w:firstLineChars="0"/>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+0.01t/a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80" w:hRule="atLeast"/>
          <w:jc w:val="center"/>
        </w:trPr>
        <w:tc>
          <w:tcPr>
            <w:tcW w:w="1255" w:type="dxa"/>
            <w:vMerge w:val="continue"/>
            <w:noWrap w:val="0"/>
            <w:vAlign w:val="center"/>
          </w:tcPr>
          <w:p>
            <w:pPr>
              <w:pStyle w:val="81"/>
              <w:bidi w:val="0"/>
              <w:spacing w:line="240" w:lineRule="auto"/>
              <w:rPr>
                <w:rFonts w:hint="default" w:ascii="Times New Roman" w:hAnsi="Times New Roman" w:cs="Times New Roman"/>
                <w:color w:val="auto"/>
                <w:highlight w:val="none"/>
              </w:rPr>
            </w:pPr>
          </w:p>
        </w:tc>
        <w:tc>
          <w:tcPr>
            <w:tcW w:w="1910" w:type="dxa"/>
            <w:noWrap w:val="0"/>
            <w:vAlign w:val="center"/>
          </w:tcPr>
          <w:p>
            <w:pPr>
              <w:pStyle w:val="60"/>
              <w:bidi w:val="0"/>
              <w:spacing w:line="240" w:lineRule="auto"/>
              <w:ind w:firstLine="0" w:firstLineChars="0"/>
              <w:rPr>
                <w:rFonts w:hint="default" w:ascii="Times New Roman" w:hAnsi="Times New Roman" w:cs="Times New Roman"/>
                <w:color w:val="auto"/>
                <w:highlight w:val="none"/>
                <w:lang w:val="en-US" w:eastAsia="zh-CN"/>
              </w:rPr>
            </w:pPr>
            <w:r>
              <w:rPr>
                <w:rFonts w:hint="eastAsia" w:cs="Times New Roman"/>
                <w:color w:val="auto"/>
                <w:highlight w:val="none"/>
                <w:lang w:val="en-US" w:eastAsia="zh-CN"/>
              </w:rPr>
              <w:t>生活垃圾</w:t>
            </w:r>
          </w:p>
        </w:tc>
        <w:tc>
          <w:tcPr>
            <w:tcW w:w="1617" w:type="dxa"/>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6.77t/a</w:t>
            </w:r>
          </w:p>
        </w:tc>
        <w:tc>
          <w:tcPr>
            <w:tcW w:w="1298" w:type="dxa"/>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6.77t/a</w:t>
            </w:r>
          </w:p>
        </w:tc>
        <w:tc>
          <w:tcPr>
            <w:tcW w:w="1728" w:type="dxa"/>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w:t>
            </w:r>
          </w:p>
        </w:tc>
        <w:tc>
          <w:tcPr>
            <w:tcW w:w="1585" w:type="dxa"/>
            <w:noWrap w:val="0"/>
            <w:vAlign w:val="center"/>
          </w:tcPr>
          <w:p>
            <w:pPr>
              <w:pStyle w:val="81"/>
              <w:spacing w:line="240" w:lineRule="auto"/>
              <w:ind w:firstLine="0" w:firstLineChars="0"/>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0t/a</w:t>
            </w:r>
          </w:p>
        </w:tc>
        <w:tc>
          <w:tcPr>
            <w:tcW w:w="1789" w:type="dxa"/>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w:t>
            </w:r>
          </w:p>
        </w:tc>
        <w:tc>
          <w:tcPr>
            <w:tcW w:w="1759" w:type="dxa"/>
            <w:noWrap w:val="0"/>
            <w:vAlign w:val="center"/>
          </w:tcPr>
          <w:p>
            <w:pPr>
              <w:pStyle w:val="81"/>
              <w:spacing w:line="240" w:lineRule="auto"/>
              <w:ind w:firstLine="0" w:firstLineChars="0"/>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6.77t/a</w:t>
            </w:r>
          </w:p>
        </w:tc>
        <w:tc>
          <w:tcPr>
            <w:tcW w:w="1073" w:type="dxa"/>
            <w:noWrap w:val="0"/>
            <w:vAlign w:val="center"/>
          </w:tcPr>
          <w:p>
            <w:pPr>
              <w:pStyle w:val="81"/>
              <w:spacing w:line="240" w:lineRule="auto"/>
              <w:ind w:firstLine="0" w:firstLineChars="0"/>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0t/a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9" w:hRule="atLeast"/>
          <w:jc w:val="center"/>
        </w:trPr>
        <w:tc>
          <w:tcPr>
            <w:tcW w:w="1255" w:type="dxa"/>
            <w:vMerge w:val="continue"/>
            <w:noWrap w:val="0"/>
            <w:vAlign w:val="center"/>
          </w:tcPr>
          <w:p>
            <w:pPr>
              <w:pStyle w:val="81"/>
              <w:bidi w:val="0"/>
              <w:spacing w:line="240" w:lineRule="auto"/>
              <w:rPr>
                <w:rFonts w:hint="default" w:ascii="Times New Roman" w:hAnsi="Times New Roman" w:cs="Times New Roman"/>
                <w:color w:val="auto"/>
                <w:highlight w:val="none"/>
              </w:rPr>
            </w:pPr>
          </w:p>
        </w:tc>
        <w:tc>
          <w:tcPr>
            <w:tcW w:w="1910" w:type="dxa"/>
            <w:noWrap w:val="0"/>
            <w:vAlign w:val="center"/>
          </w:tcPr>
          <w:p>
            <w:pPr>
              <w:pStyle w:val="81"/>
              <w:keepNext w:val="0"/>
              <w:keepLines w:val="0"/>
              <w:pageBreakBefore w:val="0"/>
              <w:kinsoku/>
              <w:wordWrap/>
              <w:overflowPunct/>
              <w:topLinePunct w:val="0"/>
              <w:autoSpaceDE/>
              <w:autoSpaceDN/>
              <w:bidi w:val="0"/>
              <w:adjustRightInd w:val="0"/>
              <w:snapToGrid w:val="0"/>
              <w:jc w:val="center"/>
              <w:textAlignment w:val="auto"/>
              <w:rPr>
                <w:rFonts w:hint="eastAsia" w:cs="Times New Roman"/>
                <w:color w:val="auto"/>
                <w:highlight w:val="none"/>
                <w:lang w:val="en-US" w:eastAsia="zh-CN"/>
              </w:rPr>
            </w:pPr>
            <w:r>
              <w:rPr>
                <w:rFonts w:hint="default" w:ascii="Times New Roman" w:hAnsi="Times New Roman" w:cs="Times New Roman"/>
                <w:color w:val="auto"/>
                <w:sz w:val="21"/>
                <w:szCs w:val="21"/>
                <w:highlight w:val="none"/>
                <w:lang w:val="en-US" w:eastAsia="zh-CN"/>
              </w:rPr>
              <w:t>废活性炭</w:t>
            </w:r>
          </w:p>
        </w:tc>
        <w:tc>
          <w:tcPr>
            <w:tcW w:w="1617" w:type="dxa"/>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w:t>
            </w:r>
          </w:p>
        </w:tc>
        <w:tc>
          <w:tcPr>
            <w:tcW w:w="1298" w:type="dxa"/>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w:t>
            </w:r>
          </w:p>
        </w:tc>
        <w:tc>
          <w:tcPr>
            <w:tcW w:w="1728" w:type="dxa"/>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w:t>
            </w:r>
          </w:p>
        </w:tc>
        <w:tc>
          <w:tcPr>
            <w:tcW w:w="1585" w:type="dxa"/>
            <w:noWrap w:val="0"/>
            <w:vAlign w:val="center"/>
          </w:tcPr>
          <w:p>
            <w:pPr>
              <w:pStyle w:val="81"/>
              <w:spacing w:line="240" w:lineRule="auto"/>
              <w:ind w:firstLine="0" w:firstLineChars="0"/>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9t/a</w:t>
            </w:r>
          </w:p>
        </w:tc>
        <w:tc>
          <w:tcPr>
            <w:tcW w:w="1789" w:type="dxa"/>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w:t>
            </w:r>
          </w:p>
        </w:tc>
        <w:tc>
          <w:tcPr>
            <w:tcW w:w="1759" w:type="dxa"/>
            <w:noWrap w:val="0"/>
            <w:vAlign w:val="center"/>
          </w:tcPr>
          <w:p>
            <w:pPr>
              <w:pStyle w:val="81"/>
              <w:spacing w:line="240" w:lineRule="auto"/>
              <w:ind w:firstLine="0" w:firstLineChars="0"/>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9t/a</w:t>
            </w:r>
          </w:p>
        </w:tc>
        <w:tc>
          <w:tcPr>
            <w:tcW w:w="1073" w:type="dxa"/>
            <w:noWrap w:val="0"/>
            <w:vAlign w:val="center"/>
          </w:tcPr>
          <w:p>
            <w:pPr>
              <w:pStyle w:val="81"/>
              <w:spacing w:line="240" w:lineRule="auto"/>
              <w:ind w:firstLine="0" w:firstLineChars="0"/>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+9t/a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29" w:hRule="atLeast"/>
          <w:jc w:val="center"/>
        </w:trPr>
        <w:tc>
          <w:tcPr>
            <w:tcW w:w="1255" w:type="dxa"/>
            <w:vMerge w:val="continue"/>
            <w:noWrap w:val="0"/>
            <w:vAlign w:val="center"/>
          </w:tcPr>
          <w:p>
            <w:pPr>
              <w:pStyle w:val="81"/>
              <w:bidi w:val="0"/>
              <w:spacing w:line="240" w:lineRule="auto"/>
              <w:rPr>
                <w:rFonts w:hint="default" w:ascii="Times New Roman" w:hAnsi="Times New Roman" w:cs="Times New Roman"/>
                <w:color w:val="auto"/>
                <w:highlight w:val="none"/>
              </w:rPr>
            </w:pPr>
          </w:p>
        </w:tc>
        <w:tc>
          <w:tcPr>
            <w:tcW w:w="1910" w:type="dxa"/>
            <w:noWrap w:val="0"/>
            <w:vAlign w:val="center"/>
          </w:tcPr>
          <w:p>
            <w:pPr>
              <w:pStyle w:val="81"/>
              <w:keepNext w:val="0"/>
              <w:keepLines w:val="0"/>
              <w:pageBreakBefore w:val="0"/>
              <w:kinsoku/>
              <w:wordWrap/>
              <w:overflowPunct/>
              <w:topLinePunct w:val="0"/>
              <w:autoSpaceDE/>
              <w:autoSpaceDN/>
              <w:bidi w:val="0"/>
              <w:adjustRightInd w:val="0"/>
              <w:snapToGrid w:val="0"/>
              <w:jc w:val="center"/>
              <w:textAlignment w:val="auto"/>
              <w:rPr>
                <w:rFonts w:hint="eastAsia" w:cs="Times New Roman"/>
                <w:color w:val="auto"/>
                <w:highlight w:val="none"/>
                <w:lang w:val="en-US" w:eastAsia="zh-CN"/>
              </w:rPr>
            </w:pPr>
            <w:r>
              <w:rPr>
                <w:rFonts w:hint="eastAsia" w:ascii="Times New Roman" w:hAnsi="Times New Roman" w:cs="Times New Roman"/>
                <w:color w:val="auto"/>
                <w:sz w:val="21"/>
                <w:szCs w:val="21"/>
                <w:highlight w:val="none"/>
                <w:lang w:val="en-US" w:eastAsia="zh-CN"/>
              </w:rPr>
              <w:t>废过滤棉</w:t>
            </w:r>
          </w:p>
        </w:tc>
        <w:tc>
          <w:tcPr>
            <w:tcW w:w="1617" w:type="dxa"/>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w:t>
            </w:r>
          </w:p>
        </w:tc>
        <w:tc>
          <w:tcPr>
            <w:tcW w:w="1298" w:type="dxa"/>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w:t>
            </w:r>
          </w:p>
        </w:tc>
        <w:tc>
          <w:tcPr>
            <w:tcW w:w="1728" w:type="dxa"/>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w:t>
            </w:r>
          </w:p>
        </w:tc>
        <w:tc>
          <w:tcPr>
            <w:tcW w:w="1585" w:type="dxa"/>
            <w:noWrap w:val="0"/>
            <w:vAlign w:val="center"/>
          </w:tcPr>
          <w:p>
            <w:pPr>
              <w:pStyle w:val="81"/>
              <w:spacing w:line="240" w:lineRule="auto"/>
              <w:ind w:firstLine="0" w:firstLineChars="0"/>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1t/a</w:t>
            </w:r>
          </w:p>
        </w:tc>
        <w:tc>
          <w:tcPr>
            <w:tcW w:w="1789" w:type="dxa"/>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w:t>
            </w:r>
          </w:p>
        </w:tc>
        <w:tc>
          <w:tcPr>
            <w:tcW w:w="1759" w:type="dxa"/>
            <w:noWrap w:val="0"/>
            <w:vAlign w:val="center"/>
          </w:tcPr>
          <w:p>
            <w:pPr>
              <w:pStyle w:val="81"/>
              <w:spacing w:line="240" w:lineRule="auto"/>
              <w:ind w:firstLine="0" w:firstLineChars="0"/>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1t/a</w:t>
            </w:r>
          </w:p>
        </w:tc>
        <w:tc>
          <w:tcPr>
            <w:tcW w:w="1073" w:type="dxa"/>
            <w:noWrap w:val="0"/>
            <w:vAlign w:val="center"/>
          </w:tcPr>
          <w:p>
            <w:pPr>
              <w:pStyle w:val="81"/>
              <w:spacing w:line="240" w:lineRule="auto"/>
              <w:ind w:firstLine="0" w:firstLineChars="0"/>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+1t/a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6" w:hRule="atLeast"/>
          <w:jc w:val="center"/>
        </w:trPr>
        <w:tc>
          <w:tcPr>
            <w:tcW w:w="1255" w:type="dxa"/>
            <w:vMerge w:val="continue"/>
            <w:noWrap w:val="0"/>
            <w:vAlign w:val="center"/>
          </w:tcPr>
          <w:p>
            <w:pPr>
              <w:pStyle w:val="81"/>
              <w:bidi w:val="0"/>
              <w:spacing w:line="240" w:lineRule="auto"/>
              <w:rPr>
                <w:rFonts w:hint="default" w:ascii="Times New Roman" w:hAnsi="Times New Roman" w:cs="Times New Roman"/>
                <w:color w:val="auto"/>
                <w:highlight w:val="none"/>
              </w:rPr>
            </w:pPr>
          </w:p>
        </w:tc>
        <w:tc>
          <w:tcPr>
            <w:tcW w:w="1910" w:type="dxa"/>
            <w:noWrap w:val="0"/>
            <w:vAlign w:val="center"/>
          </w:tcPr>
          <w:p>
            <w:pPr>
              <w:pStyle w:val="81"/>
              <w:keepNext w:val="0"/>
              <w:keepLines w:val="0"/>
              <w:pageBreakBefore w:val="0"/>
              <w:kinsoku/>
              <w:wordWrap/>
              <w:overflowPunct/>
              <w:topLinePunct w:val="0"/>
              <w:autoSpaceDE/>
              <w:autoSpaceDN/>
              <w:bidi w:val="0"/>
              <w:adjustRightInd w:val="0"/>
              <w:snapToGrid w:val="0"/>
              <w:jc w:val="center"/>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废漆桶</w:t>
            </w:r>
          </w:p>
        </w:tc>
        <w:tc>
          <w:tcPr>
            <w:tcW w:w="1617" w:type="dxa"/>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w:t>
            </w:r>
          </w:p>
        </w:tc>
        <w:tc>
          <w:tcPr>
            <w:tcW w:w="1298" w:type="dxa"/>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w:t>
            </w:r>
          </w:p>
        </w:tc>
        <w:tc>
          <w:tcPr>
            <w:tcW w:w="1728" w:type="dxa"/>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w:t>
            </w:r>
          </w:p>
        </w:tc>
        <w:tc>
          <w:tcPr>
            <w:tcW w:w="1585" w:type="dxa"/>
            <w:noWrap w:val="0"/>
            <w:vAlign w:val="center"/>
          </w:tcPr>
          <w:p>
            <w:pPr>
              <w:pStyle w:val="81"/>
              <w:spacing w:line="240" w:lineRule="auto"/>
              <w:ind w:firstLine="0" w:firstLineChars="0"/>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0.06t/a</w:t>
            </w:r>
          </w:p>
        </w:tc>
        <w:tc>
          <w:tcPr>
            <w:tcW w:w="1789" w:type="dxa"/>
            <w:noWrap w:val="0"/>
            <w:vAlign w:val="center"/>
          </w:tcPr>
          <w:p>
            <w:pPr>
              <w:pStyle w:val="81"/>
              <w:bidi w:val="0"/>
              <w:spacing w:line="240" w:lineRule="auto"/>
              <w:rPr>
                <w:rFonts w:hint="eastAsia" w:ascii="Times New Roman" w:hAnsi="Times New Roman" w:cs="Times New Roman"/>
                <w:color w:val="auto"/>
                <w:highlight w:val="none"/>
                <w:lang w:val="en-US" w:eastAsia="zh-CN"/>
              </w:rPr>
            </w:pPr>
          </w:p>
        </w:tc>
        <w:tc>
          <w:tcPr>
            <w:tcW w:w="1759" w:type="dxa"/>
            <w:noWrap w:val="0"/>
            <w:vAlign w:val="center"/>
          </w:tcPr>
          <w:p>
            <w:pPr>
              <w:pStyle w:val="81"/>
              <w:spacing w:line="240" w:lineRule="auto"/>
              <w:ind w:firstLine="0" w:firstLineChars="0"/>
              <w:rPr>
                <w:rFonts w:hint="eastAsia"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0.06t/a</w:t>
            </w:r>
          </w:p>
        </w:tc>
        <w:tc>
          <w:tcPr>
            <w:tcW w:w="1073" w:type="dxa"/>
            <w:noWrap w:val="0"/>
            <w:vAlign w:val="center"/>
          </w:tcPr>
          <w:p>
            <w:pPr>
              <w:pStyle w:val="81"/>
              <w:spacing w:line="240" w:lineRule="auto"/>
              <w:ind w:firstLine="0" w:firstLineChars="0"/>
              <w:rPr>
                <w:rFonts w:hint="eastAsia"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+0.06t/a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1" w:hRule="atLeast"/>
          <w:jc w:val="center"/>
        </w:trPr>
        <w:tc>
          <w:tcPr>
            <w:tcW w:w="1255" w:type="dxa"/>
            <w:vMerge w:val="continue"/>
            <w:noWrap w:val="0"/>
            <w:vAlign w:val="center"/>
          </w:tcPr>
          <w:p>
            <w:pPr>
              <w:pStyle w:val="81"/>
              <w:bidi w:val="0"/>
              <w:spacing w:line="240" w:lineRule="auto"/>
              <w:rPr>
                <w:rFonts w:hint="default" w:ascii="Times New Roman" w:hAnsi="Times New Roman" w:cs="Times New Roman"/>
                <w:color w:val="auto"/>
                <w:highlight w:val="none"/>
              </w:rPr>
            </w:pPr>
          </w:p>
        </w:tc>
        <w:tc>
          <w:tcPr>
            <w:tcW w:w="1910" w:type="dxa"/>
            <w:noWrap w:val="0"/>
            <w:vAlign w:val="center"/>
          </w:tcPr>
          <w:p>
            <w:pPr>
              <w:pStyle w:val="81"/>
              <w:keepNext w:val="0"/>
              <w:keepLines w:val="0"/>
              <w:pageBreakBefore w:val="0"/>
              <w:kinsoku/>
              <w:wordWrap/>
              <w:overflowPunct/>
              <w:topLinePunct w:val="0"/>
              <w:autoSpaceDE/>
              <w:autoSpaceDN/>
              <w:bidi w:val="0"/>
              <w:adjustRightInd w:val="0"/>
              <w:snapToGrid w:val="0"/>
              <w:jc w:val="center"/>
              <w:textAlignment w:val="auto"/>
              <w:rPr>
                <w:rFonts w:hint="eastAsia"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废稀释剂桶</w:t>
            </w:r>
          </w:p>
        </w:tc>
        <w:tc>
          <w:tcPr>
            <w:tcW w:w="1617" w:type="dxa"/>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w:t>
            </w:r>
          </w:p>
        </w:tc>
        <w:tc>
          <w:tcPr>
            <w:tcW w:w="1298" w:type="dxa"/>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w:t>
            </w:r>
          </w:p>
        </w:tc>
        <w:tc>
          <w:tcPr>
            <w:tcW w:w="1728" w:type="dxa"/>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w:t>
            </w:r>
          </w:p>
        </w:tc>
        <w:tc>
          <w:tcPr>
            <w:tcW w:w="1585" w:type="dxa"/>
            <w:noWrap w:val="0"/>
            <w:vAlign w:val="center"/>
          </w:tcPr>
          <w:p>
            <w:pPr>
              <w:pStyle w:val="81"/>
              <w:spacing w:line="240" w:lineRule="auto"/>
              <w:ind w:firstLine="0" w:firstLineChars="0"/>
              <w:jc w:val="center"/>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0.01t/a</w:t>
            </w:r>
          </w:p>
        </w:tc>
        <w:tc>
          <w:tcPr>
            <w:tcW w:w="1789" w:type="dxa"/>
            <w:noWrap w:val="0"/>
            <w:vAlign w:val="center"/>
          </w:tcPr>
          <w:p>
            <w:pPr>
              <w:pStyle w:val="81"/>
              <w:bidi w:val="0"/>
              <w:spacing w:line="240" w:lineRule="auto"/>
              <w:rPr>
                <w:rFonts w:hint="eastAsia" w:ascii="Times New Roman" w:hAnsi="Times New Roman" w:cs="Times New Roman"/>
                <w:color w:val="auto"/>
                <w:highlight w:val="none"/>
                <w:lang w:val="en-US" w:eastAsia="zh-CN"/>
              </w:rPr>
            </w:pPr>
          </w:p>
        </w:tc>
        <w:tc>
          <w:tcPr>
            <w:tcW w:w="1759" w:type="dxa"/>
            <w:noWrap w:val="0"/>
            <w:vAlign w:val="center"/>
          </w:tcPr>
          <w:p>
            <w:pPr>
              <w:pStyle w:val="81"/>
              <w:spacing w:line="240" w:lineRule="auto"/>
              <w:ind w:firstLine="0" w:firstLineChars="0"/>
              <w:jc w:val="center"/>
              <w:rPr>
                <w:rFonts w:hint="eastAsia"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0.01t/a</w:t>
            </w:r>
          </w:p>
        </w:tc>
        <w:tc>
          <w:tcPr>
            <w:tcW w:w="1073" w:type="dxa"/>
            <w:noWrap w:val="0"/>
            <w:vAlign w:val="center"/>
          </w:tcPr>
          <w:p>
            <w:pPr>
              <w:pStyle w:val="81"/>
              <w:spacing w:line="240" w:lineRule="auto"/>
              <w:ind w:firstLine="0" w:firstLineChars="0"/>
              <w:jc w:val="center"/>
              <w:rPr>
                <w:rFonts w:hint="eastAsia"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+0.01t/a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63" w:hRule="atLeast"/>
          <w:jc w:val="center"/>
        </w:trPr>
        <w:tc>
          <w:tcPr>
            <w:tcW w:w="1255" w:type="dxa"/>
            <w:vMerge w:val="continue"/>
            <w:noWrap w:val="0"/>
            <w:vAlign w:val="center"/>
          </w:tcPr>
          <w:p>
            <w:pPr>
              <w:pStyle w:val="81"/>
              <w:bidi w:val="0"/>
              <w:spacing w:line="240" w:lineRule="auto"/>
              <w:rPr>
                <w:rFonts w:hint="default" w:ascii="Times New Roman" w:hAnsi="Times New Roman" w:cs="Times New Roman"/>
                <w:color w:val="auto"/>
                <w:highlight w:val="none"/>
              </w:rPr>
            </w:pPr>
          </w:p>
        </w:tc>
        <w:tc>
          <w:tcPr>
            <w:tcW w:w="1910" w:type="dxa"/>
            <w:noWrap w:val="0"/>
            <w:vAlign w:val="center"/>
          </w:tcPr>
          <w:p>
            <w:pPr>
              <w:pStyle w:val="81"/>
              <w:keepNext w:val="0"/>
              <w:keepLines w:val="0"/>
              <w:pageBreakBefore w:val="0"/>
              <w:kinsoku/>
              <w:wordWrap/>
              <w:overflowPunct/>
              <w:topLinePunct w:val="0"/>
              <w:autoSpaceDE/>
              <w:autoSpaceDN/>
              <w:bidi w:val="0"/>
              <w:adjustRightInd w:val="0"/>
              <w:snapToGrid w:val="0"/>
              <w:jc w:val="center"/>
              <w:textAlignment w:val="auto"/>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漆渣</w:t>
            </w:r>
          </w:p>
        </w:tc>
        <w:tc>
          <w:tcPr>
            <w:tcW w:w="1617" w:type="dxa"/>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w:t>
            </w:r>
          </w:p>
        </w:tc>
        <w:tc>
          <w:tcPr>
            <w:tcW w:w="1298" w:type="dxa"/>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w:t>
            </w:r>
          </w:p>
        </w:tc>
        <w:tc>
          <w:tcPr>
            <w:tcW w:w="1728" w:type="dxa"/>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w:t>
            </w:r>
          </w:p>
        </w:tc>
        <w:tc>
          <w:tcPr>
            <w:tcW w:w="1585" w:type="dxa"/>
            <w:noWrap w:val="0"/>
            <w:vAlign w:val="center"/>
          </w:tcPr>
          <w:p>
            <w:pPr>
              <w:pStyle w:val="81"/>
              <w:spacing w:line="240" w:lineRule="auto"/>
              <w:ind w:firstLine="0" w:firstLineChars="0"/>
              <w:rPr>
                <w:rFonts w:hint="eastAsia" w:ascii="Times New Roman" w:hAnsi="Times New Roman" w:cs="Times New Roman"/>
                <w:color w:val="auto"/>
                <w:highlight w:val="none"/>
                <w:lang w:val="en-US" w:eastAsia="zh-CN"/>
              </w:rPr>
            </w:pPr>
            <w:r>
              <w:rPr>
                <w:rFonts w:hint="eastAsia" w:ascii="Times New Roman" w:hAnsi="Times New Roman" w:cs="Times New Roman"/>
                <w:color w:val="auto"/>
                <w:sz w:val="21"/>
                <w:szCs w:val="21"/>
                <w:highlight w:val="none"/>
                <w:lang w:val="en-US" w:eastAsia="zh-CN" w:bidi="ar-SA"/>
              </w:rPr>
              <w:t>0.13</w:t>
            </w:r>
            <w:r>
              <w:rPr>
                <w:rFonts w:hint="eastAsia" w:ascii="Times New Roman" w:hAnsi="Times New Roman" w:cs="Times New Roman"/>
                <w:color w:val="auto"/>
                <w:highlight w:val="none"/>
                <w:lang w:val="en-US" w:eastAsia="zh-CN"/>
              </w:rPr>
              <w:t>t/a</w:t>
            </w:r>
          </w:p>
        </w:tc>
        <w:tc>
          <w:tcPr>
            <w:tcW w:w="1789" w:type="dxa"/>
            <w:noWrap w:val="0"/>
            <w:vAlign w:val="center"/>
          </w:tcPr>
          <w:p>
            <w:pPr>
              <w:pStyle w:val="81"/>
              <w:bidi w:val="0"/>
              <w:spacing w:line="240" w:lineRule="auto"/>
              <w:rPr>
                <w:rFonts w:hint="eastAsia" w:ascii="Times New Roman" w:hAnsi="Times New Roman" w:cs="Times New Roman"/>
                <w:color w:val="auto"/>
                <w:highlight w:val="none"/>
                <w:lang w:val="en-US" w:eastAsia="zh-CN"/>
              </w:rPr>
            </w:pPr>
          </w:p>
        </w:tc>
        <w:tc>
          <w:tcPr>
            <w:tcW w:w="1759" w:type="dxa"/>
            <w:noWrap w:val="0"/>
            <w:vAlign w:val="center"/>
          </w:tcPr>
          <w:p>
            <w:pPr>
              <w:pStyle w:val="81"/>
              <w:spacing w:line="240" w:lineRule="auto"/>
              <w:ind w:firstLine="0" w:firstLineChars="0"/>
              <w:rPr>
                <w:rFonts w:hint="eastAsia" w:ascii="Times New Roman" w:hAnsi="Times New Roman" w:cs="Times New Roman"/>
                <w:color w:val="auto"/>
                <w:highlight w:val="none"/>
                <w:lang w:val="en-US" w:eastAsia="zh-CN"/>
              </w:rPr>
            </w:pPr>
            <w:r>
              <w:rPr>
                <w:rFonts w:hint="eastAsia" w:ascii="Times New Roman" w:hAnsi="Times New Roman" w:cs="Times New Roman"/>
                <w:color w:val="auto"/>
                <w:sz w:val="21"/>
                <w:szCs w:val="21"/>
                <w:highlight w:val="none"/>
                <w:lang w:val="en-US" w:eastAsia="zh-CN" w:bidi="ar-SA"/>
              </w:rPr>
              <w:t>0.13</w:t>
            </w:r>
            <w:r>
              <w:rPr>
                <w:rFonts w:hint="eastAsia" w:ascii="Times New Roman" w:hAnsi="Times New Roman" w:cs="Times New Roman"/>
                <w:color w:val="auto"/>
                <w:highlight w:val="none"/>
                <w:lang w:val="en-US" w:eastAsia="zh-CN"/>
              </w:rPr>
              <w:t>t/a</w:t>
            </w:r>
          </w:p>
        </w:tc>
        <w:tc>
          <w:tcPr>
            <w:tcW w:w="1073" w:type="dxa"/>
            <w:noWrap w:val="0"/>
            <w:vAlign w:val="center"/>
          </w:tcPr>
          <w:p>
            <w:pPr>
              <w:pStyle w:val="81"/>
              <w:spacing w:line="240" w:lineRule="auto"/>
              <w:ind w:firstLine="0" w:firstLineChars="0"/>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w:t>
            </w:r>
            <w:r>
              <w:rPr>
                <w:rFonts w:hint="eastAsia" w:ascii="Times New Roman" w:hAnsi="Times New Roman" w:cs="Times New Roman"/>
                <w:color w:val="auto"/>
                <w:sz w:val="21"/>
                <w:szCs w:val="21"/>
                <w:highlight w:val="none"/>
                <w:lang w:val="en-US" w:eastAsia="zh-CN" w:bidi="ar-SA"/>
              </w:rPr>
              <w:t>0.13t/a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9" w:hRule="atLeast"/>
          <w:jc w:val="center"/>
        </w:trPr>
        <w:tc>
          <w:tcPr>
            <w:tcW w:w="1255" w:type="dxa"/>
            <w:vMerge w:val="continue"/>
            <w:noWrap w:val="0"/>
            <w:vAlign w:val="center"/>
          </w:tcPr>
          <w:p>
            <w:pPr>
              <w:pStyle w:val="81"/>
              <w:bidi w:val="0"/>
              <w:spacing w:line="240" w:lineRule="auto"/>
              <w:rPr>
                <w:rFonts w:hint="default" w:ascii="Times New Roman" w:hAnsi="Times New Roman" w:cs="Times New Roman"/>
                <w:color w:val="auto"/>
                <w:highlight w:val="none"/>
              </w:rPr>
            </w:pPr>
          </w:p>
        </w:tc>
        <w:tc>
          <w:tcPr>
            <w:tcW w:w="1910" w:type="dxa"/>
            <w:noWrap w:val="0"/>
            <w:vAlign w:val="center"/>
          </w:tcPr>
          <w:p>
            <w:pPr>
              <w:pStyle w:val="81"/>
              <w:keepNext w:val="0"/>
              <w:keepLines w:val="0"/>
              <w:pageBreakBefore w:val="0"/>
              <w:kinsoku/>
              <w:wordWrap/>
              <w:overflowPunct/>
              <w:topLinePunct w:val="0"/>
              <w:autoSpaceDE/>
              <w:autoSpaceDN/>
              <w:bidi w:val="0"/>
              <w:adjustRightInd w:val="0"/>
              <w:snapToGrid w:val="0"/>
              <w:jc w:val="center"/>
              <w:textAlignment w:val="auto"/>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除尘灰</w:t>
            </w:r>
          </w:p>
        </w:tc>
        <w:tc>
          <w:tcPr>
            <w:tcW w:w="1617" w:type="dxa"/>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0.00045t/a</w:t>
            </w:r>
          </w:p>
        </w:tc>
        <w:tc>
          <w:tcPr>
            <w:tcW w:w="1298" w:type="dxa"/>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0.00045t/a</w:t>
            </w:r>
          </w:p>
        </w:tc>
        <w:tc>
          <w:tcPr>
            <w:tcW w:w="1728" w:type="dxa"/>
            <w:noWrap w:val="0"/>
            <w:vAlign w:val="center"/>
          </w:tcPr>
          <w:p>
            <w:pPr>
              <w:pStyle w:val="81"/>
              <w:bidi w:val="0"/>
              <w:spacing w:line="240" w:lineRule="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w:t>
            </w:r>
          </w:p>
        </w:tc>
        <w:tc>
          <w:tcPr>
            <w:tcW w:w="1585" w:type="dxa"/>
            <w:noWrap w:val="0"/>
            <w:vAlign w:val="center"/>
          </w:tcPr>
          <w:p>
            <w:pPr>
              <w:pStyle w:val="81"/>
              <w:spacing w:line="240" w:lineRule="auto"/>
              <w:ind w:firstLine="0" w:firstLineChars="0"/>
              <w:rPr>
                <w:rFonts w:hint="default" w:ascii="Times New Roman" w:hAnsi="Times New Roman" w:cs="Times New Roman"/>
                <w:color w:val="auto"/>
                <w:sz w:val="21"/>
                <w:szCs w:val="21"/>
                <w:highlight w:val="none"/>
                <w:lang w:val="en-US" w:eastAsia="zh-CN" w:bidi="ar-SA"/>
              </w:rPr>
            </w:pPr>
            <w:r>
              <w:rPr>
                <w:rFonts w:hint="eastAsia" w:ascii="Times New Roman" w:hAnsi="Times New Roman" w:cs="Times New Roman"/>
                <w:color w:val="auto"/>
                <w:sz w:val="21"/>
                <w:szCs w:val="21"/>
                <w:highlight w:val="none"/>
                <w:lang w:val="en-US" w:eastAsia="zh-CN" w:bidi="ar-SA"/>
              </w:rPr>
              <w:t>0.034t/a</w:t>
            </w:r>
          </w:p>
        </w:tc>
        <w:tc>
          <w:tcPr>
            <w:tcW w:w="1789" w:type="dxa"/>
            <w:noWrap w:val="0"/>
            <w:vAlign w:val="center"/>
          </w:tcPr>
          <w:p>
            <w:pPr>
              <w:pStyle w:val="81"/>
              <w:bidi w:val="0"/>
              <w:spacing w:line="240" w:lineRule="auto"/>
              <w:rPr>
                <w:rFonts w:hint="eastAsia" w:ascii="Times New Roman" w:hAnsi="Times New Roman" w:cs="Times New Roman"/>
                <w:color w:val="auto"/>
                <w:highlight w:val="none"/>
                <w:lang w:val="en-US" w:eastAsia="zh-CN"/>
              </w:rPr>
            </w:pPr>
          </w:p>
        </w:tc>
        <w:tc>
          <w:tcPr>
            <w:tcW w:w="1759" w:type="dxa"/>
            <w:noWrap w:val="0"/>
            <w:vAlign w:val="center"/>
          </w:tcPr>
          <w:p>
            <w:pPr>
              <w:pStyle w:val="81"/>
              <w:spacing w:line="240" w:lineRule="auto"/>
              <w:ind w:firstLine="0" w:firstLineChars="0"/>
              <w:rPr>
                <w:rFonts w:hint="eastAsia" w:ascii="Times New Roman" w:hAnsi="Times New Roman" w:cs="Times New Roman"/>
                <w:color w:val="auto"/>
                <w:sz w:val="21"/>
                <w:szCs w:val="21"/>
                <w:highlight w:val="none"/>
                <w:lang w:val="en-US" w:eastAsia="zh-CN" w:bidi="ar-SA"/>
              </w:rPr>
            </w:pPr>
            <w:r>
              <w:rPr>
                <w:rFonts w:hint="eastAsia" w:ascii="Times New Roman" w:hAnsi="Times New Roman" w:cs="Times New Roman"/>
                <w:color w:val="auto"/>
                <w:highlight w:val="none"/>
                <w:lang w:val="en-US" w:eastAsia="zh-CN"/>
              </w:rPr>
              <w:t>0.03445t/a</w:t>
            </w:r>
          </w:p>
        </w:tc>
        <w:tc>
          <w:tcPr>
            <w:tcW w:w="1073" w:type="dxa"/>
            <w:noWrap w:val="0"/>
            <w:vAlign w:val="center"/>
          </w:tcPr>
          <w:p>
            <w:pPr>
              <w:pStyle w:val="81"/>
              <w:spacing w:line="240" w:lineRule="auto"/>
              <w:ind w:firstLine="0" w:firstLineChars="0"/>
              <w:rPr>
                <w:rFonts w:hint="eastAsia"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+0.034t/a</w:t>
            </w:r>
          </w:p>
        </w:tc>
      </w:tr>
    </w:tbl>
    <w:p>
      <w:pPr>
        <w:pStyle w:val="81"/>
        <w:spacing w:before="192" w:beforeLines="80" w:after="24"/>
        <w:jc w:val="left"/>
        <w:rPr>
          <w:rFonts w:hint="default" w:ascii="Times New Roman" w:hAnsi="Times New Roman" w:cs="Times New Roman"/>
          <w:snapToGrid w:val="0"/>
          <w:color w:val="auto"/>
          <w:spacing w:val="-6"/>
          <w:kern w:val="21"/>
          <w:szCs w:val="21"/>
          <w:highlight w:val="none"/>
        </w:rPr>
      </w:pPr>
      <w:r>
        <w:rPr>
          <w:rFonts w:hint="default" w:ascii="Times New Roman" w:hAnsi="Times New Roman" w:cs="Times New Roman"/>
          <w:snapToGrid w:val="0"/>
          <w:color w:val="auto"/>
          <w:kern w:val="21"/>
          <w:szCs w:val="21"/>
          <w:highlight w:val="none"/>
        </w:rPr>
        <w:t>注：</w:t>
      </w:r>
      <w:r>
        <w:rPr>
          <w:rFonts w:hint="default" w:ascii="Times New Roman" w:hAnsi="Times New Roman" w:cs="Times New Roman"/>
          <w:snapToGrid w:val="0"/>
          <w:color w:val="auto"/>
          <w:spacing w:val="-16"/>
          <w:kern w:val="21"/>
          <w:szCs w:val="21"/>
          <w:highlight w:val="none"/>
        </w:rPr>
        <w:fldChar w:fldCharType="begin"/>
      </w:r>
      <w:r>
        <w:rPr>
          <w:rFonts w:hint="default" w:ascii="Times New Roman" w:hAnsi="Times New Roman" w:cs="Times New Roman"/>
          <w:snapToGrid w:val="0"/>
          <w:color w:val="auto"/>
          <w:spacing w:val="-16"/>
          <w:kern w:val="21"/>
          <w:szCs w:val="21"/>
          <w:highlight w:val="none"/>
        </w:rPr>
        <w:instrText xml:space="preserve"> = 6 \* GB3 \* MERGEFORMAT </w:instrText>
      </w:r>
      <w:r>
        <w:rPr>
          <w:rFonts w:hint="default" w:ascii="Times New Roman" w:hAnsi="Times New Roman" w:cs="Times New Roman"/>
          <w:snapToGrid w:val="0"/>
          <w:color w:val="auto"/>
          <w:spacing w:val="-16"/>
          <w:kern w:val="21"/>
          <w:szCs w:val="21"/>
          <w:highlight w:val="none"/>
        </w:rPr>
        <w:fldChar w:fldCharType="separate"/>
      </w:r>
      <w:r>
        <w:rPr>
          <w:rFonts w:hint="default" w:ascii="Times New Roman" w:hAnsi="Times New Roman" w:cs="Times New Roman"/>
          <w:color w:val="auto"/>
          <w:szCs w:val="21"/>
          <w:highlight w:val="none"/>
        </w:rPr>
        <w:t>⑥</w:t>
      </w:r>
      <w:r>
        <w:rPr>
          <w:rFonts w:hint="default" w:ascii="Times New Roman" w:hAnsi="Times New Roman" w:cs="Times New Roman"/>
          <w:snapToGrid w:val="0"/>
          <w:color w:val="auto"/>
          <w:spacing w:val="-16"/>
          <w:kern w:val="21"/>
          <w:szCs w:val="21"/>
          <w:highlight w:val="none"/>
        </w:rPr>
        <w:fldChar w:fldCharType="end"/>
      </w:r>
      <w:r>
        <w:rPr>
          <w:rFonts w:hint="default" w:ascii="Times New Roman" w:hAnsi="Times New Roman" w:cs="Times New Roman"/>
          <w:snapToGrid w:val="0"/>
          <w:color w:val="auto"/>
          <w:spacing w:val="-16"/>
          <w:kern w:val="21"/>
          <w:szCs w:val="21"/>
          <w:highlight w:val="none"/>
        </w:rPr>
        <w:t>=</w:t>
      </w:r>
      <w:r>
        <w:rPr>
          <w:rFonts w:hint="default" w:ascii="Times New Roman" w:hAnsi="Times New Roman" w:cs="Times New Roman"/>
          <w:snapToGrid w:val="0"/>
          <w:color w:val="auto"/>
          <w:spacing w:val="-6"/>
          <w:kern w:val="21"/>
          <w:szCs w:val="21"/>
          <w:highlight w:val="none"/>
        </w:rPr>
        <w:fldChar w:fldCharType="begin"/>
      </w:r>
      <w:r>
        <w:rPr>
          <w:rFonts w:hint="default" w:ascii="Times New Roman" w:hAnsi="Times New Roman" w:cs="Times New Roman"/>
          <w:snapToGrid w:val="0"/>
          <w:color w:val="auto"/>
          <w:spacing w:val="-6"/>
          <w:kern w:val="21"/>
          <w:szCs w:val="21"/>
          <w:highlight w:val="none"/>
        </w:rPr>
        <w:instrText xml:space="preserve"> = 1 \* GB3 \* MERGEFORMAT </w:instrText>
      </w:r>
      <w:r>
        <w:rPr>
          <w:rFonts w:hint="default" w:ascii="Times New Roman" w:hAnsi="Times New Roman" w:cs="Times New Roman"/>
          <w:snapToGrid w:val="0"/>
          <w:color w:val="auto"/>
          <w:spacing w:val="-6"/>
          <w:kern w:val="21"/>
          <w:szCs w:val="21"/>
          <w:highlight w:val="none"/>
        </w:rPr>
        <w:fldChar w:fldCharType="separate"/>
      </w:r>
      <w:r>
        <w:rPr>
          <w:rFonts w:hint="default" w:ascii="Times New Roman" w:hAnsi="Times New Roman" w:cs="Times New Roman"/>
          <w:color w:val="auto"/>
          <w:szCs w:val="21"/>
          <w:highlight w:val="none"/>
        </w:rPr>
        <w:t>①</w:t>
      </w:r>
      <w:r>
        <w:rPr>
          <w:rFonts w:hint="default" w:ascii="Times New Roman" w:hAnsi="Times New Roman" w:cs="Times New Roman"/>
          <w:snapToGrid w:val="0"/>
          <w:color w:val="auto"/>
          <w:spacing w:val="-6"/>
          <w:kern w:val="21"/>
          <w:szCs w:val="21"/>
          <w:highlight w:val="none"/>
        </w:rPr>
        <w:fldChar w:fldCharType="end"/>
      </w:r>
      <w:r>
        <w:rPr>
          <w:rFonts w:hint="default" w:ascii="Times New Roman" w:hAnsi="Times New Roman" w:cs="Times New Roman"/>
          <w:snapToGrid w:val="0"/>
          <w:color w:val="auto"/>
          <w:spacing w:val="-6"/>
          <w:kern w:val="21"/>
          <w:szCs w:val="21"/>
          <w:highlight w:val="none"/>
        </w:rPr>
        <w:t>+</w:t>
      </w:r>
      <w:r>
        <w:rPr>
          <w:rFonts w:hint="default" w:ascii="Times New Roman" w:hAnsi="Times New Roman" w:cs="Times New Roman"/>
          <w:snapToGrid w:val="0"/>
          <w:color w:val="auto"/>
          <w:spacing w:val="-6"/>
          <w:kern w:val="21"/>
          <w:szCs w:val="21"/>
          <w:highlight w:val="none"/>
        </w:rPr>
        <w:fldChar w:fldCharType="begin"/>
      </w:r>
      <w:r>
        <w:rPr>
          <w:rFonts w:hint="default" w:ascii="Times New Roman" w:hAnsi="Times New Roman" w:cs="Times New Roman"/>
          <w:snapToGrid w:val="0"/>
          <w:color w:val="auto"/>
          <w:spacing w:val="-6"/>
          <w:kern w:val="21"/>
          <w:szCs w:val="21"/>
          <w:highlight w:val="none"/>
        </w:rPr>
        <w:instrText xml:space="preserve"> = 3 \* GB3 \* MERGEFORMAT </w:instrText>
      </w:r>
      <w:r>
        <w:rPr>
          <w:rFonts w:hint="default" w:ascii="Times New Roman" w:hAnsi="Times New Roman" w:cs="Times New Roman"/>
          <w:snapToGrid w:val="0"/>
          <w:color w:val="auto"/>
          <w:spacing w:val="-6"/>
          <w:kern w:val="21"/>
          <w:szCs w:val="21"/>
          <w:highlight w:val="none"/>
        </w:rPr>
        <w:fldChar w:fldCharType="separate"/>
      </w:r>
      <w:r>
        <w:rPr>
          <w:rFonts w:hint="default" w:ascii="Times New Roman" w:hAnsi="Times New Roman" w:cs="Times New Roman"/>
          <w:color w:val="auto"/>
          <w:szCs w:val="21"/>
          <w:highlight w:val="none"/>
        </w:rPr>
        <w:t>③</w:t>
      </w:r>
      <w:r>
        <w:rPr>
          <w:rFonts w:hint="default" w:ascii="Times New Roman" w:hAnsi="Times New Roman" w:cs="Times New Roman"/>
          <w:snapToGrid w:val="0"/>
          <w:color w:val="auto"/>
          <w:spacing w:val="-6"/>
          <w:kern w:val="21"/>
          <w:szCs w:val="21"/>
          <w:highlight w:val="none"/>
        </w:rPr>
        <w:fldChar w:fldCharType="end"/>
      </w:r>
      <w:r>
        <w:rPr>
          <w:rFonts w:hint="default" w:ascii="Times New Roman" w:hAnsi="Times New Roman" w:cs="Times New Roman"/>
          <w:snapToGrid w:val="0"/>
          <w:color w:val="auto"/>
          <w:spacing w:val="-6"/>
          <w:kern w:val="21"/>
          <w:szCs w:val="21"/>
          <w:highlight w:val="none"/>
        </w:rPr>
        <w:t>+</w:t>
      </w:r>
      <w:r>
        <w:rPr>
          <w:rFonts w:hint="default" w:ascii="Times New Roman" w:hAnsi="Times New Roman" w:cs="Times New Roman"/>
          <w:snapToGrid w:val="0"/>
          <w:color w:val="auto"/>
          <w:spacing w:val="-6"/>
          <w:kern w:val="21"/>
          <w:szCs w:val="21"/>
          <w:highlight w:val="none"/>
        </w:rPr>
        <w:fldChar w:fldCharType="begin"/>
      </w:r>
      <w:r>
        <w:rPr>
          <w:rFonts w:hint="default" w:ascii="Times New Roman" w:hAnsi="Times New Roman" w:cs="Times New Roman"/>
          <w:snapToGrid w:val="0"/>
          <w:color w:val="auto"/>
          <w:spacing w:val="-6"/>
          <w:kern w:val="21"/>
          <w:szCs w:val="21"/>
          <w:highlight w:val="none"/>
        </w:rPr>
        <w:instrText xml:space="preserve"> = 4 \* GB3 \* MERGEFORMAT </w:instrText>
      </w:r>
      <w:r>
        <w:rPr>
          <w:rFonts w:hint="default" w:ascii="Times New Roman" w:hAnsi="Times New Roman" w:cs="Times New Roman"/>
          <w:snapToGrid w:val="0"/>
          <w:color w:val="auto"/>
          <w:spacing w:val="-6"/>
          <w:kern w:val="21"/>
          <w:szCs w:val="21"/>
          <w:highlight w:val="none"/>
        </w:rPr>
        <w:fldChar w:fldCharType="separate"/>
      </w:r>
      <w:r>
        <w:rPr>
          <w:rFonts w:hint="default" w:ascii="Times New Roman" w:hAnsi="Times New Roman" w:cs="Times New Roman"/>
          <w:color w:val="auto"/>
          <w:szCs w:val="21"/>
          <w:highlight w:val="none"/>
        </w:rPr>
        <w:t>④</w:t>
      </w:r>
      <w:r>
        <w:rPr>
          <w:rFonts w:hint="default" w:ascii="Times New Roman" w:hAnsi="Times New Roman" w:cs="Times New Roman"/>
          <w:snapToGrid w:val="0"/>
          <w:color w:val="auto"/>
          <w:spacing w:val="-6"/>
          <w:kern w:val="21"/>
          <w:szCs w:val="21"/>
          <w:highlight w:val="none"/>
        </w:rPr>
        <w:fldChar w:fldCharType="end"/>
      </w:r>
      <w:r>
        <w:rPr>
          <w:rFonts w:hint="default" w:ascii="Times New Roman" w:hAnsi="Times New Roman" w:cs="Times New Roman"/>
          <w:snapToGrid w:val="0"/>
          <w:color w:val="auto"/>
          <w:spacing w:val="-6"/>
          <w:kern w:val="21"/>
          <w:szCs w:val="21"/>
          <w:highlight w:val="none"/>
        </w:rPr>
        <w:t>-</w:t>
      </w:r>
      <w:r>
        <w:rPr>
          <w:rFonts w:hint="default" w:ascii="Times New Roman" w:hAnsi="Times New Roman" w:cs="Times New Roman"/>
          <w:snapToGrid w:val="0"/>
          <w:color w:val="auto"/>
          <w:spacing w:val="-16"/>
          <w:kern w:val="21"/>
          <w:szCs w:val="21"/>
          <w:highlight w:val="none"/>
        </w:rPr>
        <w:fldChar w:fldCharType="begin"/>
      </w:r>
      <w:r>
        <w:rPr>
          <w:rFonts w:hint="default" w:ascii="Times New Roman" w:hAnsi="Times New Roman" w:cs="Times New Roman"/>
          <w:snapToGrid w:val="0"/>
          <w:color w:val="auto"/>
          <w:spacing w:val="-16"/>
          <w:kern w:val="21"/>
          <w:szCs w:val="21"/>
          <w:highlight w:val="none"/>
        </w:rPr>
        <w:instrText xml:space="preserve"> = 5 \* GB3 \* MERGEFORMAT </w:instrText>
      </w:r>
      <w:r>
        <w:rPr>
          <w:rFonts w:hint="default" w:ascii="Times New Roman" w:hAnsi="Times New Roman" w:cs="Times New Roman"/>
          <w:snapToGrid w:val="0"/>
          <w:color w:val="auto"/>
          <w:spacing w:val="-16"/>
          <w:kern w:val="21"/>
          <w:szCs w:val="21"/>
          <w:highlight w:val="none"/>
        </w:rPr>
        <w:fldChar w:fldCharType="separate"/>
      </w:r>
      <w:r>
        <w:rPr>
          <w:rFonts w:hint="default" w:ascii="Times New Roman" w:hAnsi="Times New Roman" w:cs="Times New Roman"/>
          <w:color w:val="auto"/>
          <w:szCs w:val="21"/>
          <w:highlight w:val="none"/>
        </w:rPr>
        <w:t>⑤</w:t>
      </w:r>
      <w:r>
        <w:rPr>
          <w:rFonts w:hint="default" w:ascii="Times New Roman" w:hAnsi="Times New Roman" w:cs="Times New Roman"/>
          <w:snapToGrid w:val="0"/>
          <w:color w:val="auto"/>
          <w:spacing w:val="-16"/>
          <w:kern w:val="21"/>
          <w:szCs w:val="21"/>
          <w:highlight w:val="none"/>
        </w:rPr>
        <w:fldChar w:fldCharType="end"/>
      </w:r>
      <w:r>
        <w:rPr>
          <w:rFonts w:hint="default" w:ascii="Times New Roman" w:hAnsi="Times New Roman" w:cs="Times New Roman"/>
          <w:snapToGrid w:val="0"/>
          <w:color w:val="auto"/>
          <w:spacing w:val="-16"/>
          <w:kern w:val="21"/>
          <w:szCs w:val="21"/>
          <w:highlight w:val="none"/>
        </w:rPr>
        <w:t>；</w:t>
      </w:r>
      <w:r>
        <w:rPr>
          <w:rFonts w:hint="default" w:ascii="Times New Roman" w:hAnsi="Times New Roman" w:cs="Times New Roman"/>
          <w:snapToGrid w:val="0"/>
          <w:color w:val="auto"/>
          <w:spacing w:val="-6"/>
          <w:kern w:val="21"/>
          <w:szCs w:val="21"/>
          <w:highlight w:val="none"/>
        </w:rPr>
        <w:fldChar w:fldCharType="begin"/>
      </w:r>
      <w:r>
        <w:rPr>
          <w:rFonts w:hint="default" w:ascii="Times New Roman" w:hAnsi="Times New Roman" w:cs="Times New Roman"/>
          <w:snapToGrid w:val="0"/>
          <w:color w:val="auto"/>
          <w:spacing w:val="-6"/>
          <w:kern w:val="21"/>
          <w:szCs w:val="21"/>
          <w:highlight w:val="none"/>
        </w:rPr>
        <w:instrText xml:space="preserve"> = 7 \* GB3 \* MERGEFORMAT </w:instrText>
      </w:r>
      <w:r>
        <w:rPr>
          <w:rFonts w:hint="default" w:ascii="Times New Roman" w:hAnsi="Times New Roman" w:cs="Times New Roman"/>
          <w:snapToGrid w:val="0"/>
          <w:color w:val="auto"/>
          <w:spacing w:val="-6"/>
          <w:kern w:val="21"/>
          <w:szCs w:val="21"/>
          <w:highlight w:val="none"/>
        </w:rPr>
        <w:fldChar w:fldCharType="separate"/>
      </w:r>
      <w:r>
        <w:rPr>
          <w:rFonts w:hint="default" w:ascii="Times New Roman" w:hAnsi="Times New Roman" w:cs="Times New Roman"/>
          <w:color w:val="auto"/>
          <w:szCs w:val="21"/>
          <w:highlight w:val="none"/>
        </w:rPr>
        <w:t>⑦</w:t>
      </w:r>
      <w:r>
        <w:rPr>
          <w:rFonts w:hint="default" w:ascii="Times New Roman" w:hAnsi="Times New Roman" w:cs="Times New Roman"/>
          <w:snapToGrid w:val="0"/>
          <w:color w:val="auto"/>
          <w:spacing w:val="-6"/>
          <w:kern w:val="21"/>
          <w:szCs w:val="21"/>
          <w:highlight w:val="none"/>
        </w:rPr>
        <w:fldChar w:fldCharType="end"/>
      </w:r>
      <w:r>
        <w:rPr>
          <w:rFonts w:hint="default" w:ascii="Times New Roman" w:hAnsi="Times New Roman" w:cs="Times New Roman"/>
          <w:snapToGrid w:val="0"/>
          <w:color w:val="auto"/>
          <w:spacing w:val="-6"/>
          <w:kern w:val="21"/>
          <w:szCs w:val="21"/>
          <w:highlight w:val="none"/>
        </w:rPr>
        <w:t>=</w:t>
      </w:r>
      <w:r>
        <w:rPr>
          <w:rFonts w:hint="default" w:ascii="Times New Roman" w:hAnsi="Times New Roman" w:cs="Times New Roman"/>
          <w:snapToGrid w:val="0"/>
          <w:color w:val="auto"/>
          <w:spacing w:val="-16"/>
          <w:kern w:val="21"/>
          <w:szCs w:val="21"/>
          <w:highlight w:val="none"/>
        </w:rPr>
        <w:fldChar w:fldCharType="begin"/>
      </w:r>
      <w:r>
        <w:rPr>
          <w:rFonts w:hint="default" w:ascii="Times New Roman" w:hAnsi="Times New Roman" w:cs="Times New Roman"/>
          <w:snapToGrid w:val="0"/>
          <w:color w:val="auto"/>
          <w:spacing w:val="-16"/>
          <w:kern w:val="21"/>
          <w:szCs w:val="21"/>
          <w:highlight w:val="none"/>
        </w:rPr>
        <w:instrText xml:space="preserve"> = 6 \* GB3 \* MERGEFORMAT </w:instrText>
      </w:r>
      <w:r>
        <w:rPr>
          <w:rFonts w:hint="default" w:ascii="Times New Roman" w:hAnsi="Times New Roman" w:cs="Times New Roman"/>
          <w:snapToGrid w:val="0"/>
          <w:color w:val="auto"/>
          <w:spacing w:val="-16"/>
          <w:kern w:val="21"/>
          <w:szCs w:val="21"/>
          <w:highlight w:val="none"/>
        </w:rPr>
        <w:fldChar w:fldCharType="separate"/>
      </w:r>
      <w:r>
        <w:rPr>
          <w:rFonts w:hint="default" w:ascii="Times New Roman" w:hAnsi="Times New Roman" w:cs="Times New Roman"/>
          <w:color w:val="auto"/>
          <w:szCs w:val="21"/>
          <w:highlight w:val="none"/>
        </w:rPr>
        <w:t>⑥</w:t>
      </w:r>
      <w:r>
        <w:rPr>
          <w:rFonts w:hint="default" w:ascii="Times New Roman" w:hAnsi="Times New Roman" w:cs="Times New Roman"/>
          <w:snapToGrid w:val="0"/>
          <w:color w:val="auto"/>
          <w:spacing w:val="-16"/>
          <w:kern w:val="21"/>
          <w:szCs w:val="21"/>
          <w:highlight w:val="none"/>
        </w:rPr>
        <w:fldChar w:fldCharType="end"/>
      </w:r>
      <w:r>
        <w:rPr>
          <w:rFonts w:hint="default" w:ascii="Times New Roman" w:hAnsi="Times New Roman" w:cs="Times New Roman"/>
          <w:snapToGrid w:val="0"/>
          <w:color w:val="auto"/>
          <w:spacing w:val="-16"/>
          <w:kern w:val="21"/>
          <w:szCs w:val="21"/>
          <w:highlight w:val="none"/>
        </w:rPr>
        <w:t>-</w:t>
      </w:r>
      <w:r>
        <w:rPr>
          <w:rFonts w:hint="default" w:ascii="Times New Roman" w:hAnsi="Times New Roman" w:cs="Times New Roman"/>
          <w:snapToGrid w:val="0"/>
          <w:color w:val="auto"/>
          <w:spacing w:val="-6"/>
          <w:kern w:val="21"/>
          <w:szCs w:val="21"/>
          <w:highlight w:val="none"/>
        </w:rPr>
        <w:fldChar w:fldCharType="begin"/>
      </w:r>
      <w:r>
        <w:rPr>
          <w:rFonts w:hint="default" w:ascii="Times New Roman" w:hAnsi="Times New Roman" w:cs="Times New Roman"/>
          <w:snapToGrid w:val="0"/>
          <w:color w:val="auto"/>
          <w:spacing w:val="-6"/>
          <w:kern w:val="21"/>
          <w:szCs w:val="21"/>
          <w:highlight w:val="none"/>
        </w:rPr>
        <w:instrText xml:space="preserve"> = 1 \* GB3 \* MERGEFORMAT </w:instrText>
      </w:r>
      <w:r>
        <w:rPr>
          <w:rFonts w:hint="default" w:ascii="Times New Roman" w:hAnsi="Times New Roman" w:cs="Times New Roman"/>
          <w:snapToGrid w:val="0"/>
          <w:color w:val="auto"/>
          <w:spacing w:val="-6"/>
          <w:kern w:val="21"/>
          <w:szCs w:val="21"/>
          <w:highlight w:val="none"/>
        </w:rPr>
        <w:fldChar w:fldCharType="separate"/>
      </w:r>
      <w:r>
        <w:rPr>
          <w:rFonts w:hint="default" w:ascii="Times New Roman" w:hAnsi="Times New Roman" w:cs="Times New Roman"/>
          <w:color w:val="auto"/>
          <w:szCs w:val="21"/>
          <w:highlight w:val="none"/>
        </w:rPr>
        <w:t>①</w:t>
      </w:r>
      <w:r>
        <w:rPr>
          <w:rFonts w:hint="default" w:ascii="Times New Roman" w:hAnsi="Times New Roman" w:cs="Times New Roman"/>
          <w:snapToGrid w:val="0"/>
          <w:color w:val="auto"/>
          <w:spacing w:val="-6"/>
          <w:kern w:val="21"/>
          <w:szCs w:val="21"/>
          <w:highlight w:val="none"/>
        </w:rPr>
        <w:fldChar w:fldCharType="end"/>
      </w:r>
    </w:p>
    <w:p>
      <w:pPr>
        <w:rPr>
          <w:rFonts w:hint="default" w:ascii="Times New Roman" w:hAnsi="Times New Roman" w:cs="Times New Roman"/>
          <w:color w:val="auto"/>
          <w:highlight w:val="none"/>
        </w:rPr>
        <w:sectPr>
          <w:footerReference r:id="rId8" w:type="default"/>
          <w:pgSz w:w="16838" w:h="11905" w:orient="landscape"/>
          <w:pgMar w:top="1587" w:right="1440" w:bottom="1587" w:left="1440" w:header="851" w:footer="850" w:gutter="0"/>
          <w:pgBorders>
            <w:top w:val="none" w:sz="0" w:space="0"/>
            <w:left w:val="none" w:sz="0" w:space="0"/>
            <w:bottom w:val="none" w:sz="0" w:space="0"/>
            <w:right w:val="none" w:sz="0" w:space="0"/>
          </w:pgBorders>
          <w:pgNumType w:fmt="decimal"/>
          <w:cols w:space="0" w:num="1"/>
          <w:rtlGutter w:val="0"/>
          <w:docGrid w:linePitch="312" w:charSpace="0"/>
        </w:sectPr>
      </w:pPr>
    </w:p>
    <w:tbl>
      <w:tblPr>
        <w:tblStyle w:val="33"/>
        <w:tblW w:w="907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7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82" w:hRule="atLeast"/>
          <w:jc w:val="center"/>
        </w:trPr>
        <w:tc>
          <w:tcPr>
            <w:tcW w:w="9060" w:type="dxa"/>
            <w:noWrap w:val="0"/>
            <w:vAlign w:val="top"/>
          </w:tcPr>
          <w:p>
            <w:pPr>
              <w:pStyle w:val="10"/>
              <w:bidi w:val="0"/>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附图及附件</w:t>
            </w:r>
          </w:p>
          <w:p>
            <w:pPr>
              <w:bidi w:val="0"/>
              <w:rPr>
                <w:rFonts w:hint="default" w:ascii="Times New Roman" w:hAnsi="Times New Roman" w:cs="Times New Roman"/>
                <w:color w:val="auto"/>
                <w:highlight w:val="none"/>
                <w:lang w:val="en-US" w:eastAsia="zh-CN"/>
              </w:rPr>
            </w:pPr>
          </w:p>
          <w:p>
            <w:pPr>
              <w:keepNext w:val="0"/>
              <w:keepLines w:val="0"/>
              <w:pageBreakBefore w:val="0"/>
              <w:kinsoku/>
              <w:wordWrap/>
              <w:overflowPunct/>
              <w:topLinePunct w:val="0"/>
              <w:autoSpaceDE/>
              <w:autoSpaceDN/>
              <w:bidi w:val="0"/>
              <w:adjustRightInd w:val="0"/>
              <w:snapToGrid w:val="0"/>
              <w:spacing w:line="360" w:lineRule="auto"/>
              <w:ind w:right="0" w:firstLine="480" w:firstLineChars="200"/>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 xml:space="preserve">附件1  </w:t>
            </w:r>
            <w:r>
              <w:rPr>
                <w:rFonts w:hint="default" w:ascii="Times New Roman" w:hAnsi="Times New Roman" w:cs="Times New Roman"/>
                <w:color w:val="auto"/>
                <w:highlight w:val="none"/>
                <w:lang w:val="en-US" w:eastAsia="zh-CN"/>
              </w:rPr>
              <w:t>投资备案</w:t>
            </w:r>
          </w:p>
          <w:p>
            <w:pPr>
              <w:keepNext w:val="0"/>
              <w:keepLines w:val="0"/>
              <w:pageBreakBefore w:val="0"/>
              <w:kinsoku/>
              <w:wordWrap/>
              <w:overflowPunct/>
              <w:topLinePunct w:val="0"/>
              <w:autoSpaceDE/>
              <w:autoSpaceDN/>
              <w:bidi w:val="0"/>
              <w:adjustRightInd w:val="0"/>
              <w:snapToGrid w:val="0"/>
              <w:spacing w:line="360" w:lineRule="auto"/>
              <w:ind w:right="0" w:firstLine="480" w:firstLineChars="200"/>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附件2  营业执照</w:t>
            </w:r>
          </w:p>
          <w:p>
            <w:pPr>
              <w:keepNext w:val="0"/>
              <w:keepLines w:val="0"/>
              <w:pageBreakBefore w:val="0"/>
              <w:kinsoku/>
              <w:wordWrap/>
              <w:overflowPunct/>
              <w:topLinePunct w:val="0"/>
              <w:autoSpaceDE/>
              <w:autoSpaceDN/>
              <w:bidi w:val="0"/>
              <w:adjustRightInd w:val="0"/>
              <w:snapToGrid w:val="0"/>
              <w:spacing w:line="360" w:lineRule="auto"/>
              <w:ind w:right="0" w:firstLine="480" w:firstLineChars="200"/>
              <w:textAlignment w:val="auto"/>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附件3  现有工程环评批复、验收批复</w:t>
            </w:r>
          </w:p>
          <w:p>
            <w:pPr>
              <w:pStyle w:val="12"/>
              <w:keepNext w:val="0"/>
              <w:keepLines w:val="0"/>
              <w:pageBreakBefore w:val="0"/>
              <w:kinsoku/>
              <w:wordWrap/>
              <w:overflowPunct/>
              <w:topLinePunct w:val="0"/>
              <w:autoSpaceDE/>
              <w:autoSpaceDN/>
              <w:bidi w:val="0"/>
              <w:adjustRightInd w:val="0"/>
              <w:snapToGrid w:val="0"/>
              <w:spacing w:line="360" w:lineRule="auto"/>
              <w:ind w:left="0" w:leftChars="0" w:right="0" w:firstLine="480" w:firstLineChars="200"/>
              <w:textAlignment w:val="auto"/>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附件</w:t>
            </w:r>
            <w:r>
              <w:rPr>
                <w:rFonts w:hint="eastAsia" w:cs="Times New Roman"/>
                <w:color w:val="auto"/>
                <w:highlight w:val="none"/>
                <w:lang w:val="en-US" w:eastAsia="zh-CN"/>
              </w:rPr>
              <w:t>4</w:t>
            </w:r>
            <w:r>
              <w:rPr>
                <w:rFonts w:hint="default" w:ascii="Times New Roman" w:hAnsi="Times New Roman" w:cs="Times New Roman"/>
                <w:color w:val="auto"/>
                <w:highlight w:val="none"/>
                <w:lang w:val="en-US" w:eastAsia="zh-CN"/>
              </w:rPr>
              <w:t xml:space="preserve">  </w:t>
            </w:r>
            <w:r>
              <w:rPr>
                <w:rFonts w:hint="eastAsia" w:ascii="Times New Roman" w:hAnsi="Times New Roman" w:cs="Times New Roman"/>
                <w:color w:val="auto"/>
                <w:highlight w:val="none"/>
                <w:lang w:val="en-US" w:eastAsia="zh-CN"/>
              </w:rPr>
              <w:t>漆</w:t>
            </w:r>
            <w:r>
              <w:rPr>
                <w:rFonts w:hint="default" w:ascii="Times New Roman" w:hAnsi="Times New Roman" w:cs="Times New Roman"/>
                <w:color w:val="auto"/>
                <w:highlight w:val="none"/>
                <w:lang w:val="en-US" w:eastAsia="zh-CN"/>
              </w:rPr>
              <w:t>成分检测报告</w:t>
            </w:r>
          </w:p>
          <w:p>
            <w:pPr>
              <w:pStyle w:val="13"/>
              <w:keepNext w:val="0"/>
              <w:keepLines w:val="0"/>
              <w:pageBreakBefore w:val="0"/>
              <w:kinsoku/>
              <w:wordWrap/>
              <w:overflowPunct/>
              <w:topLinePunct w:val="0"/>
              <w:autoSpaceDE/>
              <w:autoSpaceDN/>
              <w:bidi w:val="0"/>
              <w:adjustRightInd w:val="0"/>
              <w:snapToGrid w:val="0"/>
              <w:spacing w:before="0" w:after="0" w:line="360" w:lineRule="auto"/>
              <w:ind w:right="0"/>
              <w:textAlignment w:val="auto"/>
              <w:rPr>
                <w:rFonts w:hint="eastAsia"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附件</w:t>
            </w:r>
            <w:r>
              <w:rPr>
                <w:rFonts w:hint="eastAsia" w:ascii="Times New Roman" w:hAnsi="Times New Roman" w:cs="Times New Roman"/>
                <w:color w:val="auto"/>
                <w:highlight w:val="none"/>
                <w:lang w:val="en-US" w:eastAsia="zh-CN"/>
              </w:rPr>
              <w:t>5</w:t>
            </w:r>
            <w:r>
              <w:rPr>
                <w:rFonts w:hint="default" w:ascii="Times New Roman" w:hAnsi="Times New Roman" w:cs="Times New Roman"/>
                <w:color w:val="auto"/>
                <w:highlight w:val="none"/>
                <w:lang w:val="en-US" w:eastAsia="zh-CN"/>
              </w:rPr>
              <w:t xml:space="preserve">  </w:t>
            </w:r>
            <w:r>
              <w:rPr>
                <w:rFonts w:hint="eastAsia" w:ascii="Times New Roman" w:hAnsi="Times New Roman" w:cs="Times New Roman"/>
                <w:color w:val="auto"/>
                <w:highlight w:val="none"/>
                <w:lang w:val="en-US" w:eastAsia="zh-CN"/>
              </w:rPr>
              <w:t>现状监测报告</w:t>
            </w:r>
          </w:p>
          <w:p>
            <w:pPr>
              <w:pStyle w:val="13"/>
              <w:keepNext w:val="0"/>
              <w:keepLines w:val="0"/>
              <w:pageBreakBefore w:val="0"/>
              <w:kinsoku/>
              <w:wordWrap/>
              <w:overflowPunct/>
              <w:topLinePunct w:val="0"/>
              <w:autoSpaceDE/>
              <w:autoSpaceDN/>
              <w:bidi w:val="0"/>
              <w:adjustRightInd w:val="0"/>
              <w:snapToGrid w:val="0"/>
              <w:spacing w:before="0" w:after="0" w:line="360" w:lineRule="auto"/>
              <w:ind w:right="0"/>
              <w:textAlignment w:val="auto"/>
              <w:rPr>
                <w:rFonts w:hint="eastAsia"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附件6  排污许可证</w:t>
            </w:r>
          </w:p>
          <w:p>
            <w:pPr>
              <w:pStyle w:val="13"/>
              <w:keepNext w:val="0"/>
              <w:keepLines w:val="0"/>
              <w:pageBreakBefore w:val="0"/>
              <w:kinsoku/>
              <w:wordWrap/>
              <w:overflowPunct/>
              <w:topLinePunct w:val="0"/>
              <w:autoSpaceDE/>
              <w:autoSpaceDN/>
              <w:bidi w:val="0"/>
              <w:adjustRightInd w:val="0"/>
              <w:snapToGrid w:val="0"/>
              <w:spacing w:before="0" w:after="0" w:line="360" w:lineRule="auto"/>
              <w:ind w:right="0"/>
              <w:textAlignment w:val="auto"/>
              <w:rPr>
                <w:rFonts w:hint="eastAsia"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附件7  应急预案备案表</w:t>
            </w:r>
          </w:p>
          <w:p>
            <w:pPr>
              <w:pStyle w:val="13"/>
              <w:keepNext w:val="0"/>
              <w:keepLines w:val="0"/>
              <w:pageBreakBefore w:val="0"/>
              <w:kinsoku/>
              <w:wordWrap/>
              <w:overflowPunct/>
              <w:topLinePunct w:val="0"/>
              <w:autoSpaceDE/>
              <w:autoSpaceDN/>
              <w:bidi w:val="0"/>
              <w:adjustRightInd w:val="0"/>
              <w:snapToGrid w:val="0"/>
              <w:spacing w:before="0" w:after="0" w:line="360" w:lineRule="auto"/>
              <w:ind w:right="0"/>
              <w:textAlignment w:val="auto"/>
              <w:rPr>
                <w:rFonts w:hint="eastAsia"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附件8  土地手续</w:t>
            </w:r>
          </w:p>
          <w:p>
            <w:pPr>
              <w:pStyle w:val="13"/>
              <w:keepNext w:val="0"/>
              <w:keepLines w:val="0"/>
              <w:pageBreakBefore w:val="0"/>
              <w:kinsoku/>
              <w:wordWrap/>
              <w:overflowPunct/>
              <w:topLinePunct w:val="0"/>
              <w:autoSpaceDE/>
              <w:autoSpaceDN/>
              <w:bidi w:val="0"/>
              <w:adjustRightInd w:val="0"/>
              <w:snapToGrid w:val="0"/>
              <w:spacing w:before="0" w:after="0" w:line="360" w:lineRule="auto"/>
              <w:ind w:right="0"/>
              <w:textAlignment w:val="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附件9  类比项目监测报告</w:t>
            </w:r>
          </w:p>
          <w:p>
            <w:pPr>
              <w:bidi w:val="0"/>
              <w:rPr>
                <w:rFonts w:hint="default" w:ascii="Times New Roman" w:hAnsi="Times New Roman" w:eastAsia="宋体" w:cs="Times New Roman"/>
                <w:color w:val="auto"/>
                <w:highlight w:val="none"/>
                <w:lang w:val="en-US" w:eastAsia="zh-CN"/>
              </w:rPr>
            </w:pPr>
          </w:p>
          <w:p>
            <w:pPr>
              <w:bidi w:val="0"/>
              <w:ind w:firstLine="480" w:firstLineChars="200"/>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附图1  项目地理位置图</w:t>
            </w:r>
          </w:p>
          <w:p>
            <w:pPr>
              <w:bidi w:val="0"/>
              <w:ind w:firstLine="480" w:firstLineChars="200"/>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附图2  项目周边关系图</w:t>
            </w:r>
          </w:p>
          <w:p>
            <w:pPr>
              <w:bidi w:val="0"/>
              <w:ind w:firstLine="480" w:firstLineChars="200"/>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 xml:space="preserve">附图3  </w:t>
            </w:r>
            <w:r>
              <w:rPr>
                <w:rFonts w:hint="default" w:ascii="Times New Roman" w:hAnsi="Times New Roman" w:eastAsia="宋体" w:cs="Times New Roman"/>
                <w:color w:val="auto"/>
                <w:highlight w:val="none"/>
                <w:lang w:val="en-US" w:eastAsia="zh-CN"/>
              </w:rPr>
              <w:t>厂区平面布置图</w:t>
            </w:r>
          </w:p>
          <w:p>
            <w:pPr>
              <w:bidi w:val="0"/>
              <w:ind w:firstLine="480" w:firstLineChars="200"/>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附图</w:t>
            </w:r>
            <w:r>
              <w:rPr>
                <w:rFonts w:hint="eastAsia" w:ascii="Times New Roman" w:hAnsi="Times New Roman" w:eastAsia="宋体" w:cs="Times New Roman"/>
                <w:color w:val="auto"/>
                <w:highlight w:val="none"/>
                <w:lang w:val="en-US" w:eastAsia="zh-CN"/>
              </w:rPr>
              <w:t>4</w:t>
            </w:r>
            <w:r>
              <w:rPr>
                <w:rFonts w:hint="default" w:ascii="Times New Roman" w:hAnsi="Times New Roman" w:eastAsia="宋体" w:cs="Times New Roman"/>
                <w:color w:val="auto"/>
                <w:highlight w:val="none"/>
                <w:lang w:val="en-US" w:eastAsia="zh-CN"/>
              </w:rPr>
              <w:t xml:space="preserve"> </w:t>
            </w:r>
            <w:r>
              <w:rPr>
                <w:rFonts w:hint="eastAsia" w:cs="Times New Roman"/>
                <w:color w:val="auto"/>
                <w:highlight w:val="none"/>
                <w:lang w:val="en-US" w:eastAsia="zh-CN"/>
              </w:rPr>
              <w:t xml:space="preserve"> </w:t>
            </w:r>
            <w:r>
              <w:rPr>
                <w:rFonts w:hint="eastAsia" w:ascii="Times New Roman" w:hAnsi="Times New Roman" w:eastAsia="宋体" w:cs="Times New Roman"/>
                <w:color w:val="auto"/>
                <w:highlight w:val="none"/>
                <w:lang w:val="en-US" w:eastAsia="zh-CN"/>
              </w:rPr>
              <w:t>项目与抚宁区规划位置关系图</w:t>
            </w:r>
            <w:r>
              <w:rPr>
                <w:rFonts w:hint="default" w:ascii="Times New Roman" w:hAnsi="Times New Roman" w:eastAsia="宋体" w:cs="Times New Roman"/>
                <w:color w:val="auto"/>
                <w:highlight w:val="none"/>
                <w:lang w:val="en-US" w:eastAsia="zh-CN"/>
              </w:rPr>
              <w:t xml:space="preserve">  </w:t>
            </w:r>
          </w:p>
          <w:p>
            <w:pPr>
              <w:pStyle w:val="3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firstLine="480" w:firstLineChars="200"/>
              <w:jc w:val="left"/>
              <w:textAlignment w:val="auto"/>
              <w:rPr>
                <w:rFonts w:hint="default" w:ascii="Times New Roman" w:hAnsi="Times New Roman" w:eastAsia="宋体" w:cs="Times New Roman"/>
                <w:color w:val="auto"/>
                <w:sz w:val="24"/>
                <w:szCs w:val="24"/>
                <w:highlight w:val="none"/>
                <w:lang w:val="en-US" w:eastAsia="zh-CN"/>
              </w:rPr>
            </w:pPr>
          </w:p>
          <w:p>
            <w:pPr>
              <w:pStyle w:val="3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firstLine="480" w:firstLineChars="200"/>
              <w:jc w:val="left"/>
              <w:textAlignment w:val="auto"/>
              <w:rPr>
                <w:rFonts w:hint="default" w:ascii="Times New Roman" w:hAnsi="Times New Roman" w:eastAsia="宋体" w:cs="Times New Roman"/>
                <w:color w:val="auto"/>
                <w:sz w:val="24"/>
                <w:szCs w:val="24"/>
                <w:highlight w:val="none"/>
                <w:lang w:val="en-US" w:eastAsia="zh-CN"/>
              </w:rPr>
            </w:pPr>
          </w:p>
          <w:p>
            <w:pPr>
              <w:pStyle w:val="3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firstLine="480" w:firstLineChars="200"/>
              <w:jc w:val="left"/>
              <w:textAlignment w:val="auto"/>
              <w:rPr>
                <w:rFonts w:hint="default" w:ascii="Times New Roman" w:hAnsi="Times New Roman" w:eastAsia="宋体" w:cs="Times New Roman"/>
                <w:color w:val="auto"/>
                <w:sz w:val="24"/>
                <w:szCs w:val="24"/>
                <w:highlight w:val="none"/>
                <w:lang w:val="en-US" w:eastAsia="zh-CN"/>
              </w:rPr>
            </w:pPr>
          </w:p>
          <w:p>
            <w:pPr>
              <w:pStyle w:val="3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firstLine="480" w:firstLineChars="200"/>
              <w:jc w:val="left"/>
              <w:textAlignment w:val="auto"/>
              <w:rPr>
                <w:rFonts w:hint="default" w:ascii="Times New Roman" w:hAnsi="Times New Roman" w:eastAsia="宋体" w:cs="Times New Roman"/>
                <w:color w:val="auto"/>
                <w:sz w:val="24"/>
                <w:szCs w:val="24"/>
                <w:highlight w:val="none"/>
                <w:lang w:val="en-US" w:eastAsia="zh-CN"/>
              </w:rPr>
            </w:pPr>
          </w:p>
          <w:p>
            <w:pPr>
              <w:pStyle w:val="3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firstLine="480" w:firstLineChars="200"/>
              <w:jc w:val="left"/>
              <w:textAlignment w:val="auto"/>
              <w:rPr>
                <w:rFonts w:hint="default" w:ascii="Times New Roman" w:hAnsi="Times New Roman" w:eastAsia="宋体" w:cs="Times New Roman"/>
                <w:color w:val="auto"/>
                <w:sz w:val="24"/>
                <w:szCs w:val="24"/>
                <w:highlight w:val="none"/>
                <w:lang w:val="en-US" w:eastAsia="zh-CN"/>
              </w:rPr>
            </w:pPr>
          </w:p>
          <w:p>
            <w:pPr>
              <w:pStyle w:val="3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firstLine="480" w:firstLineChars="200"/>
              <w:jc w:val="left"/>
              <w:textAlignment w:val="auto"/>
              <w:rPr>
                <w:rFonts w:hint="default" w:ascii="Times New Roman" w:hAnsi="Times New Roman" w:eastAsia="宋体" w:cs="Times New Roman"/>
                <w:color w:val="auto"/>
                <w:sz w:val="24"/>
                <w:szCs w:val="24"/>
                <w:highlight w:val="none"/>
                <w:lang w:val="en-US" w:eastAsia="zh-CN"/>
              </w:rPr>
            </w:pPr>
          </w:p>
          <w:p>
            <w:pPr>
              <w:pStyle w:val="3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firstLine="480" w:firstLineChars="200"/>
              <w:jc w:val="left"/>
              <w:textAlignment w:val="auto"/>
              <w:rPr>
                <w:rFonts w:hint="default" w:ascii="Times New Roman" w:hAnsi="Times New Roman" w:eastAsia="宋体" w:cs="Times New Roman"/>
                <w:color w:val="auto"/>
                <w:sz w:val="24"/>
                <w:szCs w:val="24"/>
                <w:highlight w:val="none"/>
                <w:lang w:val="en-US" w:eastAsia="zh-CN"/>
              </w:rPr>
            </w:pPr>
          </w:p>
          <w:p>
            <w:pPr>
              <w:pStyle w:val="3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firstLine="480" w:firstLineChars="200"/>
              <w:jc w:val="left"/>
              <w:textAlignment w:val="auto"/>
              <w:rPr>
                <w:rFonts w:hint="default" w:ascii="Times New Roman" w:hAnsi="Times New Roman" w:eastAsia="宋体" w:cs="Times New Roman"/>
                <w:color w:val="auto"/>
                <w:sz w:val="24"/>
                <w:szCs w:val="24"/>
                <w:highlight w:val="none"/>
                <w:lang w:val="en-US" w:eastAsia="zh-CN"/>
              </w:rPr>
            </w:pPr>
          </w:p>
          <w:p>
            <w:pPr>
              <w:pStyle w:val="3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firstLine="480" w:firstLineChars="200"/>
              <w:jc w:val="left"/>
              <w:textAlignment w:val="auto"/>
              <w:rPr>
                <w:rFonts w:hint="default" w:ascii="Times New Roman" w:hAnsi="Times New Roman" w:eastAsia="宋体" w:cs="Times New Roman"/>
                <w:color w:val="auto"/>
                <w:sz w:val="24"/>
                <w:szCs w:val="24"/>
                <w:highlight w:val="none"/>
                <w:lang w:val="en-US" w:eastAsia="zh-CN"/>
              </w:rPr>
            </w:pPr>
          </w:p>
          <w:p>
            <w:pPr>
              <w:pStyle w:val="3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firstLine="480" w:firstLineChars="200"/>
              <w:jc w:val="left"/>
              <w:textAlignment w:val="auto"/>
              <w:rPr>
                <w:rFonts w:hint="default" w:ascii="Times New Roman" w:hAnsi="Times New Roman" w:eastAsia="宋体" w:cs="Times New Roman"/>
                <w:color w:val="auto"/>
                <w:sz w:val="24"/>
                <w:szCs w:val="24"/>
                <w:highlight w:val="none"/>
                <w:lang w:val="en-US" w:eastAsia="zh-CN"/>
              </w:rPr>
            </w:pPr>
          </w:p>
          <w:p>
            <w:pPr>
              <w:pStyle w:val="3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firstLine="480" w:firstLineChars="200"/>
              <w:jc w:val="left"/>
              <w:textAlignment w:val="auto"/>
              <w:rPr>
                <w:rFonts w:hint="default" w:ascii="Times New Roman" w:hAnsi="Times New Roman" w:eastAsia="宋体" w:cs="Times New Roman"/>
                <w:color w:val="auto"/>
                <w:sz w:val="24"/>
                <w:szCs w:val="24"/>
                <w:highlight w:val="none"/>
                <w:lang w:val="en-US" w:eastAsia="zh-CN"/>
              </w:rPr>
            </w:pPr>
          </w:p>
          <w:p>
            <w:pPr>
              <w:pStyle w:val="3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firstLine="480" w:firstLineChars="200"/>
              <w:jc w:val="left"/>
              <w:textAlignment w:val="auto"/>
              <w:rPr>
                <w:rFonts w:hint="default" w:ascii="Times New Roman" w:hAnsi="Times New Roman" w:eastAsia="宋体" w:cs="Times New Roman"/>
                <w:color w:val="auto"/>
                <w:sz w:val="24"/>
                <w:szCs w:val="24"/>
                <w:highlight w:val="none"/>
                <w:lang w:val="en-US" w:eastAsia="zh-CN"/>
              </w:rPr>
            </w:pPr>
          </w:p>
          <w:p>
            <w:pPr>
              <w:pStyle w:val="3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firstLine="480" w:firstLineChars="200"/>
              <w:jc w:val="left"/>
              <w:textAlignment w:val="auto"/>
              <w:rPr>
                <w:rFonts w:hint="default" w:ascii="Times New Roman" w:hAnsi="Times New Roman" w:eastAsia="宋体" w:cs="Times New Roman"/>
                <w:color w:val="auto"/>
                <w:sz w:val="24"/>
                <w:szCs w:val="24"/>
                <w:highlight w:val="none"/>
                <w:lang w:val="en-US" w:eastAsia="zh-CN"/>
              </w:rPr>
            </w:pPr>
          </w:p>
          <w:p>
            <w:pPr>
              <w:pStyle w:val="10"/>
              <w:rPr>
                <w:rFonts w:hint="default" w:ascii="Times New Roman" w:hAnsi="Times New Roman" w:cs="Times New Roman"/>
                <w:color w:val="auto"/>
                <w:highlight w:val="none"/>
                <w:lang w:val="en-US" w:eastAsia="zh-CN"/>
              </w:rPr>
            </w:pPr>
          </w:p>
        </w:tc>
      </w:tr>
    </w:tbl>
    <w:p>
      <w:pPr>
        <w:pStyle w:val="51"/>
        <w:bidi w:val="0"/>
        <w:rPr>
          <w:rFonts w:hint="default" w:ascii="Times New Roman" w:hAnsi="Times New Roman" w:cs="Times New Roman"/>
          <w:color w:val="auto"/>
          <w:highlight w:val="none"/>
          <w:lang w:val="en-US" w:eastAsia="zh-CN"/>
        </w:rPr>
      </w:pPr>
    </w:p>
    <w:sectPr>
      <w:footerReference r:id="rId9" w:type="default"/>
      <w:pgSz w:w="11905" w:h="16838"/>
      <w:pgMar w:top="1440" w:right="1587" w:bottom="1440" w:left="1587" w:header="851" w:footer="850" w:gutter="0"/>
      <w:pgBorders>
        <w:top w:val="none" w:sz="0" w:space="0"/>
        <w:left w:val="none" w:sz="0" w:space="0"/>
        <w:bottom w:val="none" w:sz="0" w:space="0"/>
        <w:right w:val="none" w:sz="0" w:space="0"/>
      </w:pgBorders>
      <w:pgNumType w:fmt="decimal"/>
      <w:cols w:space="0" w:num="1"/>
      <w:rtlGutter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81"/>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FangSong_GB2312">
    <w:altName w:val="仿宋"/>
    <w:panose1 w:val="02010609060101010101"/>
    <w:charset w:val="86"/>
    <w:family w:val="modern"/>
    <w:pitch w:val="default"/>
    <w:sig w:usb0="00000000" w:usb1="00000000" w:usb2="00000016" w:usb3="00000000" w:csb0="00040001" w:csb1="00000000"/>
  </w:font>
  <w:font w:name="Arial Black">
    <w:panose1 w:val="020B0A04020102020204"/>
    <w:charset w:val="00"/>
    <w:family w:val="swiss"/>
    <w:pitch w:val="default"/>
    <w:sig w:usb0="A00002AF" w:usb1="400078FB" w:usb2="00000000" w:usb3="00000000" w:csb0="6000009F" w:csb1="DFD70000"/>
  </w:font>
  <w:font w:name="仿宋_GB2312">
    <w:altName w:val="仿宋"/>
    <w:panose1 w:val="02010609030101010101"/>
    <w:charset w:val="86"/>
    <w:family w:val="modern"/>
    <w:pitch w:val="default"/>
    <w:sig w:usb0="00000000" w:usb1="00000000" w:usb2="00000010" w:usb3="00000000" w:csb0="00040000" w:csb1="00000000"/>
  </w:font>
  <w:font w:name="方正小标宋_GBK">
    <w:altName w:val="微软雅黑"/>
    <w:panose1 w:val="03000509000000000000"/>
    <w:charset w:val="86"/>
    <w:family w:val="script"/>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Wingdings 2">
    <w:panose1 w:val="05020102010507070707"/>
    <w:charset w:val="00"/>
    <w:family w:val="auto"/>
    <w:pitch w:val="default"/>
    <w:sig w:usb0="00000000" w:usb1="00000000" w:usb2="00000000" w:usb3="00000000" w:csb0="80000000" w:csb1="00000000"/>
  </w:font>
  <w:font w:name="微软雅黑">
    <w:panose1 w:val="020B0503020204020204"/>
    <w:charset w:val="86"/>
    <w:family w:val="auto"/>
    <w:pitch w:val="default"/>
    <w:sig w:usb0="80000287" w:usb1="2ACF3C50"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ind w:right="360" w:firstLine="360"/>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eXtc4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Hl7XOMQIAAGEEAAAOAAAAAAAAAAEAIAAAAB8BAABkcnMvZTJvRG9jLnhtbFBLBQYA&#10;AAAABgAGAFkBAADCBQAAAAA=&#10;">
              <v:fill on="f" focussize="0,0"/>
              <v:stroke on="f" weight="0.5pt"/>
              <v:imagedata o:title=""/>
              <o:lock v:ext="edit" aspectratio="f"/>
              <v:textbox inset="0mm,0mm,0mm,0mm" style="mso-fit-shape-to-text:t;">
                <w:txbxContent>
                  <w:p>
                    <w:pPr>
                      <w:pStyle w:val="22"/>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ind w:right="360" w:firstLine="360"/>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2"/>
                          </w:pPr>
                          <w:r>
                            <w:fldChar w:fldCharType="begin"/>
                          </w:r>
                          <w:r>
                            <w:instrText xml:space="preserve"> PAGE  \* MERGEFORMAT </w:instrText>
                          </w:r>
                          <w:r>
                            <w:fldChar w:fldCharType="separate"/>
                          </w:r>
                          <w:r>
                            <w:t>33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Sb3G8zAgAAYw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NSb3G8zAgAAYwQAAA4AAAAAAAAAAQAgAAAAHwEAAGRycy9lMm9Eb2MueG1sUEsF&#10;BgAAAAAGAAYAWQEAAMQFAAAAAA==&#10;">
              <v:fill on="f" focussize="0,0"/>
              <v:stroke on="f" weight="0.5pt"/>
              <v:imagedata o:title=""/>
              <o:lock v:ext="edit" aspectratio="f"/>
              <v:textbox inset="0mm,0mm,0mm,0mm" style="mso-fit-shape-to-text:t;">
                <w:txbxContent>
                  <w:p>
                    <w:pPr>
                      <w:pStyle w:val="22"/>
                    </w:pPr>
                    <w:r>
                      <w:fldChar w:fldCharType="begin"/>
                    </w:r>
                    <w:r>
                      <w:instrText xml:space="preserve"> PAGE  \* MERGEFORMAT </w:instrText>
                    </w:r>
                    <w:r>
                      <w:fldChar w:fldCharType="separate"/>
                    </w:r>
                    <w:r>
                      <w:t>33</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ind w:right="360" w:firstLine="360"/>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9" name="文本框 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2"/>
                          </w:pPr>
                          <w:r>
                            <w:fldChar w:fldCharType="begin"/>
                          </w:r>
                          <w:r>
                            <w:instrText xml:space="preserve"> PAGE  \* MERGEFORMAT </w:instrText>
                          </w:r>
                          <w:r>
                            <w:fldChar w:fldCharType="separate"/>
                          </w:r>
                          <w:r>
                            <w:t>35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YzS4AzAgAAYwQAAA4AAABkcnMvZTJvRG9jLnhtbK1UzY7TMBC+I/EO&#10;lu80aVesSt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JYzS4AzAgAAYwQAAA4AAAAAAAAAAQAgAAAAHwEAAGRycy9lMm9Eb2MueG1sUEsF&#10;BgAAAAAGAAYAWQEAAMQFAAAAAA==&#10;">
              <v:fill on="f" focussize="0,0"/>
              <v:stroke on="f" weight="0.5pt"/>
              <v:imagedata o:title=""/>
              <o:lock v:ext="edit" aspectratio="f"/>
              <v:textbox inset="0mm,0mm,0mm,0mm" style="mso-fit-shape-to-text:t;">
                <w:txbxContent>
                  <w:p>
                    <w:pPr>
                      <w:pStyle w:val="22"/>
                    </w:pPr>
                    <w:r>
                      <w:fldChar w:fldCharType="begin"/>
                    </w:r>
                    <w:r>
                      <w:instrText xml:space="preserve"> PAGE  \* MERGEFORMAT </w:instrText>
                    </w:r>
                    <w:r>
                      <w:fldChar w:fldCharType="separate"/>
                    </w:r>
                    <w:r>
                      <w:t>35</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3BA843C"/>
    <w:multiLevelType w:val="singleLevel"/>
    <w:tmpl w:val="D3BA843C"/>
    <w:lvl w:ilvl="0" w:tentative="0">
      <w:start w:val="3"/>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attachedTemplate r:id="rId1"/>
  <w:documentProtection w:edit="trackedChanges" w:enforcement="0"/>
  <w:defaultTabStop w:val="420"/>
  <w:hyphenationZone w:val="360"/>
  <w:doNotHyphenateCaps/>
  <w:drawingGridVerticalSpacing w:val="156"/>
  <w:displayHorizontalDrawingGridEvery w:val="1"/>
  <w:displayVerticalDrawingGridEvery w:val="1"/>
  <w:noPunctuationKerning w:val="1"/>
  <w:characterSpacingControl w:val="compressPunctuation"/>
  <w:noLineBreaksAfter w:lang="zh-CN" w:val="([{·‘“〈《「『【〔〖（．［｛￡￥"/>
  <w:noLineBreaksBefore w:lang="zh-CN" w:val="!),.:;?]}¨·ˇˉ―‖’”…∶、。〃々〉》」』】〕〗！＂＇），．：；？］｀｜｝～￠"/>
  <w:doNotValidateAgainstSchema/>
  <w:doNotDemarcateInvalidXml/>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Y2YjQxOWRhZDQ2YzJiZTQ0YWFmNmEyZjM2YWYyNDYifQ=="/>
  </w:docVars>
  <w:rsids>
    <w:rsidRoot w:val="00A14947"/>
    <w:rsid w:val="000060B3"/>
    <w:rsid w:val="00013788"/>
    <w:rsid w:val="00020F38"/>
    <w:rsid w:val="00041E63"/>
    <w:rsid w:val="0004364B"/>
    <w:rsid w:val="00061B1F"/>
    <w:rsid w:val="000733C4"/>
    <w:rsid w:val="00074783"/>
    <w:rsid w:val="00076886"/>
    <w:rsid w:val="0008070B"/>
    <w:rsid w:val="000810AC"/>
    <w:rsid w:val="00081A02"/>
    <w:rsid w:val="00082231"/>
    <w:rsid w:val="00084804"/>
    <w:rsid w:val="00092D38"/>
    <w:rsid w:val="0009377B"/>
    <w:rsid w:val="000A20C9"/>
    <w:rsid w:val="000B058F"/>
    <w:rsid w:val="000B4467"/>
    <w:rsid w:val="000B44D3"/>
    <w:rsid w:val="000B4DB9"/>
    <w:rsid w:val="000C09AC"/>
    <w:rsid w:val="000C767F"/>
    <w:rsid w:val="000D5A44"/>
    <w:rsid w:val="000E3ED2"/>
    <w:rsid w:val="000E7B1F"/>
    <w:rsid w:val="00131F42"/>
    <w:rsid w:val="001357F1"/>
    <w:rsid w:val="00140FA8"/>
    <w:rsid w:val="00142FEB"/>
    <w:rsid w:val="00143A2D"/>
    <w:rsid w:val="00145A41"/>
    <w:rsid w:val="00151675"/>
    <w:rsid w:val="00157435"/>
    <w:rsid w:val="0017504D"/>
    <w:rsid w:val="0017671A"/>
    <w:rsid w:val="00177422"/>
    <w:rsid w:val="00184590"/>
    <w:rsid w:val="001870D1"/>
    <w:rsid w:val="0018781E"/>
    <w:rsid w:val="0019262D"/>
    <w:rsid w:val="001A1B35"/>
    <w:rsid w:val="001A48A2"/>
    <w:rsid w:val="001A64C4"/>
    <w:rsid w:val="001A6F61"/>
    <w:rsid w:val="001B72B8"/>
    <w:rsid w:val="001C69B3"/>
    <w:rsid w:val="001D4206"/>
    <w:rsid w:val="001D5595"/>
    <w:rsid w:val="001D7874"/>
    <w:rsid w:val="001D7F22"/>
    <w:rsid w:val="001F0F17"/>
    <w:rsid w:val="001F3347"/>
    <w:rsid w:val="001F69E4"/>
    <w:rsid w:val="002125B4"/>
    <w:rsid w:val="002155B8"/>
    <w:rsid w:val="0022181C"/>
    <w:rsid w:val="00224839"/>
    <w:rsid w:val="002249B2"/>
    <w:rsid w:val="00226574"/>
    <w:rsid w:val="002278EC"/>
    <w:rsid w:val="0023280E"/>
    <w:rsid w:val="002377D1"/>
    <w:rsid w:val="00237A6E"/>
    <w:rsid w:val="002506BC"/>
    <w:rsid w:val="00253ACA"/>
    <w:rsid w:val="00254345"/>
    <w:rsid w:val="00264557"/>
    <w:rsid w:val="002805AB"/>
    <w:rsid w:val="00284204"/>
    <w:rsid w:val="00291773"/>
    <w:rsid w:val="002A168C"/>
    <w:rsid w:val="002A3DC7"/>
    <w:rsid w:val="002B49E2"/>
    <w:rsid w:val="002B7B00"/>
    <w:rsid w:val="002B7C44"/>
    <w:rsid w:val="002C2B17"/>
    <w:rsid w:val="002C3455"/>
    <w:rsid w:val="002D3DD0"/>
    <w:rsid w:val="002E1F3A"/>
    <w:rsid w:val="002E298A"/>
    <w:rsid w:val="00301978"/>
    <w:rsid w:val="0030332C"/>
    <w:rsid w:val="003051C2"/>
    <w:rsid w:val="00307A95"/>
    <w:rsid w:val="00312296"/>
    <w:rsid w:val="0031380D"/>
    <w:rsid w:val="00314F0E"/>
    <w:rsid w:val="00321D8E"/>
    <w:rsid w:val="00325928"/>
    <w:rsid w:val="00332863"/>
    <w:rsid w:val="0033684D"/>
    <w:rsid w:val="00337B42"/>
    <w:rsid w:val="00341B42"/>
    <w:rsid w:val="0034348F"/>
    <w:rsid w:val="003514E0"/>
    <w:rsid w:val="00356653"/>
    <w:rsid w:val="0035743F"/>
    <w:rsid w:val="00357BE2"/>
    <w:rsid w:val="0036170C"/>
    <w:rsid w:val="00366E0F"/>
    <w:rsid w:val="00381A72"/>
    <w:rsid w:val="00384676"/>
    <w:rsid w:val="00384B9C"/>
    <w:rsid w:val="00390857"/>
    <w:rsid w:val="003A4BF3"/>
    <w:rsid w:val="003A4DB8"/>
    <w:rsid w:val="003B420D"/>
    <w:rsid w:val="003C6C16"/>
    <w:rsid w:val="003D3DD7"/>
    <w:rsid w:val="003D794D"/>
    <w:rsid w:val="003D7B8A"/>
    <w:rsid w:val="003E3058"/>
    <w:rsid w:val="003E3A6C"/>
    <w:rsid w:val="003E76A9"/>
    <w:rsid w:val="003F0809"/>
    <w:rsid w:val="003F6A8C"/>
    <w:rsid w:val="003F755C"/>
    <w:rsid w:val="00406F01"/>
    <w:rsid w:val="00416D50"/>
    <w:rsid w:val="00416FD5"/>
    <w:rsid w:val="00417772"/>
    <w:rsid w:val="00420E6A"/>
    <w:rsid w:val="00425A1B"/>
    <w:rsid w:val="00425A9E"/>
    <w:rsid w:val="00426D6B"/>
    <w:rsid w:val="004277C9"/>
    <w:rsid w:val="00431E6C"/>
    <w:rsid w:val="00433CE7"/>
    <w:rsid w:val="00452738"/>
    <w:rsid w:val="00456091"/>
    <w:rsid w:val="00463FFF"/>
    <w:rsid w:val="00466321"/>
    <w:rsid w:val="004819B4"/>
    <w:rsid w:val="00484B9B"/>
    <w:rsid w:val="004855F6"/>
    <w:rsid w:val="0048661E"/>
    <w:rsid w:val="00494670"/>
    <w:rsid w:val="004A3823"/>
    <w:rsid w:val="004E0863"/>
    <w:rsid w:val="004E6946"/>
    <w:rsid w:val="004F189B"/>
    <w:rsid w:val="004F1AD8"/>
    <w:rsid w:val="005039CB"/>
    <w:rsid w:val="0050558F"/>
    <w:rsid w:val="00506286"/>
    <w:rsid w:val="00510813"/>
    <w:rsid w:val="00511990"/>
    <w:rsid w:val="00511DE0"/>
    <w:rsid w:val="00514870"/>
    <w:rsid w:val="00514B9B"/>
    <w:rsid w:val="00517F02"/>
    <w:rsid w:val="00524303"/>
    <w:rsid w:val="005258A2"/>
    <w:rsid w:val="00535E7A"/>
    <w:rsid w:val="005401AE"/>
    <w:rsid w:val="00542E07"/>
    <w:rsid w:val="00545424"/>
    <w:rsid w:val="00554A7B"/>
    <w:rsid w:val="0055572C"/>
    <w:rsid w:val="0056106A"/>
    <w:rsid w:val="00561F13"/>
    <w:rsid w:val="0057004C"/>
    <w:rsid w:val="005720AE"/>
    <w:rsid w:val="005862B8"/>
    <w:rsid w:val="00593490"/>
    <w:rsid w:val="00594D77"/>
    <w:rsid w:val="005969E4"/>
    <w:rsid w:val="005A06B7"/>
    <w:rsid w:val="005A1759"/>
    <w:rsid w:val="005A68A7"/>
    <w:rsid w:val="005D36AB"/>
    <w:rsid w:val="005D4603"/>
    <w:rsid w:val="00610597"/>
    <w:rsid w:val="00617CC3"/>
    <w:rsid w:val="00622CC5"/>
    <w:rsid w:val="006377A6"/>
    <w:rsid w:val="00637A3D"/>
    <w:rsid w:val="006411EF"/>
    <w:rsid w:val="00643BE3"/>
    <w:rsid w:val="006534CD"/>
    <w:rsid w:val="0066795B"/>
    <w:rsid w:val="006748B8"/>
    <w:rsid w:val="006775C3"/>
    <w:rsid w:val="0069290A"/>
    <w:rsid w:val="0069775A"/>
    <w:rsid w:val="00697813"/>
    <w:rsid w:val="006A3EE8"/>
    <w:rsid w:val="006A72BF"/>
    <w:rsid w:val="006B03F2"/>
    <w:rsid w:val="006B37DC"/>
    <w:rsid w:val="006B3EBE"/>
    <w:rsid w:val="006B4F68"/>
    <w:rsid w:val="006C0592"/>
    <w:rsid w:val="006C272E"/>
    <w:rsid w:val="006C5479"/>
    <w:rsid w:val="006D13B5"/>
    <w:rsid w:val="006D2E45"/>
    <w:rsid w:val="006E12FF"/>
    <w:rsid w:val="006E4A62"/>
    <w:rsid w:val="006E607E"/>
    <w:rsid w:val="00702588"/>
    <w:rsid w:val="00704336"/>
    <w:rsid w:val="00706C5D"/>
    <w:rsid w:val="0070754E"/>
    <w:rsid w:val="007256C0"/>
    <w:rsid w:val="00732922"/>
    <w:rsid w:val="00733452"/>
    <w:rsid w:val="0075162E"/>
    <w:rsid w:val="00754034"/>
    <w:rsid w:val="00756556"/>
    <w:rsid w:val="00757B9E"/>
    <w:rsid w:val="007618C4"/>
    <w:rsid w:val="00767980"/>
    <w:rsid w:val="00770B19"/>
    <w:rsid w:val="0077463F"/>
    <w:rsid w:val="007836EA"/>
    <w:rsid w:val="00784CDA"/>
    <w:rsid w:val="007906C4"/>
    <w:rsid w:val="00793B28"/>
    <w:rsid w:val="007940EA"/>
    <w:rsid w:val="007943A7"/>
    <w:rsid w:val="007967E8"/>
    <w:rsid w:val="007A2170"/>
    <w:rsid w:val="007A22BF"/>
    <w:rsid w:val="007A3323"/>
    <w:rsid w:val="007B72B8"/>
    <w:rsid w:val="007B7A58"/>
    <w:rsid w:val="007C21B5"/>
    <w:rsid w:val="007E4BD2"/>
    <w:rsid w:val="00801393"/>
    <w:rsid w:val="00802F88"/>
    <w:rsid w:val="00811008"/>
    <w:rsid w:val="0081293E"/>
    <w:rsid w:val="00815465"/>
    <w:rsid w:val="00817E9A"/>
    <w:rsid w:val="008306BD"/>
    <w:rsid w:val="008318E5"/>
    <w:rsid w:val="00831A80"/>
    <w:rsid w:val="00833743"/>
    <w:rsid w:val="008340A4"/>
    <w:rsid w:val="00853D49"/>
    <w:rsid w:val="008608E9"/>
    <w:rsid w:val="00861DAB"/>
    <w:rsid w:val="0087135F"/>
    <w:rsid w:val="00872D94"/>
    <w:rsid w:val="00880364"/>
    <w:rsid w:val="00883646"/>
    <w:rsid w:val="00891592"/>
    <w:rsid w:val="00891E9E"/>
    <w:rsid w:val="008953F8"/>
    <w:rsid w:val="008A1270"/>
    <w:rsid w:val="008A2F68"/>
    <w:rsid w:val="008B4FA6"/>
    <w:rsid w:val="008B5282"/>
    <w:rsid w:val="008B73C2"/>
    <w:rsid w:val="008B7C17"/>
    <w:rsid w:val="008C2D01"/>
    <w:rsid w:val="008C40E6"/>
    <w:rsid w:val="008D0F7A"/>
    <w:rsid w:val="008D68E4"/>
    <w:rsid w:val="008E0506"/>
    <w:rsid w:val="008E0CFF"/>
    <w:rsid w:val="008E5D6B"/>
    <w:rsid w:val="008E76F0"/>
    <w:rsid w:val="008F15FE"/>
    <w:rsid w:val="008F2D29"/>
    <w:rsid w:val="008F5187"/>
    <w:rsid w:val="008F60D8"/>
    <w:rsid w:val="00902727"/>
    <w:rsid w:val="0090312B"/>
    <w:rsid w:val="0091736D"/>
    <w:rsid w:val="0093037A"/>
    <w:rsid w:val="0094154D"/>
    <w:rsid w:val="0095155F"/>
    <w:rsid w:val="00953D9C"/>
    <w:rsid w:val="00954429"/>
    <w:rsid w:val="009563CE"/>
    <w:rsid w:val="00976328"/>
    <w:rsid w:val="0097680D"/>
    <w:rsid w:val="00982438"/>
    <w:rsid w:val="00983E09"/>
    <w:rsid w:val="0098404C"/>
    <w:rsid w:val="00985283"/>
    <w:rsid w:val="00995992"/>
    <w:rsid w:val="009A03E5"/>
    <w:rsid w:val="009A0F3B"/>
    <w:rsid w:val="009A1BB4"/>
    <w:rsid w:val="009A2628"/>
    <w:rsid w:val="009A3200"/>
    <w:rsid w:val="009A7B6B"/>
    <w:rsid w:val="009B0897"/>
    <w:rsid w:val="009B7BD9"/>
    <w:rsid w:val="009C7DD5"/>
    <w:rsid w:val="009D0EA3"/>
    <w:rsid w:val="009E227D"/>
    <w:rsid w:val="009E5019"/>
    <w:rsid w:val="009F2E6D"/>
    <w:rsid w:val="009F4C1B"/>
    <w:rsid w:val="00A010BF"/>
    <w:rsid w:val="00A04F1B"/>
    <w:rsid w:val="00A0501B"/>
    <w:rsid w:val="00A14947"/>
    <w:rsid w:val="00A32A83"/>
    <w:rsid w:val="00A368DB"/>
    <w:rsid w:val="00A423AA"/>
    <w:rsid w:val="00A53EC6"/>
    <w:rsid w:val="00A55C0F"/>
    <w:rsid w:val="00A8713F"/>
    <w:rsid w:val="00A90BA1"/>
    <w:rsid w:val="00A97848"/>
    <w:rsid w:val="00A97A9A"/>
    <w:rsid w:val="00AA0671"/>
    <w:rsid w:val="00AA2531"/>
    <w:rsid w:val="00AB1E09"/>
    <w:rsid w:val="00AB5330"/>
    <w:rsid w:val="00AB7747"/>
    <w:rsid w:val="00AC14CE"/>
    <w:rsid w:val="00AC2A56"/>
    <w:rsid w:val="00AD055E"/>
    <w:rsid w:val="00AD47A7"/>
    <w:rsid w:val="00AE4AC2"/>
    <w:rsid w:val="00AF0CBF"/>
    <w:rsid w:val="00AF257F"/>
    <w:rsid w:val="00AF33CF"/>
    <w:rsid w:val="00AF4D50"/>
    <w:rsid w:val="00AF6179"/>
    <w:rsid w:val="00B1295A"/>
    <w:rsid w:val="00B20A45"/>
    <w:rsid w:val="00B22C5C"/>
    <w:rsid w:val="00B24F30"/>
    <w:rsid w:val="00B31ABF"/>
    <w:rsid w:val="00B33BE3"/>
    <w:rsid w:val="00B34E98"/>
    <w:rsid w:val="00B53B5D"/>
    <w:rsid w:val="00B6055E"/>
    <w:rsid w:val="00B6317D"/>
    <w:rsid w:val="00B63E3D"/>
    <w:rsid w:val="00B71F65"/>
    <w:rsid w:val="00B7723F"/>
    <w:rsid w:val="00B80534"/>
    <w:rsid w:val="00B8433C"/>
    <w:rsid w:val="00B87491"/>
    <w:rsid w:val="00B93F2F"/>
    <w:rsid w:val="00BA29E9"/>
    <w:rsid w:val="00BA7142"/>
    <w:rsid w:val="00BB237C"/>
    <w:rsid w:val="00BB41A3"/>
    <w:rsid w:val="00BC32DC"/>
    <w:rsid w:val="00BC35B6"/>
    <w:rsid w:val="00BD1B51"/>
    <w:rsid w:val="00BD4596"/>
    <w:rsid w:val="00BE1405"/>
    <w:rsid w:val="00BE312D"/>
    <w:rsid w:val="00BF1C20"/>
    <w:rsid w:val="00BF706B"/>
    <w:rsid w:val="00C0158D"/>
    <w:rsid w:val="00C10578"/>
    <w:rsid w:val="00C135BC"/>
    <w:rsid w:val="00C15C95"/>
    <w:rsid w:val="00C2596A"/>
    <w:rsid w:val="00C27537"/>
    <w:rsid w:val="00C328FE"/>
    <w:rsid w:val="00C33507"/>
    <w:rsid w:val="00C4409D"/>
    <w:rsid w:val="00C44E72"/>
    <w:rsid w:val="00C45A06"/>
    <w:rsid w:val="00C47E5B"/>
    <w:rsid w:val="00C61E4B"/>
    <w:rsid w:val="00C64BFF"/>
    <w:rsid w:val="00C704E9"/>
    <w:rsid w:val="00C763C9"/>
    <w:rsid w:val="00C80057"/>
    <w:rsid w:val="00C82232"/>
    <w:rsid w:val="00C82913"/>
    <w:rsid w:val="00C972B1"/>
    <w:rsid w:val="00CA2CCE"/>
    <w:rsid w:val="00CA43FD"/>
    <w:rsid w:val="00CA7EF8"/>
    <w:rsid w:val="00CC489B"/>
    <w:rsid w:val="00CD0498"/>
    <w:rsid w:val="00CD2BCD"/>
    <w:rsid w:val="00CD3A4C"/>
    <w:rsid w:val="00CE10E9"/>
    <w:rsid w:val="00CE2910"/>
    <w:rsid w:val="00CE5393"/>
    <w:rsid w:val="00CF36BE"/>
    <w:rsid w:val="00CF6000"/>
    <w:rsid w:val="00D003F3"/>
    <w:rsid w:val="00D0364F"/>
    <w:rsid w:val="00D06834"/>
    <w:rsid w:val="00D074CA"/>
    <w:rsid w:val="00D23242"/>
    <w:rsid w:val="00D26D9F"/>
    <w:rsid w:val="00D308ED"/>
    <w:rsid w:val="00D348C5"/>
    <w:rsid w:val="00D36D86"/>
    <w:rsid w:val="00D428AA"/>
    <w:rsid w:val="00D50A34"/>
    <w:rsid w:val="00D53EFA"/>
    <w:rsid w:val="00D743B5"/>
    <w:rsid w:val="00D94A7C"/>
    <w:rsid w:val="00D95896"/>
    <w:rsid w:val="00DA7B3A"/>
    <w:rsid w:val="00DB2983"/>
    <w:rsid w:val="00DC1257"/>
    <w:rsid w:val="00DC3DC0"/>
    <w:rsid w:val="00DC5B2B"/>
    <w:rsid w:val="00DD318D"/>
    <w:rsid w:val="00DF2E12"/>
    <w:rsid w:val="00DF514A"/>
    <w:rsid w:val="00DF6690"/>
    <w:rsid w:val="00DF6804"/>
    <w:rsid w:val="00E0358D"/>
    <w:rsid w:val="00E04323"/>
    <w:rsid w:val="00E070A2"/>
    <w:rsid w:val="00E0770D"/>
    <w:rsid w:val="00E2656A"/>
    <w:rsid w:val="00E346D9"/>
    <w:rsid w:val="00E371FE"/>
    <w:rsid w:val="00E412D0"/>
    <w:rsid w:val="00E52F76"/>
    <w:rsid w:val="00E56322"/>
    <w:rsid w:val="00E60982"/>
    <w:rsid w:val="00E62C62"/>
    <w:rsid w:val="00E654C1"/>
    <w:rsid w:val="00E65D97"/>
    <w:rsid w:val="00E72A5A"/>
    <w:rsid w:val="00E73354"/>
    <w:rsid w:val="00E9242D"/>
    <w:rsid w:val="00EA3363"/>
    <w:rsid w:val="00EB1C0E"/>
    <w:rsid w:val="00EB5255"/>
    <w:rsid w:val="00EB5C47"/>
    <w:rsid w:val="00ED0639"/>
    <w:rsid w:val="00EF4755"/>
    <w:rsid w:val="00EF7135"/>
    <w:rsid w:val="00EF7141"/>
    <w:rsid w:val="00F027DB"/>
    <w:rsid w:val="00F04CFF"/>
    <w:rsid w:val="00F14A7A"/>
    <w:rsid w:val="00F22985"/>
    <w:rsid w:val="00F3383E"/>
    <w:rsid w:val="00F465A7"/>
    <w:rsid w:val="00F50B7C"/>
    <w:rsid w:val="00F550E6"/>
    <w:rsid w:val="00F74345"/>
    <w:rsid w:val="00F80A0A"/>
    <w:rsid w:val="00F82B19"/>
    <w:rsid w:val="00F9212D"/>
    <w:rsid w:val="00F965DA"/>
    <w:rsid w:val="00FA00A3"/>
    <w:rsid w:val="00FA406A"/>
    <w:rsid w:val="00FB503A"/>
    <w:rsid w:val="00FB516C"/>
    <w:rsid w:val="00FD0236"/>
    <w:rsid w:val="00FD18F4"/>
    <w:rsid w:val="00FD54DB"/>
    <w:rsid w:val="00FD619F"/>
    <w:rsid w:val="010351AA"/>
    <w:rsid w:val="01051E7D"/>
    <w:rsid w:val="01071EBF"/>
    <w:rsid w:val="01076F22"/>
    <w:rsid w:val="0109620A"/>
    <w:rsid w:val="010A795B"/>
    <w:rsid w:val="010F7494"/>
    <w:rsid w:val="01101675"/>
    <w:rsid w:val="01106122"/>
    <w:rsid w:val="011253ED"/>
    <w:rsid w:val="011750B1"/>
    <w:rsid w:val="01211B1D"/>
    <w:rsid w:val="01213882"/>
    <w:rsid w:val="01227D26"/>
    <w:rsid w:val="01233A9E"/>
    <w:rsid w:val="0125099B"/>
    <w:rsid w:val="012515C4"/>
    <w:rsid w:val="01290F7E"/>
    <w:rsid w:val="012A203D"/>
    <w:rsid w:val="01341807"/>
    <w:rsid w:val="0136566A"/>
    <w:rsid w:val="01370129"/>
    <w:rsid w:val="01395070"/>
    <w:rsid w:val="013C2EE0"/>
    <w:rsid w:val="01465CE2"/>
    <w:rsid w:val="01492D91"/>
    <w:rsid w:val="014A102B"/>
    <w:rsid w:val="014A2DD9"/>
    <w:rsid w:val="014B44AB"/>
    <w:rsid w:val="014D1F33"/>
    <w:rsid w:val="01536131"/>
    <w:rsid w:val="01560D42"/>
    <w:rsid w:val="01563427"/>
    <w:rsid w:val="01565C22"/>
    <w:rsid w:val="015754F6"/>
    <w:rsid w:val="0159301C"/>
    <w:rsid w:val="015A1F89"/>
    <w:rsid w:val="015A485D"/>
    <w:rsid w:val="015B3238"/>
    <w:rsid w:val="015B3C74"/>
    <w:rsid w:val="015D1E09"/>
    <w:rsid w:val="015E0632"/>
    <w:rsid w:val="01642258"/>
    <w:rsid w:val="016A6360"/>
    <w:rsid w:val="01791910"/>
    <w:rsid w:val="0179546C"/>
    <w:rsid w:val="017C09B1"/>
    <w:rsid w:val="017C621D"/>
    <w:rsid w:val="01804A4C"/>
    <w:rsid w:val="01826A17"/>
    <w:rsid w:val="01844520"/>
    <w:rsid w:val="018706A3"/>
    <w:rsid w:val="018A7679"/>
    <w:rsid w:val="018C100A"/>
    <w:rsid w:val="018E7B86"/>
    <w:rsid w:val="01902925"/>
    <w:rsid w:val="01956AAB"/>
    <w:rsid w:val="01966220"/>
    <w:rsid w:val="01987FE8"/>
    <w:rsid w:val="019B1886"/>
    <w:rsid w:val="019D50B0"/>
    <w:rsid w:val="01A22C15"/>
    <w:rsid w:val="01A3073B"/>
    <w:rsid w:val="01A87AFF"/>
    <w:rsid w:val="01A87C85"/>
    <w:rsid w:val="01A93FA3"/>
    <w:rsid w:val="01A9638A"/>
    <w:rsid w:val="01AA727F"/>
    <w:rsid w:val="01AC3A93"/>
    <w:rsid w:val="01AD3593"/>
    <w:rsid w:val="01AF4BA2"/>
    <w:rsid w:val="01B023F4"/>
    <w:rsid w:val="01B274F1"/>
    <w:rsid w:val="01B4518A"/>
    <w:rsid w:val="01B6221C"/>
    <w:rsid w:val="01BA68B2"/>
    <w:rsid w:val="01BB7833"/>
    <w:rsid w:val="01BE4DA9"/>
    <w:rsid w:val="01BF37C7"/>
    <w:rsid w:val="01C40DDD"/>
    <w:rsid w:val="01C42B8B"/>
    <w:rsid w:val="01C761D7"/>
    <w:rsid w:val="01C87BD5"/>
    <w:rsid w:val="01CA3F1A"/>
    <w:rsid w:val="01CF1530"/>
    <w:rsid w:val="01CF3D6E"/>
    <w:rsid w:val="01D21171"/>
    <w:rsid w:val="01D42121"/>
    <w:rsid w:val="01D542D8"/>
    <w:rsid w:val="01D86637"/>
    <w:rsid w:val="01DC6B6A"/>
    <w:rsid w:val="01DD59FB"/>
    <w:rsid w:val="01E025A9"/>
    <w:rsid w:val="01E36FD6"/>
    <w:rsid w:val="01E46D89"/>
    <w:rsid w:val="01E80594"/>
    <w:rsid w:val="01E811AC"/>
    <w:rsid w:val="01ED36E3"/>
    <w:rsid w:val="01F006CC"/>
    <w:rsid w:val="01F12967"/>
    <w:rsid w:val="01F758EA"/>
    <w:rsid w:val="01F85CDC"/>
    <w:rsid w:val="01F86CD9"/>
    <w:rsid w:val="01FA01CD"/>
    <w:rsid w:val="01FA290D"/>
    <w:rsid w:val="01FA65AD"/>
    <w:rsid w:val="02047A52"/>
    <w:rsid w:val="020C396B"/>
    <w:rsid w:val="020C4532"/>
    <w:rsid w:val="020C4B4B"/>
    <w:rsid w:val="020C62E0"/>
    <w:rsid w:val="020E3E06"/>
    <w:rsid w:val="020F7B7E"/>
    <w:rsid w:val="02160F0D"/>
    <w:rsid w:val="02175E3E"/>
    <w:rsid w:val="021F1398"/>
    <w:rsid w:val="021F4265"/>
    <w:rsid w:val="02245871"/>
    <w:rsid w:val="02251150"/>
    <w:rsid w:val="022A6766"/>
    <w:rsid w:val="022B2B73"/>
    <w:rsid w:val="022C0730"/>
    <w:rsid w:val="023575E5"/>
    <w:rsid w:val="023625B0"/>
    <w:rsid w:val="023747AF"/>
    <w:rsid w:val="023D5AE1"/>
    <w:rsid w:val="023E1BBB"/>
    <w:rsid w:val="023E381C"/>
    <w:rsid w:val="024263C4"/>
    <w:rsid w:val="02447828"/>
    <w:rsid w:val="024737BC"/>
    <w:rsid w:val="02493090"/>
    <w:rsid w:val="024944DB"/>
    <w:rsid w:val="024A0BB7"/>
    <w:rsid w:val="024A4418"/>
    <w:rsid w:val="02532620"/>
    <w:rsid w:val="02543D5F"/>
    <w:rsid w:val="02551A35"/>
    <w:rsid w:val="02571219"/>
    <w:rsid w:val="025832D3"/>
    <w:rsid w:val="02587777"/>
    <w:rsid w:val="02587900"/>
    <w:rsid w:val="025C1016"/>
    <w:rsid w:val="025C3E9F"/>
    <w:rsid w:val="025D2804"/>
    <w:rsid w:val="026003DA"/>
    <w:rsid w:val="02634E62"/>
    <w:rsid w:val="02656D0B"/>
    <w:rsid w:val="02685C0C"/>
    <w:rsid w:val="02697903"/>
    <w:rsid w:val="027345B1"/>
    <w:rsid w:val="02750329"/>
    <w:rsid w:val="0279651D"/>
    <w:rsid w:val="027D71DE"/>
    <w:rsid w:val="027E464F"/>
    <w:rsid w:val="02832A46"/>
    <w:rsid w:val="0284231A"/>
    <w:rsid w:val="0288005D"/>
    <w:rsid w:val="02894AF9"/>
    <w:rsid w:val="02897931"/>
    <w:rsid w:val="028C467A"/>
    <w:rsid w:val="028F05B2"/>
    <w:rsid w:val="02907D0A"/>
    <w:rsid w:val="02927447"/>
    <w:rsid w:val="02963F39"/>
    <w:rsid w:val="029702A0"/>
    <w:rsid w:val="0297204E"/>
    <w:rsid w:val="02976B3F"/>
    <w:rsid w:val="029B7D56"/>
    <w:rsid w:val="02A8425B"/>
    <w:rsid w:val="02B0310F"/>
    <w:rsid w:val="02B16677"/>
    <w:rsid w:val="02B81FC4"/>
    <w:rsid w:val="02BC1AB4"/>
    <w:rsid w:val="02BF068B"/>
    <w:rsid w:val="02C0431D"/>
    <w:rsid w:val="02C170CB"/>
    <w:rsid w:val="02CD1F73"/>
    <w:rsid w:val="02CF7A3A"/>
    <w:rsid w:val="02D05560"/>
    <w:rsid w:val="02D212D8"/>
    <w:rsid w:val="02D33214"/>
    <w:rsid w:val="02D61B95"/>
    <w:rsid w:val="02D74B40"/>
    <w:rsid w:val="02DC356B"/>
    <w:rsid w:val="02DF389F"/>
    <w:rsid w:val="02E334E5"/>
    <w:rsid w:val="02E35293"/>
    <w:rsid w:val="02E57C4C"/>
    <w:rsid w:val="02E62FD5"/>
    <w:rsid w:val="02E72E0B"/>
    <w:rsid w:val="02EA1AAE"/>
    <w:rsid w:val="02EA4873"/>
    <w:rsid w:val="02EB2811"/>
    <w:rsid w:val="02ED3BC6"/>
    <w:rsid w:val="02F128F0"/>
    <w:rsid w:val="02F32963"/>
    <w:rsid w:val="02F96569"/>
    <w:rsid w:val="02FC6355"/>
    <w:rsid w:val="02FD264E"/>
    <w:rsid w:val="02FE031F"/>
    <w:rsid w:val="03026B58"/>
    <w:rsid w:val="03047390"/>
    <w:rsid w:val="03055662"/>
    <w:rsid w:val="03065622"/>
    <w:rsid w:val="030C7DAC"/>
    <w:rsid w:val="030D088E"/>
    <w:rsid w:val="03165668"/>
    <w:rsid w:val="031721DC"/>
    <w:rsid w:val="031C69F7"/>
    <w:rsid w:val="032121AE"/>
    <w:rsid w:val="0321400D"/>
    <w:rsid w:val="03217B69"/>
    <w:rsid w:val="032322B7"/>
    <w:rsid w:val="032B6C3A"/>
    <w:rsid w:val="032C298F"/>
    <w:rsid w:val="032D4760"/>
    <w:rsid w:val="03307A30"/>
    <w:rsid w:val="03337206"/>
    <w:rsid w:val="03345AEF"/>
    <w:rsid w:val="03351867"/>
    <w:rsid w:val="033A78AB"/>
    <w:rsid w:val="03404493"/>
    <w:rsid w:val="03411FB9"/>
    <w:rsid w:val="034321D6"/>
    <w:rsid w:val="03432B90"/>
    <w:rsid w:val="03435D32"/>
    <w:rsid w:val="03437DB8"/>
    <w:rsid w:val="034675D0"/>
    <w:rsid w:val="034D03E3"/>
    <w:rsid w:val="03525F75"/>
    <w:rsid w:val="03541CED"/>
    <w:rsid w:val="036012DE"/>
    <w:rsid w:val="036208AE"/>
    <w:rsid w:val="036412FD"/>
    <w:rsid w:val="0364779F"/>
    <w:rsid w:val="03653EFA"/>
    <w:rsid w:val="036D2DAF"/>
    <w:rsid w:val="036D53D0"/>
    <w:rsid w:val="036D7252"/>
    <w:rsid w:val="036F4D79"/>
    <w:rsid w:val="037118F5"/>
    <w:rsid w:val="0375005C"/>
    <w:rsid w:val="037759DB"/>
    <w:rsid w:val="037831C2"/>
    <w:rsid w:val="03795981"/>
    <w:rsid w:val="037C7321"/>
    <w:rsid w:val="037E4FBC"/>
    <w:rsid w:val="03824AAC"/>
    <w:rsid w:val="03887BE8"/>
    <w:rsid w:val="038F0F77"/>
    <w:rsid w:val="039447DF"/>
    <w:rsid w:val="039700C6"/>
    <w:rsid w:val="039A1E78"/>
    <w:rsid w:val="039B5B6E"/>
    <w:rsid w:val="03A06FD4"/>
    <w:rsid w:val="03AA7B5F"/>
    <w:rsid w:val="03AC38D7"/>
    <w:rsid w:val="03AC3B74"/>
    <w:rsid w:val="03B15391"/>
    <w:rsid w:val="03B1713F"/>
    <w:rsid w:val="03B22EB7"/>
    <w:rsid w:val="03BB1D6C"/>
    <w:rsid w:val="03BC7892"/>
    <w:rsid w:val="03BD3D36"/>
    <w:rsid w:val="03BE185C"/>
    <w:rsid w:val="03BE360A"/>
    <w:rsid w:val="03C2134C"/>
    <w:rsid w:val="03C25721"/>
    <w:rsid w:val="03C31410"/>
    <w:rsid w:val="03C4237C"/>
    <w:rsid w:val="03CA0201"/>
    <w:rsid w:val="03CB018A"/>
    <w:rsid w:val="03CE720D"/>
    <w:rsid w:val="03D53088"/>
    <w:rsid w:val="03DA15F5"/>
    <w:rsid w:val="03DA1BCA"/>
    <w:rsid w:val="03E56DE9"/>
    <w:rsid w:val="03EA08A3"/>
    <w:rsid w:val="03EA6FAC"/>
    <w:rsid w:val="03EA7B21"/>
    <w:rsid w:val="03EC63C9"/>
    <w:rsid w:val="03F01A1B"/>
    <w:rsid w:val="03F10E17"/>
    <w:rsid w:val="03F552C0"/>
    <w:rsid w:val="03F82FC0"/>
    <w:rsid w:val="03FB5394"/>
    <w:rsid w:val="040354C1"/>
    <w:rsid w:val="040E189C"/>
    <w:rsid w:val="040F3E66"/>
    <w:rsid w:val="04113507"/>
    <w:rsid w:val="0416093D"/>
    <w:rsid w:val="041800B5"/>
    <w:rsid w:val="041A79F5"/>
    <w:rsid w:val="041B0A5C"/>
    <w:rsid w:val="041B7614"/>
    <w:rsid w:val="04202DC9"/>
    <w:rsid w:val="04275653"/>
    <w:rsid w:val="04293179"/>
    <w:rsid w:val="043A615C"/>
    <w:rsid w:val="043B2EAD"/>
    <w:rsid w:val="043C4D20"/>
    <w:rsid w:val="043D6C25"/>
    <w:rsid w:val="04402271"/>
    <w:rsid w:val="04406715"/>
    <w:rsid w:val="0442248D"/>
    <w:rsid w:val="04440EA5"/>
    <w:rsid w:val="04447FB3"/>
    <w:rsid w:val="04455CBC"/>
    <w:rsid w:val="04473600"/>
    <w:rsid w:val="04475814"/>
    <w:rsid w:val="0449381C"/>
    <w:rsid w:val="044955CA"/>
    <w:rsid w:val="044B1342"/>
    <w:rsid w:val="044E28EA"/>
    <w:rsid w:val="044F0706"/>
    <w:rsid w:val="04510922"/>
    <w:rsid w:val="0451447E"/>
    <w:rsid w:val="04555354"/>
    <w:rsid w:val="045A546C"/>
    <w:rsid w:val="045B70AB"/>
    <w:rsid w:val="045E5439"/>
    <w:rsid w:val="046142A1"/>
    <w:rsid w:val="04641540"/>
    <w:rsid w:val="0466617C"/>
    <w:rsid w:val="0469127A"/>
    <w:rsid w:val="046B19E4"/>
    <w:rsid w:val="046C3066"/>
    <w:rsid w:val="04726FC9"/>
    <w:rsid w:val="04736E13"/>
    <w:rsid w:val="04754611"/>
    <w:rsid w:val="04784101"/>
    <w:rsid w:val="047C599F"/>
    <w:rsid w:val="047F0FEB"/>
    <w:rsid w:val="04822175"/>
    <w:rsid w:val="04912ACD"/>
    <w:rsid w:val="049138CC"/>
    <w:rsid w:val="04932CE9"/>
    <w:rsid w:val="04980088"/>
    <w:rsid w:val="049820AD"/>
    <w:rsid w:val="049D3E9B"/>
    <w:rsid w:val="04A3012C"/>
    <w:rsid w:val="04A6254B"/>
    <w:rsid w:val="04A82751"/>
    <w:rsid w:val="04B54A0D"/>
    <w:rsid w:val="04B844FD"/>
    <w:rsid w:val="04BB304C"/>
    <w:rsid w:val="04BB34E1"/>
    <w:rsid w:val="04BE5FB8"/>
    <w:rsid w:val="04BE680D"/>
    <w:rsid w:val="04C13E58"/>
    <w:rsid w:val="04C2388A"/>
    <w:rsid w:val="04C2712A"/>
    <w:rsid w:val="04C64E6C"/>
    <w:rsid w:val="04C95821"/>
    <w:rsid w:val="04CE5ACF"/>
    <w:rsid w:val="04D035F5"/>
    <w:rsid w:val="04D5593C"/>
    <w:rsid w:val="04DA16C0"/>
    <w:rsid w:val="04DA26C6"/>
    <w:rsid w:val="04DB6016"/>
    <w:rsid w:val="04DB6D23"/>
    <w:rsid w:val="04E15802"/>
    <w:rsid w:val="04E377CC"/>
    <w:rsid w:val="04E452F2"/>
    <w:rsid w:val="04E4640D"/>
    <w:rsid w:val="04E50BB2"/>
    <w:rsid w:val="04E62E18"/>
    <w:rsid w:val="04E7552E"/>
    <w:rsid w:val="04E81B1A"/>
    <w:rsid w:val="04ED064B"/>
    <w:rsid w:val="04F3262C"/>
    <w:rsid w:val="04F419D9"/>
    <w:rsid w:val="05087233"/>
    <w:rsid w:val="05092FAB"/>
    <w:rsid w:val="05104339"/>
    <w:rsid w:val="051450E4"/>
    <w:rsid w:val="0515288D"/>
    <w:rsid w:val="05191440"/>
    <w:rsid w:val="05195C41"/>
    <w:rsid w:val="051A35F3"/>
    <w:rsid w:val="051B106F"/>
    <w:rsid w:val="051C2CDE"/>
    <w:rsid w:val="051C5B4A"/>
    <w:rsid w:val="051E6A56"/>
    <w:rsid w:val="051F457C"/>
    <w:rsid w:val="052027CE"/>
    <w:rsid w:val="05216546"/>
    <w:rsid w:val="052238FC"/>
    <w:rsid w:val="0522647B"/>
    <w:rsid w:val="05235AF4"/>
    <w:rsid w:val="05250A82"/>
    <w:rsid w:val="05281683"/>
    <w:rsid w:val="05290F57"/>
    <w:rsid w:val="052971A9"/>
    <w:rsid w:val="052B6311"/>
    <w:rsid w:val="052D0A47"/>
    <w:rsid w:val="052D3D60"/>
    <w:rsid w:val="052F3B0A"/>
    <w:rsid w:val="053022E6"/>
    <w:rsid w:val="05353DA0"/>
    <w:rsid w:val="05383F82"/>
    <w:rsid w:val="053C512E"/>
    <w:rsid w:val="054162A1"/>
    <w:rsid w:val="05465FAD"/>
    <w:rsid w:val="05474EC8"/>
    <w:rsid w:val="054933A7"/>
    <w:rsid w:val="05545FD4"/>
    <w:rsid w:val="05575AC4"/>
    <w:rsid w:val="055E6E53"/>
    <w:rsid w:val="055F6E81"/>
    <w:rsid w:val="05614B95"/>
    <w:rsid w:val="05634469"/>
    <w:rsid w:val="05692810"/>
    <w:rsid w:val="05695E15"/>
    <w:rsid w:val="056A623F"/>
    <w:rsid w:val="056D7096"/>
    <w:rsid w:val="056E5E3A"/>
    <w:rsid w:val="056F2E0E"/>
    <w:rsid w:val="05744BFD"/>
    <w:rsid w:val="05746676"/>
    <w:rsid w:val="05753B42"/>
    <w:rsid w:val="05755BC8"/>
    <w:rsid w:val="057A3390"/>
    <w:rsid w:val="057B6B0A"/>
    <w:rsid w:val="057D6F2B"/>
    <w:rsid w:val="057E3832"/>
    <w:rsid w:val="057F6DC9"/>
    <w:rsid w:val="05810D93"/>
    <w:rsid w:val="05845AA9"/>
    <w:rsid w:val="05850883"/>
    <w:rsid w:val="05852631"/>
    <w:rsid w:val="05860158"/>
    <w:rsid w:val="058D598A"/>
    <w:rsid w:val="058F050B"/>
    <w:rsid w:val="05924D4E"/>
    <w:rsid w:val="059341B1"/>
    <w:rsid w:val="059522D5"/>
    <w:rsid w:val="05983EBC"/>
    <w:rsid w:val="059900DE"/>
    <w:rsid w:val="05995C65"/>
    <w:rsid w:val="059A2B4E"/>
    <w:rsid w:val="059A3C03"/>
    <w:rsid w:val="059B55E5"/>
    <w:rsid w:val="059C373C"/>
    <w:rsid w:val="059C797B"/>
    <w:rsid w:val="059E7B97"/>
    <w:rsid w:val="05A54A82"/>
    <w:rsid w:val="05AE6545"/>
    <w:rsid w:val="05B13426"/>
    <w:rsid w:val="05B250B3"/>
    <w:rsid w:val="05B272AB"/>
    <w:rsid w:val="05B366B7"/>
    <w:rsid w:val="05B3687C"/>
    <w:rsid w:val="05B9052D"/>
    <w:rsid w:val="05B92502"/>
    <w:rsid w:val="05BB24F7"/>
    <w:rsid w:val="05BB54E1"/>
    <w:rsid w:val="05BD626F"/>
    <w:rsid w:val="05BE1FE7"/>
    <w:rsid w:val="05BF1B7D"/>
    <w:rsid w:val="05C0366A"/>
    <w:rsid w:val="05C05BA0"/>
    <w:rsid w:val="05C23886"/>
    <w:rsid w:val="05C650AD"/>
    <w:rsid w:val="05C74A0B"/>
    <w:rsid w:val="05CB3105"/>
    <w:rsid w:val="05CD222A"/>
    <w:rsid w:val="05D06823"/>
    <w:rsid w:val="05D11D1B"/>
    <w:rsid w:val="05D2339D"/>
    <w:rsid w:val="05D90BCF"/>
    <w:rsid w:val="05DB3E17"/>
    <w:rsid w:val="05DE1D42"/>
    <w:rsid w:val="05E27A84"/>
    <w:rsid w:val="05E31534"/>
    <w:rsid w:val="05E32C8F"/>
    <w:rsid w:val="05E355AA"/>
    <w:rsid w:val="05E4646D"/>
    <w:rsid w:val="05EA2DDC"/>
    <w:rsid w:val="05EA40D8"/>
    <w:rsid w:val="05EA4B8A"/>
    <w:rsid w:val="05EA6938"/>
    <w:rsid w:val="05EC0902"/>
    <w:rsid w:val="05EC26B0"/>
    <w:rsid w:val="05EC445F"/>
    <w:rsid w:val="05F0785B"/>
    <w:rsid w:val="05F25E9E"/>
    <w:rsid w:val="05F83EAE"/>
    <w:rsid w:val="05FB28F4"/>
    <w:rsid w:val="05FB7B8F"/>
    <w:rsid w:val="05FC5058"/>
    <w:rsid w:val="06056A6E"/>
    <w:rsid w:val="06072158"/>
    <w:rsid w:val="060914B4"/>
    <w:rsid w:val="060A7835"/>
    <w:rsid w:val="061439B5"/>
    <w:rsid w:val="06161775"/>
    <w:rsid w:val="06175254"/>
    <w:rsid w:val="061816F7"/>
    <w:rsid w:val="062416F2"/>
    <w:rsid w:val="06254B7F"/>
    <w:rsid w:val="06287461"/>
    <w:rsid w:val="062A4F87"/>
    <w:rsid w:val="063127B9"/>
    <w:rsid w:val="06316315"/>
    <w:rsid w:val="06346B7B"/>
    <w:rsid w:val="06350552"/>
    <w:rsid w:val="063522A9"/>
    <w:rsid w:val="06394017"/>
    <w:rsid w:val="063A78C0"/>
    <w:rsid w:val="063E7D85"/>
    <w:rsid w:val="06436049"/>
    <w:rsid w:val="06451A56"/>
    <w:rsid w:val="06497B03"/>
    <w:rsid w:val="064A5629"/>
    <w:rsid w:val="064F2C3F"/>
    <w:rsid w:val="06501872"/>
    <w:rsid w:val="065110EC"/>
    <w:rsid w:val="06523F87"/>
    <w:rsid w:val="06556671"/>
    <w:rsid w:val="06576494"/>
    <w:rsid w:val="0659586C"/>
    <w:rsid w:val="065B3392"/>
    <w:rsid w:val="065D35CC"/>
    <w:rsid w:val="06606BFB"/>
    <w:rsid w:val="0664493D"/>
    <w:rsid w:val="066761DB"/>
    <w:rsid w:val="066B5CCB"/>
    <w:rsid w:val="067508F8"/>
    <w:rsid w:val="06783F44"/>
    <w:rsid w:val="067A7CBC"/>
    <w:rsid w:val="067B5EB7"/>
    <w:rsid w:val="067B730A"/>
    <w:rsid w:val="0680600F"/>
    <w:rsid w:val="068310D8"/>
    <w:rsid w:val="06840B3B"/>
    <w:rsid w:val="068B011B"/>
    <w:rsid w:val="068D3C6C"/>
    <w:rsid w:val="068E0322"/>
    <w:rsid w:val="069049DC"/>
    <w:rsid w:val="069D65D0"/>
    <w:rsid w:val="069D7E4F"/>
    <w:rsid w:val="069F3BC7"/>
    <w:rsid w:val="06AA187C"/>
    <w:rsid w:val="06AD62E4"/>
    <w:rsid w:val="06B238FA"/>
    <w:rsid w:val="06B31420"/>
    <w:rsid w:val="06B3208A"/>
    <w:rsid w:val="06B70F10"/>
    <w:rsid w:val="06B86A37"/>
    <w:rsid w:val="06BA27AF"/>
    <w:rsid w:val="06BB7E85"/>
    <w:rsid w:val="06BC6527"/>
    <w:rsid w:val="06C453DB"/>
    <w:rsid w:val="06C53136"/>
    <w:rsid w:val="06C632A9"/>
    <w:rsid w:val="06CB3C0E"/>
    <w:rsid w:val="06CC0B36"/>
    <w:rsid w:val="06D22362"/>
    <w:rsid w:val="06D4255B"/>
    <w:rsid w:val="06D51397"/>
    <w:rsid w:val="06D51D52"/>
    <w:rsid w:val="06D73361"/>
    <w:rsid w:val="06DB3895"/>
    <w:rsid w:val="06DD14B3"/>
    <w:rsid w:val="06E62454"/>
    <w:rsid w:val="06EC66E0"/>
    <w:rsid w:val="06F07F7E"/>
    <w:rsid w:val="06F25E18"/>
    <w:rsid w:val="06F2699D"/>
    <w:rsid w:val="06F35CC1"/>
    <w:rsid w:val="06FD269B"/>
    <w:rsid w:val="06FF4665"/>
    <w:rsid w:val="0704456C"/>
    <w:rsid w:val="070B4DB8"/>
    <w:rsid w:val="070D6D82"/>
    <w:rsid w:val="070E48A8"/>
    <w:rsid w:val="0710139B"/>
    <w:rsid w:val="071023CF"/>
    <w:rsid w:val="07117EF5"/>
    <w:rsid w:val="07133C6D"/>
    <w:rsid w:val="071579E5"/>
    <w:rsid w:val="07177EEF"/>
    <w:rsid w:val="071A324D"/>
    <w:rsid w:val="071C6FC5"/>
    <w:rsid w:val="071E02A7"/>
    <w:rsid w:val="072442D7"/>
    <w:rsid w:val="072916E2"/>
    <w:rsid w:val="07293586"/>
    <w:rsid w:val="07295285"/>
    <w:rsid w:val="072B7208"/>
    <w:rsid w:val="072E6461"/>
    <w:rsid w:val="073065CD"/>
    <w:rsid w:val="073836D3"/>
    <w:rsid w:val="07397B77"/>
    <w:rsid w:val="073B3F81"/>
    <w:rsid w:val="073C1416"/>
    <w:rsid w:val="073E518E"/>
    <w:rsid w:val="073E6F3C"/>
    <w:rsid w:val="07435ABD"/>
    <w:rsid w:val="074402CA"/>
    <w:rsid w:val="0744651C"/>
    <w:rsid w:val="074836D0"/>
    <w:rsid w:val="074A3B33"/>
    <w:rsid w:val="074B78AB"/>
    <w:rsid w:val="07525BEC"/>
    <w:rsid w:val="0753050D"/>
    <w:rsid w:val="07533584"/>
    <w:rsid w:val="07571DAC"/>
    <w:rsid w:val="075C0948"/>
    <w:rsid w:val="075C5C7A"/>
    <w:rsid w:val="075E2523"/>
    <w:rsid w:val="0761419A"/>
    <w:rsid w:val="07630750"/>
    <w:rsid w:val="07636392"/>
    <w:rsid w:val="076444C8"/>
    <w:rsid w:val="07644E31"/>
    <w:rsid w:val="0768220B"/>
    <w:rsid w:val="076B2C9B"/>
    <w:rsid w:val="076B5857"/>
    <w:rsid w:val="076D13F6"/>
    <w:rsid w:val="0771024E"/>
    <w:rsid w:val="07724E37"/>
    <w:rsid w:val="077407D1"/>
    <w:rsid w:val="07770C56"/>
    <w:rsid w:val="077A1F3E"/>
    <w:rsid w:val="077C1812"/>
    <w:rsid w:val="078111D3"/>
    <w:rsid w:val="07833260"/>
    <w:rsid w:val="07862691"/>
    <w:rsid w:val="078E1545"/>
    <w:rsid w:val="078E5270"/>
    <w:rsid w:val="07926A32"/>
    <w:rsid w:val="07941252"/>
    <w:rsid w:val="07950B26"/>
    <w:rsid w:val="079511E1"/>
    <w:rsid w:val="0795267D"/>
    <w:rsid w:val="07970828"/>
    <w:rsid w:val="0797489E"/>
    <w:rsid w:val="079A2388"/>
    <w:rsid w:val="079A613C"/>
    <w:rsid w:val="079A7F04"/>
    <w:rsid w:val="079E5C2C"/>
    <w:rsid w:val="07A1571D"/>
    <w:rsid w:val="07A22BB8"/>
    <w:rsid w:val="07A50D69"/>
    <w:rsid w:val="07A5520D"/>
    <w:rsid w:val="07A94366"/>
    <w:rsid w:val="07AB20F7"/>
    <w:rsid w:val="07AF3996"/>
    <w:rsid w:val="07B11C80"/>
    <w:rsid w:val="07B2792A"/>
    <w:rsid w:val="07B43DE5"/>
    <w:rsid w:val="07C0102B"/>
    <w:rsid w:val="07C37441"/>
    <w:rsid w:val="07C37770"/>
    <w:rsid w:val="07C66F31"/>
    <w:rsid w:val="07C876CD"/>
    <w:rsid w:val="07C9301A"/>
    <w:rsid w:val="07CD6512"/>
    <w:rsid w:val="07D17DB0"/>
    <w:rsid w:val="07D433FC"/>
    <w:rsid w:val="07DA3499"/>
    <w:rsid w:val="07E37AE3"/>
    <w:rsid w:val="07E8334B"/>
    <w:rsid w:val="07E900D0"/>
    <w:rsid w:val="07EA63A8"/>
    <w:rsid w:val="07EA70C4"/>
    <w:rsid w:val="07EB0E6D"/>
    <w:rsid w:val="07F015F5"/>
    <w:rsid w:val="07F57C61"/>
    <w:rsid w:val="07F968F9"/>
    <w:rsid w:val="07FF31D7"/>
    <w:rsid w:val="080A371B"/>
    <w:rsid w:val="080C217E"/>
    <w:rsid w:val="080D4B60"/>
    <w:rsid w:val="080F08D8"/>
    <w:rsid w:val="081128A2"/>
    <w:rsid w:val="08145258"/>
    <w:rsid w:val="08163028"/>
    <w:rsid w:val="081A500E"/>
    <w:rsid w:val="081B727D"/>
    <w:rsid w:val="08204893"/>
    <w:rsid w:val="08207405"/>
    <w:rsid w:val="08294536"/>
    <w:rsid w:val="082C148A"/>
    <w:rsid w:val="082D4BF9"/>
    <w:rsid w:val="0838381A"/>
    <w:rsid w:val="08422A5C"/>
    <w:rsid w:val="084560A8"/>
    <w:rsid w:val="08464EE5"/>
    <w:rsid w:val="0849203C"/>
    <w:rsid w:val="084A0EA6"/>
    <w:rsid w:val="084C5688"/>
    <w:rsid w:val="084D609E"/>
    <w:rsid w:val="08564759"/>
    <w:rsid w:val="085B0D85"/>
    <w:rsid w:val="085B58CB"/>
    <w:rsid w:val="085D5AE7"/>
    <w:rsid w:val="085F64AC"/>
    <w:rsid w:val="085F78DA"/>
    <w:rsid w:val="08601134"/>
    <w:rsid w:val="086269CD"/>
    <w:rsid w:val="08627CDF"/>
    <w:rsid w:val="08645310"/>
    <w:rsid w:val="08646E76"/>
    <w:rsid w:val="086504F8"/>
    <w:rsid w:val="08675000"/>
    <w:rsid w:val="08682CA6"/>
    <w:rsid w:val="0869448C"/>
    <w:rsid w:val="0869623A"/>
    <w:rsid w:val="086A09FB"/>
    <w:rsid w:val="086E3851"/>
    <w:rsid w:val="086F1377"/>
    <w:rsid w:val="08703496"/>
    <w:rsid w:val="087150EF"/>
    <w:rsid w:val="08732C15"/>
    <w:rsid w:val="087B71B7"/>
    <w:rsid w:val="087D5842"/>
    <w:rsid w:val="087E1C1F"/>
    <w:rsid w:val="087F635C"/>
    <w:rsid w:val="08850B9A"/>
    <w:rsid w:val="08852948"/>
    <w:rsid w:val="08861368"/>
    <w:rsid w:val="0889068B"/>
    <w:rsid w:val="088968DD"/>
    <w:rsid w:val="088D6498"/>
    <w:rsid w:val="08993322"/>
    <w:rsid w:val="089D0CB1"/>
    <w:rsid w:val="089D7C92"/>
    <w:rsid w:val="089E4F6C"/>
    <w:rsid w:val="08A13C26"/>
    <w:rsid w:val="08B0518A"/>
    <w:rsid w:val="08B140CE"/>
    <w:rsid w:val="08B64478"/>
    <w:rsid w:val="08B73A59"/>
    <w:rsid w:val="08BC0A60"/>
    <w:rsid w:val="08BD20E2"/>
    <w:rsid w:val="08C20CCF"/>
    <w:rsid w:val="08C64073"/>
    <w:rsid w:val="08C64978"/>
    <w:rsid w:val="08C65D27"/>
    <w:rsid w:val="08C96CD9"/>
    <w:rsid w:val="08CE42EF"/>
    <w:rsid w:val="08D004EB"/>
    <w:rsid w:val="08D37B58"/>
    <w:rsid w:val="08D77648"/>
    <w:rsid w:val="08DF02AB"/>
    <w:rsid w:val="08E11D0F"/>
    <w:rsid w:val="08E23383"/>
    <w:rsid w:val="08E51639"/>
    <w:rsid w:val="08E7715F"/>
    <w:rsid w:val="08EB0A30"/>
    <w:rsid w:val="08EE04EE"/>
    <w:rsid w:val="08EE786F"/>
    <w:rsid w:val="08F06236"/>
    <w:rsid w:val="08F1563F"/>
    <w:rsid w:val="08F5187C"/>
    <w:rsid w:val="08F55D20"/>
    <w:rsid w:val="08F82F0D"/>
    <w:rsid w:val="08FE77F2"/>
    <w:rsid w:val="08FF201E"/>
    <w:rsid w:val="0902043D"/>
    <w:rsid w:val="09035AF7"/>
    <w:rsid w:val="0904744F"/>
    <w:rsid w:val="09052135"/>
    <w:rsid w:val="090C4E18"/>
    <w:rsid w:val="090D62B3"/>
    <w:rsid w:val="090F79F0"/>
    <w:rsid w:val="0913264A"/>
    <w:rsid w:val="09144729"/>
    <w:rsid w:val="09175A93"/>
    <w:rsid w:val="09195451"/>
    <w:rsid w:val="091F0FEF"/>
    <w:rsid w:val="091F34DF"/>
    <w:rsid w:val="09212671"/>
    <w:rsid w:val="092217DD"/>
    <w:rsid w:val="092403B3"/>
    <w:rsid w:val="09273A00"/>
    <w:rsid w:val="092B1742"/>
    <w:rsid w:val="092B77DC"/>
    <w:rsid w:val="092D370C"/>
    <w:rsid w:val="092E2FE0"/>
    <w:rsid w:val="09320D22"/>
    <w:rsid w:val="09322AD0"/>
    <w:rsid w:val="093323A4"/>
    <w:rsid w:val="09353050"/>
    <w:rsid w:val="093A7294"/>
    <w:rsid w:val="094E2F83"/>
    <w:rsid w:val="094E3197"/>
    <w:rsid w:val="094F5C0A"/>
    <w:rsid w:val="095073FA"/>
    <w:rsid w:val="09544E5F"/>
    <w:rsid w:val="09577D3C"/>
    <w:rsid w:val="095D5673"/>
    <w:rsid w:val="095E1B17"/>
    <w:rsid w:val="09615163"/>
    <w:rsid w:val="09642C78"/>
    <w:rsid w:val="096609CC"/>
    <w:rsid w:val="096F713B"/>
    <w:rsid w:val="09744D54"/>
    <w:rsid w:val="09772BD9"/>
    <w:rsid w:val="09795283"/>
    <w:rsid w:val="097A4477"/>
    <w:rsid w:val="097E5C8C"/>
    <w:rsid w:val="097E7AC3"/>
    <w:rsid w:val="098175B4"/>
    <w:rsid w:val="09866978"/>
    <w:rsid w:val="098708AE"/>
    <w:rsid w:val="0988684E"/>
    <w:rsid w:val="098A290C"/>
    <w:rsid w:val="09926C3F"/>
    <w:rsid w:val="099343EE"/>
    <w:rsid w:val="09970B85"/>
    <w:rsid w:val="099B68C7"/>
    <w:rsid w:val="09A10CB8"/>
    <w:rsid w:val="09A11A04"/>
    <w:rsid w:val="09A137B2"/>
    <w:rsid w:val="09A66A4D"/>
    <w:rsid w:val="09AF3FF1"/>
    <w:rsid w:val="09B2776D"/>
    <w:rsid w:val="09B41737"/>
    <w:rsid w:val="09B5177D"/>
    <w:rsid w:val="09BA00EB"/>
    <w:rsid w:val="09BB20BA"/>
    <w:rsid w:val="09BD7274"/>
    <w:rsid w:val="09C26DEF"/>
    <w:rsid w:val="09C3084B"/>
    <w:rsid w:val="09C315DC"/>
    <w:rsid w:val="09C37BCC"/>
    <w:rsid w:val="09C63218"/>
    <w:rsid w:val="09C83435"/>
    <w:rsid w:val="09CA0F5B"/>
    <w:rsid w:val="09CA5B4D"/>
    <w:rsid w:val="09CD45A7"/>
    <w:rsid w:val="09CF6571"/>
    <w:rsid w:val="09D33FF0"/>
    <w:rsid w:val="09DA1B8B"/>
    <w:rsid w:val="09E244F6"/>
    <w:rsid w:val="09E65669"/>
    <w:rsid w:val="09E761E6"/>
    <w:rsid w:val="09E85132"/>
    <w:rsid w:val="09EA33AB"/>
    <w:rsid w:val="09EF276F"/>
    <w:rsid w:val="09EF451D"/>
    <w:rsid w:val="09F1329C"/>
    <w:rsid w:val="09F20147"/>
    <w:rsid w:val="09F61D50"/>
    <w:rsid w:val="09F70366"/>
    <w:rsid w:val="09F71624"/>
    <w:rsid w:val="09FA032F"/>
    <w:rsid w:val="09FE6CA1"/>
    <w:rsid w:val="09FE6E56"/>
    <w:rsid w:val="09FE75F3"/>
    <w:rsid w:val="0A033C45"/>
    <w:rsid w:val="0A060E4D"/>
    <w:rsid w:val="0A0855DF"/>
    <w:rsid w:val="0A1002DE"/>
    <w:rsid w:val="0A183EA3"/>
    <w:rsid w:val="0A1B17B6"/>
    <w:rsid w:val="0A1B3564"/>
    <w:rsid w:val="0A1F46F4"/>
    <w:rsid w:val="0A1F7EE8"/>
    <w:rsid w:val="0A20501F"/>
    <w:rsid w:val="0A206DCD"/>
    <w:rsid w:val="0A2148F3"/>
    <w:rsid w:val="0A263993"/>
    <w:rsid w:val="0A285C81"/>
    <w:rsid w:val="0A2955CC"/>
    <w:rsid w:val="0A2D3298"/>
    <w:rsid w:val="0A2D3AC2"/>
    <w:rsid w:val="0A2F1568"/>
    <w:rsid w:val="0A2F1A39"/>
    <w:rsid w:val="0A343BE8"/>
    <w:rsid w:val="0A3463D4"/>
    <w:rsid w:val="0A396D80"/>
    <w:rsid w:val="0A430E0F"/>
    <w:rsid w:val="0A434869"/>
    <w:rsid w:val="0A4707FD"/>
    <w:rsid w:val="0A4800D1"/>
    <w:rsid w:val="0A4F320E"/>
    <w:rsid w:val="0A544CC8"/>
    <w:rsid w:val="0A560A40"/>
    <w:rsid w:val="0A570314"/>
    <w:rsid w:val="0A57754B"/>
    <w:rsid w:val="0A5B0944"/>
    <w:rsid w:val="0A6C034F"/>
    <w:rsid w:val="0A6C3DC0"/>
    <w:rsid w:val="0A7333A0"/>
    <w:rsid w:val="0A742C74"/>
    <w:rsid w:val="0A79028B"/>
    <w:rsid w:val="0A7A46D0"/>
    <w:rsid w:val="0A7B04A7"/>
    <w:rsid w:val="0A7B4003"/>
    <w:rsid w:val="0A7D5FCD"/>
    <w:rsid w:val="0A825391"/>
    <w:rsid w:val="0A834C59"/>
    <w:rsid w:val="0A8455AD"/>
    <w:rsid w:val="0A85631C"/>
    <w:rsid w:val="0A880C8F"/>
    <w:rsid w:val="0A894972"/>
    <w:rsid w:val="0A8C7CD5"/>
    <w:rsid w:val="0A913826"/>
    <w:rsid w:val="0A924382"/>
    <w:rsid w:val="0A935528"/>
    <w:rsid w:val="0A9652E1"/>
    <w:rsid w:val="0AA03A6A"/>
    <w:rsid w:val="0AA07F0D"/>
    <w:rsid w:val="0AA35401"/>
    <w:rsid w:val="0AA6251B"/>
    <w:rsid w:val="0AA71FBE"/>
    <w:rsid w:val="0AA755DF"/>
    <w:rsid w:val="0AAB0D8C"/>
    <w:rsid w:val="0AAB5B0D"/>
    <w:rsid w:val="0AAC7D0D"/>
    <w:rsid w:val="0AAE0E6D"/>
    <w:rsid w:val="0AAE14FD"/>
    <w:rsid w:val="0AAE5A3B"/>
    <w:rsid w:val="0AAF5AB2"/>
    <w:rsid w:val="0AB063A2"/>
    <w:rsid w:val="0AB15C77"/>
    <w:rsid w:val="0AB37C41"/>
    <w:rsid w:val="0AB539B9"/>
    <w:rsid w:val="0AB85257"/>
    <w:rsid w:val="0ABB4D47"/>
    <w:rsid w:val="0ABD461B"/>
    <w:rsid w:val="0AC05EBA"/>
    <w:rsid w:val="0AC47DDC"/>
    <w:rsid w:val="0AC515BB"/>
    <w:rsid w:val="0AC534D0"/>
    <w:rsid w:val="0AC57974"/>
    <w:rsid w:val="0AC839D5"/>
    <w:rsid w:val="0AC91212"/>
    <w:rsid w:val="0ACE1341"/>
    <w:rsid w:val="0AD55E09"/>
    <w:rsid w:val="0AEB573E"/>
    <w:rsid w:val="0AEC3153"/>
    <w:rsid w:val="0AF04447"/>
    <w:rsid w:val="0AF3628F"/>
    <w:rsid w:val="0AF81AF7"/>
    <w:rsid w:val="0AF938F6"/>
    <w:rsid w:val="0AF95A7B"/>
    <w:rsid w:val="0AFE0DCE"/>
    <w:rsid w:val="0B024724"/>
    <w:rsid w:val="0B093D05"/>
    <w:rsid w:val="0B112BB9"/>
    <w:rsid w:val="0B120D44"/>
    <w:rsid w:val="0B1A3243"/>
    <w:rsid w:val="0B1C57E6"/>
    <w:rsid w:val="0B1D59CE"/>
    <w:rsid w:val="0B21104E"/>
    <w:rsid w:val="0B27418B"/>
    <w:rsid w:val="0B2F0960"/>
    <w:rsid w:val="0B304DED"/>
    <w:rsid w:val="0B332B30"/>
    <w:rsid w:val="0B355638"/>
    <w:rsid w:val="0B374BED"/>
    <w:rsid w:val="0B386398"/>
    <w:rsid w:val="0B3A3EBE"/>
    <w:rsid w:val="0B3A5C6C"/>
    <w:rsid w:val="0B3B5CD0"/>
    <w:rsid w:val="0B3F14D4"/>
    <w:rsid w:val="0B3F3282"/>
    <w:rsid w:val="0B416FFB"/>
    <w:rsid w:val="0B424B21"/>
    <w:rsid w:val="0B462863"/>
    <w:rsid w:val="0B472137"/>
    <w:rsid w:val="0B4755FC"/>
    <w:rsid w:val="0B4844F7"/>
    <w:rsid w:val="0B505490"/>
    <w:rsid w:val="0B554854"/>
    <w:rsid w:val="0B584344"/>
    <w:rsid w:val="0B5F1B77"/>
    <w:rsid w:val="0B634B20"/>
    <w:rsid w:val="0B64718D"/>
    <w:rsid w:val="0B662F05"/>
    <w:rsid w:val="0B666A61"/>
    <w:rsid w:val="0B6947A3"/>
    <w:rsid w:val="0B6D2CDE"/>
    <w:rsid w:val="0B7373D0"/>
    <w:rsid w:val="0B745622"/>
    <w:rsid w:val="0B7531D8"/>
    <w:rsid w:val="0B7D1FFD"/>
    <w:rsid w:val="0B7D32E8"/>
    <w:rsid w:val="0B7F258B"/>
    <w:rsid w:val="0B7F5D75"/>
    <w:rsid w:val="0B811AED"/>
    <w:rsid w:val="0B815649"/>
    <w:rsid w:val="0B845139"/>
    <w:rsid w:val="0B864448"/>
    <w:rsid w:val="0B865355"/>
    <w:rsid w:val="0B882E7B"/>
    <w:rsid w:val="0B884C29"/>
    <w:rsid w:val="0B8B20B1"/>
    <w:rsid w:val="0B8B296C"/>
    <w:rsid w:val="0B8C1377"/>
    <w:rsid w:val="0B8E5FB8"/>
    <w:rsid w:val="0B957346"/>
    <w:rsid w:val="0B973A2F"/>
    <w:rsid w:val="0B980E3B"/>
    <w:rsid w:val="0B982A44"/>
    <w:rsid w:val="0B9B5B64"/>
    <w:rsid w:val="0B9D61FB"/>
    <w:rsid w:val="0B9F1F73"/>
    <w:rsid w:val="0BA04753"/>
    <w:rsid w:val="0BA61097"/>
    <w:rsid w:val="0BA63302"/>
    <w:rsid w:val="0BA650B0"/>
    <w:rsid w:val="0BAB0918"/>
    <w:rsid w:val="0BAD643E"/>
    <w:rsid w:val="0BAE4F74"/>
    <w:rsid w:val="0BAF665A"/>
    <w:rsid w:val="0BB43C70"/>
    <w:rsid w:val="0BB71100"/>
    <w:rsid w:val="0BBC5CBC"/>
    <w:rsid w:val="0BC1013B"/>
    <w:rsid w:val="0BCA5413"/>
    <w:rsid w:val="0BD0037E"/>
    <w:rsid w:val="0BD01216"/>
    <w:rsid w:val="0BD240F7"/>
    <w:rsid w:val="0BD27BF6"/>
    <w:rsid w:val="0BD47E6F"/>
    <w:rsid w:val="0BD55995"/>
    <w:rsid w:val="0BD7166A"/>
    <w:rsid w:val="0BD7795F"/>
    <w:rsid w:val="0BD97609"/>
    <w:rsid w:val="0BDE2A9B"/>
    <w:rsid w:val="0BDF05C2"/>
    <w:rsid w:val="0BE300B2"/>
    <w:rsid w:val="0BE77385"/>
    <w:rsid w:val="0BEB340A"/>
    <w:rsid w:val="0BF202F5"/>
    <w:rsid w:val="0BF71E7D"/>
    <w:rsid w:val="0BF978D5"/>
    <w:rsid w:val="0C004C5B"/>
    <w:rsid w:val="0C005ABF"/>
    <w:rsid w:val="0C012C2E"/>
    <w:rsid w:val="0C01678A"/>
    <w:rsid w:val="0C03009E"/>
    <w:rsid w:val="0C036249"/>
    <w:rsid w:val="0C0736A9"/>
    <w:rsid w:val="0C0A3890"/>
    <w:rsid w:val="0C0A5DFC"/>
    <w:rsid w:val="0C1313AE"/>
    <w:rsid w:val="0C142961"/>
    <w:rsid w:val="0C1C1DCA"/>
    <w:rsid w:val="0C1C520A"/>
    <w:rsid w:val="0C1E0CB3"/>
    <w:rsid w:val="0C222CFD"/>
    <w:rsid w:val="0C232BA4"/>
    <w:rsid w:val="0C234952"/>
    <w:rsid w:val="0C2A0948"/>
    <w:rsid w:val="0C2A7A8F"/>
    <w:rsid w:val="0C2B1A59"/>
    <w:rsid w:val="0C322DE7"/>
    <w:rsid w:val="0C3B3C7D"/>
    <w:rsid w:val="0C3C461F"/>
    <w:rsid w:val="0C421724"/>
    <w:rsid w:val="0C432E74"/>
    <w:rsid w:val="0C46551C"/>
    <w:rsid w:val="0C476893"/>
    <w:rsid w:val="0C48260B"/>
    <w:rsid w:val="0C4843B9"/>
    <w:rsid w:val="0C4C3EA9"/>
    <w:rsid w:val="0C4E067E"/>
    <w:rsid w:val="0C4E7DBD"/>
    <w:rsid w:val="0C4F3999"/>
    <w:rsid w:val="0C58208C"/>
    <w:rsid w:val="0C5B2FCE"/>
    <w:rsid w:val="0C5C7E64"/>
    <w:rsid w:val="0C5E1E2E"/>
    <w:rsid w:val="0C687599"/>
    <w:rsid w:val="0C6C43F7"/>
    <w:rsid w:val="0C6F5DE9"/>
    <w:rsid w:val="0C733FA8"/>
    <w:rsid w:val="0C7634FF"/>
    <w:rsid w:val="0C7751F3"/>
    <w:rsid w:val="0C7C45D5"/>
    <w:rsid w:val="0C8353F1"/>
    <w:rsid w:val="0C847BF0"/>
    <w:rsid w:val="0C8573BB"/>
    <w:rsid w:val="0C863A0B"/>
    <w:rsid w:val="0C886C9D"/>
    <w:rsid w:val="0C8E44C1"/>
    <w:rsid w:val="0C8F1FE8"/>
    <w:rsid w:val="0C945850"/>
    <w:rsid w:val="0C950E31"/>
    <w:rsid w:val="0C985340"/>
    <w:rsid w:val="0C9910B8"/>
    <w:rsid w:val="0CA05D40"/>
    <w:rsid w:val="0CA352C8"/>
    <w:rsid w:val="0CA35A93"/>
    <w:rsid w:val="0CAB2EAE"/>
    <w:rsid w:val="0CAC0DEC"/>
    <w:rsid w:val="0CAC4948"/>
    <w:rsid w:val="0CAE6912"/>
    <w:rsid w:val="0CB0762B"/>
    <w:rsid w:val="0CB8153E"/>
    <w:rsid w:val="0CB90E13"/>
    <w:rsid w:val="0CB97065"/>
    <w:rsid w:val="0CBA1929"/>
    <w:rsid w:val="0CC021A1"/>
    <w:rsid w:val="0CC2401A"/>
    <w:rsid w:val="0CC954FA"/>
    <w:rsid w:val="0CCA6C8C"/>
    <w:rsid w:val="0CCB4B63"/>
    <w:rsid w:val="0CCD74A5"/>
    <w:rsid w:val="0CCF3824"/>
    <w:rsid w:val="0CD345CA"/>
    <w:rsid w:val="0CD7229F"/>
    <w:rsid w:val="0CD76670"/>
    <w:rsid w:val="0CDC3332"/>
    <w:rsid w:val="0CDD0FA5"/>
    <w:rsid w:val="0CDE7168"/>
    <w:rsid w:val="0CE045F1"/>
    <w:rsid w:val="0CE20369"/>
    <w:rsid w:val="0CE560AB"/>
    <w:rsid w:val="0CE95B9C"/>
    <w:rsid w:val="0CEE61C4"/>
    <w:rsid w:val="0CF956B3"/>
    <w:rsid w:val="0CFB142B"/>
    <w:rsid w:val="0CFF716D"/>
    <w:rsid w:val="0D026C5D"/>
    <w:rsid w:val="0D0504FC"/>
    <w:rsid w:val="0D0B144E"/>
    <w:rsid w:val="0D0E115E"/>
    <w:rsid w:val="0D0F271F"/>
    <w:rsid w:val="0D0F4ED6"/>
    <w:rsid w:val="0D1349C7"/>
    <w:rsid w:val="0D142104"/>
    <w:rsid w:val="0D1606D7"/>
    <w:rsid w:val="0D164953"/>
    <w:rsid w:val="0D167843"/>
    <w:rsid w:val="0D1813BA"/>
    <w:rsid w:val="0D187D22"/>
    <w:rsid w:val="0D1B1ACD"/>
    <w:rsid w:val="0D215B8E"/>
    <w:rsid w:val="0D235A4F"/>
    <w:rsid w:val="0D237032"/>
    <w:rsid w:val="0D291DA3"/>
    <w:rsid w:val="0D2D522C"/>
    <w:rsid w:val="0D2E1801"/>
    <w:rsid w:val="0D2E35AF"/>
    <w:rsid w:val="0D3037CB"/>
    <w:rsid w:val="0D3112F1"/>
    <w:rsid w:val="0D336E17"/>
    <w:rsid w:val="0D3606B5"/>
    <w:rsid w:val="0D3B1B72"/>
    <w:rsid w:val="0D3F3B5F"/>
    <w:rsid w:val="0D3F756A"/>
    <w:rsid w:val="0D405202"/>
    <w:rsid w:val="0D4071B1"/>
    <w:rsid w:val="0D434FE4"/>
    <w:rsid w:val="0D441024"/>
    <w:rsid w:val="0D464D9C"/>
    <w:rsid w:val="0D483549"/>
    <w:rsid w:val="0D4B23B2"/>
    <w:rsid w:val="0D591E15"/>
    <w:rsid w:val="0D621C7D"/>
    <w:rsid w:val="0D645222"/>
    <w:rsid w:val="0D6B4803"/>
    <w:rsid w:val="0D6C3380"/>
    <w:rsid w:val="0D6E7E4F"/>
    <w:rsid w:val="0D705975"/>
    <w:rsid w:val="0D7511DD"/>
    <w:rsid w:val="0D782A7C"/>
    <w:rsid w:val="0D7E1B1D"/>
    <w:rsid w:val="0D811433"/>
    <w:rsid w:val="0D813912"/>
    <w:rsid w:val="0D817B82"/>
    <w:rsid w:val="0D84493F"/>
    <w:rsid w:val="0D933D59"/>
    <w:rsid w:val="0D951880"/>
    <w:rsid w:val="0D991A7F"/>
    <w:rsid w:val="0DA408D3"/>
    <w:rsid w:val="0DA41AC3"/>
    <w:rsid w:val="0DA47D15"/>
    <w:rsid w:val="0DA67E5A"/>
    <w:rsid w:val="0DA970D9"/>
    <w:rsid w:val="0DAB10A3"/>
    <w:rsid w:val="0DB02216"/>
    <w:rsid w:val="0DB02FF3"/>
    <w:rsid w:val="0DB22432"/>
    <w:rsid w:val="0DB5782C"/>
    <w:rsid w:val="0DB735A4"/>
    <w:rsid w:val="0DB86146"/>
    <w:rsid w:val="0DBA6D92"/>
    <w:rsid w:val="0DBB7938"/>
    <w:rsid w:val="0DBC505E"/>
    <w:rsid w:val="0DBD5DF4"/>
    <w:rsid w:val="0DBE4B1B"/>
    <w:rsid w:val="0DC363ED"/>
    <w:rsid w:val="0DC57273"/>
    <w:rsid w:val="0DC61A39"/>
    <w:rsid w:val="0DC950AB"/>
    <w:rsid w:val="0DCE08EE"/>
    <w:rsid w:val="0DD01B82"/>
    <w:rsid w:val="0DD423A8"/>
    <w:rsid w:val="0DD71E98"/>
    <w:rsid w:val="0DDB0985"/>
    <w:rsid w:val="0DDC125D"/>
    <w:rsid w:val="0DDC6028"/>
    <w:rsid w:val="0DDF0D4D"/>
    <w:rsid w:val="0DDF2AFB"/>
    <w:rsid w:val="0DE36A62"/>
    <w:rsid w:val="0DE819AF"/>
    <w:rsid w:val="0DED16BC"/>
    <w:rsid w:val="0DF02AC4"/>
    <w:rsid w:val="0DF12AD3"/>
    <w:rsid w:val="0DF2282E"/>
    <w:rsid w:val="0DF30D4B"/>
    <w:rsid w:val="0DF43158"/>
    <w:rsid w:val="0DF60895"/>
    <w:rsid w:val="0DFB0103"/>
    <w:rsid w:val="0DFE424A"/>
    <w:rsid w:val="0E042561"/>
    <w:rsid w:val="0E082052"/>
    <w:rsid w:val="0E083E00"/>
    <w:rsid w:val="0E0A5DCA"/>
    <w:rsid w:val="0E0B38F0"/>
    <w:rsid w:val="0E0D1416"/>
    <w:rsid w:val="0E100F06"/>
    <w:rsid w:val="0E1346F4"/>
    <w:rsid w:val="0E1409F6"/>
    <w:rsid w:val="0E194F31"/>
    <w:rsid w:val="0E1B67AA"/>
    <w:rsid w:val="0E1C78AB"/>
    <w:rsid w:val="0E1E7AC7"/>
    <w:rsid w:val="0E1F739B"/>
    <w:rsid w:val="0E236A3E"/>
    <w:rsid w:val="0E2624D8"/>
    <w:rsid w:val="0E2737AE"/>
    <w:rsid w:val="0E29397C"/>
    <w:rsid w:val="0E2A646C"/>
    <w:rsid w:val="0E321257"/>
    <w:rsid w:val="0E340CB9"/>
    <w:rsid w:val="0E3453D2"/>
    <w:rsid w:val="0E353C3B"/>
    <w:rsid w:val="0E372937"/>
    <w:rsid w:val="0E3869E3"/>
    <w:rsid w:val="0E395454"/>
    <w:rsid w:val="0E3966AF"/>
    <w:rsid w:val="0E3C619F"/>
    <w:rsid w:val="0E3E5A73"/>
    <w:rsid w:val="0E4017EB"/>
    <w:rsid w:val="0E417312"/>
    <w:rsid w:val="0E43308A"/>
    <w:rsid w:val="0E440BB0"/>
    <w:rsid w:val="0E4534B6"/>
    <w:rsid w:val="0E4806A0"/>
    <w:rsid w:val="0E4A4418"/>
    <w:rsid w:val="0E4D215A"/>
    <w:rsid w:val="0E515C60"/>
    <w:rsid w:val="0E544313"/>
    <w:rsid w:val="0E554C8F"/>
    <w:rsid w:val="0E562298"/>
    <w:rsid w:val="0E5868FB"/>
    <w:rsid w:val="0E5B241B"/>
    <w:rsid w:val="0E5E4367"/>
    <w:rsid w:val="0E6354DA"/>
    <w:rsid w:val="0E695DB1"/>
    <w:rsid w:val="0E6B5AF4"/>
    <w:rsid w:val="0E705A8D"/>
    <w:rsid w:val="0E71575C"/>
    <w:rsid w:val="0E727ADE"/>
    <w:rsid w:val="0E73034D"/>
    <w:rsid w:val="0E76520D"/>
    <w:rsid w:val="0E7D21DC"/>
    <w:rsid w:val="0E7E2314"/>
    <w:rsid w:val="0E7E40C2"/>
    <w:rsid w:val="0E87741A"/>
    <w:rsid w:val="0E8A0CB9"/>
    <w:rsid w:val="0E8D07A9"/>
    <w:rsid w:val="0E8E60D1"/>
    <w:rsid w:val="0E947D89"/>
    <w:rsid w:val="0E9658AF"/>
    <w:rsid w:val="0E9B6C94"/>
    <w:rsid w:val="0E9C09EC"/>
    <w:rsid w:val="0E9C6708"/>
    <w:rsid w:val="0E9F1EDC"/>
    <w:rsid w:val="0E9F3E09"/>
    <w:rsid w:val="0EA25651"/>
    <w:rsid w:val="0EA34998"/>
    <w:rsid w:val="0EA75CFA"/>
    <w:rsid w:val="0EA93835"/>
    <w:rsid w:val="0EAA1CD0"/>
    <w:rsid w:val="0EAA4EB7"/>
    <w:rsid w:val="0EAA66D7"/>
    <w:rsid w:val="0EAC3B1F"/>
    <w:rsid w:val="0EBB1E9B"/>
    <w:rsid w:val="0EBB37EE"/>
    <w:rsid w:val="0EC046DA"/>
    <w:rsid w:val="0EC35F79"/>
    <w:rsid w:val="0EC57F43"/>
    <w:rsid w:val="0EC81817"/>
    <w:rsid w:val="0EC95C85"/>
    <w:rsid w:val="0EC97353"/>
    <w:rsid w:val="0ECA37AB"/>
    <w:rsid w:val="0ECA7307"/>
    <w:rsid w:val="0ECA7500"/>
    <w:rsid w:val="0ED2520F"/>
    <w:rsid w:val="0ED308B1"/>
    <w:rsid w:val="0ED40186"/>
    <w:rsid w:val="0ED63EFE"/>
    <w:rsid w:val="0ED97170"/>
    <w:rsid w:val="0EDB32C2"/>
    <w:rsid w:val="0EE160C8"/>
    <w:rsid w:val="0EE17A34"/>
    <w:rsid w:val="0EE228A3"/>
    <w:rsid w:val="0EE26D46"/>
    <w:rsid w:val="0EE3661B"/>
    <w:rsid w:val="0EE46AFC"/>
    <w:rsid w:val="0EE63C63"/>
    <w:rsid w:val="0EE7435D"/>
    <w:rsid w:val="0EE7610B"/>
    <w:rsid w:val="0EEC1973"/>
    <w:rsid w:val="0EED4A7D"/>
    <w:rsid w:val="0EEF4FBF"/>
    <w:rsid w:val="0EF030FF"/>
    <w:rsid w:val="0EF44384"/>
    <w:rsid w:val="0EF549B6"/>
    <w:rsid w:val="0EF663A8"/>
    <w:rsid w:val="0EFA1939"/>
    <w:rsid w:val="0EFA4090"/>
    <w:rsid w:val="0F046CBD"/>
    <w:rsid w:val="0F06752C"/>
    <w:rsid w:val="0F06764E"/>
    <w:rsid w:val="0F074F68"/>
    <w:rsid w:val="0F094998"/>
    <w:rsid w:val="0F0A5D32"/>
    <w:rsid w:val="0F0B425C"/>
    <w:rsid w:val="0F0C1EE6"/>
    <w:rsid w:val="0F0D5446"/>
    <w:rsid w:val="0F0D6BEA"/>
    <w:rsid w:val="0F0E3698"/>
    <w:rsid w:val="0F0E7B3C"/>
    <w:rsid w:val="0F13775A"/>
    <w:rsid w:val="0F1669F0"/>
    <w:rsid w:val="0F1D1B2D"/>
    <w:rsid w:val="0F1F0A19"/>
    <w:rsid w:val="0F203B0D"/>
    <w:rsid w:val="0F205179"/>
    <w:rsid w:val="0F220B5F"/>
    <w:rsid w:val="0F220EF1"/>
    <w:rsid w:val="0F2365E1"/>
    <w:rsid w:val="0F242EBB"/>
    <w:rsid w:val="0F274759"/>
    <w:rsid w:val="0F2E5AE8"/>
    <w:rsid w:val="0F2E71B6"/>
    <w:rsid w:val="0F300B36"/>
    <w:rsid w:val="0F340C24"/>
    <w:rsid w:val="0F392184"/>
    <w:rsid w:val="0F3A448D"/>
    <w:rsid w:val="0F3C53C7"/>
    <w:rsid w:val="0F3C7675"/>
    <w:rsid w:val="0F3F3B86"/>
    <w:rsid w:val="0F40581B"/>
    <w:rsid w:val="0F452E31"/>
    <w:rsid w:val="0F4B669A"/>
    <w:rsid w:val="0F566DED"/>
    <w:rsid w:val="0F585998"/>
    <w:rsid w:val="0F5A0DB5"/>
    <w:rsid w:val="0F5A4B2F"/>
    <w:rsid w:val="0F5A68DD"/>
    <w:rsid w:val="0F5F45FE"/>
    <w:rsid w:val="0F6432FC"/>
    <w:rsid w:val="0F6C44B5"/>
    <w:rsid w:val="0F73174D"/>
    <w:rsid w:val="0F76123D"/>
    <w:rsid w:val="0F7718EE"/>
    <w:rsid w:val="0F784FB5"/>
    <w:rsid w:val="0F7B0F31"/>
    <w:rsid w:val="0F7D25CB"/>
    <w:rsid w:val="0F7F00F1"/>
    <w:rsid w:val="0F7F18EB"/>
    <w:rsid w:val="0F803E6A"/>
    <w:rsid w:val="0F8676D2"/>
    <w:rsid w:val="0F8B4CE8"/>
    <w:rsid w:val="0F9124C0"/>
    <w:rsid w:val="0F916077"/>
    <w:rsid w:val="0F96368D"/>
    <w:rsid w:val="0F9A112B"/>
    <w:rsid w:val="0F9B0CA3"/>
    <w:rsid w:val="0F9E6FA7"/>
    <w:rsid w:val="0FA233AC"/>
    <w:rsid w:val="0FA27856"/>
    <w:rsid w:val="0FA47B58"/>
    <w:rsid w:val="0FB87AA7"/>
    <w:rsid w:val="0FB96D88"/>
    <w:rsid w:val="0FBC10A0"/>
    <w:rsid w:val="0FBC30F4"/>
    <w:rsid w:val="0FBF485C"/>
    <w:rsid w:val="0FC34B1C"/>
    <w:rsid w:val="0FC6203C"/>
    <w:rsid w:val="0FCE0B27"/>
    <w:rsid w:val="0FCE2E27"/>
    <w:rsid w:val="0FD03043"/>
    <w:rsid w:val="0FD03282"/>
    <w:rsid w:val="0FD44A79"/>
    <w:rsid w:val="0FD85A54"/>
    <w:rsid w:val="0FD865A0"/>
    <w:rsid w:val="0FDD12BC"/>
    <w:rsid w:val="0FDD6C19"/>
    <w:rsid w:val="0FDF3BF3"/>
    <w:rsid w:val="0FDF6856"/>
    <w:rsid w:val="0FDF6DE2"/>
    <w:rsid w:val="0FEA03E5"/>
    <w:rsid w:val="0FEB18E2"/>
    <w:rsid w:val="0FED7751"/>
    <w:rsid w:val="0FEE6C5F"/>
    <w:rsid w:val="0FF56606"/>
    <w:rsid w:val="0FF705D0"/>
    <w:rsid w:val="0FF860F6"/>
    <w:rsid w:val="0FF94348"/>
    <w:rsid w:val="0FFB485C"/>
    <w:rsid w:val="0FFD18DA"/>
    <w:rsid w:val="0FFE195E"/>
    <w:rsid w:val="0FFF7484"/>
    <w:rsid w:val="100131FC"/>
    <w:rsid w:val="10013DD4"/>
    <w:rsid w:val="10020DC3"/>
    <w:rsid w:val="10021FC9"/>
    <w:rsid w:val="10030D22"/>
    <w:rsid w:val="100625C1"/>
    <w:rsid w:val="10095C86"/>
    <w:rsid w:val="100A7E2A"/>
    <w:rsid w:val="1010343F"/>
    <w:rsid w:val="10134CDE"/>
    <w:rsid w:val="10152804"/>
    <w:rsid w:val="101953C4"/>
    <w:rsid w:val="101C3B92"/>
    <w:rsid w:val="101E1E72"/>
    <w:rsid w:val="10240C99"/>
    <w:rsid w:val="10274F9A"/>
    <w:rsid w:val="102A1525"/>
    <w:rsid w:val="1030763E"/>
    <w:rsid w:val="10321608"/>
    <w:rsid w:val="103706A7"/>
    <w:rsid w:val="10390BE8"/>
    <w:rsid w:val="103E6140"/>
    <w:rsid w:val="1041305A"/>
    <w:rsid w:val="10435365"/>
    <w:rsid w:val="1045758D"/>
    <w:rsid w:val="104A6951"/>
    <w:rsid w:val="104B091B"/>
    <w:rsid w:val="104C2BCB"/>
    <w:rsid w:val="104F55CF"/>
    <w:rsid w:val="10505F32"/>
    <w:rsid w:val="105A46BB"/>
    <w:rsid w:val="105A6AE1"/>
    <w:rsid w:val="105F74AA"/>
    <w:rsid w:val="106169ED"/>
    <w:rsid w:val="10640EFB"/>
    <w:rsid w:val="1068327B"/>
    <w:rsid w:val="106D2F64"/>
    <w:rsid w:val="106E29B8"/>
    <w:rsid w:val="106F6659"/>
    <w:rsid w:val="10790FE5"/>
    <w:rsid w:val="107C6D27"/>
    <w:rsid w:val="107F4121"/>
    <w:rsid w:val="1081433D"/>
    <w:rsid w:val="108340FB"/>
    <w:rsid w:val="10863702"/>
    <w:rsid w:val="108A1444"/>
    <w:rsid w:val="108A31F2"/>
    <w:rsid w:val="108C51BC"/>
    <w:rsid w:val="108C6F6A"/>
    <w:rsid w:val="108F0808"/>
    <w:rsid w:val="108F6A5A"/>
    <w:rsid w:val="1090579E"/>
    <w:rsid w:val="10933536"/>
    <w:rsid w:val="10945E1E"/>
    <w:rsid w:val="10963F46"/>
    <w:rsid w:val="10964E8F"/>
    <w:rsid w:val="1097590F"/>
    <w:rsid w:val="109776BD"/>
    <w:rsid w:val="109852EA"/>
    <w:rsid w:val="109A0CCD"/>
    <w:rsid w:val="109C4CD3"/>
    <w:rsid w:val="10A047C3"/>
    <w:rsid w:val="10A118FD"/>
    <w:rsid w:val="10A143C7"/>
    <w:rsid w:val="10A32505"/>
    <w:rsid w:val="10A50CAE"/>
    <w:rsid w:val="10AC13BA"/>
    <w:rsid w:val="10AD196B"/>
    <w:rsid w:val="10B14AEE"/>
    <w:rsid w:val="10B14C22"/>
    <w:rsid w:val="10B63710"/>
    <w:rsid w:val="10B65D95"/>
    <w:rsid w:val="10B95885"/>
    <w:rsid w:val="10BC7123"/>
    <w:rsid w:val="10BD35C7"/>
    <w:rsid w:val="10BE4C49"/>
    <w:rsid w:val="10C20BDE"/>
    <w:rsid w:val="10C36704"/>
    <w:rsid w:val="10C75DB2"/>
    <w:rsid w:val="10C77FE7"/>
    <w:rsid w:val="10CD30DE"/>
    <w:rsid w:val="10D53900"/>
    <w:rsid w:val="10D63C69"/>
    <w:rsid w:val="10DC18BD"/>
    <w:rsid w:val="10DD5B5F"/>
    <w:rsid w:val="10DF2AE5"/>
    <w:rsid w:val="10E02E12"/>
    <w:rsid w:val="10E723F2"/>
    <w:rsid w:val="10E818A1"/>
    <w:rsid w:val="10EC5C5A"/>
    <w:rsid w:val="10F10820"/>
    <w:rsid w:val="10F171B9"/>
    <w:rsid w:val="10F25D7A"/>
    <w:rsid w:val="10F60887"/>
    <w:rsid w:val="10F66AD9"/>
    <w:rsid w:val="10F82343"/>
    <w:rsid w:val="10F93ED3"/>
    <w:rsid w:val="10FB40F0"/>
    <w:rsid w:val="10FD7E68"/>
    <w:rsid w:val="10FE14EA"/>
    <w:rsid w:val="10FE7AA1"/>
    <w:rsid w:val="110247D3"/>
    <w:rsid w:val="1102538C"/>
    <w:rsid w:val="11050ACA"/>
    <w:rsid w:val="1109680C"/>
    <w:rsid w:val="110A77C2"/>
    <w:rsid w:val="110F7B9B"/>
    <w:rsid w:val="11143D76"/>
    <w:rsid w:val="11162CD7"/>
    <w:rsid w:val="11171090"/>
    <w:rsid w:val="11182DC8"/>
    <w:rsid w:val="111B02EE"/>
    <w:rsid w:val="111C2F7A"/>
    <w:rsid w:val="1122167C"/>
    <w:rsid w:val="11234E2D"/>
    <w:rsid w:val="11254CC9"/>
    <w:rsid w:val="112B7416"/>
    <w:rsid w:val="112C7AF5"/>
    <w:rsid w:val="1131366D"/>
    <w:rsid w:val="11382C4E"/>
    <w:rsid w:val="113B44EC"/>
    <w:rsid w:val="113B6A1A"/>
    <w:rsid w:val="11401B02"/>
    <w:rsid w:val="11427629"/>
    <w:rsid w:val="11457119"/>
    <w:rsid w:val="114F14E4"/>
    <w:rsid w:val="11511F61"/>
    <w:rsid w:val="11512899"/>
    <w:rsid w:val="1153554D"/>
    <w:rsid w:val="11625F1D"/>
    <w:rsid w:val="11641C95"/>
    <w:rsid w:val="11651569"/>
    <w:rsid w:val="11665CA1"/>
    <w:rsid w:val="11687794"/>
    <w:rsid w:val="116C0AA4"/>
    <w:rsid w:val="116C6C61"/>
    <w:rsid w:val="116F23E8"/>
    <w:rsid w:val="11790ACA"/>
    <w:rsid w:val="117D384D"/>
    <w:rsid w:val="11800151"/>
    <w:rsid w:val="1182686E"/>
    <w:rsid w:val="11845235"/>
    <w:rsid w:val="118770D0"/>
    <w:rsid w:val="118A7ADB"/>
    <w:rsid w:val="118C4243"/>
    <w:rsid w:val="118F65E6"/>
    <w:rsid w:val="1191235E"/>
    <w:rsid w:val="1193257A"/>
    <w:rsid w:val="119341A2"/>
    <w:rsid w:val="119360D6"/>
    <w:rsid w:val="119A56B6"/>
    <w:rsid w:val="11A2456B"/>
    <w:rsid w:val="11A61B83"/>
    <w:rsid w:val="11A622AD"/>
    <w:rsid w:val="11AA3420"/>
    <w:rsid w:val="11AC0F46"/>
    <w:rsid w:val="11AE5779"/>
    <w:rsid w:val="11B541BA"/>
    <w:rsid w:val="11B5429E"/>
    <w:rsid w:val="11B80A1E"/>
    <w:rsid w:val="11BB562D"/>
    <w:rsid w:val="11BC387F"/>
    <w:rsid w:val="11BD2408"/>
    <w:rsid w:val="11BF511D"/>
    <w:rsid w:val="11C12C43"/>
    <w:rsid w:val="11C529F0"/>
    <w:rsid w:val="11C93442"/>
    <w:rsid w:val="11C95F9C"/>
    <w:rsid w:val="11CE3FD3"/>
    <w:rsid w:val="11D0732A"/>
    <w:rsid w:val="11D471CF"/>
    <w:rsid w:val="11DA1F57"/>
    <w:rsid w:val="11DA3D05"/>
    <w:rsid w:val="11DD1A47"/>
    <w:rsid w:val="11E22008"/>
    <w:rsid w:val="11E46932"/>
    <w:rsid w:val="11E55436"/>
    <w:rsid w:val="11E626AA"/>
    <w:rsid w:val="11EB7CC0"/>
    <w:rsid w:val="11EC6E3B"/>
    <w:rsid w:val="11F44DD4"/>
    <w:rsid w:val="11F96D38"/>
    <w:rsid w:val="11FD6FEC"/>
    <w:rsid w:val="11FF099D"/>
    <w:rsid w:val="12046915"/>
    <w:rsid w:val="12057475"/>
    <w:rsid w:val="120C7C36"/>
    <w:rsid w:val="120E39AF"/>
    <w:rsid w:val="120E7E53"/>
    <w:rsid w:val="12135D6D"/>
    <w:rsid w:val="12137217"/>
    <w:rsid w:val="12154213"/>
    <w:rsid w:val="1215457F"/>
    <w:rsid w:val="121645D8"/>
    <w:rsid w:val="12180EE5"/>
    <w:rsid w:val="121865DB"/>
    <w:rsid w:val="121C431D"/>
    <w:rsid w:val="12220029"/>
    <w:rsid w:val="12227E1C"/>
    <w:rsid w:val="122356AC"/>
    <w:rsid w:val="12241424"/>
    <w:rsid w:val="1226519C"/>
    <w:rsid w:val="1226647F"/>
    <w:rsid w:val="12303925"/>
    <w:rsid w:val="12307DC9"/>
    <w:rsid w:val="1234071A"/>
    <w:rsid w:val="12342B72"/>
    <w:rsid w:val="123478B9"/>
    <w:rsid w:val="1237541F"/>
    <w:rsid w:val="12380A2C"/>
    <w:rsid w:val="12411FD6"/>
    <w:rsid w:val="12432C07"/>
    <w:rsid w:val="124473D0"/>
    <w:rsid w:val="124A6DC8"/>
    <w:rsid w:val="124B69B1"/>
    <w:rsid w:val="12554B80"/>
    <w:rsid w:val="12582E7C"/>
    <w:rsid w:val="125A186E"/>
    <w:rsid w:val="125C6E10"/>
    <w:rsid w:val="125F3A56"/>
    <w:rsid w:val="12615F10"/>
    <w:rsid w:val="12641821"/>
    <w:rsid w:val="12643E93"/>
    <w:rsid w:val="126857B5"/>
    <w:rsid w:val="12696BAB"/>
    <w:rsid w:val="126D4B79"/>
    <w:rsid w:val="126E19A9"/>
    <w:rsid w:val="126F6B43"/>
    <w:rsid w:val="1272218F"/>
    <w:rsid w:val="12753A2E"/>
    <w:rsid w:val="12771554"/>
    <w:rsid w:val="127759F8"/>
    <w:rsid w:val="127777A6"/>
    <w:rsid w:val="127B4651"/>
    <w:rsid w:val="127C4DBC"/>
    <w:rsid w:val="127E6D86"/>
    <w:rsid w:val="1283439D"/>
    <w:rsid w:val="12881C08"/>
    <w:rsid w:val="1288550F"/>
    <w:rsid w:val="128B14A3"/>
    <w:rsid w:val="129739A4"/>
    <w:rsid w:val="1298482E"/>
    <w:rsid w:val="129A2ECD"/>
    <w:rsid w:val="129A3494"/>
    <w:rsid w:val="12A86FD9"/>
    <w:rsid w:val="12A90717"/>
    <w:rsid w:val="12AA7B7B"/>
    <w:rsid w:val="12B329C3"/>
    <w:rsid w:val="12B409FA"/>
    <w:rsid w:val="12BA662B"/>
    <w:rsid w:val="12C56763"/>
    <w:rsid w:val="12CA5B28"/>
    <w:rsid w:val="12D544CC"/>
    <w:rsid w:val="12D964D9"/>
    <w:rsid w:val="12E52961"/>
    <w:rsid w:val="12E65211"/>
    <w:rsid w:val="12E86732"/>
    <w:rsid w:val="12EC6B21"/>
    <w:rsid w:val="12F10346"/>
    <w:rsid w:val="12F2507E"/>
    <w:rsid w:val="12F45AF5"/>
    <w:rsid w:val="12F62F06"/>
    <w:rsid w:val="12F9465F"/>
    <w:rsid w:val="12FB3F33"/>
    <w:rsid w:val="12FB6C31"/>
    <w:rsid w:val="13012132"/>
    <w:rsid w:val="130645D2"/>
    <w:rsid w:val="13070B2A"/>
    <w:rsid w:val="13082AF4"/>
    <w:rsid w:val="130A1AF0"/>
    <w:rsid w:val="130B12A4"/>
    <w:rsid w:val="130B7EEE"/>
    <w:rsid w:val="130D010A"/>
    <w:rsid w:val="13111911"/>
    <w:rsid w:val="13145B25"/>
    <w:rsid w:val="13151109"/>
    <w:rsid w:val="1319260B"/>
    <w:rsid w:val="131E2317"/>
    <w:rsid w:val="132A0434"/>
    <w:rsid w:val="132C233E"/>
    <w:rsid w:val="132E2E40"/>
    <w:rsid w:val="1331204B"/>
    <w:rsid w:val="133135DB"/>
    <w:rsid w:val="133236CD"/>
    <w:rsid w:val="133832E8"/>
    <w:rsid w:val="13392190"/>
    <w:rsid w:val="133A6A8F"/>
    <w:rsid w:val="133E6515"/>
    <w:rsid w:val="13444297"/>
    <w:rsid w:val="13446F06"/>
    <w:rsid w:val="1346254F"/>
    <w:rsid w:val="13474DA3"/>
    <w:rsid w:val="13482EF0"/>
    <w:rsid w:val="134E074F"/>
    <w:rsid w:val="1351449B"/>
    <w:rsid w:val="13517FF7"/>
    <w:rsid w:val="135676BD"/>
    <w:rsid w:val="135950FD"/>
    <w:rsid w:val="135F19E2"/>
    <w:rsid w:val="13662116"/>
    <w:rsid w:val="13670789"/>
    <w:rsid w:val="136E1C65"/>
    <w:rsid w:val="1370280E"/>
    <w:rsid w:val="13714672"/>
    <w:rsid w:val="13786781"/>
    <w:rsid w:val="137E6912"/>
    <w:rsid w:val="137F2DB6"/>
    <w:rsid w:val="13806921"/>
    <w:rsid w:val="13874E0C"/>
    <w:rsid w:val="138A40EE"/>
    <w:rsid w:val="138C2C9D"/>
    <w:rsid w:val="138E4DA7"/>
    <w:rsid w:val="13924778"/>
    <w:rsid w:val="139323BD"/>
    <w:rsid w:val="13951726"/>
    <w:rsid w:val="1399374C"/>
    <w:rsid w:val="139D0ED0"/>
    <w:rsid w:val="139D4FEA"/>
    <w:rsid w:val="139D7F0F"/>
    <w:rsid w:val="139F5206"/>
    <w:rsid w:val="13A22598"/>
    <w:rsid w:val="13A9398F"/>
    <w:rsid w:val="13AB3BAB"/>
    <w:rsid w:val="13AD3F51"/>
    <w:rsid w:val="13AD6463"/>
    <w:rsid w:val="13AF3EEB"/>
    <w:rsid w:val="13BA0DB6"/>
    <w:rsid w:val="13BB36C2"/>
    <w:rsid w:val="13BF31B2"/>
    <w:rsid w:val="13C609E5"/>
    <w:rsid w:val="13CF3260"/>
    <w:rsid w:val="13D331F7"/>
    <w:rsid w:val="13D72FEA"/>
    <w:rsid w:val="13D84274"/>
    <w:rsid w:val="13DD7ADC"/>
    <w:rsid w:val="13E250F3"/>
    <w:rsid w:val="13E470BD"/>
    <w:rsid w:val="13E72709"/>
    <w:rsid w:val="13EC5F71"/>
    <w:rsid w:val="13EE372C"/>
    <w:rsid w:val="13F015BE"/>
    <w:rsid w:val="14004E57"/>
    <w:rsid w:val="140212F1"/>
    <w:rsid w:val="14071F8B"/>
    <w:rsid w:val="14074B59"/>
    <w:rsid w:val="14076907"/>
    <w:rsid w:val="1408243B"/>
    <w:rsid w:val="14096B23"/>
    <w:rsid w:val="140B1CD7"/>
    <w:rsid w:val="1410477D"/>
    <w:rsid w:val="141125DE"/>
    <w:rsid w:val="141334FE"/>
    <w:rsid w:val="14140A00"/>
    <w:rsid w:val="14150C68"/>
    <w:rsid w:val="141554C8"/>
    <w:rsid w:val="14171240"/>
    <w:rsid w:val="14184FB8"/>
    <w:rsid w:val="141A2ADF"/>
    <w:rsid w:val="141C258C"/>
    <w:rsid w:val="141C6857"/>
    <w:rsid w:val="14216C3A"/>
    <w:rsid w:val="142474B9"/>
    <w:rsid w:val="142868B8"/>
    <w:rsid w:val="14294AD0"/>
    <w:rsid w:val="142B4CEC"/>
    <w:rsid w:val="142C0494"/>
    <w:rsid w:val="142D3110"/>
    <w:rsid w:val="142F7A55"/>
    <w:rsid w:val="14333BA0"/>
    <w:rsid w:val="1433594E"/>
    <w:rsid w:val="143771ED"/>
    <w:rsid w:val="14396509"/>
    <w:rsid w:val="143A0A8B"/>
    <w:rsid w:val="14451738"/>
    <w:rsid w:val="144813FA"/>
    <w:rsid w:val="144A5D9E"/>
    <w:rsid w:val="144D4C62"/>
    <w:rsid w:val="144D6397"/>
    <w:rsid w:val="14537D9F"/>
    <w:rsid w:val="14557541"/>
    <w:rsid w:val="145C0F6E"/>
    <w:rsid w:val="145D29CB"/>
    <w:rsid w:val="145E6E6F"/>
    <w:rsid w:val="145F04F1"/>
    <w:rsid w:val="14641FAC"/>
    <w:rsid w:val="14643D5A"/>
    <w:rsid w:val="14665D24"/>
    <w:rsid w:val="146850FA"/>
    <w:rsid w:val="14693FA2"/>
    <w:rsid w:val="147072F3"/>
    <w:rsid w:val="147553B3"/>
    <w:rsid w:val="14787805"/>
    <w:rsid w:val="14794DDB"/>
    <w:rsid w:val="147A0B01"/>
    <w:rsid w:val="147A357D"/>
    <w:rsid w:val="147C5547"/>
    <w:rsid w:val="147F2942"/>
    <w:rsid w:val="148431E7"/>
    <w:rsid w:val="14847F58"/>
    <w:rsid w:val="14860174"/>
    <w:rsid w:val="14861F22"/>
    <w:rsid w:val="14863420"/>
    <w:rsid w:val="148B7538"/>
    <w:rsid w:val="148C3C1A"/>
    <w:rsid w:val="148D1784"/>
    <w:rsid w:val="14902DA1"/>
    <w:rsid w:val="14935A4E"/>
    <w:rsid w:val="1495152F"/>
    <w:rsid w:val="14956609"/>
    <w:rsid w:val="14983A03"/>
    <w:rsid w:val="149908D3"/>
    <w:rsid w:val="14991C55"/>
    <w:rsid w:val="14A02886"/>
    <w:rsid w:val="14A04AA9"/>
    <w:rsid w:val="14AA20B4"/>
    <w:rsid w:val="14AE1593"/>
    <w:rsid w:val="14B00D4D"/>
    <w:rsid w:val="14B1001D"/>
    <w:rsid w:val="14B20F69"/>
    <w:rsid w:val="14B367D3"/>
    <w:rsid w:val="14B4083D"/>
    <w:rsid w:val="14BA7E1E"/>
    <w:rsid w:val="14C111AC"/>
    <w:rsid w:val="14C33176"/>
    <w:rsid w:val="14C95F28"/>
    <w:rsid w:val="14CB202B"/>
    <w:rsid w:val="14CB44CC"/>
    <w:rsid w:val="14D733A0"/>
    <w:rsid w:val="14D94748"/>
    <w:rsid w:val="14DC1B42"/>
    <w:rsid w:val="14DD2C3C"/>
    <w:rsid w:val="14E153AA"/>
    <w:rsid w:val="14E46C49"/>
    <w:rsid w:val="14E632DA"/>
    <w:rsid w:val="14E74EAF"/>
    <w:rsid w:val="14E82BDD"/>
    <w:rsid w:val="14E909DB"/>
    <w:rsid w:val="14EF3F6B"/>
    <w:rsid w:val="14F34490"/>
    <w:rsid w:val="14F72E20"/>
    <w:rsid w:val="14FA3B77"/>
    <w:rsid w:val="14FA3EE2"/>
    <w:rsid w:val="14FC3F92"/>
    <w:rsid w:val="150115A9"/>
    <w:rsid w:val="15062716"/>
    <w:rsid w:val="150712B5"/>
    <w:rsid w:val="15080B89"/>
    <w:rsid w:val="15086354"/>
    <w:rsid w:val="150A66AF"/>
    <w:rsid w:val="15107A3E"/>
    <w:rsid w:val="151237B6"/>
    <w:rsid w:val="15153797"/>
    <w:rsid w:val="15155054"/>
    <w:rsid w:val="151632A6"/>
    <w:rsid w:val="15187A19"/>
    <w:rsid w:val="151B6B0E"/>
    <w:rsid w:val="15205468"/>
    <w:rsid w:val="152118C2"/>
    <w:rsid w:val="15237771"/>
    <w:rsid w:val="1525627F"/>
    <w:rsid w:val="15286142"/>
    <w:rsid w:val="1534372C"/>
    <w:rsid w:val="153616E3"/>
    <w:rsid w:val="15367B08"/>
    <w:rsid w:val="1537146E"/>
    <w:rsid w:val="15372F18"/>
    <w:rsid w:val="154020D1"/>
    <w:rsid w:val="15406575"/>
    <w:rsid w:val="154A2F50"/>
    <w:rsid w:val="154B2707"/>
    <w:rsid w:val="154E1A04"/>
    <w:rsid w:val="154E6766"/>
    <w:rsid w:val="154F0566"/>
    <w:rsid w:val="154F4A0A"/>
    <w:rsid w:val="15510782"/>
    <w:rsid w:val="155142DE"/>
    <w:rsid w:val="15516BAB"/>
    <w:rsid w:val="155344FA"/>
    <w:rsid w:val="15603C4A"/>
    <w:rsid w:val="15604521"/>
    <w:rsid w:val="156127C7"/>
    <w:rsid w:val="1565422D"/>
    <w:rsid w:val="15681628"/>
    <w:rsid w:val="15696D39"/>
    <w:rsid w:val="156A504C"/>
    <w:rsid w:val="156F29B6"/>
    <w:rsid w:val="15703383"/>
    <w:rsid w:val="15712BD2"/>
    <w:rsid w:val="157B37CD"/>
    <w:rsid w:val="157D3B2A"/>
    <w:rsid w:val="15802E15"/>
    <w:rsid w:val="158C2113"/>
    <w:rsid w:val="158D1A80"/>
    <w:rsid w:val="15961DF8"/>
    <w:rsid w:val="159643E7"/>
    <w:rsid w:val="159C41BD"/>
    <w:rsid w:val="159D39C7"/>
    <w:rsid w:val="15A3568B"/>
    <w:rsid w:val="15A543F6"/>
    <w:rsid w:val="15A611F9"/>
    <w:rsid w:val="15A72150"/>
    <w:rsid w:val="15A9236C"/>
    <w:rsid w:val="15AA7A35"/>
    <w:rsid w:val="15B13177"/>
    <w:rsid w:val="15B1441F"/>
    <w:rsid w:val="15B4486D"/>
    <w:rsid w:val="15B6280D"/>
    <w:rsid w:val="15B66837"/>
    <w:rsid w:val="15C2342E"/>
    <w:rsid w:val="15C303A3"/>
    <w:rsid w:val="15C34AB0"/>
    <w:rsid w:val="15C56A7A"/>
    <w:rsid w:val="15CE2D0A"/>
    <w:rsid w:val="15CF6BB0"/>
    <w:rsid w:val="15D1541F"/>
    <w:rsid w:val="15D466AF"/>
    <w:rsid w:val="15D46CBD"/>
    <w:rsid w:val="15D649A0"/>
    <w:rsid w:val="15D849FF"/>
    <w:rsid w:val="15DB629E"/>
    <w:rsid w:val="15DD5CFC"/>
    <w:rsid w:val="15E21563"/>
    <w:rsid w:val="15E300E0"/>
    <w:rsid w:val="15E3044B"/>
    <w:rsid w:val="15E62266"/>
    <w:rsid w:val="15E96C0C"/>
    <w:rsid w:val="15EC04AB"/>
    <w:rsid w:val="15EE4223"/>
    <w:rsid w:val="15EF58A5"/>
    <w:rsid w:val="15F1161D"/>
    <w:rsid w:val="15F5735F"/>
    <w:rsid w:val="15F61B2D"/>
    <w:rsid w:val="15F80BFE"/>
    <w:rsid w:val="15FD2AA2"/>
    <w:rsid w:val="15FD4466"/>
    <w:rsid w:val="160349AB"/>
    <w:rsid w:val="1606331B"/>
    <w:rsid w:val="16087E1D"/>
    <w:rsid w:val="160C7507"/>
    <w:rsid w:val="160F4043"/>
    <w:rsid w:val="161C2B3E"/>
    <w:rsid w:val="161E0D86"/>
    <w:rsid w:val="1626576B"/>
    <w:rsid w:val="16290DB7"/>
    <w:rsid w:val="162B56CB"/>
    <w:rsid w:val="16355BC9"/>
    <w:rsid w:val="163836F0"/>
    <w:rsid w:val="163B7F38"/>
    <w:rsid w:val="163C4DDE"/>
    <w:rsid w:val="163E14A2"/>
    <w:rsid w:val="163F4A7E"/>
    <w:rsid w:val="163F682C"/>
    <w:rsid w:val="164B6F7F"/>
    <w:rsid w:val="16504596"/>
    <w:rsid w:val="165247B2"/>
    <w:rsid w:val="1654783B"/>
    <w:rsid w:val="165916C2"/>
    <w:rsid w:val="165A3666"/>
    <w:rsid w:val="165B5A0B"/>
    <w:rsid w:val="165C118C"/>
    <w:rsid w:val="166401E6"/>
    <w:rsid w:val="1666025D"/>
    <w:rsid w:val="166827DF"/>
    <w:rsid w:val="1670755D"/>
    <w:rsid w:val="16721D4D"/>
    <w:rsid w:val="1675655A"/>
    <w:rsid w:val="1678091D"/>
    <w:rsid w:val="16783AEC"/>
    <w:rsid w:val="16791CF8"/>
    <w:rsid w:val="167C538B"/>
    <w:rsid w:val="167F131F"/>
    <w:rsid w:val="16810BF3"/>
    <w:rsid w:val="16816E45"/>
    <w:rsid w:val="16897AA8"/>
    <w:rsid w:val="168A6775"/>
    <w:rsid w:val="168D3A3C"/>
    <w:rsid w:val="168E50BE"/>
    <w:rsid w:val="16953304"/>
    <w:rsid w:val="169B2189"/>
    <w:rsid w:val="169B2A50"/>
    <w:rsid w:val="16A448E1"/>
    <w:rsid w:val="16A47A48"/>
    <w:rsid w:val="16A62408"/>
    <w:rsid w:val="16A7036B"/>
    <w:rsid w:val="16A86180"/>
    <w:rsid w:val="16AD19E8"/>
    <w:rsid w:val="16AD7ED1"/>
    <w:rsid w:val="16AE1F94"/>
    <w:rsid w:val="16B0772A"/>
    <w:rsid w:val="16B75B67"/>
    <w:rsid w:val="16BC4771"/>
    <w:rsid w:val="16BD20F3"/>
    <w:rsid w:val="16C15493"/>
    <w:rsid w:val="16C569DD"/>
    <w:rsid w:val="16C84A74"/>
    <w:rsid w:val="16D52CED"/>
    <w:rsid w:val="16D72F09"/>
    <w:rsid w:val="16DC051F"/>
    <w:rsid w:val="16DC22CD"/>
    <w:rsid w:val="16DC6599"/>
    <w:rsid w:val="16DD125A"/>
    <w:rsid w:val="16DE6045"/>
    <w:rsid w:val="16EC4928"/>
    <w:rsid w:val="16F13FCB"/>
    <w:rsid w:val="16F45869"/>
    <w:rsid w:val="16F87F55"/>
    <w:rsid w:val="16F969DB"/>
    <w:rsid w:val="1701104A"/>
    <w:rsid w:val="17011D34"/>
    <w:rsid w:val="17011ED8"/>
    <w:rsid w:val="17013AE2"/>
    <w:rsid w:val="17026ACC"/>
    <w:rsid w:val="17045380"/>
    <w:rsid w:val="170D2487"/>
    <w:rsid w:val="171001C9"/>
    <w:rsid w:val="17103863"/>
    <w:rsid w:val="17120B56"/>
    <w:rsid w:val="17125CEF"/>
    <w:rsid w:val="17127A9D"/>
    <w:rsid w:val="17142BD0"/>
    <w:rsid w:val="17163A31"/>
    <w:rsid w:val="17173305"/>
    <w:rsid w:val="1720040C"/>
    <w:rsid w:val="17242328"/>
    <w:rsid w:val="17252655"/>
    <w:rsid w:val="17254D7D"/>
    <w:rsid w:val="172A294C"/>
    <w:rsid w:val="172B0B5F"/>
    <w:rsid w:val="172D0D7B"/>
    <w:rsid w:val="173405BE"/>
    <w:rsid w:val="17347687"/>
    <w:rsid w:val="17367C2F"/>
    <w:rsid w:val="17385080"/>
    <w:rsid w:val="173A55C7"/>
    <w:rsid w:val="1740460A"/>
    <w:rsid w:val="17417E0B"/>
    <w:rsid w:val="174D4F79"/>
    <w:rsid w:val="17516817"/>
    <w:rsid w:val="17530F82"/>
    <w:rsid w:val="17546308"/>
    <w:rsid w:val="17550AD5"/>
    <w:rsid w:val="17553AE0"/>
    <w:rsid w:val="17577BA6"/>
    <w:rsid w:val="175932C8"/>
    <w:rsid w:val="17596F43"/>
    <w:rsid w:val="17602EFE"/>
    <w:rsid w:val="17606A5A"/>
    <w:rsid w:val="17607069"/>
    <w:rsid w:val="176076A5"/>
    <w:rsid w:val="17650169"/>
    <w:rsid w:val="17681DB3"/>
    <w:rsid w:val="176A6FE5"/>
    <w:rsid w:val="176A78D9"/>
    <w:rsid w:val="17701D14"/>
    <w:rsid w:val="17735226"/>
    <w:rsid w:val="17740758"/>
    <w:rsid w:val="17760F8C"/>
    <w:rsid w:val="177B4364"/>
    <w:rsid w:val="177C13BA"/>
    <w:rsid w:val="177E548D"/>
    <w:rsid w:val="178070FD"/>
    <w:rsid w:val="17822E75"/>
    <w:rsid w:val="17896C0C"/>
    <w:rsid w:val="178F10EE"/>
    <w:rsid w:val="17907E5E"/>
    <w:rsid w:val="17930621"/>
    <w:rsid w:val="17944BDB"/>
    <w:rsid w:val="1796529C"/>
    <w:rsid w:val="179901BE"/>
    <w:rsid w:val="17996410"/>
    <w:rsid w:val="179B5CE4"/>
    <w:rsid w:val="179D1A5D"/>
    <w:rsid w:val="179E7583"/>
    <w:rsid w:val="17A1086E"/>
    <w:rsid w:val="17A27073"/>
    <w:rsid w:val="17A70B2D"/>
    <w:rsid w:val="17A7505C"/>
    <w:rsid w:val="17A821AF"/>
    <w:rsid w:val="17B943BD"/>
    <w:rsid w:val="17BD5C5B"/>
    <w:rsid w:val="17BE0BF0"/>
    <w:rsid w:val="17C3207F"/>
    <w:rsid w:val="17CE0CD4"/>
    <w:rsid w:val="17D631C0"/>
    <w:rsid w:val="17D905BB"/>
    <w:rsid w:val="17DF7A1A"/>
    <w:rsid w:val="17E53404"/>
    <w:rsid w:val="17E63EC8"/>
    <w:rsid w:val="17EA27C8"/>
    <w:rsid w:val="17EF1B5C"/>
    <w:rsid w:val="17F17FFA"/>
    <w:rsid w:val="17FB7198"/>
    <w:rsid w:val="17FF6273"/>
    <w:rsid w:val="18010269"/>
    <w:rsid w:val="180169FF"/>
    <w:rsid w:val="18055854"/>
    <w:rsid w:val="18095344"/>
    <w:rsid w:val="180970F2"/>
    <w:rsid w:val="180B438F"/>
    <w:rsid w:val="180C68D7"/>
    <w:rsid w:val="180D7409"/>
    <w:rsid w:val="180F3786"/>
    <w:rsid w:val="181056DF"/>
    <w:rsid w:val="18106714"/>
    <w:rsid w:val="1811244B"/>
    <w:rsid w:val="181141F9"/>
    <w:rsid w:val="18142EE1"/>
    <w:rsid w:val="1815603A"/>
    <w:rsid w:val="181A539A"/>
    <w:rsid w:val="181B2E1C"/>
    <w:rsid w:val="181D2B9D"/>
    <w:rsid w:val="181E50BB"/>
    <w:rsid w:val="181F6915"/>
    <w:rsid w:val="18216F24"/>
    <w:rsid w:val="18234518"/>
    <w:rsid w:val="182A36DF"/>
    <w:rsid w:val="182B350C"/>
    <w:rsid w:val="182B589C"/>
    <w:rsid w:val="183103F7"/>
    <w:rsid w:val="18324341"/>
    <w:rsid w:val="18340143"/>
    <w:rsid w:val="18363C5F"/>
    <w:rsid w:val="183775BA"/>
    <w:rsid w:val="18381785"/>
    <w:rsid w:val="18383533"/>
    <w:rsid w:val="183923CC"/>
    <w:rsid w:val="183A09B0"/>
    <w:rsid w:val="18414D58"/>
    <w:rsid w:val="18455C50"/>
    <w:rsid w:val="18491BE4"/>
    <w:rsid w:val="18534811"/>
    <w:rsid w:val="185651DF"/>
    <w:rsid w:val="18592901"/>
    <w:rsid w:val="185D11EC"/>
    <w:rsid w:val="185F4F64"/>
    <w:rsid w:val="18607150"/>
    <w:rsid w:val="18615571"/>
    <w:rsid w:val="18626802"/>
    <w:rsid w:val="186500A0"/>
    <w:rsid w:val="18695DC6"/>
    <w:rsid w:val="186A3229"/>
    <w:rsid w:val="186D58D3"/>
    <w:rsid w:val="186E51A7"/>
    <w:rsid w:val="187325D8"/>
    <w:rsid w:val="1875452B"/>
    <w:rsid w:val="18770228"/>
    <w:rsid w:val="187C5B16"/>
    <w:rsid w:val="18836B72"/>
    <w:rsid w:val="1885001A"/>
    <w:rsid w:val="18890233"/>
    <w:rsid w:val="18891FE1"/>
    <w:rsid w:val="18894F20"/>
    <w:rsid w:val="188D32BC"/>
    <w:rsid w:val="18925339"/>
    <w:rsid w:val="18925EAF"/>
    <w:rsid w:val="189A5F9C"/>
    <w:rsid w:val="189F624C"/>
    <w:rsid w:val="18A23810"/>
    <w:rsid w:val="18A76679"/>
    <w:rsid w:val="18AD3F21"/>
    <w:rsid w:val="18AF5EEB"/>
    <w:rsid w:val="18B057C0"/>
    <w:rsid w:val="18B21538"/>
    <w:rsid w:val="18B51028"/>
    <w:rsid w:val="18B65219"/>
    <w:rsid w:val="18B74823"/>
    <w:rsid w:val="18BC2B7E"/>
    <w:rsid w:val="18BC4164"/>
    <w:rsid w:val="18BC6B72"/>
    <w:rsid w:val="18C13529"/>
    <w:rsid w:val="18C35E8F"/>
    <w:rsid w:val="18C80D5B"/>
    <w:rsid w:val="18CB084B"/>
    <w:rsid w:val="18D07C10"/>
    <w:rsid w:val="18D314AE"/>
    <w:rsid w:val="18D47700"/>
    <w:rsid w:val="18D53478"/>
    <w:rsid w:val="18D55226"/>
    <w:rsid w:val="18D72D4C"/>
    <w:rsid w:val="18DF34D5"/>
    <w:rsid w:val="18E45469"/>
    <w:rsid w:val="18E65685"/>
    <w:rsid w:val="18E762A1"/>
    <w:rsid w:val="18ED431E"/>
    <w:rsid w:val="18ED732C"/>
    <w:rsid w:val="18F0644B"/>
    <w:rsid w:val="18F23EAD"/>
    <w:rsid w:val="18F41B50"/>
    <w:rsid w:val="18F54C3F"/>
    <w:rsid w:val="18F953B8"/>
    <w:rsid w:val="18FA6A3B"/>
    <w:rsid w:val="1903037F"/>
    <w:rsid w:val="19037E5E"/>
    <w:rsid w:val="190434D7"/>
    <w:rsid w:val="19052A19"/>
    <w:rsid w:val="19094ED0"/>
    <w:rsid w:val="190F33D3"/>
    <w:rsid w:val="190F6432"/>
    <w:rsid w:val="191044B0"/>
    <w:rsid w:val="191127F1"/>
    <w:rsid w:val="19120228"/>
    <w:rsid w:val="1913483F"/>
    <w:rsid w:val="191F4337"/>
    <w:rsid w:val="19202945"/>
    <w:rsid w:val="192455D8"/>
    <w:rsid w:val="19263CD4"/>
    <w:rsid w:val="19297320"/>
    <w:rsid w:val="192A5572"/>
    <w:rsid w:val="192E7E81"/>
    <w:rsid w:val="192F4830"/>
    <w:rsid w:val="1930620A"/>
    <w:rsid w:val="193261D5"/>
    <w:rsid w:val="193463F1"/>
    <w:rsid w:val="19394190"/>
    <w:rsid w:val="193E2DCB"/>
    <w:rsid w:val="194505FE"/>
    <w:rsid w:val="19450901"/>
    <w:rsid w:val="19461C80"/>
    <w:rsid w:val="194B4A92"/>
    <w:rsid w:val="194D3FA9"/>
    <w:rsid w:val="194F4FD8"/>
    <w:rsid w:val="19540841"/>
    <w:rsid w:val="19560D8E"/>
    <w:rsid w:val="195645B9"/>
    <w:rsid w:val="19572765"/>
    <w:rsid w:val="19580697"/>
    <w:rsid w:val="195A572B"/>
    <w:rsid w:val="196548DC"/>
    <w:rsid w:val="19667E4D"/>
    <w:rsid w:val="19677412"/>
    <w:rsid w:val="19692B2C"/>
    <w:rsid w:val="19706CFD"/>
    <w:rsid w:val="19764CEA"/>
    <w:rsid w:val="197759B0"/>
    <w:rsid w:val="1980048D"/>
    <w:rsid w:val="19831126"/>
    <w:rsid w:val="19853E1D"/>
    <w:rsid w:val="19864975"/>
    <w:rsid w:val="198A6011"/>
    <w:rsid w:val="198B0CFD"/>
    <w:rsid w:val="19940C3D"/>
    <w:rsid w:val="19946F79"/>
    <w:rsid w:val="199D1016"/>
    <w:rsid w:val="19A97A12"/>
    <w:rsid w:val="19AC41D9"/>
    <w:rsid w:val="19AE3232"/>
    <w:rsid w:val="19AF3CC9"/>
    <w:rsid w:val="19AF5A77"/>
    <w:rsid w:val="19B47531"/>
    <w:rsid w:val="19B72B7E"/>
    <w:rsid w:val="19BC7892"/>
    <w:rsid w:val="19BE443D"/>
    <w:rsid w:val="19C1019B"/>
    <w:rsid w:val="19C71013"/>
    <w:rsid w:val="19C76EF5"/>
    <w:rsid w:val="19CE33AA"/>
    <w:rsid w:val="19CF7EC7"/>
    <w:rsid w:val="19D0048B"/>
    <w:rsid w:val="19D85778"/>
    <w:rsid w:val="19DE1D9F"/>
    <w:rsid w:val="19E535E5"/>
    <w:rsid w:val="19EB5B60"/>
    <w:rsid w:val="19ED659F"/>
    <w:rsid w:val="19EE47F1"/>
    <w:rsid w:val="19F45BB5"/>
    <w:rsid w:val="19F8672A"/>
    <w:rsid w:val="19F90548"/>
    <w:rsid w:val="19FB7430"/>
    <w:rsid w:val="19FF69FF"/>
    <w:rsid w:val="1A02029D"/>
    <w:rsid w:val="1A07140F"/>
    <w:rsid w:val="1A0D279E"/>
    <w:rsid w:val="1A0E6C42"/>
    <w:rsid w:val="1A0F4768"/>
    <w:rsid w:val="1A147B32"/>
    <w:rsid w:val="1A156DF2"/>
    <w:rsid w:val="1A1B310D"/>
    <w:rsid w:val="1A1C66C0"/>
    <w:rsid w:val="1A1F5FD3"/>
    <w:rsid w:val="1A227F1E"/>
    <w:rsid w:val="1A265328"/>
    <w:rsid w:val="1A2975D8"/>
    <w:rsid w:val="1A2A3350"/>
    <w:rsid w:val="1A2B60A0"/>
    <w:rsid w:val="1A2B77F4"/>
    <w:rsid w:val="1A2E4BEE"/>
    <w:rsid w:val="1A312930"/>
    <w:rsid w:val="1A33173A"/>
    <w:rsid w:val="1A34698A"/>
    <w:rsid w:val="1A383CBF"/>
    <w:rsid w:val="1A3B28F2"/>
    <w:rsid w:val="1A3F113F"/>
    <w:rsid w:val="1A3F6DFB"/>
    <w:rsid w:val="1A400DC5"/>
    <w:rsid w:val="1A42393B"/>
    <w:rsid w:val="1A4332F5"/>
    <w:rsid w:val="1A491A28"/>
    <w:rsid w:val="1A494CA3"/>
    <w:rsid w:val="1A50741F"/>
    <w:rsid w:val="1A512FD2"/>
    <w:rsid w:val="1A524EDB"/>
    <w:rsid w:val="1A53165A"/>
    <w:rsid w:val="1A581623"/>
    <w:rsid w:val="1A5D54D3"/>
    <w:rsid w:val="1A607F44"/>
    <w:rsid w:val="1A66082C"/>
    <w:rsid w:val="1A661FA5"/>
    <w:rsid w:val="1A665FD6"/>
    <w:rsid w:val="1A681208"/>
    <w:rsid w:val="1A6B4094"/>
    <w:rsid w:val="1A6C5A74"/>
    <w:rsid w:val="1A6E5932"/>
    <w:rsid w:val="1A705206"/>
    <w:rsid w:val="1A725422"/>
    <w:rsid w:val="1A76530F"/>
    <w:rsid w:val="1A766595"/>
    <w:rsid w:val="1A7C63DF"/>
    <w:rsid w:val="1A7D4805"/>
    <w:rsid w:val="1A8A3CB6"/>
    <w:rsid w:val="1A8B4C12"/>
    <w:rsid w:val="1A8C5D7F"/>
    <w:rsid w:val="1A8D59CC"/>
    <w:rsid w:val="1A922B15"/>
    <w:rsid w:val="1A961EAB"/>
    <w:rsid w:val="1A984139"/>
    <w:rsid w:val="1A98650B"/>
    <w:rsid w:val="1A9D6217"/>
    <w:rsid w:val="1A9F4E3A"/>
    <w:rsid w:val="1A9F5AEC"/>
    <w:rsid w:val="1AA02767"/>
    <w:rsid w:val="1AA41354"/>
    <w:rsid w:val="1AA81F13"/>
    <w:rsid w:val="1AAD45DE"/>
    <w:rsid w:val="1AAD645B"/>
    <w:rsid w:val="1AAE5D2F"/>
    <w:rsid w:val="1AAF1E51"/>
    <w:rsid w:val="1AB1581F"/>
    <w:rsid w:val="1AB2457E"/>
    <w:rsid w:val="1AB36802"/>
    <w:rsid w:val="1AB428A4"/>
    <w:rsid w:val="1ABF1CEA"/>
    <w:rsid w:val="1AC45552"/>
    <w:rsid w:val="1AC47300"/>
    <w:rsid w:val="1AC80305"/>
    <w:rsid w:val="1AC919EE"/>
    <w:rsid w:val="1ACC4407"/>
    <w:rsid w:val="1ACD2659"/>
    <w:rsid w:val="1AD03EF7"/>
    <w:rsid w:val="1AD339E7"/>
    <w:rsid w:val="1AD42ECA"/>
    <w:rsid w:val="1AD722FD"/>
    <w:rsid w:val="1AD80FFE"/>
    <w:rsid w:val="1ADD6614"/>
    <w:rsid w:val="1ADF05DE"/>
    <w:rsid w:val="1AE4362D"/>
    <w:rsid w:val="1AE92047"/>
    <w:rsid w:val="1AEB6F83"/>
    <w:rsid w:val="1AF37BE5"/>
    <w:rsid w:val="1AF44089"/>
    <w:rsid w:val="1AF52CBF"/>
    <w:rsid w:val="1AFA24DA"/>
    <w:rsid w:val="1AFD0A64"/>
    <w:rsid w:val="1B03494E"/>
    <w:rsid w:val="1B043BA1"/>
    <w:rsid w:val="1B046F80"/>
    <w:rsid w:val="1B0E2C71"/>
    <w:rsid w:val="1B0E43FD"/>
    <w:rsid w:val="1B0F65A5"/>
    <w:rsid w:val="1B1D1D36"/>
    <w:rsid w:val="1B252495"/>
    <w:rsid w:val="1B254F07"/>
    <w:rsid w:val="1B280C01"/>
    <w:rsid w:val="1B293607"/>
    <w:rsid w:val="1B2B3823"/>
    <w:rsid w:val="1B2B4D71"/>
    <w:rsid w:val="1B2E6E70"/>
    <w:rsid w:val="1B302BE8"/>
    <w:rsid w:val="1B3267B5"/>
    <w:rsid w:val="1B397CEE"/>
    <w:rsid w:val="1B3C158C"/>
    <w:rsid w:val="1B3E4FE8"/>
    <w:rsid w:val="1B40161D"/>
    <w:rsid w:val="1B415F06"/>
    <w:rsid w:val="1B441859"/>
    <w:rsid w:val="1B4A0C0E"/>
    <w:rsid w:val="1B4B7A22"/>
    <w:rsid w:val="1B4C03AB"/>
    <w:rsid w:val="1B4D379A"/>
    <w:rsid w:val="1B50328A"/>
    <w:rsid w:val="1B612DA1"/>
    <w:rsid w:val="1B634D6B"/>
    <w:rsid w:val="1B6606B1"/>
    <w:rsid w:val="1B6A434C"/>
    <w:rsid w:val="1B6D5A1B"/>
    <w:rsid w:val="1B6F54BE"/>
    <w:rsid w:val="1B753A0B"/>
    <w:rsid w:val="1B75684C"/>
    <w:rsid w:val="1B7C7BDB"/>
    <w:rsid w:val="1B7E3953"/>
    <w:rsid w:val="1B827018"/>
    <w:rsid w:val="1B83398A"/>
    <w:rsid w:val="1B8462B0"/>
    <w:rsid w:val="1B852F33"/>
    <w:rsid w:val="1B860A5A"/>
    <w:rsid w:val="1B862808"/>
    <w:rsid w:val="1B8847D2"/>
    <w:rsid w:val="1B8A22F8"/>
    <w:rsid w:val="1B8F3DB2"/>
    <w:rsid w:val="1B903686"/>
    <w:rsid w:val="1B944F25"/>
    <w:rsid w:val="1B99253B"/>
    <w:rsid w:val="1B9C64CF"/>
    <w:rsid w:val="1B9D0748"/>
    <w:rsid w:val="1BA01B1B"/>
    <w:rsid w:val="1BA07D6D"/>
    <w:rsid w:val="1BA11882"/>
    <w:rsid w:val="1BA1245C"/>
    <w:rsid w:val="1BA710FC"/>
    <w:rsid w:val="1BAA64F0"/>
    <w:rsid w:val="1BAC7578"/>
    <w:rsid w:val="1BAF7FB0"/>
    <w:rsid w:val="1BB0490C"/>
    <w:rsid w:val="1BB455C7"/>
    <w:rsid w:val="1BBC447B"/>
    <w:rsid w:val="1BBD091F"/>
    <w:rsid w:val="1BBD7F7F"/>
    <w:rsid w:val="1BC16A50"/>
    <w:rsid w:val="1BC16CEB"/>
    <w:rsid w:val="1BC3580A"/>
    <w:rsid w:val="1BC51582"/>
    <w:rsid w:val="1BC9697F"/>
    <w:rsid w:val="1BCA4DEA"/>
    <w:rsid w:val="1BCA780A"/>
    <w:rsid w:val="1BCD3F87"/>
    <w:rsid w:val="1BCF41AF"/>
    <w:rsid w:val="1BCF57C6"/>
    <w:rsid w:val="1BD01CD5"/>
    <w:rsid w:val="1BD11C33"/>
    <w:rsid w:val="1BD143CB"/>
    <w:rsid w:val="1BD712B5"/>
    <w:rsid w:val="1BDB0DA5"/>
    <w:rsid w:val="1BE37C5A"/>
    <w:rsid w:val="1BE61C24"/>
    <w:rsid w:val="1BE83F4F"/>
    <w:rsid w:val="1BEA7AFB"/>
    <w:rsid w:val="1BEC432A"/>
    <w:rsid w:val="1BEC4D61"/>
    <w:rsid w:val="1BEE6D2B"/>
    <w:rsid w:val="1BF0063C"/>
    <w:rsid w:val="1BF43C15"/>
    <w:rsid w:val="1BF81957"/>
    <w:rsid w:val="1BF9122C"/>
    <w:rsid w:val="1BFE4A94"/>
    <w:rsid w:val="1BFE605B"/>
    <w:rsid w:val="1C057024"/>
    <w:rsid w:val="1C071B9A"/>
    <w:rsid w:val="1C0952BE"/>
    <w:rsid w:val="1C0A3439"/>
    <w:rsid w:val="1C0A3E2F"/>
    <w:rsid w:val="1C0F0A4F"/>
    <w:rsid w:val="1C112A19"/>
    <w:rsid w:val="1C1222ED"/>
    <w:rsid w:val="1C1B5646"/>
    <w:rsid w:val="1C204A0A"/>
    <w:rsid w:val="1C241CDB"/>
    <w:rsid w:val="1C275D99"/>
    <w:rsid w:val="1C286DBE"/>
    <w:rsid w:val="1C295FB5"/>
    <w:rsid w:val="1C2C1601"/>
    <w:rsid w:val="1C2D7127"/>
    <w:rsid w:val="1C2F4C4D"/>
    <w:rsid w:val="1C300C67"/>
    <w:rsid w:val="1C330509"/>
    <w:rsid w:val="1C340123"/>
    <w:rsid w:val="1C35049D"/>
    <w:rsid w:val="1C367F01"/>
    <w:rsid w:val="1C3B1844"/>
    <w:rsid w:val="1C3B30F7"/>
    <w:rsid w:val="1C3E1334"/>
    <w:rsid w:val="1C4701E9"/>
    <w:rsid w:val="1C487F7F"/>
    <w:rsid w:val="1C4A7CD9"/>
    <w:rsid w:val="1C533A26"/>
    <w:rsid w:val="1C547A87"/>
    <w:rsid w:val="1C556FA9"/>
    <w:rsid w:val="1C56042C"/>
    <w:rsid w:val="1C563AE8"/>
    <w:rsid w:val="1C5841A4"/>
    <w:rsid w:val="1C5B1EE6"/>
    <w:rsid w:val="1C5E7925"/>
    <w:rsid w:val="1C625023"/>
    <w:rsid w:val="1C626DD1"/>
    <w:rsid w:val="1C636EF6"/>
    <w:rsid w:val="1C662D65"/>
    <w:rsid w:val="1C672639"/>
    <w:rsid w:val="1C676ADD"/>
    <w:rsid w:val="1C700838"/>
    <w:rsid w:val="1C7106F0"/>
    <w:rsid w:val="1C776FFB"/>
    <w:rsid w:val="1C780737"/>
    <w:rsid w:val="1C782A98"/>
    <w:rsid w:val="1C792170"/>
    <w:rsid w:val="1C797DA2"/>
    <w:rsid w:val="1C7A236C"/>
    <w:rsid w:val="1C7B1AED"/>
    <w:rsid w:val="1C80233F"/>
    <w:rsid w:val="1C8925AF"/>
    <w:rsid w:val="1C8B1061"/>
    <w:rsid w:val="1C8F7A67"/>
    <w:rsid w:val="1C9176B6"/>
    <w:rsid w:val="1C964CCC"/>
    <w:rsid w:val="1C9A2A0F"/>
    <w:rsid w:val="1C9C6787"/>
    <w:rsid w:val="1C9F0025"/>
    <w:rsid w:val="1CA73547"/>
    <w:rsid w:val="1CA90EA4"/>
    <w:rsid w:val="1CA91A36"/>
    <w:rsid w:val="1CA97497"/>
    <w:rsid w:val="1CAA1D08"/>
    <w:rsid w:val="1CB13434"/>
    <w:rsid w:val="1CB60B8D"/>
    <w:rsid w:val="1CB6536F"/>
    <w:rsid w:val="1CBA6C35"/>
    <w:rsid w:val="1CBD494F"/>
    <w:rsid w:val="1CBF41E0"/>
    <w:rsid w:val="1CC26FBD"/>
    <w:rsid w:val="1CC3102C"/>
    <w:rsid w:val="1CC47AB0"/>
    <w:rsid w:val="1CC9756C"/>
    <w:rsid w:val="1CCA64E5"/>
    <w:rsid w:val="1CCB5AB9"/>
    <w:rsid w:val="1CCE090A"/>
    <w:rsid w:val="1CD06430"/>
    <w:rsid w:val="1CD20756"/>
    <w:rsid w:val="1CD75A11"/>
    <w:rsid w:val="1CDA47DE"/>
    <w:rsid w:val="1CDC7B67"/>
    <w:rsid w:val="1CDD25B2"/>
    <w:rsid w:val="1CE036BC"/>
    <w:rsid w:val="1CE65C54"/>
    <w:rsid w:val="1CEB14BC"/>
    <w:rsid w:val="1CEC7B1E"/>
    <w:rsid w:val="1CF57C45"/>
    <w:rsid w:val="1CFA525B"/>
    <w:rsid w:val="1CFC7225"/>
    <w:rsid w:val="1CFD070F"/>
    <w:rsid w:val="1CFF2872"/>
    <w:rsid w:val="1D0216DB"/>
    <w:rsid w:val="1D0A6375"/>
    <w:rsid w:val="1D0E0AD6"/>
    <w:rsid w:val="1D0E0C56"/>
    <w:rsid w:val="1D0E0D07"/>
    <w:rsid w:val="1D1207F7"/>
    <w:rsid w:val="1D126A49"/>
    <w:rsid w:val="1D183933"/>
    <w:rsid w:val="1D1C1676"/>
    <w:rsid w:val="1D1C3424"/>
    <w:rsid w:val="1D1F1166"/>
    <w:rsid w:val="1D1F6BD8"/>
    <w:rsid w:val="1D222472"/>
    <w:rsid w:val="1D2828ED"/>
    <w:rsid w:val="1D290AAA"/>
    <w:rsid w:val="1D290F49"/>
    <w:rsid w:val="1D2A0873"/>
    <w:rsid w:val="1D2B18B9"/>
    <w:rsid w:val="1D3764AF"/>
    <w:rsid w:val="1D3958CF"/>
    <w:rsid w:val="1D3A79D1"/>
    <w:rsid w:val="1D413B98"/>
    <w:rsid w:val="1D44297A"/>
    <w:rsid w:val="1D4D7A81"/>
    <w:rsid w:val="1D50131F"/>
    <w:rsid w:val="1D556936"/>
    <w:rsid w:val="1D5759F2"/>
    <w:rsid w:val="1D587FEF"/>
    <w:rsid w:val="1D5A3F4C"/>
    <w:rsid w:val="1D5B04BF"/>
    <w:rsid w:val="1D5F6196"/>
    <w:rsid w:val="1D6132A5"/>
    <w:rsid w:val="1D692A07"/>
    <w:rsid w:val="1D6C77E5"/>
    <w:rsid w:val="1D70551D"/>
    <w:rsid w:val="1D7263D5"/>
    <w:rsid w:val="1D734456"/>
    <w:rsid w:val="1D7C348F"/>
    <w:rsid w:val="1D810E77"/>
    <w:rsid w:val="1D862F93"/>
    <w:rsid w:val="1D8E3BF5"/>
    <w:rsid w:val="1D8E56D5"/>
    <w:rsid w:val="1D94745E"/>
    <w:rsid w:val="1D9C27B6"/>
    <w:rsid w:val="1DA0685C"/>
    <w:rsid w:val="1DA31625"/>
    <w:rsid w:val="1DA8115B"/>
    <w:rsid w:val="1DAA6ECD"/>
    <w:rsid w:val="1DAB6B8A"/>
    <w:rsid w:val="1DAD49A4"/>
    <w:rsid w:val="1DAF5B89"/>
    <w:rsid w:val="1DB06D6D"/>
    <w:rsid w:val="1DB25A64"/>
    <w:rsid w:val="1DB27475"/>
    <w:rsid w:val="1DB375BA"/>
    <w:rsid w:val="1DB53D05"/>
    <w:rsid w:val="1DB573D4"/>
    <w:rsid w:val="1DB95116"/>
    <w:rsid w:val="1DBA0E8A"/>
    <w:rsid w:val="1DBA49EB"/>
    <w:rsid w:val="1DBE097F"/>
    <w:rsid w:val="1DBE44DB"/>
    <w:rsid w:val="1DC37D43"/>
    <w:rsid w:val="1DC842EC"/>
    <w:rsid w:val="1DCB3855"/>
    <w:rsid w:val="1DCD0BC2"/>
    <w:rsid w:val="1DCD471E"/>
    <w:rsid w:val="1DD26A50"/>
    <w:rsid w:val="1DD4487C"/>
    <w:rsid w:val="1DD85C41"/>
    <w:rsid w:val="1DD963DA"/>
    <w:rsid w:val="1DE008F5"/>
    <w:rsid w:val="1DE657E0"/>
    <w:rsid w:val="1DE71025"/>
    <w:rsid w:val="1DE71C83"/>
    <w:rsid w:val="1DEA1934"/>
    <w:rsid w:val="1DED4F05"/>
    <w:rsid w:val="1DEF0B38"/>
    <w:rsid w:val="1DF0665E"/>
    <w:rsid w:val="1DF12B02"/>
    <w:rsid w:val="1DF223D6"/>
    <w:rsid w:val="1DF47EFC"/>
    <w:rsid w:val="1DF90F5D"/>
    <w:rsid w:val="1DFA74DE"/>
    <w:rsid w:val="1DFD14A7"/>
    <w:rsid w:val="1DFE521F"/>
    <w:rsid w:val="1E033FA3"/>
    <w:rsid w:val="1E082962"/>
    <w:rsid w:val="1E0B0E08"/>
    <w:rsid w:val="1E0F4D36"/>
    <w:rsid w:val="1E1024E2"/>
    <w:rsid w:val="1E122A78"/>
    <w:rsid w:val="1E197963"/>
    <w:rsid w:val="1E1C2B38"/>
    <w:rsid w:val="1E1D25BA"/>
    <w:rsid w:val="1E1E4F79"/>
    <w:rsid w:val="1E237E7E"/>
    <w:rsid w:val="1E264167"/>
    <w:rsid w:val="1E2702D2"/>
    <w:rsid w:val="1E285DF8"/>
    <w:rsid w:val="1E29229C"/>
    <w:rsid w:val="1E2C58E8"/>
    <w:rsid w:val="1E2F362A"/>
    <w:rsid w:val="1E313FB3"/>
    <w:rsid w:val="1E316B10"/>
    <w:rsid w:val="1E320A25"/>
    <w:rsid w:val="1E3D60CC"/>
    <w:rsid w:val="1E3F4E76"/>
    <w:rsid w:val="1E436277"/>
    <w:rsid w:val="1E4414E7"/>
    <w:rsid w:val="1E4A62B1"/>
    <w:rsid w:val="1E4F15D7"/>
    <w:rsid w:val="1E51534F"/>
    <w:rsid w:val="1E52100B"/>
    <w:rsid w:val="1E521E5C"/>
    <w:rsid w:val="1E59323C"/>
    <w:rsid w:val="1E5B5937"/>
    <w:rsid w:val="1E5B7F7C"/>
    <w:rsid w:val="1E6757C2"/>
    <w:rsid w:val="1E6813CF"/>
    <w:rsid w:val="1E69474C"/>
    <w:rsid w:val="1E6B66E3"/>
    <w:rsid w:val="1E6C4DFA"/>
    <w:rsid w:val="1E6E4153"/>
    <w:rsid w:val="1E7554E1"/>
    <w:rsid w:val="1E767CD6"/>
    <w:rsid w:val="1E7948A6"/>
    <w:rsid w:val="1E7A2AF8"/>
    <w:rsid w:val="1E7A43DA"/>
    <w:rsid w:val="1E7D7EF2"/>
    <w:rsid w:val="1E801A5D"/>
    <w:rsid w:val="1E803E86"/>
    <w:rsid w:val="1E836D7E"/>
    <w:rsid w:val="1E854FF8"/>
    <w:rsid w:val="1E874E4D"/>
    <w:rsid w:val="1E875215"/>
    <w:rsid w:val="1E8942A9"/>
    <w:rsid w:val="1E8E323C"/>
    <w:rsid w:val="1E8F40C9"/>
    <w:rsid w:val="1E982F7E"/>
    <w:rsid w:val="1EA062D6"/>
    <w:rsid w:val="1EA0669C"/>
    <w:rsid w:val="1EA07C3C"/>
    <w:rsid w:val="1EA50DBA"/>
    <w:rsid w:val="1EA841F5"/>
    <w:rsid w:val="1EAC1325"/>
    <w:rsid w:val="1EAE2371"/>
    <w:rsid w:val="1EB1403F"/>
    <w:rsid w:val="1EB3718E"/>
    <w:rsid w:val="1EB37DB8"/>
    <w:rsid w:val="1EBA5B2A"/>
    <w:rsid w:val="1EBD23FE"/>
    <w:rsid w:val="1EBE19EE"/>
    <w:rsid w:val="1EBF675C"/>
    <w:rsid w:val="1EC02562"/>
    <w:rsid w:val="1EC27FFB"/>
    <w:rsid w:val="1EC61CE4"/>
    <w:rsid w:val="1ECA7392"/>
    <w:rsid w:val="1ED06BCF"/>
    <w:rsid w:val="1ED32208"/>
    <w:rsid w:val="1ED33FB6"/>
    <w:rsid w:val="1ED85A70"/>
    <w:rsid w:val="1ED879CE"/>
    <w:rsid w:val="1EDA5344"/>
    <w:rsid w:val="1EDB10BC"/>
    <w:rsid w:val="1EDE6106"/>
    <w:rsid w:val="1EDF295B"/>
    <w:rsid w:val="1EDF6DFF"/>
    <w:rsid w:val="1EE54F7D"/>
    <w:rsid w:val="1EE73F05"/>
    <w:rsid w:val="1EE85A94"/>
    <w:rsid w:val="1EE937D9"/>
    <w:rsid w:val="1EEE0FB5"/>
    <w:rsid w:val="1EEE2B9E"/>
    <w:rsid w:val="1EF02DBA"/>
    <w:rsid w:val="1EF04B68"/>
    <w:rsid w:val="1EF66B13"/>
    <w:rsid w:val="1EFD4A06"/>
    <w:rsid w:val="1EFF124F"/>
    <w:rsid w:val="1F01174F"/>
    <w:rsid w:val="1F0C74C8"/>
    <w:rsid w:val="1F0D3210"/>
    <w:rsid w:val="1F100D66"/>
    <w:rsid w:val="1F15491F"/>
    <w:rsid w:val="1F15637C"/>
    <w:rsid w:val="1F1840BF"/>
    <w:rsid w:val="1F1A708D"/>
    <w:rsid w:val="1F1D3483"/>
    <w:rsid w:val="1F231F7C"/>
    <w:rsid w:val="1F260691"/>
    <w:rsid w:val="1F2667DB"/>
    <w:rsid w:val="1F2716D3"/>
    <w:rsid w:val="1F275059"/>
    <w:rsid w:val="1F2B2044"/>
    <w:rsid w:val="1F2D7B6A"/>
    <w:rsid w:val="1F30209B"/>
    <w:rsid w:val="1F33103C"/>
    <w:rsid w:val="1F33215A"/>
    <w:rsid w:val="1F332CA6"/>
    <w:rsid w:val="1F345D75"/>
    <w:rsid w:val="1F356A1F"/>
    <w:rsid w:val="1F38650F"/>
    <w:rsid w:val="1F394213"/>
    <w:rsid w:val="1F3F5AEF"/>
    <w:rsid w:val="1F43738D"/>
    <w:rsid w:val="1F446C62"/>
    <w:rsid w:val="1F456B29"/>
    <w:rsid w:val="1F457294"/>
    <w:rsid w:val="1F475FE4"/>
    <w:rsid w:val="1F4918F6"/>
    <w:rsid w:val="1F4D3D68"/>
    <w:rsid w:val="1F4E5D32"/>
    <w:rsid w:val="1F5008F0"/>
    <w:rsid w:val="1F525822"/>
    <w:rsid w:val="1F5B189A"/>
    <w:rsid w:val="1F6044B3"/>
    <w:rsid w:val="1F6368EB"/>
    <w:rsid w:val="1F642E60"/>
    <w:rsid w:val="1F647304"/>
    <w:rsid w:val="1F65294C"/>
    <w:rsid w:val="1F66307C"/>
    <w:rsid w:val="1F694CAC"/>
    <w:rsid w:val="1F6966C8"/>
    <w:rsid w:val="1F6A2B6C"/>
    <w:rsid w:val="1F6B5994"/>
    <w:rsid w:val="1F6D49F4"/>
    <w:rsid w:val="1F6E1F30"/>
    <w:rsid w:val="1F710084"/>
    <w:rsid w:val="1F7237CF"/>
    <w:rsid w:val="1F7242F4"/>
    <w:rsid w:val="1F72557D"/>
    <w:rsid w:val="1F7C4F82"/>
    <w:rsid w:val="1F7F25CA"/>
    <w:rsid w:val="1F7F5EEC"/>
    <w:rsid w:val="1F817EB6"/>
    <w:rsid w:val="1F8359FC"/>
    <w:rsid w:val="1F841754"/>
    <w:rsid w:val="1F8507F5"/>
    <w:rsid w:val="1F891175"/>
    <w:rsid w:val="1F8B2AE2"/>
    <w:rsid w:val="1F917194"/>
    <w:rsid w:val="1F9A68A7"/>
    <w:rsid w:val="1F9C084C"/>
    <w:rsid w:val="1F9D6372"/>
    <w:rsid w:val="1FA03EF2"/>
    <w:rsid w:val="1FA2456E"/>
    <w:rsid w:val="1FA93DD4"/>
    <w:rsid w:val="1FAA63F5"/>
    <w:rsid w:val="1FAD0CAB"/>
    <w:rsid w:val="1FAF3F98"/>
    <w:rsid w:val="1FB44D03"/>
    <w:rsid w:val="1FB73B17"/>
    <w:rsid w:val="1FB914AD"/>
    <w:rsid w:val="1FB97650"/>
    <w:rsid w:val="1FBC0EEE"/>
    <w:rsid w:val="1FBE56A1"/>
    <w:rsid w:val="1FC35DD8"/>
    <w:rsid w:val="1FC57DA2"/>
    <w:rsid w:val="1FCB1131"/>
    <w:rsid w:val="1FCF29CF"/>
    <w:rsid w:val="1FD05269"/>
    <w:rsid w:val="1FD2426D"/>
    <w:rsid w:val="1FD44489"/>
    <w:rsid w:val="1FD5059D"/>
    <w:rsid w:val="1FD8637D"/>
    <w:rsid w:val="1FDA1374"/>
    <w:rsid w:val="1FDB3152"/>
    <w:rsid w:val="1FDC50EC"/>
    <w:rsid w:val="1FDC6E9A"/>
    <w:rsid w:val="1FE346CD"/>
    <w:rsid w:val="1FE3647B"/>
    <w:rsid w:val="1FE43FA1"/>
    <w:rsid w:val="1FE67D19"/>
    <w:rsid w:val="1FE7539E"/>
    <w:rsid w:val="1FF70178"/>
    <w:rsid w:val="1FF825B9"/>
    <w:rsid w:val="1FF97A4C"/>
    <w:rsid w:val="1FFB1BC0"/>
    <w:rsid w:val="1FFF65F1"/>
    <w:rsid w:val="20017303"/>
    <w:rsid w:val="200308CB"/>
    <w:rsid w:val="20050FBC"/>
    <w:rsid w:val="20054643"/>
    <w:rsid w:val="20071A04"/>
    <w:rsid w:val="200D1749"/>
    <w:rsid w:val="200E0542"/>
    <w:rsid w:val="200F101E"/>
    <w:rsid w:val="200F7270"/>
    <w:rsid w:val="20147E0C"/>
    <w:rsid w:val="20166850"/>
    <w:rsid w:val="201A79C2"/>
    <w:rsid w:val="201E3957"/>
    <w:rsid w:val="201E74B3"/>
    <w:rsid w:val="20236346"/>
    <w:rsid w:val="20280331"/>
    <w:rsid w:val="202F5687"/>
    <w:rsid w:val="20340A84"/>
    <w:rsid w:val="203E5DA7"/>
    <w:rsid w:val="203F7F0D"/>
    <w:rsid w:val="2040269E"/>
    <w:rsid w:val="20427645"/>
    <w:rsid w:val="20465B74"/>
    <w:rsid w:val="20474C5B"/>
    <w:rsid w:val="20484530"/>
    <w:rsid w:val="20494FAF"/>
    <w:rsid w:val="204D7D98"/>
    <w:rsid w:val="20566C4C"/>
    <w:rsid w:val="205904EB"/>
    <w:rsid w:val="2059498F"/>
    <w:rsid w:val="2059758E"/>
    <w:rsid w:val="205C1778"/>
    <w:rsid w:val="205E4E55"/>
    <w:rsid w:val="20614B11"/>
    <w:rsid w:val="20671BE0"/>
    <w:rsid w:val="20681AC4"/>
    <w:rsid w:val="206A26F8"/>
    <w:rsid w:val="206C021E"/>
    <w:rsid w:val="20713A86"/>
    <w:rsid w:val="20831DB9"/>
    <w:rsid w:val="208732AA"/>
    <w:rsid w:val="208A2D9A"/>
    <w:rsid w:val="208A3AF0"/>
    <w:rsid w:val="208C266E"/>
    <w:rsid w:val="208C6B12"/>
    <w:rsid w:val="208C6FF3"/>
    <w:rsid w:val="208E6D8F"/>
    <w:rsid w:val="2092477F"/>
    <w:rsid w:val="20927ED9"/>
    <w:rsid w:val="20937EA1"/>
    <w:rsid w:val="20943C19"/>
    <w:rsid w:val="20950DFF"/>
    <w:rsid w:val="20963CB8"/>
    <w:rsid w:val="209B4FA7"/>
    <w:rsid w:val="209E05F3"/>
    <w:rsid w:val="209F64C7"/>
    <w:rsid w:val="20A21E92"/>
    <w:rsid w:val="20A45071"/>
    <w:rsid w:val="20A756FA"/>
    <w:rsid w:val="20A81A1B"/>
    <w:rsid w:val="20A83220"/>
    <w:rsid w:val="20A943A5"/>
    <w:rsid w:val="20AC2D10"/>
    <w:rsid w:val="20AC4ABE"/>
    <w:rsid w:val="20AE6A88"/>
    <w:rsid w:val="20AF62EA"/>
    <w:rsid w:val="20B07FB6"/>
    <w:rsid w:val="20B10327"/>
    <w:rsid w:val="20B1309F"/>
    <w:rsid w:val="20B646FB"/>
    <w:rsid w:val="20B67FF9"/>
    <w:rsid w:val="20B708CF"/>
    <w:rsid w:val="20BB582E"/>
    <w:rsid w:val="20CC4855"/>
    <w:rsid w:val="20CC6F0F"/>
    <w:rsid w:val="20CE082F"/>
    <w:rsid w:val="20CF4C51"/>
    <w:rsid w:val="20D56C9B"/>
    <w:rsid w:val="20D61B3B"/>
    <w:rsid w:val="20D63DE6"/>
    <w:rsid w:val="20D94402"/>
    <w:rsid w:val="20DB35F6"/>
    <w:rsid w:val="20DC03F8"/>
    <w:rsid w:val="20DD111C"/>
    <w:rsid w:val="20DE5D0D"/>
    <w:rsid w:val="20DE6C42"/>
    <w:rsid w:val="20E00C0C"/>
    <w:rsid w:val="20E22BD6"/>
    <w:rsid w:val="20E37A02"/>
    <w:rsid w:val="20E56222"/>
    <w:rsid w:val="20EA3839"/>
    <w:rsid w:val="20F02DF3"/>
    <w:rsid w:val="20F04B19"/>
    <w:rsid w:val="20F301C7"/>
    <w:rsid w:val="20F63F8C"/>
    <w:rsid w:val="20F94B3B"/>
    <w:rsid w:val="20FB092C"/>
    <w:rsid w:val="2102401C"/>
    <w:rsid w:val="21026F3C"/>
    <w:rsid w:val="21040C2B"/>
    <w:rsid w:val="21090163"/>
    <w:rsid w:val="210963B5"/>
    <w:rsid w:val="21134B3E"/>
    <w:rsid w:val="2117694C"/>
    <w:rsid w:val="211A5ECC"/>
    <w:rsid w:val="21221225"/>
    <w:rsid w:val="21293D11"/>
    <w:rsid w:val="212B00D9"/>
    <w:rsid w:val="212D523F"/>
    <w:rsid w:val="212E3725"/>
    <w:rsid w:val="212E5E1B"/>
    <w:rsid w:val="21366A7E"/>
    <w:rsid w:val="21386DEA"/>
    <w:rsid w:val="213A39F8"/>
    <w:rsid w:val="213B74B1"/>
    <w:rsid w:val="213C2A4F"/>
    <w:rsid w:val="213C51D4"/>
    <w:rsid w:val="21407BA0"/>
    <w:rsid w:val="214178FD"/>
    <w:rsid w:val="214473ED"/>
    <w:rsid w:val="214747E7"/>
    <w:rsid w:val="21492C29"/>
    <w:rsid w:val="21494444"/>
    <w:rsid w:val="214D5DD2"/>
    <w:rsid w:val="2150290B"/>
    <w:rsid w:val="21505D92"/>
    <w:rsid w:val="21556F04"/>
    <w:rsid w:val="21562C7C"/>
    <w:rsid w:val="21583244"/>
    <w:rsid w:val="215A2310"/>
    <w:rsid w:val="215B0293"/>
    <w:rsid w:val="215C4736"/>
    <w:rsid w:val="215F5FD5"/>
    <w:rsid w:val="21650B09"/>
    <w:rsid w:val="216655B5"/>
    <w:rsid w:val="216B420D"/>
    <w:rsid w:val="216B6728"/>
    <w:rsid w:val="21716772"/>
    <w:rsid w:val="21717AB6"/>
    <w:rsid w:val="21725D08"/>
    <w:rsid w:val="217603B5"/>
    <w:rsid w:val="217608C5"/>
    <w:rsid w:val="21771570"/>
    <w:rsid w:val="217A2E0F"/>
    <w:rsid w:val="217C0935"/>
    <w:rsid w:val="217D5218"/>
    <w:rsid w:val="218477E9"/>
    <w:rsid w:val="218617B3"/>
    <w:rsid w:val="218B0B78"/>
    <w:rsid w:val="219263AA"/>
    <w:rsid w:val="21934B2A"/>
    <w:rsid w:val="2197576F"/>
    <w:rsid w:val="21983295"/>
    <w:rsid w:val="219E3B2D"/>
    <w:rsid w:val="219F0AC7"/>
    <w:rsid w:val="21A12149"/>
    <w:rsid w:val="21A25A50"/>
    <w:rsid w:val="21A67760"/>
    <w:rsid w:val="21B207FA"/>
    <w:rsid w:val="21B300CF"/>
    <w:rsid w:val="21B52099"/>
    <w:rsid w:val="21B75E11"/>
    <w:rsid w:val="21B77BBF"/>
    <w:rsid w:val="21B87493"/>
    <w:rsid w:val="21B96EF4"/>
    <w:rsid w:val="21BC463C"/>
    <w:rsid w:val="21BD382B"/>
    <w:rsid w:val="21BE2CFB"/>
    <w:rsid w:val="21C4408A"/>
    <w:rsid w:val="21C734F7"/>
    <w:rsid w:val="21CA3032"/>
    <w:rsid w:val="21CA4AEA"/>
    <w:rsid w:val="21D00C81"/>
    <w:rsid w:val="21D40771"/>
    <w:rsid w:val="21D818E3"/>
    <w:rsid w:val="21DD2D89"/>
    <w:rsid w:val="21DE318A"/>
    <w:rsid w:val="21DF0B9E"/>
    <w:rsid w:val="21E17924"/>
    <w:rsid w:val="21E5472C"/>
    <w:rsid w:val="21E604A4"/>
    <w:rsid w:val="21E62252"/>
    <w:rsid w:val="21E77118"/>
    <w:rsid w:val="21E85730"/>
    <w:rsid w:val="21E93AF0"/>
    <w:rsid w:val="21EB1616"/>
    <w:rsid w:val="21EF5B80"/>
    <w:rsid w:val="21F91F85"/>
    <w:rsid w:val="220335F8"/>
    <w:rsid w:val="22056B7C"/>
    <w:rsid w:val="22066450"/>
    <w:rsid w:val="220A24B9"/>
    <w:rsid w:val="220A4192"/>
    <w:rsid w:val="220B7C04"/>
    <w:rsid w:val="220E16ED"/>
    <w:rsid w:val="220F3557"/>
    <w:rsid w:val="2217065D"/>
    <w:rsid w:val="221768AF"/>
    <w:rsid w:val="2219492B"/>
    <w:rsid w:val="221B2F81"/>
    <w:rsid w:val="221D30A5"/>
    <w:rsid w:val="221D6C29"/>
    <w:rsid w:val="222536EC"/>
    <w:rsid w:val="22257114"/>
    <w:rsid w:val="222A213F"/>
    <w:rsid w:val="22342FBD"/>
    <w:rsid w:val="223631D9"/>
    <w:rsid w:val="22372AAE"/>
    <w:rsid w:val="22394A78"/>
    <w:rsid w:val="223B12B8"/>
    <w:rsid w:val="223C00C4"/>
    <w:rsid w:val="223E5BEA"/>
    <w:rsid w:val="2241392C"/>
    <w:rsid w:val="22445DD9"/>
    <w:rsid w:val="2245341D"/>
    <w:rsid w:val="224551CB"/>
    <w:rsid w:val="224C7974"/>
    <w:rsid w:val="224D5E3C"/>
    <w:rsid w:val="22525B39"/>
    <w:rsid w:val="22552756"/>
    <w:rsid w:val="22576990"/>
    <w:rsid w:val="22596EC8"/>
    <w:rsid w:val="225D0766"/>
    <w:rsid w:val="226052EB"/>
    <w:rsid w:val="226914B2"/>
    <w:rsid w:val="226F3F88"/>
    <w:rsid w:val="226F3FF6"/>
    <w:rsid w:val="22715FC0"/>
    <w:rsid w:val="22743FE1"/>
    <w:rsid w:val="227635D6"/>
    <w:rsid w:val="227B5090"/>
    <w:rsid w:val="227D5FFA"/>
    <w:rsid w:val="22832569"/>
    <w:rsid w:val="228D11E2"/>
    <w:rsid w:val="229A3954"/>
    <w:rsid w:val="229B128E"/>
    <w:rsid w:val="229B303C"/>
    <w:rsid w:val="229C0B63"/>
    <w:rsid w:val="22A00653"/>
    <w:rsid w:val="22A92B11"/>
    <w:rsid w:val="22A939AB"/>
    <w:rsid w:val="22AA7723"/>
    <w:rsid w:val="22AB2EC8"/>
    <w:rsid w:val="22AC22D1"/>
    <w:rsid w:val="22B45EAC"/>
    <w:rsid w:val="22B46A4F"/>
    <w:rsid w:val="22BA1900"/>
    <w:rsid w:val="22BE4F7D"/>
    <w:rsid w:val="22C47396"/>
    <w:rsid w:val="22C75A42"/>
    <w:rsid w:val="22CA56D0"/>
    <w:rsid w:val="22CF0F38"/>
    <w:rsid w:val="22D30A28"/>
    <w:rsid w:val="22D36C7A"/>
    <w:rsid w:val="22D402FC"/>
    <w:rsid w:val="22DB78DD"/>
    <w:rsid w:val="22DD5403"/>
    <w:rsid w:val="22DE117B"/>
    <w:rsid w:val="22E737AC"/>
    <w:rsid w:val="22E74B9C"/>
    <w:rsid w:val="22E83DA8"/>
    <w:rsid w:val="22E95241"/>
    <w:rsid w:val="22EE7610"/>
    <w:rsid w:val="22F34943"/>
    <w:rsid w:val="22F47480"/>
    <w:rsid w:val="22F90E47"/>
    <w:rsid w:val="23027955"/>
    <w:rsid w:val="23081905"/>
    <w:rsid w:val="230C63BD"/>
    <w:rsid w:val="23182A50"/>
    <w:rsid w:val="231F5A1C"/>
    <w:rsid w:val="23215CC3"/>
    <w:rsid w:val="232272BA"/>
    <w:rsid w:val="23250B58"/>
    <w:rsid w:val="23290648"/>
    <w:rsid w:val="23356FED"/>
    <w:rsid w:val="23362D65"/>
    <w:rsid w:val="23375FDD"/>
    <w:rsid w:val="234C07DB"/>
    <w:rsid w:val="234C2589"/>
    <w:rsid w:val="234E4553"/>
    <w:rsid w:val="2350337E"/>
    <w:rsid w:val="235651B5"/>
    <w:rsid w:val="23566F63"/>
    <w:rsid w:val="23582CDC"/>
    <w:rsid w:val="235B27CC"/>
    <w:rsid w:val="235D285E"/>
    <w:rsid w:val="235F41EA"/>
    <w:rsid w:val="23661F8E"/>
    <w:rsid w:val="236A7C99"/>
    <w:rsid w:val="236B0C61"/>
    <w:rsid w:val="236E03B0"/>
    <w:rsid w:val="23700030"/>
    <w:rsid w:val="23707CA9"/>
    <w:rsid w:val="2375081D"/>
    <w:rsid w:val="23791DA0"/>
    <w:rsid w:val="237C10C0"/>
    <w:rsid w:val="237C2E6E"/>
    <w:rsid w:val="237F295E"/>
    <w:rsid w:val="237F64BA"/>
    <w:rsid w:val="23821DF4"/>
    <w:rsid w:val="2383244E"/>
    <w:rsid w:val="23850E2F"/>
    <w:rsid w:val="238735C1"/>
    <w:rsid w:val="238C6E29"/>
    <w:rsid w:val="238D2ECF"/>
    <w:rsid w:val="23906919"/>
    <w:rsid w:val="23983A20"/>
    <w:rsid w:val="2399018E"/>
    <w:rsid w:val="239C59FC"/>
    <w:rsid w:val="23A14082"/>
    <w:rsid w:val="23A423C5"/>
    <w:rsid w:val="23A83C63"/>
    <w:rsid w:val="23AD1279"/>
    <w:rsid w:val="23AF20F4"/>
    <w:rsid w:val="23B229FE"/>
    <w:rsid w:val="23B24AE2"/>
    <w:rsid w:val="23B51EDC"/>
    <w:rsid w:val="23C245F9"/>
    <w:rsid w:val="23C56EF3"/>
    <w:rsid w:val="23C6233B"/>
    <w:rsid w:val="23C70A3F"/>
    <w:rsid w:val="23CE11F0"/>
    <w:rsid w:val="23D507D0"/>
    <w:rsid w:val="23D94C34"/>
    <w:rsid w:val="23DA1943"/>
    <w:rsid w:val="23DA5DE6"/>
    <w:rsid w:val="23DE1C48"/>
    <w:rsid w:val="23DF33FD"/>
    <w:rsid w:val="23E073EA"/>
    <w:rsid w:val="23E12CD1"/>
    <w:rsid w:val="23E17175"/>
    <w:rsid w:val="23E60115"/>
    <w:rsid w:val="23EB1D3F"/>
    <w:rsid w:val="23F15106"/>
    <w:rsid w:val="23F549CE"/>
    <w:rsid w:val="23FE33C8"/>
    <w:rsid w:val="24020358"/>
    <w:rsid w:val="240210CD"/>
    <w:rsid w:val="240370EB"/>
    <w:rsid w:val="240510B5"/>
    <w:rsid w:val="240864B0"/>
    <w:rsid w:val="240D1D18"/>
    <w:rsid w:val="2411343C"/>
    <w:rsid w:val="24134E54"/>
    <w:rsid w:val="24172B97"/>
    <w:rsid w:val="2418246B"/>
    <w:rsid w:val="241C1F5B"/>
    <w:rsid w:val="241E5CD3"/>
    <w:rsid w:val="241F37F9"/>
    <w:rsid w:val="242017A4"/>
    <w:rsid w:val="24221F96"/>
    <w:rsid w:val="24242C37"/>
    <w:rsid w:val="242B03F0"/>
    <w:rsid w:val="242B219E"/>
    <w:rsid w:val="24323971"/>
    <w:rsid w:val="243318B8"/>
    <w:rsid w:val="2434366B"/>
    <w:rsid w:val="24343749"/>
    <w:rsid w:val="243564E3"/>
    <w:rsid w:val="24390D5F"/>
    <w:rsid w:val="243920A8"/>
    <w:rsid w:val="243948BB"/>
    <w:rsid w:val="243B09FD"/>
    <w:rsid w:val="243E0123"/>
    <w:rsid w:val="243E0B90"/>
    <w:rsid w:val="243F153A"/>
    <w:rsid w:val="244020ED"/>
    <w:rsid w:val="24421E4E"/>
    <w:rsid w:val="24424A01"/>
    <w:rsid w:val="24495E07"/>
    <w:rsid w:val="24521EF0"/>
    <w:rsid w:val="2452534C"/>
    <w:rsid w:val="24545B99"/>
    <w:rsid w:val="2455546D"/>
    <w:rsid w:val="24561911"/>
    <w:rsid w:val="24576324"/>
    <w:rsid w:val="245E2574"/>
    <w:rsid w:val="24613E12"/>
    <w:rsid w:val="24616C60"/>
    <w:rsid w:val="24661428"/>
    <w:rsid w:val="246758CC"/>
    <w:rsid w:val="24676446"/>
    <w:rsid w:val="246918CD"/>
    <w:rsid w:val="246924E5"/>
    <w:rsid w:val="246A0F18"/>
    <w:rsid w:val="246E3BEE"/>
    <w:rsid w:val="247141EC"/>
    <w:rsid w:val="2471674B"/>
    <w:rsid w:val="24771887"/>
    <w:rsid w:val="24794EE7"/>
    <w:rsid w:val="247955FF"/>
    <w:rsid w:val="247E2C16"/>
    <w:rsid w:val="2480698E"/>
    <w:rsid w:val="24855D52"/>
    <w:rsid w:val="24861ACA"/>
    <w:rsid w:val="248A279D"/>
    <w:rsid w:val="248C6BB8"/>
    <w:rsid w:val="24912949"/>
    <w:rsid w:val="249266C1"/>
    <w:rsid w:val="249935AC"/>
    <w:rsid w:val="249C5A60"/>
    <w:rsid w:val="24A14584"/>
    <w:rsid w:val="24A257C2"/>
    <w:rsid w:val="24A501A2"/>
    <w:rsid w:val="24A518BF"/>
    <w:rsid w:val="24A73F1B"/>
    <w:rsid w:val="24A8776F"/>
    <w:rsid w:val="24AD52A9"/>
    <w:rsid w:val="24AD7A37"/>
    <w:rsid w:val="24AF67BE"/>
    <w:rsid w:val="24B30B11"/>
    <w:rsid w:val="24B76D93"/>
    <w:rsid w:val="24BB5C18"/>
    <w:rsid w:val="24BE6C23"/>
    <w:rsid w:val="24BF09F7"/>
    <w:rsid w:val="24C148B0"/>
    <w:rsid w:val="24C16074"/>
    <w:rsid w:val="24C525F3"/>
    <w:rsid w:val="24C85C3F"/>
    <w:rsid w:val="24CE259C"/>
    <w:rsid w:val="24CE37EF"/>
    <w:rsid w:val="24CF521F"/>
    <w:rsid w:val="24D10F97"/>
    <w:rsid w:val="24D14F8B"/>
    <w:rsid w:val="24D42836"/>
    <w:rsid w:val="24D64800"/>
    <w:rsid w:val="24D87D63"/>
    <w:rsid w:val="24DF76A0"/>
    <w:rsid w:val="24E05421"/>
    <w:rsid w:val="24E60FF3"/>
    <w:rsid w:val="24E61851"/>
    <w:rsid w:val="24E743D1"/>
    <w:rsid w:val="24E862E1"/>
    <w:rsid w:val="24EA11A8"/>
    <w:rsid w:val="24ED38F7"/>
    <w:rsid w:val="24F37160"/>
    <w:rsid w:val="24F53DAE"/>
    <w:rsid w:val="24FA6740"/>
    <w:rsid w:val="24FF3D57"/>
    <w:rsid w:val="250824DF"/>
    <w:rsid w:val="250C0222"/>
    <w:rsid w:val="250C1FD0"/>
    <w:rsid w:val="250D077C"/>
    <w:rsid w:val="25114DE2"/>
    <w:rsid w:val="251846C8"/>
    <w:rsid w:val="251903EC"/>
    <w:rsid w:val="251A3E1D"/>
    <w:rsid w:val="251C4025"/>
    <w:rsid w:val="251F7F55"/>
    <w:rsid w:val="25270E8B"/>
    <w:rsid w:val="25284930"/>
    <w:rsid w:val="252D53FE"/>
    <w:rsid w:val="25346A17"/>
    <w:rsid w:val="253A4D8F"/>
    <w:rsid w:val="25513E86"/>
    <w:rsid w:val="255A0F8D"/>
    <w:rsid w:val="25613EAC"/>
    <w:rsid w:val="2563786A"/>
    <w:rsid w:val="25665B84"/>
    <w:rsid w:val="256C2FEB"/>
    <w:rsid w:val="256C5F96"/>
    <w:rsid w:val="256E4A38"/>
    <w:rsid w:val="256E67DE"/>
    <w:rsid w:val="25755DC7"/>
    <w:rsid w:val="257A162F"/>
    <w:rsid w:val="257A33DD"/>
    <w:rsid w:val="25836F36"/>
    <w:rsid w:val="258A0242"/>
    <w:rsid w:val="2593449F"/>
    <w:rsid w:val="2596052E"/>
    <w:rsid w:val="25973830"/>
    <w:rsid w:val="25973F8F"/>
    <w:rsid w:val="25990C83"/>
    <w:rsid w:val="259A582D"/>
    <w:rsid w:val="259B3C33"/>
    <w:rsid w:val="25A01B1D"/>
    <w:rsid w:val="25A1634B"/>
    <w:rsid w:val="25A466AC"/>
    <w:rsid w:val="25A87AC8"/>
    <w:rsid w:val="25AB382D"/>
    <w:rsid w:val="25AB4F81"/>
    <w:rsid w:val="25B12B77"/>
    <w:rsid w:val="25B73564"/>
    <w:rsid w:val="25B85CB3"/>
    <w:rsid w:val="25BC1C48"/>
    <w:rsid w:val="25BE4683"/>
    <w:rsid w:val="25C30677"/>
    <w:rsid w:val="25C35ABD"/>
    <w:rsid w:val="25C57702"/>
    <w:rsid w:val="25C57790"/>
    <w:rsid w:val="25C91C6F"/>
    <w:rsid w:val="25CE6883"/>
    <w:rsid w:val="25D23219"/>
    <w:rsid w:val="25D26CDC"/>
    <w:rsid w:val="25D7082F"/>
    <w:rsid w:val="25D95E65"/>
    <w:rsid w:val="25DB26A8"/>
    <w:rsid w:val="25DE1BBE"/>
    <w:rsid w:val="25DF5936"/>
    <w:rsid w:val="25E35426"/>
    <w:rsid w:val="25E46AA9"/>
    <w:rsid w:val="25E847EB"/>
    <w:rsid w:val="25E97009"/>
    <w:rsid w:val="25EB42DB"/>
    <w:rsid w:val="25EB7E37"/>
    <w:rsid w:val="25EC2D81"/>
    <w:rsid w:val="25F4107F"/>
    <w:rsid w:val="25F809F7"/>
    <w:rsid w:val="25F81F2F"/>
    <w:rsid w:val="25FD7B6A"/>
    <w:rsid w:val="260169C7"/>
    <w:rsid w:val="26020864"/>
    <w:rsid w:val="2604714B"/>
    <w:rsid w:val="260A6DDB"/>
    <w:rsid w:val="260D536B"/>
    <w:rsid w:val="260E27BF"/>
    <w:rsid w:val="260F1BFD"/>
    <w:rsid w:val="26121868"/>
    <w:rsid w:val="261333E9"/>
    <w:rsid w:val="26146435"/>
    <w:rsid w:val="2615531D"/>
    <w:rsid w:val="261E3DB7"/>
    <w:rsid w:val="26235823"/>
    <w:rsid w:val="26237E66"/>
    <w:rsid w:val="26243349"/>
    <w:rsid w:val="2628108B"/>
    <w:rsid w:val="26282E39"/>
    <w:rsid w:val="26325EB4"/>
    <w:rsid w:val="26336948"/>
    <w:rsid w:val="2635480A"/>
    <w:rsid w:val="26355556"/>
    <w:rsid w:val="2638214D"/>
    <w:rsid w:val="263F63D5"/>
    <w:rsid w:val="26404C6A"/>
    <w:rsid w:val="2641067D"/>
    <w:rsid w:val="26431A21"/>
    <w:rsid w:val="26435EC5"/>
    <w:rsid w:val="26460AFB"/>
    <w:rsid w:val="265005E2"/>
    <w:rsid w:val="265161DE"/>
    <w:rsid w:val="265579A6"/>
    <w:rsid w:val="265754CC"/>
    <w:rsid w:val="265A6D6B"/>
    <w:rsid w:val="265F25D3"/>
    <w:rsid w:val="2661459D"/>
    <w:rsid w:val="26633E71"/>
    <w:rsid w:val="2666570F"/>
    <w:rsid w:val="266F0A68"/>
    <w:rsid w:val="26712A32"/>
    <w:rsid w:val="2674288E"/>
    <w:rsid w:val="2674607E"/>
    <w:rsid w:val="26773DC1"/>
    <w:rsid w:val="26793695"/>
    <w:rsid w:val="26797B39"/>
    <w:rsid w:val="267A11BB"/>
    <w:rsid w:val="267B31C4"/>
    <w:rsid w:val="267B658E"/>
    <w:rsid w:val="267D530A"/>
    <w:rsid w:val="26803483"/>
    <w:rsid w:val="268C1CA2"/>
    <w:rsid w:val="268F110A"/>
    <w:rsid w:val="269229A8"/>
    <w:rsid w:val="269A3AE6"/>
    <w:rsid w:val="269F0C21"/>
    <w:rsid w:val="26A06E73"/>
    <w:rsid w:val="26A10E3D"/>
    <w:rsid w:val="26A5092E"/>
    <w:rsid w:val="26A97258"/>
    <w:rsid w:val="26AA5D04"/>
    <w:rsid w:val="26AA7CF2"/>
    <w:rsid w:val="26AF70B6"/>
    <w:rsid w:val="26B26802"/>
    <w:rsid w:val="26B97F35"/>
    <w:rsid w:val="26BB3CAD"/>
    <w:rsid w:val="26BB6F40"/>
    <w:rsid w:val="26BB7131"/>
    <w:rsid w:val="26BC7A25"/>
    <w:rsid w:val="26BD3721"/>
    <w:rsid w:val="26C309CB"/>
    <w:rsid w:val="26C62652"/>
    <w:rsid w:val="26CD1C32"/>
    <w:rsid w:val="26CD578F"/>
    <w:rsid w:val="26D1527F"/>
    <w:rsid w:val="26D22DA5"/>
    <w:rsid w:val="26D23DFE"/>
    <w:rsid w:val="26D27249"/>
    <w:rsid w:val="26D73703"/>
    <w:rsid w:val="26DA3FAC"/>
    <w:rsid w:val="26DF6A52"/>
    <w:rsid w:val="26E52AD8"/>
    <w:rsid w:val="26E52B87"/>
    <w:rsid w:val="26E77323"/>
    <w:rsid w:val="26EB0542"/>
    <w:rsid w:val="26ED709C"/>
    <w:rsid w:val="26EE4083"/>
    <w:rsid w:val="26F126FF"/>
    <w:rsid w:val="26F31699"/>
    <w:rsid w:val="26F70A5D"/>
    <w:rsid w:val="26F81E01"/>
    <w:rsid w:val="26F975FC"/>
    <w:rsid w:val="26FC7E22"/>
    <w:rsid w:val="26FE1DEC"/>
    <w:rsid w:val="2702368A"/>
    <w:rsid w:val="27102ED7"/>
    <w:rsid w:val="27111B1F"/>
    <w:rsid w:val="27122759"/>
    <w:rsid w:val="27127645"/>
    <w:rsid w:val="27133AE9"/>
    <w:rsid w:val="27147861"/>
    <w:rsid w:val="271E795E"/>
    <w:rsid w:val="272C4BAB"/>
    <w:rsid w:val="272E6EF8"/>
    <w:rsid w:val="273013A4"/>
    <w:rsid w:val="27315D1D"/>
    <w:rsid w:val="27363334"/>
    <w:rsid w:val="27393A05"/>
    <w:rsid w:val="273D57D8"/>
    <w:rsid w:val="273E043A"/>
    <w:rsid w:val="2740197A"/>
    <w:rsid w:val="274057F2"/>
    <w:rsid w:val="27443E62"/>
    <w:rsid w:val="274A6102"/>
    <w:rsid w:val="274D5B85"/>
    <w:rsid w:val="274F0009"/>
    <w:rsid w:val="27520F90"/>
    <w:rsid w:val="275B3E1E"/>
    <w:rsid w:val="275E288B"/>
    <w:rsid w:val="27624129"/>
    <w:rsid w:val="276500BD"/>
    <w:rsid w:val="276854B7"/>
    <w:rsid w:val="276C144B"/>
    <w:rsid w:val="277057A2"/>
    <w:rsid w:val="277420AE"/>
    <w:rsid w:val="27742C5B"/>
    <w:rsid w:val="27765E26"/>
    <w:rsid w:val="277F16E3"/>
    <w:rsid w:val="2786142B"/>
    <w:rsid w:val="278E3170"/>
    <w:rsid w:val="278E7556"/>
    <w:rsid w:val="278F0C96"/>
    <w:rsid w:val="278F23BE"/>
    <w:rsid w:val="279462AC"/>
    <w:rsid w:val="279C010A"/>
    <w:rsid w:val="279D33B3"/>
    <w:rsid w:val="27A04C51"/>
    <w:rsid w:val="27A44741"/>
    <w:rsid w:val="27A62207"/>
    <w:rsid w:val="27A96915"/>
    <w:rsid w:val="27AA7420"/>
    <w:rsid w:val="27B22717"/>
    <w:rsid w:val="27B70919"/>
    <w:rsid w:val="27CB6172"/>
    <w:rsid w:val="27CC3C98"/>
    <w:rsid w:val="27CE133B"/>
    <w:rsid w:val="27D132C6"/>
    <w:rsid w:val="27D8088F"/>
    <w:rsid w:val="27D9220B"/>
    <w:rsid w:val="27DA63B5"/>
    <w:rsid w:val="27DF5779"/>
    <w:rsid w:val="27E01CDD"/>
    <w:rsid w:val="27E56B08"/>
    <w:rsid w:val="27E71689"/>
    <w:rsid w:val="27EB6814"/>
    <w:rsid w:val="27EC60E8"/>
    <w:rsid w:val="27F1110D"/>
    <w:rsid w:val="27F3606A"/>
    <w:rsid w:val="27F510B1"/>
    <w:rsid w:val="27F531EF"/>
    <w:rsid w:val="27F82CDF"/>
    <w:rsid w:val="27FD20A3"/>
    <w:rsid w:val="27FF406E"/>
    <w:rsid w:val="28041431"/>
    <w:rsid w:val="28043432"/>
    <w:rsid w:val="280653FC"/>
    <w:rsid w:val="280671AA"/>
    <w:rsid w:val="280B48A6"/>
    <w:rsid w:val="28101DD7"/>
    <w:rsid w:val="281318C7"/>
    <w:rsid w:val="28173165"/>
    <w:rsid w:val="281C4C20"/>
    <w:rsid w:val="281D62A2"/>
    <w:rsid w:val="281E2746"/>
    <w:rsid w:val="281F7316"/>
    <w:rsid w:val="28235FAE"/>
    <w:rsid w:val="2825385F"/>
    <w:rsid w:val="282615FA"/>
    <w:rsid w:val="282C19F5"/>
    <w:rsid w:val="282D0BDB"/>
    <w:rsid w:val="28366BB4"/>
    <w:rsid w:val="283748D1"/>
    <w:rsid w:val="2838229A"/>
    <w:rsid w:val="283E4B96"/>
    <w:rsid w:val="283F34B5"/>
    <w:rsid w:val="28405DFB"/>
    <w:rsid w:val="28416434"/>
    <w:rsid w:val="28481571"/>
    <w:rsid w:val="284952E9"/>
    <w:rsid w:val="284C1B65"/>
    <w:rsid w:val="284F0692"/>
    <w:rsid w:val="284F2296"/>
    <w:rsid w:val="28507890"/>
    <w:rsid w:val="28534704"/>
    <w:rsid w:val="28550131"/>
    <w:rsid w:val="28554208"/>
    <w:rsid w:val="28575C58"/>
    <w:rsid w:val="285919D0"/>
    <w:rsid w:val="2859400A"/>
    <w:rsid w:val="285D0AB8"/>
    <w:rsid w:val="28650051"/>
    <w:rsid w:val="286D0FD7"/>
    <w:rsid w:val="286E6AFD"/>
    <w:rsid w:val="28706183"/>
    <w:rsid w:val="28747858"/>
    <w:rsid w:val="287A03D4"/>
    <w:rsid w:val="287C746C"/>
    <w:rsid w:val="28810F26"/>
    <w:rsid w:val="288129C2"/>
    <w:rsid w:val="28817483"/>
    <w:rsid w:val="288E0F4E"/>
    <w:rsid w:val="28927979"/>
    <w:rsid w:val="28942A08"/>
    <w:rsid w:val="289C18BC"/>
    <w:rsid w:val="289C681D"/>
    <w:rsid w:val="289C7B0E"/>
    <w:rsid w:val="289E7035"/>
    <w:rsid w:val="28A365DE"/>
    <w:rsid w:val="28A54C15"/>
    <w:rsid w:val="28A95522"/>
    <w:rsid w:val="28B01B68"/>
    <w:rsid w:val="28B135BA"/>
    <w:rsid w:val="28B91254"/>
    <w:rsid w:val="28BC3032"/>
    <w:rsid w:val="28BD0FF2"/>
    <w:rsid w:val="28C037FD"/>
    <w:rsid w:val="28C166B7"/>
    <w:rsid w:val="28CE74FD"/>
    <w:rsid w:val="28CF57EE"/>
    <w:rsid w:val="28D14C84"/>
    <w:rsid w:val="28D41056"/>
    <w:rsid w:val="28D42E04"/>
    <w:rsid w:val="28D62B07"/>
    <w:rsid w:val="28D80D21"/>
    <w:rsid w:val="28D9041B"/>
    <w:rsid w:val="28D9666D"/>
    <w:rsid w:val="28DA1CCE"/>
    <w:rsid w:val="28DA6F4D"/>
    <w:rsid w:val="28DC08BE"/>
    <w:rsid w:val="28DC43AF"/>
    <w:rsid w:val="28E53263"/>
    <w:rsid w:val="28E62B38"/>
    <w:rsid w:val="28EB02DB"/>
    <w:rsid w:val="28EC45F2"/>
    <w:rsid w:val="28F96D0F"/>
    <w:rsid w:val="28FB65E3"/>
    <w:rsid w:val="28FD4C4B"/>
    <w:rsid w:val="29051210"/>
    <w:rsid w:val="2909656C"/>
    <w:rsid w:val="290A2CCA"/>
    <w:rsid w:val="29114058"/>
    <w:rsid w:val="2919115F"/>
    <w:rsid w:val="291E0FDF"/>
    <w:rsid w:val="291E4D26"/>
    <w:rsid w:val="291F58C6"/>
    <w:rsid w:val="2920604A"/>
    <w:rsid w:val="29206EB8"/>
    <w:rsid w:val="2924051E"/>
    <w:rsid w:val="29243386"/>
    <w:rsid w:val="29263821"/>
    <w:rsid w:val="292772F9"/>
    <w:rsid w:val="292A336C"/>
    <w:rsid w:val="292B4099"/>
    <w:rsid w:val="293926EA"/>
    <w:rsid w:val="293E2974"/>
    <w:rsid w:val="2944442E"/>
    <w:rsid w:val="294645D2"/>
    <w:rsid w:val="29475CCC"/>
    <w:rsid w:val="29491A44"/>
    <w:rsid w:val="29495AC0"/>
    <w:rsid w:val="294A30C6"/>
    <w:rsid w:val="294C32E2"/>
    <w:rsid w:val="294D2BB7"/>
    <w:rsid w:val="294E18B8"/>
    <w:rsid w:val="294F2DD3"/>
    <w:rsid w:val="29514455"/>
    <w:rsid w:val="29521CEB"/>
    <w:rsid w:val="295403E9"/>
    <w:rsid w:val="2959155B"/>
    <w:rsid w:val="29595666"/>
    <w:rsid w:val="29620A37"/>
    <w:rsid w:val="2964062C"/>
    <w:rsid w:val="296A7401"/>
    <w:rsid w:val="296A770D"/>
    <w:rsid w:val="296E14AB"/>
    <w:rsid w:val="296F6419"/>
    <w:rsid w:val="2973086F"/>
    <w:rsid w:val="297468DC"/>
    <w:rsid w:val="297D16EE"/>
    <w:rsid w:val="297F65C0"/>
    <w:rsid w:val="29852351"/>
    <w:rsid w:val="29874881"/>
    <w:rsid w:val="298760C9"/>
    <w:rsid w:val="29887CFD"/>
    <w:rsid w:val="29891E41"/>
    <w:rsid w:val="298A3E0B"/>
    <w:rsid w:val="298A5BB9"/>
    <w:rsid w:val="29934A6D"/>
    <w:rsid w:val="299946CD"/>
    <w:rsid w:val="299A404E"/>
    <w:rsid w:val="29A077CD"/>
    <w:rsid w:val="29A30A29"/>
    <w:rsid w:val="29A46C7B"/>
    <w:rsid w:val="29A547A1"/>
    <w:rsid w:val="29A62ABE"/>
    <w:rsid w:val="29A8600C"/>
    <w:rsid w:val="29AD788C"/>
    <w:rsid w:val="29AF561F"/>
    <w:rsid w:val="29AF63BB"/>
    <w:rsid w:val="29B35110"/>
    <w:rsid w:val="29BB3FC4"/>
    <w:rsid w:val="29BF1D06"/>
    <w:rsid w:val="29C30C93"/>
    <w:rsid w:val="29C4645F"/>
    <w:rsid w:val="29C50A14"/>
    <w:rsid w:val="29C72969"/>
    <w:rsid w:val="29C7407A"/>
    <w:rsid w:val="29CA4A05"/>
    <w:rsid w:val="29D4444C"/>
    <w:rsid w:val="29D5793B"/>
    <w:rsid w:val="29D60DFE"/>
    <w:rsid w:val="29D82DC8"/>
    <w:rsid w:val="29D84B76"/>
    <w:rsid w:val="29D97F23"/>
    <w:rsid w:val="29DA08FB"/>
    <w:rsid w:val="29DA269C"/>
    <w:rsid w:val="29DB4666"/>
    <w:rsid w:val="29DB6414"/>
    <w:rsid w:val="29DF4157"/>
    <w:rsid w:val="29E057D9"/>
    <w:rsid w:val="29E277A3"/>
    <w:rsid w:val="29E325E0"/>
    <w:rsid w:val="29E56D4B"/>
    <w:rsid w:val="29E7300B"/>
    <w:rsid w:val="29E7460A"/>
    <w:rsid w:val="29F0497A"/>
    <w:rsid w:val="29F14ADE"/>
    <w:rsid w:val="29F25E2C"/>
    <w:rsid w:val="29F37C02"/>
    <w:rsid w:val="29FB2613"/>
    <w:rsid w:val="2A0616E3"/>
    <w:rsid w:val="2A0B4F4C"/>
    <w:rsid w:val="2A0C4820"/>
    <w:rsid w:val="2A0F3577"/>
    <w:rsid w:val="2A110E94"/>
    <w:rsid w:val="2A1262DA"/>
    <w:rsid w:val="2A1732D2"/>
    <w:rsid w:val="2A1B4A63"/>
    <w:rsid w:val="2A1C4CA6"/>
    <w:rsid w:val="2A21566E"/>
    <w:rsid w:val="2A222295"/>
    <w:rsid w:val="2A273408"/>
    <w:rsid w:val="2A2B114A"/>
    <w:rsid w:val="2A2E7DEA"/>
    <w:rsid w:val="2A3013B6"/>
    <w:rsid w:val="2A312201"/>
    <w:rsid w:val="2A324CD4"/>
    <w:rsid w:val="2A3873C3"/>
    <w:rsid w:val="2A3A092B"/>
    <w:rsid w:val="2A3C5084"/>
    <w:rsid w:val="2A426494"/>
    <w:rsid w:val="2A436CE1"/>
    <w:rsid w:val="2A452503"/>
    <w:rsid w:val="2A495A74"/>
    <w:rsid w:val="2A4B5C46"/>
    <w:rsid w:val="2A54466D"/>
    <w:rsid w:val="2A5657A8"/>
    <w:rsid w:val="2A585BBA"/>
    <w:rsid w:val="2A5E151F"/>
    <w:rsid w:val="2A5F4D16"/>
    <w:rsid w:val="2A616490"/>
    <w:rsid w:val="2A65091E"/>
    <w:rsid w:val="2A66694D"/>
    <w:rsid w:val="2A68414C"/>
    <w:rsid w:val="2A6D1762"/>
    <w:rsid w:val="2A6E1037"/>
    <w:rsid w:val="2A725A56"/>
    <w:rsid w:val="2A730F56"/>
    <w:rsid w:val="2A73664D"/>
    <w:rsid w:val="2A762B02"/>
    <w:rsid w:val="2A7A3E7F"/>
    <w:rsid w:val="2A7B4CC0"/>
    <w:rsid w:val="2A7D74CC"/>
    <w:rsid w:val="2A815C4B"/>
    <w:rsid w:val="2A832424"/>
    <w:rsid w:val="2A856E59"/>
    <w:rsid w:val="2A88034A"/>
    <w:rsid w:val="2A886175"/>
    <w:rsid w:val="2A8D3BB3"/>
    <w:rsid w:val="2A8D770F"/>
    <w:rsid w:val="2A9211C9"/>
    <w:rsid w:val="2A924D25"/>
    <w:rsid w:val="2A932E5D"/>
    <w:rsid w:val="2A944F41"/>
    <w:rsid w:val="2A955ABD"/>
    <w:rsid w:val="2A9769E6"/>
    <w:rsid w:val="2A9C3DF6"/>
    <w:rsid w:val="2A9D36CA"/>
    <w:rsid w:val="2AA27544"/>
    <w:rsid w:val="2AA637A1"/>
    <w:rsid w:val="2AA9206F"/>
    <w:rsid w:val="2AB233B6"/>
    <w:rsid w:val="2AB23619"/>
    <w:rsid w:val="2AB27082"/>
    <w:rsid w:val="2AB27175"/>
    <w:rsid w:val="2AB50F6F"/>
    <w:rsid w:val="2AB56C65"/>
    <w:rsid w:val="2ABE39B7"/>
    <w:rsid w:val="2ABE5B1A"/>
    <w:rsid w:val="2ABF1892"/>
    <w:rsid w:val="2AC404A2"/>
    <w:rsid w:val="2AC85DB9"/>
    <w:rsid w:val="2AC86999"/>
    <w:rsid w:val="2ACB0237"/>
    <w:rsid w:val="2ACD3FAF"/>
    <w:rsid w:val="2AD05060"/>
    <w:rsid w:val="2AD530BE"/>
    <w:rsid w:val="2AD57308"/>
    <w:rsid w:val="2AE17A5A"/>
    <w:rsid w:val="2AE35581"/>
    <w:rsid w:val="2AE66E32"/>
    <w:rsid w:val="2AE77BF2"/>
    <w:rsid w:val="2AED4651"/>
    <w:rsid w:val="2AF13A67"/>
    <w:rsid w:val="2AF23A05"/>
    <w:rsid w:val="2AF51106"/>
    <w:rsid w:val="2AF7727E"/>
    <w:rsid w:val="2AFA03A2"/>
    <w:rsid w:val="2AFC6642"/>
    <w:rsid w:val="2AFD1B33"/>
    <w:rsid w:val="2B046C38"/>
    <w:rsid w:val="2B057BED"/>
    <w:rsid w:val="2B0D0850"/>
    <w:rsid w:val="2B0E58B3"/>
    <w:rsid w:val="2B125E66"/>
    <w:rsid w:val="2B1610F7"/>
    <w:rsid w:val="2B17347C"/>
    <w:rsid w:val="2B177920"/>
    <w:rsid w:val="2B1B6DC7"/>
    <w:rsid w:val="2B1E2A5D"/>
    <w:rsid w:val="2B200583"/>
    <w:rsid w:val="2B203022"/>
    <w:rsid w:val="2B204A27"/>
    <w:rsid w:val="2B2142FB"/>
    <w:rsid w:val="2B221BC3"/>
    <w:rsid w:val="2B241C3B"/>
    <w:rsid w:val="2B253DEB"/>
    <w:rsid w:val="2B272B96"/>
    <w:rsid w:val="2B2D2CA0"/>
    <w:rsid w:val="2B350611"/>
    <w:rsid w:val="2B3E4EAD"/>
    <w:rsid w:val="2B4012D0"/>
    <w:rsid w:val="2B4104F9"/>
    <w:rsid w:val="2B497252"/>
    <w:rsid w:val="2B4D6E9E"/>
    <w:rsid w:val="2B4E46A4"/>
    <w:rsid w:val="2B4F1381"/>
    <w:rsid w:val="2B4F2C16"/>
    <w:rsid w:val="2B51698E"/>
    <w:rsid w:val="2B5327A4"/>
    <w:rsid w:val="2B544CFA"/>
    <w:rsid w:val="2B560448"/>
    <w:rsid w:val="2B58197D"/>
    <w:rsid w:val="2B5B432E"/>
    <w:rsid w:val="2B5D7831"/>
    <w:rsid w:val="2B620B9B"/>
    <w:rsid w:val="2B6834F4"/>
    <w:rsid w:val="2B6B3768"/>
    <w:rsid w:val="2B726905"/>
    <w:rsid w:val="2B7911B5"/>
    <w:rsid w:val="2B7938DE"/>
    <w:rsid w:val="2B793AD0"/>
    <w:rsid w:val="2B795EE5"/>
    <w:rsid w:val="2B7B1450"/>
    <w:rsid w:val="2B7B6506"/>
    <w:rsid w:val="2B7B706C"/>
    <w:rsid w:val="2B850EC3"/>
    <w:rsid w:val="2B894A5C"/>
    <w:rsid w:val="2B8A1EA0"/>
    <w:rsid w:val="2B8C705D"/>
    <w:rsid w:val="2B8D373E"/>
    <w:rsid w:val="2B8F395A"/>
    <w:rsid w:val="2B8F74B6"/>
    <w:rsid w:val="2B9176D3"/>
    <w:rsid w:val="2B935484"/>
    <w:rsid w:val="2B960845"/>
    <w:rsid w:val="2B991AB0"/>
    <w:rsid w:val="2B99227F"/>
    <w:rsid w:val="2B9F3B9D"/>
    <w:rsid w:val="2BA03BB7"/>
    <w:rsid w:val="2BA240E7"/>
    <w:rsid w:val="2BA56CDA"/>
    <w:rsid w:val="2BA64D6D"/>
    <w:rsid w:val="2BA936A8"/>
    <w:rsid w:val="2BAD5B8F"/>
    <w:rsid w:val="2BAF1907"/>
    <w:rsid w:val="2BAF7B59"/>
    <w:rsid w:val="2BB313F7"/>
    <w:rsid w:val="2BB331A5"/>
    <w:rsid w:val="2BB46F1D"/>
    <w:rsid w:val="2BB673E4"/>
    <w:rsid w:val="2BC5112A"/>
    <w:rsid w:val="2BD2547C"/>
    <w:rsid w:val="2BD3734B"/>
    <w:rsid w:val="2BD4031B"/>
    <w:rsid w:val="2BD42D6E"/>
    <w:rsid w:val="2BD80E5D"/>
    <w:rsid w:val="2BD8301C"/>
    <w:rsid w:val="2BDE4899"/>
    <w:rsid w:val="2BE544EF"/>
    <w:rsid w:val="2BE61D13"/>
    <w:rsid w:val="2BEA3064"/>
    <w:rsid w:val="2BEC2B5B"/>
    <w:rsid w:val="2BEE242F"/>
    <w:rsid w:val="2BEF7DBE"/>
    <w:rsid w:val="2BF043F9"/>
    <w:rsid w:val="2BF81500"/>
    <w:rsid w:val="2BF81D4F"/>
    <w:rsid w:val="2BFA7026"/>
    <w:rsid w:val="2BFB2D9E"/>
    <w:rsid w:val="2BFD736F"/>
    <w:rsid w:val="2C034392"/>
    <w:rsid w:val="2C047EA4"/>
    <w:rsid w:val="2C0A158E"/>
    <w:rsid w:val="2C0C4151"/>
    <w:rsid w:val="2C0C4FAB"/>
    <w:rsid w:val="2C1105D9"/>
    <w:rsid w:val="2C145DF7"/>
    <w:rsid w:val="2C153E60"/>
    <w:rsid w:val="2C172FEB"/>
    <w:rsid w:val="2C1D2D14"/>
    <w:rsid w:val="2C2220D9"/>
    <w:rsid w:val="2C264CFB"/>
    <w:rsid w:val="2C272CD7"/>
    <w:rsid w:val="2C2C11A9"/>
    <w:rsid w:val="2C2E6CCF"/>
    <w:rsid w:val="2C2F7B89"/>
    <w:rsid w:val="2C3047F6"/>
    <w:rsid w:val="2C315A5A"/>
    <w:rsid w:val="2C32277E"/>
    <w:rsid w:val="2C3712E3"/>
    <w:rsid w:val="2C3D6F12"/>
    <w:rsid w:val="2C3E76DB"/>
    <w:rsid w:val="2C4341EE"/>
    <w:rsid w:val="2C4552CD"/>
    <w:rsid w:val="2C491D5B"/>
    <w:rsid w:val="2C49508A"/>
    <w:rsid w:val="2C4B1C25"/>
    <w:rsid w:val="2C4B5AD3"/>
    <w:rsid w:val="2C4E2ECE"/>
    <w:rsid w:val="2C507E91"/>
    <w:rsid w:val="2C574478"/>
    <w:rsid w:val="2C5801F0"/>
    <w:rsid w:val="2C5C383D"/>
    <w:rsid w:val="2C5D5F96"/>
    <w:rsid w:val="2C602C01"/>
    <w:rsid w:val="2C603747"/>
    <w:rsid w:val="2C63728C"/>
    <w:rsid w:val="2C646B95"/>
    <w:rsid w:val="2C66290D"/>
    <w:rsid w:val="2C6D40D2"/>
    <w:rsid w:val="2C7548FE"/>
    <w:rsid w:val="2C76719D"/>
    <w:rsid w:val="2C7843EE"/>
    <w:rsid w:val="2C7E7E62"/>
    <w:rsid w:val="2C804AD2"/>
    <w:rsid w:val="2C8114F5"/>
    <w:rsid w:val="2C835CA7"/>
    <w:rsid w:val="2C837613"/>
    <w:rsid w:val="2C862667"/>
    <w:rsid w:val="2C8763E0"/>
    <w:rsid w:val="2C8965FC"/>
    <w:rsid w:val="2C8B5ED0"/>
    <w:rsid w:val="2C8D7E9A"/>
    <w:rsid w:val="2C934D84"/>
    <w:rsid w:val="2C96444C"/>
    <w:rsid w:val="2C99503A"/>
    <w:rsid w:val="2C9C273B"/>
    <w:rsid w:val="2C9E0453"/>
    <w:rsid w:val="2CA13945"/>
    <w:rsid w:val="2CA3243C"/>
    <w:rsid w:val="2CAB6572"/>
    <w:rsid w:val="2CAC6A1D"/>
    <w:rsid w:val="2CB25B52"/>
    <w:rsid w:val="2CB266F9"/>
    <w:rsid w:val="2CB3205B"/>
    <w:rsid w:val="2CB41783"/>
    <w:rsid w:val="2CB74F17"/>
    <w:rsid w:val="2CB9597D"/>
    <w:rsid w:val="2CBD2850"/>
    <w:rsid w:val="2CBE44F7"/>
    <w:rsid w:val="2CBE62A5"/>
    <w:rsid w:val="2CC246A5"/>
    <w:rsid w:val="2CC807E2"/>
    <w:rsid w:val="2CC82306"/>
    <w:rsid w:val="2CCA0EA5"/>
    <w:rsid w:val="2CCA71A9"/>
    <w:rsid w:val="2CCE4B2D"/>
    <w:rsid w:val="2CD23AFF"/>
    <w:rsid w:val="2CDA2A75"/>
    <w:rsid w:val="2CDC6627"/>
    <w:rsid w:val="2CDF621C"/>
    <w:rsid w:val="2CE43832"/>
    <w:rsid w:val="2CE4621E"/>
    <w:rsid w:val="2CE51089"/>
    <w:rsid w:val="2CE657FC"/>
    <w:rsid w:val="2CED0939"/>
    <w:rsid w:val="2CF2754A"/>
    <w:rsid w:val="2CF5626A"/>
    <w:rsid w:val="2CFC6ACF"/>
    <w:rsid w:val="2D0A5983"/>
    <w:rsid w:val="2D0B4249"/>
    <w:rsid w:val="2D0F08AF"/>
    <w:rsid w:val="2D102669"/>
    <w:rsid w:val="2D170966"/>
    <w:rsid w:val="2D1C121E"/>
    <w:rsid w:val="2D1D6730"/>
    <w:rsid w:val="2D1F54EF"/>
    <w:rsid w:val="2D200B99"/>
    <w:rsid w:val="2D2A56E9"/>
    <w:rsid w:val="2D2B1E42"/>
    <w:rsid w:val="2D2B1E8D"/>
    <w:rsid w:val="2D2E2197"/>
    <w:rsid w:val="2D303DD5"/>
    <w:rsid w:val="2D346567"/>
    <w:rsid w:val="2D355AC5"/>
    <w:rsid w:val="2D376058"/>
    <w:rsid w:val="2D39592C"/>
    <w:rsid w:val="2D3B5B48"/>
    <w:rsid w:val="2D3C366E"/>
    <w:rsid w:val="2D417AAA"/>
    <w:rsid w:val="2D49431F"/>
    <w:rsid w:val="2D4973F6"/>
    <w:rsid w:val="2D4B16D2"/>
    <w:rsid w:val="2D4D13D7"/>
    <w:rsid w:val="2D4F33A1"/>
    <w:rsid w:val="2D4F6EFD"/>
    <w:rsid w:val="2D510EC7"/>
    <w:rsid w:val="2D53501C"/>
    <w:rsid w:val="2D574004"/>
    <w:rsid w:val="2D57705A"/>
    <w:rsid w:val="2D5E5941"/>
    <w:rsid w:val="2D614E83"/>
    <w:rsid w:val="2D615745"/>
    <w:rsid w:val="2D616C31"/>
    <w:rsid w:val="2D653D1D"/>
    <w:rsid w:val="2D654973"/>
    <w:rsid w:val="2D684463"/>
    <w:rsid w:val="2D6D1917"/>
    <w:rsid w:val="2D713318"/>
    <w:rsid w:val="2D74105A"/>
    <w:rsid w:val="2D7B7CF2"/>
    <w:rsid w:val="2D7D7F0E"/>
    <w:rsid w:val="2D8079FF"/>
    <w:rsid w:val="2D825525"/>
    <w:rsid w:val="2D8661AA"/>
    <w:rsid w:val="2D872B3B"/>
    <w:rsid w:val="2D897692"/>
    <w:rsid w:val="2D9139BA"/>
    <w:rsid w:val="2D91652B"/>
    <w:rsid w:val="2D94757A"/>
    <w:rsid w:val="2D984D48"/>
    <w:rsid w:val="2D9B0395"/>
    <w:rsid w:val="2D9B65E7"/>
    <w:rsid w:val="2D9C4F6B"/>
    <w:rsid w:val="2D9C5EBB"/>
    <w:rsid w:val="2D9C735E"/>
    <w:rsid w:val="2D9E56F5"/>
    <w:rsid w:val="2DA03BFD"/>
    <w:rsid w:val="2DA059AB"/>
    <w:rsid w:val="2DA27975"/>
    <w:rsid w:val="2DA3549B"/>
    <w:rsid w:val="2DAA05D8"/>
    <w:rsid w:val="2DAF3E40"/>
    <w:rsid w:val="2DB256DE"/>
    <w:rsid w:val="2DB34BD9"/>
    <w:rsid w:val="2DB4199E"/>
    <w:rsid w:val="2DB43204"/>
    <w:rsid w:val="2DB66F7C"/>
    <w:rsid w:val="2DBB27E5"/>
    <w:rsid w:val="2DBD655D"/>
    <w:rsid w:val="2DBE4083"/>
    <w:rsid w:val="2DC676FB"/>
    <w:rsid w:val="2DC773DC"/>
    <w:rsid w:val="2DCA2A28"/>
    <w:rsid w:val="2DCE2518"/>
    <w:rsid w:val="2DD2603B"/>
    <w:rsid w:val="2DD45655"/>
    <w:rsid w:val="2DDD275B"/>
    <w:rsid w:val="2DDD3B2A"/>
    <w:rsid w:val="2DDE64D3"/>
    <w:rsid w:val="2DE0224B"/>
    <w:rsid w:val="2DE071B6"/>
    <w:rsid w:val="2DE22FF9"/>
    <w:rsid w:val="2DE24215"/>
    <w:rsid w:val="2DE25FC3"/>
    <w:rsid w:val="2DEB51EC"/>
    <w:rsid w:val="2DF06932"/>
    <w:rsid w:val="2DF52CAD"/>
    <w:rsid w:val="2DFD44B7"/>
    <w:rsid w:val="2DFE26D1"/>
    <w:rsid w:val="2E073170"/>
    <w:rsid w:val="2E0833ED"/>
    <w:rsid w:val="2E0837C3"/>
    <w:rsid w:val="2E0D0F34"/>
    <w:rsid w:val="2E0F0B11"/>
    <w:rsid w:val="2E1168A9"/>
    <w:rsid w:val="2E121023"/>
    <w:rsid w:val="2E176E8B"/>
    <w:rsid w:val="2E183793"/>
    <w:rsid w:val="2E19379E"/>
    <w:rsid w:val="2E19750B"/>
    <w:rsid w:val="2E1F0FC6"/>
    <w:rsid w:val="2E231C4F"/>
    <w:rsid w:val="2E232138"/>
    <w:rsid w:val="2E3507E9"/>
    <w:rsid w:val="2E382087"/>
    <w:rsid w:val="2E3A5DFF"/>
    <w:rsid w:val="2E3A7EB3"/>
    <w:rsid w:val="2E4152A3"/>
    <w:rsid w:val="2E4E0CE7"/>
    <w:rsid w:val="2E525AC4"/>
    <w:rsid w:val="2E5B7B24"/>
    <w:rsid w:val="2E5C5D76"/>
    <w:rsid w:val="2E5D38F8"/>
    <w:rsid w:val="2E60513A"/>
    <w:rsid w:val="2E615B1A"/>
    <w:rsid w:val="2E617F36"/>
    <w:rsid w:val="2E632975"/>
    <w:rsid w:val="2E65662A"/>
    <w:rsid w:val="2E666BF4"/>
    <w:rsid w:val="2E667D00"/>
    <w:rsid w:val="2E667F96"/>
    <w:rsid w:val="2E690493"/>
    <w:rsid w:val="2E7035CF"/>
    <w:rsid w:val="2E70537D"/>
    <w:rsid w:val="2E7110F5"/>
    <w:rsid w:val="2E720143"/>
    <w:rsid w:val="2E731311"/>
    <w:rsid w:val="2E756E38"/>
    <w:rsid w:val="2E766F8E"/>
    <w:rsid w:val="2E7A61FC"/>
    <w:rsid w:val="2E7C6DB5"/>
    <w:rsid w:val="2E7F3812"/>
    <w:rsid w:val="2E821554"/>
    <w:rsid w:val="2E8226AB"/>
    <w:rsid w:val="2E8265D6"/>
    <w:rsid w:val="2E894691"/>
    <w:rsid w:val="2E8B0409"/>
    <w:rsid w:val="2E8B21B7"/>
    <w:rsid w:val="2E8C1A38"/>
    <w:rsid w:val="2E8C5F2F"/>
    <w:rsid w:val="2E921798"/>
    <w:rsid w:val="2E9B6172"/>
    <w:rsid w:val="2EA339A5"/>
    <w:rsid w:val="2EA414CB"/>
    <w:rsid w:val="2EA66346"/>
    <w:rsid w:val="2EA94D33"/>
    <w:rsid w:val="2EAB2859"/>
    <w:rsid w:val="2EAC037F"/>
    <w:rsid w:val="2EAE40F8"/>
    <w:rsid w:val="2EAE7101"/>
    <w:rsid w:val="2EAF4725"/>
    <w:rsid w:val="2EB060C2"/>
    <w:rsid w:val="2EB2312B"/>
    <w:rsid w:val="2EB55486"/>
    <w:rsid w:val="2EB57234"/>
    <w:rsid w:val="2EBA0CEE"/>
    <w:rsid w:val="2EBA484A"/>
    <w:rsid w:val="2EBC6814"/>
    <w:rsid w:val="2EC13E2B"/>
    <w:rsid w:val="2EC76F67"/>
    <w:rsid w:val="2EC8340B"/>
    <w:rsid w:val="2EC90F31"/>
    <w:rsid w:val="2ECA280E"/>
    <w:rsid w:val="2ECB2EFB"/>
    <w:rsid w:val="2ECB7250"/>
    <w:rsid w:val="2ECC245C"/>
    <w:rsid w:val="2ED3590C"/>
    <w:rsid w:val="2ED62DF9"/>
    <w:rsid w:val="2ED718A0"/>
    <w:rsid w:val="2ED973C6"/>
    <w:rsid w:val="2EDF2CF6"/>
    <w:rsid w:val="2EE049D3"/>
    <w:rsid w:val="2EE10029"/>
    <w:rsid w:val="2EE12975"/>
    <w:rsid w:val="2EE23C7A"/>
    <w:rsid w:val="2EE23DA1"/>
    <w:rsid w:val="2EE61AE3"/>
    <w:rsid w:val="2EED10C4"/>
    <w:rsid w:val="2EED2E72"/>
    <w:rsid w:val="2EED420A"/>
    <w:rsid w:val="2EEE0998"/>
    <w:rsid w:val="2EF1464D"/>
    <w:rsid w:val="2EF44200"/>
    <w:rsid w:val="2EF75A9F"/>
    <w:rsid w:val="2EF9691B"/>
    <w:rsid w:val="2EFB6E53"/>
    <w:rsid w:val="2EFF42F5"/>
    <w:rsid w:val="2F0116F1"/>
    <w:rsid w:val="2F034443"/>
    <w:rsid w:val="2F051F6C"/>
    <w:rsid w:val="2F083808"/>
    <w:rsid w:val="2F0B154A"/>
    <w:rsid w:val="2F0E7124"/>
    <w:rsid w:val="2F0F43EF"/>
    <w:rsid w:val="2F103B63"/>
    <w:rsid w:val="2F106B60"/>
    <w:rsid w:val="2F1228D8"/>
    <w:rsid w:val="2F191EB9"/>
    <w:rsid w:val="2F193C67"/>
    <w:rsid w:val="2F1D37C9"/>
    <w:rsid w:val="2F2263C9"/>
    <w:rsid w:val="2F2443BA"/>
    <w:rsid w:val="2F257E9C"/>
    <w:rsid w:val="2F2B74F6"/>
    <w:rsid w:val="2F2E6FE6"/>
    <w:rsid w:val="2F3173B0"/>
    <w:rsid w:val="2F320885"/>
    <w:rsid w:val="2F337E9A"/>
    <w:rsid w:val="2F347BE9"/>
    <w:rsid w:val="2F391C13"/>
    <w:rsid w:val="2F397E65"/>
    <w:rsid w:val="2F3F643D"/>
    <w:rsid w:val="2F472C96"/>
    <w:rsid w:val="2F4811DE"/>
    <w:rsid w:val="2F4821F5"/>
    <w:rsid w:val="2F4961AE"/>
    <w:rsid w:val="2F4C610E"/>
    <w:rsid w:val="2F4F1437"/>
    <w:rsid w:val="2F5527C5"/>
    <w:rsid w:val="2F557AE7"/>
    <w:rsid w:val="2F5702EB"/>
    <w:rsid w:val="2F5910E2"/>
    <w:rsid w:val="2F5A7DDB"/>
    <w:rsid w:val="2F64514D"/>
    <w:rsid w:val="2F6601F3"/>
    <w:rsid w:val="2F693540"/>
    <w:rsid w:val="2F6A44C2"/>
    <w:rsid w:val="2F6D5D61"/>
    <w:rsid w:val="2F6E117A"/>
    <w:rsid w:val="2F6F7D2B"/>
    <w:rsid w:val="2F742566"/>
    <w:rsid w:val="2F797A5E"/>
    <w:rsid w:val="2F81180C"/>
    <w:rsid w:val="2F827DB7"/>
    <w:rsid w:val="2F8310E0"/>
    <w:rsid w:val="2F874408"/>
    <w:rsid w:val="2F8A06C1"/>
    <w:rsid w:val="2F8A246F"/>
    <w:rsid w:val="2F8B4A44"/>
    <w:rsid w:val="2F8C268B"/>
    <w:rsid w:val="2F8D01B1"/>
    <w:rsid w:val="2F8D6403"/>
    <w:rsid w:val="2F926239"/>
    <w:rsid w:val="2F950E14"/>
    <w:rsid w:val="2F961436"/>
    <w:rsid w:val="2F971030"/>
    <w:rsid w:val="2F972DDE"/>
    <w:rsid w:val="2F997734"/>
    <w:rsid w:val="2F9A0BC9"/>
    <w:rsid w:val="2F9B6AC0"/>
    <w:rsid w:val="2F9E23BE"/>
    <w:rsid w:val="2FA03738"/>
    <w:rsid w:val="2FA06136"/>
    <w:rsid w:val="2FA23A9F"/>
    <w:rsid w:val="2FA572A9"/>
    <w:rsid w:val="2FA63021"/>
    <w:rsid w:val="2FAF36E9"/>
    <w:rsid w:val="2FAF6379"/>
    <w:rsid w:val="2FB84BD7"/>
    <w:rsid w:val="2FB92D54"/>
    <w:rsid w:val="2FBB2F70"/>
    <w:rsid w:val="2FBD105F"/>
    <w:rsid w:val="2FC16254"/>
    <w:rsid w:val="2FC736C3"/>
    <w:rsid w:val="2FC82F97"/>
    <w:rsid w:val="2FCA31B3"/>
    <w:rsid w:val="2FCB7D9B"/>
    <w:rsid w:val="2FCF07C9"/>
    <w:rsid w:val="2FD065E6"/>
    <w:rsid w:val="2FD967F9"/>
    <w:rsid w:val="2FD96870"/>
    <w:rsid w:val="2FDA5D83"/>
    <w:rsid w:val="2FDA7D46"/>
    <w:rsid w:val="2FE74BAE"/>
    <w:rsid w:val="2FF16992"/>
    <w:rsid w:val="2FF16E7B"/>
    <w:rsid w:val="2FF3270A"/>
    <w:rsid w:val="2FF42F0C"/>
    <w:rsid w:val="2FF67B04"/>
    <w:rsid w:val="2FF7032D"/>
    <w:rsid w:val="2FF95846"/>
    <w:rsid w:val="2FFC3120"/>
    <w:rsid w:val="2FFD0B19"/>
    <w:rsid w:val="300264A9"/>
    <w:rsid w:val="30085A89"/>
    <w:rsid w:val="300A212D"/>
    <w:rsid w:val="300C37CC"/>
    <w:rsid w:val="300E30A0"/>
    <w:rsid w:val="300F506A"/>
    <w:rsid w:val="30136908"/>
    <w:rsid w:val="30161909"/>
    <w:rsid w:val="30180474"/>
    <w:rsid w:val="301B06FA"/>
    <w:rsid w:val="301D7787"/>
    <w:rsid w:val="30224607"/>
    <w:rsid w:val="30247B0A"/>
    <w:rsid w:val="30247D84"/>
    <w:rsid w:val="302723B3"/>
    <w:rsid w:val="30274161"/>
    <w:rsid w:val="3029612C"/>
    <w:rsid w:val="30336FAA"/>
    <w:rsid w:val="30354AD0"/>
    <w:rsid w:val="304271ED"/>
    <w:rsid w:val="304545E8"/>
    <w:rsid w:val="30466CDD"/>
    <w:rsid w:val="3049057C"/>
    <w:rsid w:val="30507EA7"/>
    <w:rsid w:val="305129F5"/>
    <w:rsid w:val="30573707"/>
    <w:rsid w:val="30580BC9"/>
    <w:rsid w:val="305A416F"/>
    <w:rsid w:val="305E198D"/>
    <w:rsid w:val="305E56A9"/>
    <w:rsid w:val="30601421"/>
    <w:rsid w:val="306C6195"/>
    <w:rsid w:val="306C7DC6"/>
    <w:rsid w:val="306D38DE"/>
    <w:rsid w:val="306E3B3E"/>
    <w:rsid w:val="3070471D"/>
    <w:rsid w:val="30782C0F"/>
    <w:rsid w:val="307B625B"/>
    <w:rsid w:val="307F7AFA"/>
    <w:rsid w:val="308159CF"/>
    <w:rsid w:val="30841188"/>
    <w:rsid w:val="30850E88"/>
    <w:rsid w:val="308A649E"/>
    <w:rsid w:val="308C0468"/>
    <w:rsid w:val="308E5F8F"/>
    <w:rsid w:val="30900751"/>
    <w:rsid w:val="30915D32"/>
    <w:rsid w:val="3091782D"/>
    <w:rsid w:val="30957FD9"/>
    <w:rsid w:val="309978F6"/>
    <w:rsid w:val="309A0DD7"/>
    <w:rsid w:val="309A4933"/>
    <w:rsid w:val="309D2676"/>
    <w:rsid w:val="309D61D2"/>
    <w:rsid w:val="30B132E9"/>
    <w:rsid w:val="30B32426"/>
    <w:rsid w:val="30B67293"/>
    <w:rsid w:val="30BF25EC"/>
    <w:rsid w:val="30BF6A5E"/>
    <w:rsid w:val="30C15302"/>
    <w:rsid w:val="30C27C62"/>
    <w:rsid w:val="30C416F4"/>
    <w:rsid w:val="30C41A60"/>
    <w:rsid w:val="30C45E54"/>
    <w:rsid w:val="30CE0A81"/>
    <w:rsid w:val="30CE282F"/>
    <w:rsid w:val="30D10890"/>
    <w:rsid w:val="30D50061"/>
    <w:rsid w:val="30D51E0F"/>
    <w:rsid w:val="30D8545C"/>
    <w:rsid w:val="30E107B4"/>
    <w:rsid w:val="30E23757"/>
    <w:rsid w:val="30E402A4"/>
    <w:rsid w:val="30E42146"/>
    <w:rsid w:val="30E6401D"/>
    <w:rsid w:val="30F009F7"/>
    <w:rsid w:val="30F10937"/>
    <w:rsid w:val="30F3694F"/>
    <w:rsid w:val="30F524B2"/>
    <w:rsid w:val="31046251"/>
    <w:rsid w:val="31061FC9"/>
    <w:rsid w:val="31085D41"/>
    <w:rsid w:val="31091AB9"/>
    <w:rsid w:val="310A66F2"/>
    <w:rsid w:val="310D3357"/>
    <w:rsid w:val="310E0E7D"/>
    <w:rsid w:val="310F0A0C"/>
    <w:rsid w:val="31101099"/>
    <w:rsid w:val="31102E48"/>
    <w:rsid w:val="31165274"/>
    <w:rsid w:val="311961A0"/>
    <w:rsid w:val="311E2ED7"/>
    <w:rsid w:val="312608BD"/>
    <w:rsid w:val="31271F3F"/>
    <w:rsid w:val="31295CB7"/>
    <w:rsid w:val="312C2756"/>
    <w:rsid w:val="312D1C4B"/>
    <w:rsid w:val="312E1520"/>
    <w:rsid w:val="313308E4"/>
    <w:rsid w:val="31350B00"/>
    <w:rsid w:val="313F7327"/>
    <w:rsid w:val="31411253"/>
    <w:rsid w:val="31462D0D"/>
    <w:rsid w:val="314A1AEA"/>
    <w:rsid w:val="314B20D2"/>
    <w:rsid w:val="3150593A"/>
    <w:rsid w:val="31530B32"/>
    <w:rsid w:val="315619EE"/>
    <w:rsid w:val="31570A76"/>
    <w:rsid w:val="315728F1"/>
    <w:rsid w:val="315840B2"/>
    <w:rsid w:val="315C449C"/>
    <w:rsid w:val="315C7E3B"/>
    <w:rsid w:val="316513E5"/>
    <w:rsid w:val="31666F0B"/>
    <w:rsid w:val="31692558"/>
    <w:rsid w:val="31716CC5"/>
    <w:rsid w:val="31717D8A"/>
    <w:rsid w:val="3173284C"/>
    <w:rsid w:val="317433D6"/>
    <w:rsid w:val="3176144A"/>
    <w:rsid w:val="317667A4"/>
    <w:rsid w:val="317909ED"/>
    <w:rsid w:val="317A4765"/>
    <w:rsid w:val="317C672F"/>
    <w:rsid w:val="317E209A"/>
    <w:rsid w:val="317E6DB6"/>
    <w:rsid w:val="317F5B05"/>
    <w:rsid w:val="31813D45"/>
    <w:rsid w:val="3183186B"/>
    <w:rsid w:val="31845310"/>
    <w:rsid w:val="31886E82"/>
    <w:rsid w:val="31903F88"/>
    <w:rsid w:val="3192385D"/>
    <w:rsid w:val="31945827"/>
    <w:rsid w:val="319475D5"/>
    <w:rsid w:val="31975317"/>
    <w:rsid w:val="3199108F"/>
    <w:rsid w:val="319C0B7F"/>
    <w:rsid w:val="319F1D83"/>
    <w:rsid w:val="31A0241D"/>
    <w:rsid w:val="31A17F44"/>
    <w:rsid w:val="31AB53D1"/>
    <w:rsid w:val="31AC0DC2"/>
    <w:rsid w:val="31AF08B2"/>
    <w:rsid w:val="31B45EC9"/>
    <w:rsid w:val="31B82709"/>
    <w:rsid w:val="31B9703B"/>
    <w:rsid w:val="31BE162D"/>
    <w:rsid w:val="31C143D8"/>
    <w:rsid w:val="31C205E6"/>
    <w:rsid w:val="31C3435E"/>
    <w:rsid w:val="31C679AA"/>
    <w:rsid w:val="31CC4FC0"/>
    <w:rsid w:val="31CE47F4"/>
    <w:rsid w:val="31D05482"/>
    <w:rsid w:val="31D47C7D"/>
    <w:rsid w:val="31D60C88"/>
    <w:rsid w:val="31D65E3F"/>
    <w:rsid w:val="31D837E0"/>
    <w:rsid w:val="31DB16A7"/>
    <w:rsid w:val="31E56082"/>
    <w:rsid w:val="31EC11BC"/>
    <w:rsid w:val="31EF1DF2"/>
    <w:rsid w:val="31F14470"/>
    <w:rsid w:val="31F14A27"/>
    <w:rsid w:val="31F6028F"/>
    <w:rsid w:val="31F84007"/>
    <w:rsid w:val="31F8779D"/>
    <w:rsid w:val="31FE795F"/>
    <w:rsid w:val="3201709B"/>
    <w:rsid w:val="32036954"/>
    <w:rsid w:val="320504D2"/>
    <w:rsid w:val="32075721"/>
    <w:rsid w:val="320C360F"/>
    <w:rsid w:val="320C6C70"/>
    <w:rsid w:val="320D76EB"/>
    <w:rsid w:val="32130E41"/>
    <w:rsid w:val="32144BB9"/>
    <w:rsid w:val="32194741"/>
    <w:rsid w:val="321B1AA4"/>
    <w:rsid w:val="321E77E6"/>
    <w:rsid w:val="32201157"/>
    <w:rsid w:val="3220355E"/>
    <w:rsid w:val="32203575"/>
    <w:rsid w:val="3220530C"/>
    <w:rsid w:val="32244DFC"/>
    <w:rsid w:val="32246E7D"/>
    <w:rsid w:val="322D4518"/>
    <w:rsid w:val="32311C9E"/>
    <w:rsid w:val="32364B30"/>
    <w:rsid w:val="323B0398"/>
    <w:rsid w:val="323B2495"/>
    <w:rsid w:val="323C660D"/>
    <w:rsid w:val="323C7542"/>
    <w:rsid w:val="323D7C6C"/>
    <w:rsid w:val="32400B34"/>
    <w:rsid w:val="3240150B"/>
    <w:rsid w:val="32432DA9"/>
    <w:rsid w:val="32452FC5"/>
    <w:rsid w:val="32476D3D"/>
    <w:rsid w:val="32483869"/>
    <w:rsid w:val="3248523C"/>
    <w:rsid w:val="324A2731"/>
    <w:rsid w:val="324A4137"/>
    <w:rsid w:val="324D54CA"/>
    <w:rsid w:val="325A04F8"/>
    <w:rsid w:val="325A081E"/>
    <w:rsid w:val="325B2EC3"/>
    <w:rsid w:val="325D030E"/>
    <w:rsid w:val="32614B36"/>
    <w:rsid w:val="32625925"/>
    <w:rsid w:val="32680A63"/>
    <w:rsid w:val="32685F2C"/>
    <w:rsid w:val="32690A61"/>
    <w:rsid w:val="326A2A2B"/>
    <w:rsid w:val="326B7C1E"/>
    <w:rsid w:val="32700042"/>
    <w:rsid w:val="3273368E"/>
    <w:rsid w:val="32734AB3"/>
    <w:rsid w:val="32747F69"/>
    <w:rsid w:val="32785148"/>
    <w:rsid w:val="32790222"/>
    <w:rsid w:val="327D275F"/>
    <w:rsid w:val="32851613"/>
    <w:rsid w:val="3287538B"/>
    <w:rsid w:val="32883C32"/>
    <w:rsid w:val="32894C60"/>
    <w:rsid w:val="328F2C68"/>
    <w:rsid w:val="3292066C"/>
    <w:rsid w:val="32931F82"/>
    <w:rsid w:val="3293788C"/>
    <w:rsid w:val="329B1059"/>
    <w:rsid w:val="329D4BAF"/>
    <w:rsid w:val="329E6876"/>
    <w:rsid w:val="32A45F3D"/>
    <w:rsid w:val="32A54423"/>
    <w:rsid w:val="32AC6BA0"/>
    <w:rsid w:val="32AE428F"/>
    <w:rsid w:val="32AE71B3"/>
    <w:rsid w:val="32B01391"/>
    <w:rsid w:val="32B37F2E"/>
    <w:rsid w:val="32B67A1F"/>
    <w:rsid w:val="32BD0BEB"/>
    <w:rsid w:val="32BD3E12"/>
    <w:rsid w:val="32C0264B"/>
    <w:rsid w:val="32C21624"/>
    <w:rsid w:val="32C24615"/>
    <w:rsid w:val="32C5265C"/>
    <w:rsid w:val="32C57C62"/>
    <w:rsid w:val="32C65EB4"/>
    <w:rsid w:val="32CB171C"/>
    <w:rsid w:val="32CC2C84"/>
    <w:rsid w:val="32CC3DA8"/>
    <w:rsid w:val="32CE2FBA"/>
    <w:rsid w:val="32CF4F6A"/>
    <w:rsid w:val="32D07EF0"/>
    <w:rsid w:val="32D3237F"/>
    <w:rsid w:val="32D3784A"/>
    <w:rsid w:val="32D65578"/>
    <w:rsid w:val="32DD144F"/>
    <w:rsid w:val="32DD4FAB"/>
    <w:rsid w:val="32DF2AD1"/>
    <w:rsid w:val="32E0684A"/>
    <w:rsid w:val="32E4633A"/>
    <w:rsid w:val="32E82D23"/>
    <w:rsid w:val="32EA41CD"/>
    <w:rsid w:val="32EB1476"/>
    <w:rsid w:val="32EB2C4E"/>
    <w:rsid w:val="32EF34A0"/>
    <w:rsid w:val="32F36EE6"/>
    <w:rsid w:val="32F80037"/>
    <w:rsid w:val="32FA790B"/>
    <w:rsid w:val="32FD564D"/>
    <w:rsid w:val="32FD73FC"/>
    <w:rsid w:val="33044236"/>
    <w:rsid w:val="330664FD"/>
    <w:rsid w:val="330D1DD4"/>
    <w:rsid w:val="33100082"/>
    <w:rsid w:val="33181118"/>
    <w:rsid w:val="33185FE3"/>
    <w:rsid w:val="33210C6F"/>
    <w:rsid w:val="33233306"/>
    <w:rsid w:val="33242BDA"/>
    <w:rsid w:val="33296443"/>
    <w:rsid w:val="333015F2"/>
    <w:rsid w:val="333077D1"/>
    <w:rsid w:val="33332E1D"/>
    <w:rsid w:val="33335A2B"/>
    <w:rsid w:val="333559FB"/>
    <w:rsid w:val="3337290D"/>
    <w:rsid w:val="333948D8"/>
    <w:rsid w:val="333B75B5"/>
    <w:rsid w:val="333D3C9C"/>
    <w:rsid w:val="333E040A"/>
    <w:rsid w:val="333F226C"/>
    <w:rsid w:val="33452B3C"/>
    <w:rsid w:val="334B6320"/>
    <w:rsid w:val="33552D94"/>
    <w:rsid w:val="335F5F3F"/>
    <w:rsid w:val="336254B1"/>
    <w:rsid w:val="3364747B"/>
    <w:rsid w:val="33664FA1"/>
    <w:rsid w:val="336B1C9D"/>
    <w:rsid w:val="336B6A5B"/>
    <w:rsid w:val="336D2E31"/>
    <w:rsid w:val="336D632F"/>
    <w:rsid w:val="33745910"/>
    <w:rsid w:val="33745DD9"/>
    <w:rsid w:val="337B35D0"/>
    <w:rsid w:val="33835B53"/>
    <w:rsid w:val="338418CB"/>
    <w:rsid w:val="338673F1"/>
    <w:rsid w:val="33872089"/>
    <w:rsid w:val="33952235"/>
    <w:rsid w:val="33955886"/>
    <w:rsid w:val="339765F6"/>
    <w:rsid w:val="339A2E9C"/>
    <w:rsid w:val="339D31C7"/>
    <w:rsid w:val="33A1247D"/>
    <w:rsid w:val="33A45586"/>
    <w:rsid w:val="33A53D1B"/>
    <w:rsid w:val="33A855B9"/>
    <w:rsid w:val="33AD7074"/>
    <w:rsid w:val="33AE5C63"/>
    <w:rsid w:val="33B72DF3"/>
    <w:rsid w:val="33B95A18"/>
    <w:rsid w:val="33BA05EA"/>
    <w:rsid w:val="33BA52ED"/>
    <w:rsid w:val="33BB353F"/>
    <w:rsid w:val="33BE6B8B"/>
    <w:rsid w:val="33BF0F95"/>
    <w:rsid w:val="33C23925"/>
    <w:rsid w:val="33C57F19"/>
    <w:rsid w:val="33C817B8"/>
    <w:rsid w:val="33C86F17"/>
    <w:rsid w:val="33C87A09"/>
    <w:rsid w:val="33CA19D4"/>
    <w:rsid w:val="33CA638A"/>
    <w:rsid w:val="33CF62A2"/>
    <w:rsid w:val="33D343FB"/>
    <w:rsid w:val="33D4015C"/>
    <w:rsid w:val="33D934D4"/>
    <w:rsid w:val="33D95773"/>
    <w:rsid w:val="33DC5263"/>
    <w:rsid w:val="33DD1095"/>
    <w:rsid w:val="33E3258B"/>
    <w:rsid w:val="33E4629B"/>
    <w:rsid w:val="33E6116E"/>
    <w:rsid w:val="33E660E2"/>
    <w:rsid w:val="33E81E5A"/>
    <w:rsid w:val="33EA03B1"/>
    <w:rsid w:val="33EB36F8"/>
    <w:rsid w:val="33F40A22"/>
    <w:rsid w:val="33F508A6"/>
    <w:rsid w:val="33F54F4C"/>
    <w:rsid w:val="33F97DCE"/>
    <w:rsid w:val="33FE2F6A"/>
    <w:rsid w:val="33FE78CF"/>
    <w:rsid w:val="34006E6F"/>
    <w:rsid w:val="340273BB"/>
    <w:rsid w:val="34030A42"/>
    <w:rsid w:val="340551E6"/>
    <w:rsid w:val="340E07E5"/>
    <w:rsid w:val="34111C62"/>
    <w:rsid w:val="3412737F"/>
    <w:rsid w:val="341B3FDD"/>
    <w:rsid w:val="341D359D"/>
    <w:rsid w:val="341E587B"/>
    <w:rsid w:val="341F0841"/>
    <w:rsid w:val="342015F4"/>
    <w:rsid w:val="342033A2"/>
    <w:rsid w:val="34235BF7"/>
    <w:rsid w:val="3424001A"/>
    <w:rsid w:val="34272982"/>
    <w:rsid w:val="342A2472"/>
    <w:rsid w:val="342A4220"/>
    <w:rsid w:val="342A667E"/>
    <w:rsid w:val="342C2EA8"/>
    <w:rsid w:val="342E63AB"/>
    <w:rsid w:val="342F1837"/>
    <w:rsid w:val="342F6F7E"/>
    <w:rsid w:val="34307D2E"/>
    <w:rsid w:val="34321327"/>
    <w:rsid w:val="34325F48"/>
    <w:rsid w:val="34380EB8"/>
    <w:rsid w:val="34394463"/>
    <w:rsid w:val="343B422E"/>
    <w:rsid w:val="343B467F"/>
    <w:rsid w:val="343D3360"/>
    <w:rsid w:val="34432ACD"/>
    <w:rsid w:val="34451FE8"/>
    <w:rsid w:val="34480B4A"/>
    <w:rsid w:val="344C2B3A"/>
    <w:rsid w:val="344E7738"/>
    <w:rsid w:val="34525525"/>
    <w:rsid w:val="34533777"/>
    <w:rsid w:val="345602B2"/>
    <w:rsid w:val="345B262C"/>
    <w:rsid w:val="345C0152"/>
    <w:rsid w:val="345D45F6"/>
    <w:rsid w:val="345E211C"/>
    <w:rsid w:val="346239BA"/>
    <w:rsid w:val="346C2A8B"/>
    <w:rsid w:val="34711E4F"/>
    <w:rsid w:val="347831DE"/>
    <w:rsid w:val="34795577"/>
    <w:rsid w:val="347B68EE"/>
    <w:rsid w:val="347F27BE"/>
    <w:rsid w:val="347F411D"/>
    <w:rsid w:val="34802092"/>
    <w:rsid w:val="3483024B"/>
    <w:rsid w:val="348320CD"/>
    <w:rsid w:val="348428C3"/>
    <w:rsid w:val="34847DD4"/>
    <w:rsid w:val="348A6712"/>
    <w:rsid w:val="348B4C3D"/>
    <w:rsid w:val="348D63C4"/>
    <w:rsid w:val="348E0C53"/>
    <w:rsid w:val="348E405B"/>
    <w:rsid w:val="349124F1"/>
    <w:rsid w:val="3491354B"/>
    <w:rsid w:val="34985205"/>
    <w:rsid w:val="349A75F8"/>
    <w:rsid w:val="349F158C"/>
    <w:rsid w:val="349F18F7"/>
    <w:rsid w:val="34A02734"/>
    <w:rsid w:val="34A246FE"/>
    <w:rsid w:val="34A73AC3"/>
    <w:rsid w:val="34A8283C"/>
    <w:rsid w:val="34A918BA"/>
    <w:rsid w:val="34A946DB"/>
    <w:rsid w:val="34B561E0"/>
    <w:rsid w:val="34BA0108"/>
    <w:rsid w:val="34BC5B05"/>
    <w:rsid w:val="34C12DD7"/>
    <w:rsid w:val="34CB3FA2"/>
    <w:rsid w:val="34CE0799"/>
    <w:rsid w:val="34CE2DFE"/>
    <w:rsid w:val="34CF6B76"/>
    <w:rsid w:val="34D45DC3"/>
    <w:rsid w:val="34D50630"/>
    <w:rsid w:val="34D66156"/>
    <w:rsid w:val="34DA3E98"/>
    <w:rsid w:val="34DA79F4"/>
    <w:rsid w:val="34DB376C"/>
    <w:rsid w:val="34DB551B"/>
    <w:rsid w:val="34DF325D"/>
    <w:rsid w:val="34E02B31"/>
    <w:rsid w:val="34E41423"/>
    <w:rsid w:val="34E95C5F"/>
    <w:rsid w:val="34EE524E"/>
    <w:rsid w:val="34FA61E4"/>
    <w:rsid w:val="34FA62E8"/>
    <w:rsid w:val="34FB1589"/>
    <w:rsid w:val="34FD776A"/>
    <w:rsid w:val="35011425"/>
    <w:rsid w:val="3502519D"/>
    <w:rsid w:val="35026E4C"/>
    <w:rsid w:val="35044A71"/>
    <w:rsid w:val="35062223"/>
    <w:rsid w:val="35074561"/>
    <w:rsid w:val="35077950"/>
    <w:rsid w:val="350B0863"/>
    <w:rsid w:val="350C3926"/>
    <w:rsid w:val="35134CB4"/>
    <w:rsid w:val="35142EB6"/>
    <w:rsid w:val="35162806"/>
    <w:rsid w:val="351849C1"/>
    <w:rsid w:val="351A6043"/>
    <w:rsid w:val="351B1D0B"/>
    <w:rsid w:val="35242677"/>
    <w:rsid w:val="35257A9C"/>
    <w:rsid w:val="352D221A"/>
    <w:rsid w:val="35303AB8"/>
    <w:rsid w:val="35335357"/>
    <w:rsid w:val="353A66E5"/>
    <w:rsid w:val="353A75A4"/>
    <w:rsid w:val="353E3686"/>
    <w:rsid w:val="353F3CFB"/>
    <w:rsid w:val="35461722"/>
    <w:rsid w:val="35487FCA"/>
    <w:rsid w:val="354D466A"/>
    <w:rsid w:val="354E7702"/>
    <w:rsid w:val="354F3995"/>
    <w:rsid w:val="3552098C"/>
    <w:rsid w:val="35527ED3"/>
    <w:rsid w:val="355377A7"/>
    <w:rsid w:val="35577297"/>
    <w:rsid w:val="355A0925"/>
    <w:rsid w:val="355A17E5"/>
    <w:rsid w:val="355E512E"/>
    <w:rsid w:val="355F614C"/>
    <w:rsid w:val="35633E8E"/>
    <w:rsid w:val="35661288"/>
    <w:rsid w:val="3566572C"/>
    <w:rsid w:val="356674DA"/>
    <w:rsid w:val="356E2833"/>
    <w:rsid w:val="35700877"/>
    <w:rsid w:val="35702107"/>
    <w:rsid w:val="3572771B"/>
    <w:rsid w:val="35747E49"/>
    <w:rsid w:val="357A2F85"/>
    <w:rsid w:val="357C0AAC"/>
    <w:rsid w:val="357C3982"/>
    <w:rsid w:val="357D4824"/>
    <w:rsid w:val="357E0CC8"/>
    <w:rsid w:val="357F059C"/>
    <w:rsid w:val="358362DE"/>
    <w:rsid w:val="35847960"/>
    <w:rsid w:val="358636D8"/>
    <w:rsid w:val="358838F4"/>
    <w:rsid w:val="358C39DC"/>
    <w:rsid w:val="358C5FA8"/>
    <w:rsid w:val="358E2A76"/>
    <w:rsid w:val="35917DCF"/>
    <w:rsid w:val="3596206B"/>
    <w:rsid w:val="359C5D54"/>
    <w:rsid w:val="359E15E2"/>
    <w:rsid w:val="35A34396"/>
    <w:rsid w:val="35A63D7A"/>
    <w:rsid w:val="35A92FDD"/>
    <w:rsid w:val="35A95619"/>
    <w:rsid w:val="35AA386B"/>
    <w:rsid w:val="35AA676D"/>
    <w:rsid w:val="35B244CD"/>
    <w:rsid w:val="35B36517"/>
    <w:rsid w:val="35B446E9"/>
    <w:rsid w:val="35B73D61"/>
    <w:rsid w:val="35B75F88"/>
    <w:rsid w:val="35BB31A0"/>
    <w:rsid w:val="35BD2012"/>
    <w:rsid w:val="35BD581E"/>
    <w:rsid w:val="35BE2E72"/>
    <w:rsid w:val="35C13290"/>
    <w:rsid w:val="35C15DF1"/>
    <w:rsid w:val="35C34F73"/>
    <w:rsid w:val="35C9758C"/>
    <w:rsid w:val="35CC222B"/>
    <w:rsid w:val="35CE070B"/>
    <w:rsid w:val="35CF5AD7"/>
    <w:rsid w:val="35D90FE6"/>
    <w:rsid w:val="35D94150"/>
    <w:rsid w:val="35DB1B98"/>
    <w:rsid w:val="35E825E5"/>
    <w:rsid w:val="35EF5040"/>
    <w:rsid w:val="35F03248"/>
    <w:rsid w:val="35F80CE6"/>
    <w:rsid w:val="35F8709C"/>
    <w:rsid w:val="35FB7C20"/>
    <w:rsid w:val="35FC7E3E"/>
    <w:rsid w:val="360122AD"/>
    <w:rsid w:val="36062119"/>
    <w:rsid w:val="36074A7F"/>
    <w:rsid w:val="360C2140"/>
    <w:rsid w:val="36131B11"/>
    <w:rsid w:val="36146F36"/>
    <w:rsid w:val="36161226"/>
    <w:rsid w:val="361B6516"/>
    <w:rsid w:val="361C55FE"/>
    <w:rsid w:val="362353CB"/>
    <w:rsid w:val="36240580"/>
    <w:rsid w:val="36284148"/>
    <w:rsid w:val="36325D12"/>
    <w:rsid w:val="36342AA6"/>
    <w:rsid w:val="36392E40"/>
    <w:rsid w:val="363B2C08"/>
    <w:rsid w:val="363E2205"/>
    <w:rsid w:val="3643781B"/>
    <w:rsid w:val="36441C39"/>
    <w:rsid w:val="36454420"/>
    <w:rsid w:val="36455341"/>
    <w:rsid w:val="364C19A6"/>
    <w:rsid w:val="365A0DF6"/>
    <w:rsid w:val="36603F29"/>
    <w:rsid w:val="366330E1"/>
    <w:rsid w:val="3667175C"/>
    <w:rsid w:val="36685234"/>
    <w:rsid w:val="366D4898"/>
    <w:rsid w:val="3676199F"/>
    <w:rsid w:val="3679323D"/>
    <w:rsid w:val="367B6FB5"/>
    <w:rsid w:val="367D0F7F"/>
    <w:rsid w:val="367E011C"/>
    <w:rsid w:val="368564FF"/>
    <w:rsid w:val="36873BAC"/>
    <w:rsid w:val="368A6F17"/>
    <w:rsid w:val="36923549"/>
    <w:rsid w:val="36946BC1"/>
    <w:rsid w:val="36952C22"/>
    <w:rsid w:val="3699568D"/>
    <w:rsid w:val="369B7657"/>
    <w:rsid w:val="369E0EF6"/>
    <w:rsid w:val="36A302BA"/>
    <w:rsid w:val="36A4475E"/>
    <w:rsid w:val="36A90F3F"/>
    <w:rsid w:val="36B145DA"/>
    <w:rsid w:val="36B14785"/>
    <w:rsid w:val="36B75FBF"/>
    <w:rsid w:val="36BB1AA7"/>
    <w:rsid w:val="36BD0C45"/>
    <w:rsid w:val="36C24BE4"/>
    <w:rsid w:val="36C737F5"/>
    <w:rsid w:val="36C80C21"/>
    <w:rsid w:val="36C94D6E"/>
    <w:rsid w:val="36CA136C"/>
    <w:rsid w:val="36CA3A99"/>
    <w:rsid w:val="36D05553"/>
    <w:rsid w:val="36D056D3"/>
    <w:rsid w:val="36D13079"/>
    <w:rsid w:val="36D16BD5"/>
    <w:rsid w:val="36D3294D"/>
    <w:rsid w:val="36D87F64"/>
    <w:rsid w:val="36DD1A1E"/>
    <w:rsid w:val="36E1335F"/>
    <w:rsid w:val="36E2469A"/>
    <w:rsid w:val="36E30F78"/>
    <w:rsid w:val="36E508D2"/>
    <w:rsid w:val="36E55EB3"/>
    <w:rsid w:val="36E7289C"/>
    <w:rsid w:val="36EC1C61"/>
    <w:rsid w:val="36EF4B49"/>
    <w:rsid w:val="36F01AF3"/>
    <w:rsid w:val="36F3182B"/>
    <w:rsid w:val="36F32FEF"/>
    <w:rsid w:val="36F7319D"/>
    <w:rsid w:val="36FF1994"/>
    <w:rsid w:val="370074BA"/>
    <w:rsid w:val="37046FAB"/>
    <w:rsid w:val="37052857"/>
    <w:rsid w:val="37070849"/>
    <w:rsid w:val="37073C7D"/>
    <w:rsid w:val="37113475"/>
    <w:rsid w:val="37182A56"/>
    <w:rsid w:val="3719035C"/>
    <w:rsid w:val="371B2546"/>
    <w:rsid w:val="372155B4"/>
    <w:rsid w:val="37215DAE"/>
    <w:rsid w:val="37227431"/>
    <w:rsid w:val="37285FA6"/>
    <w:rsid w:val="3729127A"/>
    <w:rsid w:val="372C1458"/>
    <w:rsid w:val="37301088"/>
    <w:rsid w:val="37321293"/>
    <w:rsid w:val="37321E9F"/>
    <w:rsid w:val="373667D4"/>
    <w:rsid w:val="373A6E70"/>
    <w:rsid w:val="373D3686"/>
    <w:rsid w:val="37421881"/>
    <w:rsid w:val="37476E97"/>
    <w:rsid w:val="37490E61"/>
    <w:rsid w:val="374C55D7"/>
    <w:rsid w:val="3751494E"/>
    <w:rsid w:val="37521BDE"/>
    <w:rsid w:val="37550108"/>
    <w:rsid w:val="37550E03"/>
    <w:rsid w:val="37555A58"/>
    <w:rsid w:val="3756532C"/>
    <w:rsid w:val="37570366"/>
    <w:rsid w:val="375909AC"/>
    <w:rsid w:val="37590ECC"/>
    <w:rsid w:val="377063EE"/>
    <w:rsid w:val="3771311F"/>
    <w:rsid w:val="37735EDE"/>
    <w:rsid w:val="37737C8C"/>
    <w:rsid w:val="37797999"/>
    <w:rsid w:val="377A726D"/>
    <w:rsid w:val="377C4D93"/>
    <w:rsid w:val="377F4883"/>
    <w:rsid w:val="378105FB"/>
    <w:rsid w:val="37822A57"/>
    <w:rsid w:val="378568C4"/>
    <w:rsid w:val="379320DC"/>
    <w:rsid w:val="379522F8"/>
    <w:rsid w:val="37976071"/>
    <w:rsid w:val="3799691B"/>
    <w:rsid w:val="379F0A81"/>
    <w:rsid w:val="37A53AEF"/>
    <w:rsid w:val="37A60062"/>
    <w:rsid w:val="37A83DDA"/>
    <w:rsid w:val="37AB1B1C"/>
    <w:rsid w:val="37AD13F0"/>
    <w:rsid w:val="37AD5D1F"/>
    <w:rsid w:val="37AF33BA"/>
    <w:rsid w:val="37B00EE0"/>
    <w:rsid w:val="37B247C4"/>
    <w:rsid w:val="37B24C58"/>
    <w:rsid w:val="37B620F4"/>
    <w:rsid w:val="37B7401D"/>
    <w:rsid w:val="37BA1D5F"/>
    <w:rsid w:val="37BF7375"/>
    <w:rsid w:val="37C048C9"/>
    <w:rsid w:val="37C42558"/>
    <w:rsid w:val="37CC02BF"/>
    <w:rsid w:val="37CD35E2"/>
    <w:rsid w:val="37D90437"/>
    <w:rsid w:val="37DA6654"/>
    <w:rsid w:val="37DE08EF"/>
    <w:rsid w:val="37DF7C8D"/>
    <w:rsid w:val="37E00298"/>
    <w:rsid w:val="37E17C90"/>
    <w:rsid w:val="37E42938"/>
    <w:rsid w:val="37E7734E"/>
    <w:rsid w:val="37E85550"/>
    <w:rsid w:val="37E86B3F"/>
    <w:rsid w:val="37EA43F2"/>
    <w:rsid w:val="37EB1F18"/>
    <w:rsid w:val="37EC00D8"/>
    <w:rsid w:val="37ED3EE3"/>
    <w:rsid w:val="37EF0B35"/>
    <w:rsid w:val="37F449ED"/>
    <w:rsid w:val="37F54B45"/>
    <w:rsid w:val="37FA13BA"/>
    <w:rsid w:val="38082ACA"/>
    <w:rsid w:val="380B25BB"/>
    <w:rsid w:val="380B6117"/>
    <w:rsid w:val="380D1E8F"/>
    <w:rsid w:val="38115DC2"/>
    <w:rsid w:val="381256F7"/>
    <w:rsid w:val="38133523"/>
    <w:rsid w:val="381766DF"/>
    <w:rsid w:val="381902C4"/>
    <w:rsid w:val="38191AF8"/>
    <w:rsid w:val="381A45AC"/>
    <w:rsid w:val="381C0324"/>
    <w:rsid w:val="381D4C36"/>
    <w:rsid w:val="3821674A"/>
    <w:rsid w:val="382A0C93"/>
    <w:rsid w:val="382A38F7"/>
    <w:rsid w:val="382C108E"/>
    <w:rsid w:val="382C5349"/>
    <w:rsid w:val="382E44BD"/>
    <w:rsid w:val="382E45C3"/>
    <w:rsid w:val="383218F5"/>
    <w:rsid w:val="38341B11"/>
    <w:rsid w:val="38347D95"/>
    <w:rsid w:val="383E029A"/>
    <w:rsid w:val="383E2AD2"/>
    <w:rsid w:val="38431D54"/>
    <w:rsid w:val="38440A3E"/>
    <w:rsid w:val="38451629"/>
    <w:rsid w:val="38474006"/>
    <w:rsid w:val="384B0C09"/>
    <w:rsid w:val="38516379"/>
    <w:rsid w:val="385201EA"/>
    <w:rsid w:val="38531C3E"/>
    <w:rsid w:val="38545D10"/>
    <w:rsid w:val="38561A88"/>
    <w:rsid w:val="38570F42"/>
    <w:rsid w:val="385E3AFC"/>
    <w:rsid w:val="38637D01"/>
    <w:rsid w:val="386D241A"/>
    <w:rsid w:val="386E3FD5"/>
    <w:rsid w:val="386F48F8"/>
    <w:rsid w:val="38723C9A"/>
    <w:rsid w:val="387719FE"/>
    <w:rsid w:val="387B14EE"/>
    <w:rsid w:val="387D5F26"/>
    <w:rsid w:val="387F2923"/>
    <w:rsid w:val="388008B3"/>
    <w:rsid w:val="38804D57"/>
    <w:rsid w:val="388163D9"/>
    <w:rsid w:val="38821F74"/>
    <w:rsid w:val="38863145"/>
    <w:rsid w:val="388859B9"/>
    <w:rsid w:val="388A3DAE"/>
    <w:rsid w:val="388C54AA"/>
    <w:rsid w:val="388E35F5"/>
    <w:rsid w:val="38910D12"/>
    <w:rsid w:val="3891486E"/>
    <w:rsid w:val="38924C10"/>
    <w:rsid w:val="38971A2F"/>
    <w:rsid w:val="389D0587"/>
    <w:rsid w:val="389F6A9A"/>
    <w:rsid w:val="38A02D03"/>
    <w:rsid w:val="38A10829"/>
    <w:rsid w:val="38A65E3F"/>
    <w:rsid w:val="38A87E0A"/>
    <w:rsid w:val="38AF2F46"/>
    <w:rsid w:val="38B17C88"/>
    <w:rsid w:val="38B302F9"/>
    <w:rsid w:val="38B932B7"/>
    <w:rsid w:val="38BF4662"/>
    <w:rsid w:val="38C06F01"/>
    <w:rsid w:val="38C369F1"/>
    <w:rsid w:val="38C509BB"/>
    <w:rsid w:val="38C5276A"/>
    <w:rsid w:val="38C56C0D"/>
    <w:rsid w:val="38C904AC"/>
    <w:rsid w:val="38CD035A"/>
    <w:rsid w:val="38CD7870"/>
    <w:rsid w:val="38CF183A"/>
    <w:rsid w:val="38D20F7F"/>
    <w:rsid w:val="38D315C7"/>
    <w:rsid w:val="38D32FEC"/>
    <w:rsid w:val="38D40BFF"/>
    <w:rsid w:val="38D66725"/>
    <w:rsid w:val="38D8249D"/>
    <w:rsid w:val="38D86941"/>
    <w:rsid w:val="38D97FC3"/>
    <w:rsid w:val="38DA238F"/>
    <w:rsid w:val="38DE1A7D"/>
    <w:rsid w:val="38E2331B"/>
    <w:rsid w:val="38E250CA"/>
    <w:rsid w:val="38E257DE"/>
    <w:rsid w:val="38E56968"/>
    <w:rsid w:val="38E7059D"/>
    <w:rsid w:val="38E70932"/>
    <w:rsid w:val="38EC46E2"/>
    <w:rsid w:val="38EC7CF6"/>
    <w:rsid w:val="38ED03A5"/>
    <w:rsid w:val="38EF3C8A"/>
    <w:rsid w:val="38F12CD3"/>
    <w:rsid w:val="38F1355F"/>
    <w:rsid w:val="38F31085"/>
    <w:rsid w:val="38F4304F"/>
    <w:rsid w:val="38F65019"/>
    <w:rsid w:val="38F94775"/>
    <w:rsid w:val="38FB618B"/>
    <w:rsid w:val="38FD1F03"/>
    <w:rsid w:val="38FF5DE7"/>
    <w:rsid w:val="3902751A"/>
    <w:rsid w:val="39076B88"/>
    <w:rsid w:val="390C2146"/>
    <w:rsid w:val="390E61D2"/>
    <w:rsid w:val="39121033"/>
    <w:rsid w:val="39124245"/>
    <w:rsid w:val="391334D5"/>
    <w:rsid w:val="391B496D"/>
    <w:rsid w:val="391D7DB8"/>
    <w:rsid w:val="39227BBC"/>
    <w:rsid w:val="3925145A"/>
    <w:rsid w:val="392655DF"/>
    <w:rsid w:val="39294C83"/>
    <w:rsid w:val="392971ED"/>
    <w:rsid w:val="392A081F"/>
    <w:rsid w:val="392B32DA"/>
    <w:rsid w:val="392C0A3B"/>
    <w:rsid w:val="39324E64"/>
    <w:rsid w:val="39325651"/>
    <w:rsid w:val="39331DC9"/>
    <w:rsid w:val="39335925"/>
    <w:rsid w:val="39365415"/>
    <w:rsid w:val="39382F3B"/>
    <w:rsid w:val="39387D98"/>
    <w:rsid w:val="393D1464"/>
    <w:rsid w:val="393D3264"/>
    <w:rsid w:val="393D67A4"/>
    <w:rsid w:val="39427CD9"/>
    <w:rsid w:val="39435185"/>
    <w:rsid w:val="394713D0"/>
    <w:rsid w:val="394A5D8E"/>
    <w:rsid w:val="3950297B"/>
    <w:rsid w:val="39565AB7"/>
    <w:rsid w:val="395D0BF4"/>
    <w:rsid w:val="396226AE"/>
    <w:rsid w:val="3962445C"/>
    <w:rsid w:val="39653AC8"/>
    <w:rsid w:val="39706B79"/>
    <w:rsid w:val="39717338"/>
    <w:rsid w:val="397320CE"/>
    <w:rsid w:val="397544B2"/>
    <w:rsid w:val="39775BEF"/>
    <w:rsid w:val="39795389"/>
    <w:rsid w:val="39822409"/>
    <w:rsid w:val="39893797"/>
    <w:rsid w:val="39897C3B"/>
    <w:rsid w:val="398A0C8C"/>
    <w:rsid w:val="398E0DAD"/>
    <w:rsid w:val="39900A80"/>
    <w:rsid w:val="399124B2"/>
    <w:rsid w:val="39923F83"/>
    <w:rsid w:val="399D0ED2"/>
    <w:rsid w:val="39A03D29"/>
    <w:rsid w:val="39A866C3"/>
    <w:rsid w:val="39A93D32"/>
    <w:rsid w:val="39A93E39"/>
    <w:rsid w:val="39B4306C"/>
    <w:rsid w:val="39B8407C"/>
    <w:rsid w:val="39BA7DF4"/>
    <w:rsid w:val="39BC3B6C"/>
    <w:rsid w:val="39BD1693"/>
    <w:rsid w:val="39BE65F1"/>
    <w:rsid w:val="39C242F3"/>
    <w:rsid w:val="39C3314D"/>
    <w:rsid w:val="39CE564E"/>
    <w:rsid w:val="39D318E6"/>
    <w:rsid w:val="39D54C2E"/>
    <w:rsid w:val="39DC420F"/>
    <w:rsid w:val="39E430C3"/>
    <w:rsid w:val="39E7368D"/>
    <w:rsid w:val="39EA48A9"/>
    <w:rsid w:val="39EE1695"/>
    <w:rsid w:val="39F257E0"/>
    <w:rsid w:val="39F3665B"/>
    <w:rsid w:val="39F8091D"/>
    <w:rsid w:val="39FA22AE"/>
    <w:rsid w:val="39FC665F"/>
    <w:rsid w:val="3A025120"/>
    <w:rsid w:val="3A045D99"/>
    <w:rsid w:val="3A0D2E43"/>
    <w:rsid w:val="3A0E18F3"/>
    <w:rsid w:val="3A0F3616"/>
    <w:rsid w:val="3A145757"/>
    <w:rsid w:val="3A174BD9"/>
    <w:rsid w:val="3A175247"/>
    <w:rsid w:val="3A1763DB"/>
    <w:rsid w:val="3A1854A2"/>
    <w:rsid w:val="3A211C22"/>
    <w:rsid w:val="3A221D1C"/>
    <w:rsid w:val="3A271889"/>
    <w:rsid w:val="3A2B6F44"/>
    <w:rsid w:val="3A2C3751"/>
    <w:rsid w:val="3A350A81"/>
    <w:rsid w:val="3A374711"/>
    <w:rsid w:val="3A3A2CE3"/>
    <w:rsid w:val="3A3E27D3"/>
    <w:rsid w:val="3A3E4582"/>
    <w:rsid w:val="3A3F02FA"/>
    <w:rsid w:val="3A437DEA"/>
    <w:rsid w:val="3A461688"/>
    <w:rsid w:val="3A47779C"/>
    <w:rsid w:val="3A4B4EF0"/>
    <w:rsid w:val="3A4D5E0D"/>
    <w:rsid w:val="3A500759"/>
    <w:rsid w:val="3A59760D"/>
    <w:rsid w:val="3A5C70FE"/>
    <w:rsid w:val="3A5E2E76"/>
    <w:rsid w:val="3A5E69D2"/>
    <w:rsid w:val="3A60099C"/>
    <w:rsid w:val="3A623524"/>
    <w:rsid w:val="3A6268E5"/>
    <w:rsid w:val="3A6A7A6C"/>
    <w:rsid w:val="3A6D7975"/>
    <w:rsid w:val="3A6E719D"/>
    <w:rsid w:val="3A6F5083"/>
    <w:rsid w:val="3A706705"/>
    <w:rsid w:val="3A766F89"/>
    <w:rsid w:val="3A775CE5"/>
    <w:rsid w:val="3A777A93"/>
    <w:rsid w:val="3A782D48"/>
    <w:rsid w:val="3A7B3A28"/>
    <w:rsid w:val="3A7E52C6"/>
    <w:rsid w:val="3A8723CC"/>
    <w:rsid w:val="3A872856"/>
    <w:rsid w:val="3A8B1791"/>
    <w:rsid w:val="3A8B353F"/>
    <w:rsid w:val="3A914FF9"/>
    <w:rsid w:val="3A916DA7"/>
    <w:rsid w:val="3A9337A6"/>
    <w:rsid w:val="3A993EAE"/>
    <w:rsid w:val="3A9F0665"/>
    <w:rsid w:val="3A9F72CE"/>
    <w:rsid w:val="3AA03EA9"/>
    <w:rsid w:val="3AA2741E"/>
    <w:rsid w:val="3AA30888"/>
    <w:rsid w:val="3AA402BD"/>
    <w:rsid w:val="3AA44396"/>
    <w:rsid w:val="3AA74EF8"/>
    <w:rsid w:val="3AAA7E69"/>
    <w:rsid w:val="3AAD7959"/>
    <w:rsid w:val="3AAF722D"/>
    <w:rsid w:val="3AB02FA5"/>
    <w:rsid w:val="3AB038F4"/>
    <w:rsid w:val="3AB23753"/>
    <w:rsid w:val="3AC16F61"/>
    <w:rsid w:val="3AC32A70"/>
    <w:rsid w:val="3AC70A1B"/>
    <w:rsid w:val="3ACC55FF"/>
    <w:rsid w:val="3AD20125"/>
    <w:rsid w:val="3AD9493A"/>
    <w:rsid w:val="3AE07D2F"/>
    <w:rsid w:val="3AE10850"/>
    <w:rsid w:val="3AE72E6B"/>
    <w:rsid w:val="3AE86ABC"/>
    <w:rsid w:val="3AE96748"/>
    <w:rsid w:val="3AF539A8"/>
    <w:rsid w:val="3AFB06C4"/>
    <w:rsid w:val="3AFF6407"/>
    <w:rsid w:val="3B023801"/>
    <w:rsid w:val="3B0532F1"/>
    <w:rsid w:val="3B0A04B5"/>
    <w:rsid w:val="3B0D21A6"/>
    <w:rsid w:val="3B0F23C2"/>
    <w:rsid w:val="3B133C60"/>
    <w:rsid w:val="3B163750"/>
    <w:rsid w:val="3B1669C3"/>
    <w:rsid w:val="3B202B57"/>
    <w:rsid w:val="3B220E06"/>
    <w:rsid w:val="3B233415"/>
    <w:rsid w:val="3B2371FE"/>
    <w:rsid w:val="3B242034"/>
    <w:rsid w:val="3B2447AD"/>
    <w:rsid w:val="3B245E6D"/>
    <w:rsid w:val="3B2C2F74"/>
    <w:rsid w:val="3B2C6AD0"/>
    <w:rsid w:val="3B2D0DE3"/>
    <w:rsid w:val="3B2D45F6"/>
    <w:rsid w:val="3B2E0A9A"/>
    <w:rsid w:val="3B31102A"/>
    <w:rsid w:val="3B312338"/>
    <w:rsid w:val="3B343BD6"/>
    <w:rsid w:val="3B3763D1"/>
    <w:rsid w:val="3B3B6D13"/>
    <w:rsid w:val="3B3D0CDD"/>
    <w:rsid w:val="3B3E6803"/>
    <w:rsid w:val="3B40257B"/>
    <w:rsid w:val="3B4E1CDB"/>
    <w:rsid w:val="3B4E6A46"/>
    <w:rsid w:val="3B506C62"/>
    <w:rsid w:val="3B5878C5"/>
    <w:rsid w:val="3B5B73B5"/>
    <w:rsid w:val="3B5D3DA9"/>
    <w:rsid w:val="3B5F50F7"/>
    <w:rsid w:val="3B651FE2"/>
    <w:rsid w:val="3B653D90"/>
    <w:rsid w:val="3B70021C"/>
    <w:rsid w:val="3B714E2B"/>
    <w:rsid w:val="3B7364AD"/>
    <w:rsid w:val="3B806E1C"/>
    <w:rsid w:val="3B8662B1"/>
    <w:rsid w:val="3B892C45"/>
    <w:rsid w:val="3B8E32E7"/>
    <w:rsid w:val="3B8E745C"/>
    <w:rsid w:val="3B913975"/>
    <w:rsid w:val="3B9701D8"/>
    <w:rsid w:val="3B9D0BB8"/>
    <w:rsid w:val="3B9D2471"/>
    <w:rsid w:val="3B9E4F5D"/>
    <w:rsid w:val="3B9E5263"/>
    <w:rsid w:val="3B9F54F4"/>
    <w:rsid w:val="3BA1126C"/>
    <w:rsid w:val="3BAA6767"/>
    <w:rsid w:val="3BAE5737"/>
    <w:rsid w:val="3BB014AF"/>
    <w:rsid w:val="3BB05953"/>
    <w:rsid w:val="3BB16FD5"/>
    <w:rsid w:val="3BB765CE"/>
    <w:rsid w:val="3BB80364"/>
    <w:rsid w:val="3BBA40DC"/>
    <w:rsid w:val="3BBA4416"/>
    <w:rsid w:val="3BBB41DC"/>
    <w:rsid w:val="3BBC3FE2"/>
    <w:rsid w:val="3BBC60A6"/>
    <w:rsid w:val="3BBD5812"/>
    <w:rsid w:val="3BBF5B96"/>
    <w:rsid w:val="3BC1546A"/>
    <w:rsid w:val="3BC3268F"/>
    <w:rsid w:val="3BC35686"/>
    <w:rsid w:val="3BCD20F5"/>
    <w:rsid w:val="3BD14FA8"/>
    <w:rsid w:val="3BD16FD5"/>
    <w:rsid w:val="3BD3714F"/>
    <w:rsid w:val="3BDB4052"/>
    <w:rsid w:val="3BE253E0"/>
    <w:rsid w:val="3BE436AF"/>
    <w:rsid w:val="3BE949C1"/>
    <w:rsid w:val="3BE9676F"/>
    <w:rsid w:val="3BEB0739"/>
    <w:rsid w:val="3BED2703"/>
    <w:rsid w:val="3BF910A8"/>
    <w:rsid w:val="3BFC05AD"/>
    <w:rsid w:val="3BFC0B7A"/>
    <w:rsid w:val="3BFC52F7"/>
    <w:rsid w:val="3BFD7118"/>
    <w:rsid w:val="3C0126E8"/>
    <w:rsid w:val="3C013414"/>
    <w:rsid w:val="3C0637C5"/>
    <w:rsid w:val="3C067321"/>
    <w:rsid w:val="3C096E11"/>
    <w:rsid w:val="3C0E4427"/>
    <w:rsid w:val="3C0E4792"/>
    <w:rsid w:val="3C15041F"/>
    <w:rsid w:val="3C1557B6"/>
    <w:rsid w:val="3C1E715D"/>
    <w:rsid w:val="3C215B1D"/>
    <w:rsid w:val="3C216D9A"/>
    <w:rsid w:val="3C245D0D"/>
    <w:rsid w:val="3C2C4053"/>
    <w:rsid w:val="3C2F6E1E"/>
    <w:rsid w:val="3C320116"/>
    <w:rsid w:val="3C335C3C"/>
    <w:rsid w:val="3C3C7B42"/>
    <w:rsid w:val="3C3E2F5F"/>
    <w:rsid w:val="3C491519"/>
    <w:rsid w:val="3C4A1903"/>
    <w:rsid w:val="3C4F64BA"/>
    <w:rsid w:val="3C512748"/>
    <w:rsid w:val="3C5207B8"/>
    <w:rsid w:val="3C544530"/>
    <w:rsid w:val="3C5467A1"/>
    <w:rsid w:val="3C54700A"/>
    <w:rsid w:val="3C56250D"/>
    <w:rsid w:val="3C57260B"/>
    <w:rsid w:val="3C583E04"/>
    <w:rsid w:val="3C5938F5"/>
    <w:rsid w:val="3C5F2E1D"/>
    <w:rsid w:val="3C611D6D"/>
    <w:rsid w:val="3C65633F"/>
    <w:rsid w:val="3C6760F3"/>
    <w:rsid w:val="3C6F6D02"/>
    <w:rsid w:val="3C7649A9"/>
    <w:rsid w:val="3C793F97"/>
    <w:rsid w:val="3C8025E4"/>
    <w:rsid w:val="3C814BF9"/>
    <w:rsid w:val="3C854D93"/>
    <w:rsid w:val="3C8A1D00"/>
    <w:rsid w:val="3C8B5A78"/>
    <w:rsid w:val="3C8B7826"/>
    <w:rsid w:val="3C8C1F1C"/>
    <w:rsid w:val="3C8D7A42"/>
    <w:rsid w:val="3C8F37BA"/>
    <w:rsid w:val="3C94492D"/>
    <w:rsid w:val="3C990195"/>
    <w:rsid w:val="3CA01523"/>
    <w:rsid w:val="3CA07775"/>
    <w:rsid w:val="3CA408E8"/>
    <w:rsid w:val="3CA54D8C"/>
    <w:rsid w:val="3CA628B2"/>
    <w:rsid w:val="3CA874EC"/>
    <w:rsid w:val="3CAA05F4"/>
    <w:rsid w:val="3CAB1C76"/>
    <w:rsid w:val="3CAD3C40"/>
    <w:rsid w:val="3CB274A9"/>
    <w:rsid w:val="3CB7061B"/>
    <w:rsid w:val="3CB72B2C"/>
    <w:rsid w:val="3CBE19AA"/>
    <w:rsid w:val="3CC01321"/>
    <w:rsid w:val="3CC15FD2"/>
    <w:rsid w:val="3CC27E1C"/>
    <w:rsid w:val="3CC75F2B"/>
    <w:rsid w:val="3CC97668"/>
    <w:rsid w:val="3CCA034E"/>
    <w:rsid w:val="3CCD42E3"/>
    <w:rsid w:val="3CD15BB0"/>
    <w:rsid w:val="3CDA245A"/>
    <w:rsid w:val="3CDB255C"/>
    <w:rsid w:val="3CDC62D4"/>
    <w:rsid w:val="3CE05DC4"/>
    <w:rsid w:val="3CE138EA"/>
    <w:rsid w:val="3CE25928"/>
    <w:rsid w:val="3CE33B06"/>
    <w:rsid w:val="3CE4770F"/>
    <w:rsid w:val="3CE77DAA"/>
    <w:rsid w:val="3CEC36BA"/>
    <w:rsid w:val="3CEF6007"/>
    <w:rsid w:val="3CF14232"/>
    <w:rsid w:val="3CF14C03"/>
    <w:rsid w:val="3CF205E6"/>
    <w:rsid w:val="3CF37E0D"/>
    <w:rsid w:val="3CF8135F"/>
    <w:rsid w:val="3CFE624A"/>
    <w:rsid w:val="3D006466"/>
    <w:rsid w:val="3D0C4E0B"/>
    <w:rsid w:val="3D11534D"/>
    <w:rsid w:val="3D167A38"/>
    <w:rsid w:val="3D193084"/>
    <w:rsid w:val="3D1D2B74"/>
    <w:rsid w:val="3D1D6D7C"/>
    <w:rsid w:val="3D1E06B7"/>
    <w:rsid w:val="3D1E68EC"/>
    <w:rsid w:val="3D202664"/>
    <w:rsid w:val="3D27522F"/>
    <w:rsid w:val="3D29776B"/>
    <w:rsid w:val="3D2A34E3"/>
    <w:rsid w:val="3D2C725B"/>
    <w:rsid w:val="3D2D6751"/>
    <w:rsid w:val="3D2E33FF"/>
    <w:rsid w:val="3D300312"/>
    <w:rsid w:val="3D3305EA"/>
    <w:rsid w:val="3D3D6D72"/>
    <w:rsid w:val="3D3E0D3C"/>
    <w:rsid w:val="3D3F4383"/>
    <w:rsid w:val="3D436353"/>
    <w:rsid w:val="3D474095"/>
    <w:rsid w:val="3D485234"/>
    <w:rsid w:val="3D4B049C"/>
    <w:rsid w:val="3D4C16AB"/>
    <w:rsid w:val="3D4C3459"/>
    <w:rsid w:val="3D5442EF"/>
    <w:rsid w:val="3D5578D1"/>
    <w:rsid w:val="3D583BAC"/>
    <w:rsid w:val="3D5B18EE"/>
    <w:rsid w:val="3D5D381E"/>
    <w:rsid w:val="3D5E79B7"/>
    <w:rsid w:val="3D6D1ABE"/>
    <w:rsid w:val="3D6E1622"/>
    <w:rsid w:val="3D6E3B94"/>
    <w:rsid w:val="3D736C38"/>
    <w:rsid w:val="3D7824A0"/>
    <w:rsid w:val="3D7927AC"/>
    <w:rsid w:val="3D7A7FC6"/>
    <w:rsid w:val="3D7B3D3F"/>
    <w:rsid w:val="3D7C3A0F"/>
    <w:rsid w:val="3D7E5789"/>
    <w:rsid w:val="3D883B84"/>
    <w:rsid w:val="3D8879B2"/>
    <w:rsid w:val="3D8B48E2"/>
    <w:rsid w:val="3D8C5DA8"/>
    <w:rsid w:val="3D8F3346"/>
    <w:rsid w:val="3D931088"/>
    <w:rsid w:val="3D955418"/>
    <w:rsid w:val="3D962E9A"/>
    <w:rsid w:val="3D98059B"/>
    <w:rsid w:val="3D9A384D"/>
    <w:rsid w:val="3D9E5D28"/>
    <w:rsid w:val="3D9F17DB"/>
    <w:rsid w:val="3D9F7F26"/>
    <w:rsid w:val="3DA037A5"/>
    <w:rsid w:val="3DA063F9"/>
    <w:rsid w:val="3DA2633A"/>
    <w:rsid w:val="3DA9265A"/>
    <w:rsid w:val="3DAA7396"/>
    <w:rsid w:val="3DAB63D2"/>
    <w:rsid w:val="3DB03A43"/>
    <w:rsid w:val="3DB80AEF"/>
    <w:rsid w:val="3DBA03C3"/>
    <w:rsid w:val="3DBB446A"/>
    <w:rsid w:val="3DBF59D9"/>
    <w:rsid w:val="3DC079A3"/>
    <w:rsid w:val="3DC331F6"/>
    <w:rsid w:val="3DC6320C"/>
    <w:rsid w:val="3DC92CFC"/>
    <w:rsid w:val="3DC93E69"/>
    <w:rsid w:val="3DCE3E6E"/>
    <w:rsid w:val="3DD1570D"/>
    <w:rsid w:val="3DD35929"/>
    <w:rsid w:val="3DD57788"/>
    <w:rsid w:val="3DD77995"/>
    <w:rsid w:val="3DD96E06"/>
    <w:rsid w:val="3DE6565C"/>
    <w:rsid w:val="3DE90CA8"/>
    <w:rsid w:val="3DED0E54"/>
    <w:rsid w:val="3DEE2219"/>
    <w:rsid w:val="3DEE2762"/>
    <w:rsid w:val="3DEE4511"/>
    <w:rsid w:val="3DF21B38"/>
    <w:rsid w:val="3DF74E75"/>
    <w:rsid w:val="3DFE37C3"/>
    <w:rsid w:val="3DFF671E"/>
    <w:rsid w:val="3E004D1F"/>
    <w:rsid w:val="3E027EEC"/>
    <w:rsid w:val="3E042C90"/>
    <w:rsid w:val="3E0445C2"/>
    <w:rsid w:val="3E0C07B8"/>
    <w:rsid w:val="3E0D2837"/>
    <w:rsid w:val="3E1026D9"/>
    <w:rsid w:val="3E1321C9"/>
    <w:rsid w:val="3E145064"/>
    <w:rsid w:val="3E183853"/>
    <w:rsid w:val="3E1A42B9"/>
    <w:rsid w:val="3E23069C"/>
    <w:rsid w:val="3E265A58"/>
    <w:rsid w:val="3E287A22"/>
    <w:rsid w:val="3E2B306F"/>
    <w:rsid w:val="3E2B4042"/>
    <w:rsid w:val="3E2D328B"/>
    <w:rsid w:val="3E2E7003"/>
    <w:rsid w:val="3E3839DE"/>
    <w:rsid w:val="3E3A1504"/>
    <w:rsid w:val="3E3B010A"/>
    <w:rsid w:val="3E3B704D"/>
    <w:rsid w:val="3E3E5E27"/>
    <w:rsid w:val="3E3E7246"/>
    <w:rsid w:val="3E4127AD"/>
    <w:rsid w:val="3E416D36"/>
    <w:rsid w:val="3E444130"/>
    <w:rsid w:val="3E492681"/>
    <w:rsid w:val="3E4B3711"/>
    <w:rsid w:val="3E4E4FAF"/>
    <w:rsid w:val="3E533364"/>
    <w:rsid w:val="3E5500EC"/>
    <w:rsid w:val="3E560D75"/>
    <w:rsid w:val="3E5C147A"/>
    <w:rsid w:val="3E5F71BC"/>
    <w:rsid w:val="3E6671E3"/>
    <w:rsid w:val="3E7964D0"/>
    <w:rsid w:val="3E7B4411"/>
    <w:rsid w:val="3E82529D"/>
    <w:rsid w:val="3E886713"/>
    <w:rsid w:val="3E887520"/>
    <w:rsid w:val="3E8D3F69"/>
    <w:rsid w:val="3E8D5AD7"/>
    <w:rsid w:val="3E9230EE"/>
    <w:rsid w:val="3E94330A"/>
    <w:rsid w:val="3E970704"/>
    <w:rsid w:val="3E9926CE"/>
    <w:rsid w:val="3E9C21BE"/>
    <w:rsid w:val="3E9C3F6D"/>
    <w:rsid w:val="3E9F1194"/>
    <w:rsid w:val="3EA50761"/>
    <w:rsid w:val="3EA572C5"/>
    <w:rsid w:val="3EAA36B5"/>
    <w:rsid w:val="3EAB206A"/>
    <w:rsid w:val="3EAD4565"/>
    <w:rsid w:val="3EAE03C5"/>
    <w:rsid w:val="3EB017C6"/>
    <w:rsid w:val="3EB0460B"/>
    <w:rsid w:val="3EC17BBB"/>
    <w:rsid w:val="3EC2309F"/>
    <w:rsid w:val="3EC3599D"/>
    <w:rsid w:val="3EC51324"/>
    <w:rsid w:val="3EC82FB3"/>
    <w:rsid w:val="3EC84510"/>
    <w:rsid w:val="3EC94C8C"/>
    <w:rsid w:val="3ECB4852"/>
    <w:rsid w:val="3ECC01FA"/>
    <w:rsid w:val="3ECD05CA"/>
    <w:rsid w:val="3ED2798E"/>
    <w:rsid w:val="3ED612A7"/>
    <w:rsid w:val="3ED93797"/>
    <w:rsid w:val="3EDA0523"/>
    <w:rsid w:val="3EDB4A95"/>
    <w:rsid w:val="3EDC25BB"/>
    <w:rsid w:val="3EE6168C"/>
    <w:rsid w:val="3EE85004"/>
    <w:rsid w:val="3EE910CD"/>
    <w:rsid w:val="3EED47C8"/>
    <w:rsid w:val="3EEF0540"/>
    <w:rsid w:val="3EF70024"/>
    <w:rsid w:val="3EF773F5"/>
    <w:rsid w:val="3EFC4A0B"/>
    <w:rsid w:val="3EFD4072"/>
    <w:rsid w:val="3F002A75"/>
    <w:rsid w:val="3F010273"/>
    <w:rsid w:val="3F020BAA"/>
    <w:rsid w:val="3F033FEC"/>
    <w:rsid w:val="3F036338"/>
    <w:rsid w:val="3F073ADC"/>
    <w:rsid w:val="3F087868"/>
    <w:rsid w:val="3F126122"/>
    <w:rsid w:val="3F1D4839"/>
    <w:rsid w:val="3F1E75C4"/>
    <w:rsid w:val="3F203985"/>
    <w:rsid w:val="3F204B9E"/>
    <w:rsid w:val="3F20694C"/>
    <w:rsid w:val="3F27785D"/>
    <w:rsid w:val="3F29241E"/>
    <w:rsid w:val="3F2A1578"/>
    <w:rsid w:val="3F2D469B"/>
    <w:rsid w:val="3F310B59"/>
    <w:rsid w:val="3F3146B5"/>
    <w:rsid w:val="3F32667F"/>
    <w:rsid w:val="3F336E77"/>
    <w:rsid w:val="3F3E3276"/>
    <w:rsid w:val="3F400D9C"/>
    <w:rsid w:val="3F422D66"/>
    <w:rsid w:val="3F446ADE"/>
    <w:rsid w:val="3F482E9A"/>
    <w:rsid w:val="3F493445"/>
    <w:rsid w:val="3F4C5993"/>
    <w:rsid w:val="3F4F3FBF"/>
    <w:rsid w:val="3F512FA9"/>
    <w:rsid w:val="3F520ACF"/>
    <w:rsid w:val="3F536D21"/>
    <w:rsid w:val="3F5465F5"/>
    <w:rsid w:val="3F593306"/>
    <w:rsid w:val="3F5F776B"/>
    <w:rsid w:val="3F632CDC"/>
    <w:rsid w:val="3F635767"/>
    <w:rsid w:val="3F695775"/>
    <w:rsid w:val="3F6A0059"/>
    <w:rsid w:val="3F6A7BC7"/>
    <w:rsid w:val="3F6C766D"/>
    <w:rsid w:val="3F6F342F"/>
    <w:rsid w:val="3F7140F5"/>
    <w:rsid w:val="3F714632"/>
    <w:rsid w:val="3F731171"/>
    <w:rsid w:val="3F745A52"/>
    <w:rsid w:val="3F746C97"/>
    <w:rsid w:val="3F780536"/>
    <w:rsid w:val="3F780CFF"/>
    <w:rsid w:val="3F7A2500"/>
    <w:rsid w:val="3F7D0EF1"/>
    <w:rsid w:val="3F7D78FA"/>
    <w:rsid w:val="3F7F7B9C"/>
    <w:rsid w:val="3F80563C"/>
    <w:rsid w:val="3F81108B"/>
    <w:rsid w:val="3F850EA5"/>
    <w:rsid w:val="3F8630EA"/>
    <w:rsid w:val="3F8E5FAB"/>
    <w:rsid w:val="3F8F762D"/>
    <w:rsid w:val="3F9115F7"/>
    <w:rsid w:val="3F9410E8"/>
    <w:rsid w:val="3F9609BC"/>
    <w:rsid w:val="3F9904AC"/>
    <w:rsid w:val="3F996F5F"/>
    <w:rsid w:val="3F9A4950"/>
    <w:rsid w:val="3F9C4784"/>
    <w:rsid w:val="3F9D7F9C"/>
    <w:rsid w:val="3F9E5AC2"/>
    <w:rsid w:val="3FA40226"/>
    <w:rsid w:val="3FA4132B"/>
    <w:rsid w:val="3FA550A3"/>
    <w:rsid w:val="3FA55FE3"/>
    <w:rsid w:val="3FAE03FB"/>
    <w:rsid w:val="3FBB0422"/>
    <w:rsid w:val="3FC03C8B"/>
    <w:rsid w:val="3FC27987"/>
    <w:rsid w:val="3FCB232C"/>
    <w:rsid w:val="3FCD2003"/>
    <w:rsid w:val="3FD029F0"/>
    <w:rsid w:val="3FD140EA"/>
    <w:rsid w:val="3FD4395B"/>
    <w:rsid w:val="3FD55988"/>
    <w:rsid w:val="3FD80FD4"/>
    <w:rsid w:val="3FD829B5"/>
    <w:rsid w:val="3FDB17C4"/>
    <w:rsid w:val="3FDD15DA"/>
    <w:rsid w:val="3FDD65A9"/>
    <w:rsid w:val="3FE03829"/>
    <w:rsid w:val="3FE060DB"/>
    <w:rsid w:val="3FE21909"/>
    <w:rsid w:val="3FE43E1D"/>
    <w:rsid w:val="3FE756BB"/>
    <w:rsid w:val="3FE931E1"/>
    <w:rsid w:val="3FED73CA"/>
    <w:rsid w:val="3FEE07F8"/>
    <w:rsid w:val="3FEF5E51"/>
    <w:rsid w:val="3FF54D05"/>
    <w:rsid w:val="3FF90202"/>
    <w:rsid w:val="4001677D"/>
    <w:rsid w:val="400B75FC"/>
    <w:rsid w:val="40152228"/>
    <w:rsid w:val="40184E0D"/>
    <w:rsid w:val="401A783F"/>
    <w:rsid w:val="401B5EF9"/>
    <w:rsid w:val="401C3B3D"/>
    <w:rsid w:val="401D732F"/>
    <w:rsid w:val="40275AB8"/>
    <w:rsid w:val="40280130"/>
    <w:rsid w:val="402B37FA"/>
    <w:rsid w:val="402E32EA"/>
    <w:rsid w:val="4031423A"/>
    <w:rsid w:val="40371ECC"/>
    <w:rsid w:val="403F4FF6"/>
    <w:rsid w:val="40420597"/>
    <w:rsid w:val="40436D96"/>
    <w:rsid w:val="40451A1A"/>
    <w:rsid w:val="404979C8"/>
    <w:rsid w:val="404B0DBA"/>
    <w:rsid w:val="404C57D3"/>
    <w:rsid w:val="404D1DC4"/>
    <w:rsid w:val="405014B2"/>
    <w:rsid w:val="40512B35"/>
    <w:rsid w:val="40532D51"/>
    <w:rsid w:val="40582115"/>
    <w:rsid w:val="40583EC3"/>
    <w:rsid w:val="405C09FB"/>
    <w:rsid w:val="405D597D"/>
    <w:rsid w:val="40604283"/>
    <w:rsid w:val="40632F94"/>
    <w:rsid w:val="40637475"/>
    <w:rsid w:val="40640ABA"/>
    <w:rsid w:val="40646D0C"/>
    <w:rsid w:val="40677A46"/>
    <w:rsid w:val="40692574"/>
    <w:rsid w:val="407A6407"/>
    <w:rsid w:val="40804C79"/>
    <w:rsid w:val="40827192"/>
    <w:rsid w:val="40833636"/>
    <w:rsid w:val="4084115C"/>
    <w:rsid w:val="40842F0A"/>
    <w:rsid w:val="40874ED6"/>
    <w:rsid w:val="408A49C4"/>
    <w:rsid w:val="408B1CF9"/>
    <w:rsid w:val="408B24EB"/>
    <w:rsid w:val="408B6047"/>
    <w:rsid w:val="408D6263"/>
    <w:rsid w:val="408E37C2"/>
    <w:rsid w:val="40907A7F"/>
    <w:rsid w:val="40925627"/>
    <w:rsid w:val="40952CCB"/>
    <w:rsid w:val="40953369"/>
    <w:rsid w:val="409B4749"/>
    <w:rsid w:val="409D5D7A"/>
    <w:rsid w:val="409E221E"/>
    <w:rsid w:val="40A13ABC"/>
    <w:rsid w:val="40A95282"/>
    <w:rsid w:val="40A95F50"/>
    <w:rsid w:val="40AB493B"/>
    <w:rsid w:val="40B01F51"/>
    <w:rsid w:val="40B03CFF"/>
    <w:rsid w:val="40BA2742"/>
    <w:rsid w:val="40BE641C"/>
    <w:rsid w:val="40C501F6"/>
    <w:rsid w:val="40C526F6"/>
    <w:rsid w:val="40C63523"/>
    <w:rsid w:val="40C6655A"/>
    <w:rsid w:val="40C72BB9"/>
    <w:rsid w:val="40CA3013"/>
    <w:rsid w:val="40CD2B03"/>
    <w:rsid w:val="40D043A1"/>
    <w:rsid w:val="40D048E5"/>
    <w:rsid w:val="40D55514"/>
    <w:rsid w:val="40D739F2"/>
    <w:rsid w:val="40DB1BD1"/>
    <w:rsid w:val="40DD0CD8"/>
    <w:rsid w:val="40DE086C"/>
    <w:rsid w:val="40E439A9"/>
    <w:rsid w:val="40E51376"/>
    <w:rsid w:val="40E816EB"/>
    <w:rsid w:val="40EE50F7"/>
    <w:rsid w:val="40F037F0"/>
    <w:rsid w:val="40F167F2"/>
    <w:rsid w:val="40F24318"/>
    <w:rsid w:val="40F32C22"/>
    <w:rsid w:val="40F33173"/>
    <w:rsid w:val="40FE0F0E"/>
    <w:rsid w:val="40FE77A8"/>
    <w:rsid w:val="41045C9E"/>
    <w:rsid w:val="410A7F0B"/>
    <w:rsid w:val="410B59C4"/>
    <w:rsid w:val="410C0F46"/>
    <w:rsid w:val="410D1152"/>
    <w:rsid w:val="4114603C"/>
    <w:rsid w:val="41160006"/>
    <w:rsid w:val="41161732"/>
    <w:rsid w:val="411617D6"/>
    <w:rsid w:val="411D6D85"/>
    <w:rsid w:val="412169AB"/>
    <w:rsid w:val="412C782A"/>
    <w:rsid w:val="412D35A2"/>
    <w:rsid w:val="41305416"/>
    <w:rsid w:val="41314E40"/>
    <w:rsid w:val="413606A8"/>
    <w:rsid w:val="413628BB"/>
    <w:rsid w:val="41384420"/>
    <w:rsid w:val="41390199"/>
    <w:rsid w:val="413B7A6D"/>
    <w:rsid w:val="414032D5"/>
    <w:rsid w:val="4142704D"/>
    <w:rsid w:val="41436921"/>
    <w:rsid w:val="41443AE3"/>
    <w:rsid w:val="414803DC"/>
    <w:rsid w:val="4153125A"/>
    <w:rsid w:val="415D3E87"/>
    <w:rsid w:val="4162649A"/>
    <w:rsid w:val="41676AB4"/>
    <w:rsid w:val="416C61F3"/>
    <w:rsid w:val="41707CA4"/>
    <w:rsid w:val="417567E6"/>
    <w:rsid w:val="4177481D"/>
    <w:rsid w:val="41781201"/>
    <w:rsid w:val="417D4941"/>
    <w:rsid w:val="41831414"/>
    <w:rsid w:val="418C02C8"/>
    <w:rsid w:val="418D4040"/>
    <w:rsid w:val="418F33EB"/>
    <w:rsid w:val="419378A9"/>
    <w:rsid w:val="41972E35"/>
    <w:rsid w:val="41984EBF"/>
    <w:rsid w:val="41990C37"/>
    <w:rsid w:val="419E624E"/>
    <w:rsid w:val="41A10C51"/>
    <w:rsid w:val="41A71ADF"/>
    <w:rsid w:val="41A90E7A"/>
    <w:rsid w:val="41AF045B"/>
    <w:rsid w:val="41B31CF9"/>
    <w:rsid w:val="41B416DB"/>
    <w:rsid w:val="41BF069E"/>
    <w:rsid w:val="41BF2AD5"/>
    <w:rsid w:val="41C170EB"/>
    <w:rsid w:val="41C71300"/>
    <w:rsid w:val="41CA0DF1"/>
    <w:rsid w:val="41CD3503"/>
    <w:rsid w:val="41CE08E1"/>
    <w:rsid w:val="41D8350E"/>
    <w:rsid w:val="41D91034"/>
    <w:rsid w:val="41E11A8B"/>
    <w:rsid w:val="41E73751"/>
    <w:rsid w:val="41E9396D"/>
    <w:rsid w:val="41EE4ADF"/>
    <w:rsid w:val="41F52311"/>
    <w:rsid w:val="41F84348"/>
    <w:rsid w:val="41F95D97"/>
    <w:rsid w:val="41F964A6"/>
    <w:rsid w:val="41FA7928"/>
    <w:rsid w:val="41FB2D4E"/>
    <w:rsid w:val="41FB77EE"/>
    <w:rsid w:val="41FD11C6"/>
    <w:rsid w:val="41FD569A"/>
    <w:rsid w:val="41FD7266"/>
    <w:rsid w:val="4200449D"/>
    <w:rsid w:val="42072045"/>
    <w:rsid w:val="420C0FB8"/>
    <w:rsid w:val="420D0D4A"/>
    <w:rsid w:val="420E0EA5"/>
    <w:rsid w:val="420E6F2F"/>
    <w:rsid w:val="42134546"/>
    <w:rsid w:val="42141030"/>
    <w:rsid w:val="42162288"/>
    <w:rsid w:val="421730B1"/>
    <w:rsid w:val="421D3616"/>
    <w:rsid w:val="421D53C4"/>
    <w:rsid w:val="421F113C"/>
    <w:rsid w:val="421F738E"/>
    <w:rsid w:val="42210A2F"/>
    <w:rsid w:val="422229DB"/>
    <w:rsid w:val="42224789"/>
    <w:rsid w:val="422363B0"/>
    <w:rsid w:val="422624CB"/>
    <w:rsid w:val="422B5A9B"/>
    <w:rsid w:val="422E0A4B"/>
    <w:rsid w:val="422E137F"/>
    <w:rsid w:val="422E7029"/>
    <w:rsid w:val="42343AD8"/>
    <w:rsid w:val="42363E2C"/>
    <w:rsid w:val="42366486"/>
    <w:rsid w:val="42383FAC"/>
    <w:rsid w:val="423A3BCC"/>
    <w:rsid w:val="423C792D"/>
    <w:rsid w:val="423D5A66"/>
    <w:rsid w:val="42442951"/>
    <w:rsid w:val="42473D85"/>
    <w:rsid w:val="424741EF"/>
    <w:rsid w:val="42482230"/>
    <w:rsid w:val="424C5CAA"/>
    <w:rsid w:val="424D0126"/>
    <w:rsid w:val="424E57D2"/>
    <w:rsid w:val="4251506E"/>
    <w:rsid w:val="42526D83"/>
    <w:rsid w:val="42591699"/>
    <w:rsid w:val="425C413F"/>
    <w:rsid w:val="425F3C2F"/>
    <w:rsid w:val="42614593"/>
    <w:rsid w:val="426254CD"/>
    <w:rsid w:val="42641245"/>
    <w:rsid w:val="42644DA1"/>
    <w:rsid w:val="42664FBD"/>
    <w:rsid w:val="4267663F"/>
    <w:rsid w:val="426D634C"/>
    <w:rsid w:val="426E5C20"/>
    <w:rsid w:val="42734FE4"/>
    <w:rsid w:val="427F1BDB"/>
    <w:rsid w:val="42844B50"/>
    <w:rsid w:val="42857B53"/>
    <w:rsid w:val="428C5620"/>
    <w:rsid w:val="428C60A6"/>
    <w:rsid w:val="428D151C"/>
    <w:rsid w:val="428E1E1E"/>
    <w:rsid w:val="429921E6"/>
    <w:rsid w:val="42A41642"/>
    <w:rsid w:val="42A4609A"/>
    <w:rsid w:val="42A523B0"/>
    <w:rsid w:val="42A67168"/>
    <w:rsid w:val="42A72EE0"/>
    <w:rsid w:val="42A955DC"/>
    <w:rsid w:val="42AA7468"/>
    <w:rsid w:val="42AB0C22"/>
    <w:rsid w:val="42AD2F3D"/>
    <w:rsid w:val="42B26C49"/>
    <w:rsid w:val="42BA0E65"/>
    <w:rsid w:val="42BE43D8"/>
    <w:rsid w:val="42BF647C"/>
    <w:rsid w:val="42C13892"/>
    <w:rsid w:val="42C57116"/>
    <w:rsid w:val="42C615B8"/>
    <w:rsid w:val="42D068DB"/>
    <w:rsid w:val="42D17B5E"/>
    <w:rsid w:val="42D94EA6"/>
    <w:rsid w:val="42DA1507"/>
    <w:rsid w:val="42DC0E67"/>
    <w:rsid w:val="42DF08CC"/>
    <w:rsid w:val="42E44134"/>
    <w:rsid w:val="42E45961"/>
    <w:rsid w:val="42E63A08"/>
    <w:rsid w:val="42ED123B"/>
    <w:rsid w:val="42F205FF"/>
    <w:rsid w:val="42F51E9D"/>
    <w:rsid w:val="42F9198D"/>
    <w:rsid w:val="42FC76D0"/>
    <w:rsid w:val="43016A94"/>
    <w:rsid w:val="430345BA"/>
    <w:rsid w:val="43065E58"/>
    <w:rsid w:val="430A1DED"/>
    <w:rsid w:val="430A35CF"/>
    <w:rsid w:val="430B3B50"/>
    <w:rsid w:val="43101F8E"/>
    <w:rsid w:val="431467C7"/>
    <w:rsid w:val="431C567C"/>
    <w:rsid w:val="431E13F4"/>
    <w:rsid w:val="432307B8"/>
    <w:rsid w:val="432509D4"/>
    <w:rsid w:val="432663D4"/>
    <w:rsid w:val="43274E06"/>
    <w:rsid w:val="432B58BF"/>
    <w:rsid w:val="43324E9F"/>
    <w:rsid w:val="433A6FE6"/>
    <w:rsid w:val="43406226"/>
    <w:rsid w:val="43480868"/>
    <w:rsid w:val="434B7D0F"/>
    <w:rsid w:val="434D1CD9"/>
    <w:rsid w:val="434F15AD"/>
    <w:rsid w:val="434F5A51"/>
    <w:rsid w:val="4350713C"/>
    <w:rsid w:val="435117C9"/>
    <w:rsid w:val="435412BA"/>
    <w:rsid w:val="43544E16"/>
    <w:rsid w:val="43550B47"/>
    <w:rsid w:val="43560D6B"/>
    <w:rsid w:val="43592DB8"/>
    <w:rsid w:val="43650DD1"/>
    <w:rsid w:val="436653E0"/>
    <w:rsid w:val="43675823"/>
    <w:rsid w:val="436F1C50"/>
    <w:rsid w:val="43746A4F"/>
    <w:rsid w:val="43762DAF"/>
    <w:rsid w:val="43784FA8"/>
    <w:rsid w:val="4379487C"/>
    <w:rsid w:val="437B05F4"/>
    <w:rsid w:val="437B23A2"/>
    <w:rsid w:val="437C436D"/>
    <w:rsid w:val="43835153"/>
    <w:rsid w:val="43851473"/>
    <w:rsid w:val="438A50B6"/>
    <w:rsid w:val="438D0328"/>
    <w:rsid w:val="438F22F2"/>
    <w:rsid w:val="43931DE2"/>
    <w:rsid w:val="439873F8"/>
    <w:rsid w:val="43A318F9"/>
    <w:rsid w:val="43A672BC"/>
    <w:rsid w:val="43AF6949"/>
    <w:rsid w:val="43B05F81"/>
    <w:rsid w:val="43B12268"/>
    <w:rsid w:val="43B52ABE"/>
    <w:rsid w:val="43B753A5"/>
    <w:rsid w:val="43BD6E5F"/>
    <w:rsid w:val="43C10182"/>
    <w:rsid w:val="43C4431A"/>
    <w:rsid w:val="43C62D7F"/>
    <w:rsid w:val="43CE3505"/>
    <w:rsid w:val="43D23F8D"/>
    <w:rsid w:val="43D321DE"/>
    <w:rsid w:val="43D32954"/>
    <w:rsid w:val="43D42766"/>
    <w:rsid w:val="43D45F57"/>
    <w:rsid w:val="43D47D05"/>
    <w:rsid w:val="43D9531B"/>
    <w:rsid w:val="43DC5EF9"/>
    <w:rsid w:val="43DD12AF"/>
    <w:rsid w:val="43DD237C"/>
    <w:rsid w:val="43DE6DD5"/>
    <w:rsid w:val="43E02B4D"/>
    <w:rsid w:val="43E11267"/>
    <w:rsid w:val="43E75C8A"/>
    <w:rsid w:val="43EA61D8"/>
    <w:rsid w:val="43EC14F2"/>
    <w:rsid w:val="43F247C7"/>
    <w:rsid w:val="43F9776B"/>
    <w:rsid w:val="43FE33C5"/>
    <w:rsid w:val="44024872"/>
    <w:rsid w:val="440467DA"/>
    <w:rsid w:val="44054362"/>
    <w:rsid w:val="440700DA"/>
    <w:rsid w:val="440853AC"/>
    <w:rsid w:val="440A2AAE"/>
    <w:rsid w:val="440B5E1C"/>
    <w:rsid w:val="440F4899"/>
    <w:rsid w:val="440F6F8F"/>
    <w:rsid w:val="44103433"/>
    <w:rsid w:val="441427F7"/>
    <w:rsid w:val="441E71D2"/>
    <w:rsid w:val="44240C8C"/>
    <w:rsid w:val="44266B5B"/>
    <w:rsid w:val="4427252A"/>
    <w:rsid w:val="442962A2"/>
    <w:rsid w:val="442D1D69"/>
    <w:rsid w:val="442E0E14"/>
    <w:rsid w:val="443A225E"/>
    <w:rsid w:val="443B5FD6"/>
    <w:rsid w:val="44402940"/>
    <w:rsid w:val="44444E8A"/>
    <w:rsid w:val="44457401"/>
    <w:rsid w:val="44466E54"/>
    <w:rsid w:val="44472BCC"/>
    <w:rsid w:val="44531571"/>
    <w:rsid w:val="44580936"/>
    <w:rsid w:val="4464552C"/>
    <w:rsid w:val="44652860"/>
    <w:rsid w:val="446612A5"/>
    <w:rsid w:val="44692B43"/>
    <w:rsid w:val="446B5CB5"/>
    <w:rsid w:val="446C43E1"/>
    <w:rsid w:val="44713757"/>
    <w:rsid w:val="44727C49"/>
    <w:rsid w:val="4475773A"/>
    <w:rsid w:val="44764BDD"/>
    <w:rsid w:val="44774DC2"/>
    <w:rsid w:val="4479252C"/>
    <w:rsid w:val="447B0A98"/>
    <w:rsid w:val="447D214A"/>
    <w:rsid w:val="44804CC7"/>
    <w:rsid w:val="44823C05"/>
    <w:rsid w:val="448479B6"/>
    <w:rsid w:val="448654A3"/>
    <w:rsid w:val="44867251"/>
    <w:rsid w:val="44890AEF"/>
    <w:rsid w:val="44891B58"/>
    <w:rsid w:val="448A4681"/>
    <w:rsid w:val="448B0D0B"/>
    <w:rsid w:val="448B4867"/>
    <w:rsid w:val="448C3132"/>
    <w:rsid w:val="448D4A83"/>
    <w:rsid w:val="4497145E"/>
    <w:rsid w:val="44981989"/>
    <w:rsid w:val="44986F84"/>
    <w:rsid w:val="449C48E3"/>
    <w:rsid w:val="449F6565"/>
    <w:rsid w:val="44A1408B"/>
    <w:rsid w:val="44A3507E"/>
    <w:rsid w:val="44A65B45"/>
    <w:rsid w:val="44A678F3"/>
    <w:rsid w:val="44A818BD"/>
    <w:rsid w:val="44AA2C8E"/>
    <w:rsid w:val="44AA4FFB"/>
    <w:rsid w:val="44B17B31"/>
    <w:rsid w:val="44B26298"/>
    <w:rsid w:val="44B55D88"/>
    <w:rsid w:val="44B813D4"/>
    <w:rsid w:val="44B81C1B"/>
    <w:rsid w:val="44B951CC"/>
    <w:rsid w:val="44BA0A82"/>
    <w:rsid w:val="44BA15F0"/>
    <w:rsid w:val="44BC0EC5"/>
    <w:rsid w:val="44BD0353"/>
    <w:rsid w:val="44BF2763"/>
    <w:rsid w:val="44C012D8"/>
    <w:rsid w:val="44C1768E"/>
    <w:rsid w:val="44C3676C"/>
    <w:rsid w:val="44C47D79"/>
    <w:rsid w:val="44C85ABB"/>
    <w:rsid w:val="44C91438"/>
    <w:rsid w:val="44CC63EF"/>
    <w:rsid w:val="44CD14E0"/>
    <w:rsid w:val="44D0671E"/>
    <w:rsid w:val="44D06EA0"/>
    <w:rsid w:val="44D648BA"/>
    <w:rsid w:val="44DA759D"/>
    <w:rsid w:val="44DC3315"/>
    <w:rsid w:val="44DD478D"/>
    <w:rsid w:val="44DE52DF"/>
    <w:rsid w:val="44DF0FA7"/>
    <w:rsid w:val="44E0180C"/>
    <w:rsid w:val="44E126D9"/>
    <w:rsid w:val="44E94FCF"/>
    <w:rsid w:val="44ED5522"/>
    <w:rsid w:val="44EE2EF8"/>
    <w:rsid w:val="44EE4DF6"/>
    <w:rsid w:val="44F20B0B"/>
    <w:rsid w:val="44F22B38"/>
    <w:rsid w:val="44F763A1"/>
    <w:rsid w:val="44F93EC7"/>
    <w:rsid w:val="44FC5A40"/>
    <w:rsid w:val="44FC6785"/>
    <w:rsid w:val="44FD1115"/>
    <w:rsid w:val="45060392"/>
    <w:rsid w:val="450665E4"/>
    <w:rsid w:val="45085EB8"/>
    <w:rsid w:val="450B56F4"/>
    <w:rsid w:val="450B5ED4"/>
    <w:rsid w:val="450D7972"/>
    <w:rsid w:val="450F5BA1"/>
    <w:rsid w:val="45103EB4"/>
    <w:rsid w:val="45117475"/>
    <w:rsid w:val="45154A79"/>
    <w:rsid w:val="451835F2"/>
    <w:rsid w:val="45196317"/>
    <w:rsid w:val="451B1B96"/>
    <w:rsid w:val="451D47FD"/>
    <w:rsid w:val="451F1453"/>
    <w:rsid w:val="45216830"/>
    <w:rsid w:val="45237196"/>
    <w:rsid w:val="45244CBC"/>
    <w:rsid w:val="4529277F"/>
    <w:rsid w:val="452C5D03"/>
    <w:rsid w:val="452E5F4C"/>
    <w:rsid w:val="452E61C6"/>
    <w:rsid w:val="452F55B1"/>
    <w:rsid w:val="452F5FE5"/>
    <w:rsid w:val="45317718"/>
    <w:rsid w:val="45344EFF"/>
    <w:rsid w:val="45352A25"/>
    <w:rsid w:val="45391E18"/>
    <w:rsid w:val="454021E6"/>
    <w:rsid w:val="454271D5"/>
    <w:rsid w:val="454B049A"/>
    <w:rsid w:val="454B0EBC"/>
    <w:rsid w:val="454E6A62"/>
    <w:rsid w:val="455235D7"/>
    <w:rsid w:val="45525385"/>
    <w:rsid w:val="45537C28"/>
    <w:rsid w:val="455530C7"/>
    <w:rsid w:val="455A248C"/>
    <w:rsid w:val="455C4456"/>
    <w:rsid w:val="45612018"/>
    <w:rsid w:val="45637592"/>
    <w:rsid w:val="456454A2"/>
    <w:rsid w:val="456926CF"/>
    <w:rsid w:val="456C7EEE"/>
    <w:rsid w:val="45712CEA"/>
    <w:rsid w:val="45723C79"/>
    <w:rsid w:val="457261F1"/>
    <w:rsid w:val="45750B3D"/>
    <w:rsid w:val="45790B64"/>
    <w:rsid w:val="45795008"/>
    <w:rsid w:val="45796DB6"/>
    <w:rsid w:val="457B0D80"/>
    <w:rsid w:val="457C4AF8"/>
    <w:rsid w:val="457E261E"/>
    <w:rsid w:val="457F1981"/>
    <w:rsid w:val="457F23F7"/>
    <w:rsid w:val="458319E2"/>
    <w:rsid w:val="45835E86"/>
    <w:rsid w:val="458539AC"/>
    <w:rsid w:val="45857508"/>
    <w:rsid w:val="458946E9"/>
    <w:rsid w:val="458B6AE9"/>
    <w:rsid w:val="458C4D3B"/>
    <w:rsid w:val="458E1257"/>
    <w:rsid w:val="45992FB4"/>
    <w:rsid w:val="45997458"/>
    <w:rsid w:val="459B1F40"/>
    <w:rsid w:val="459B4F7E"/>
    <w:rsid w:val="459C4852"/>
    <w:rsid w:val="459D5443"/>
    <w:rsid w:val="459D6299"/>
    <w:rsid w:val="45A03FC7"/>
    <w:rsid w:val="45A1630C"/>
    <w:rsid w:val="45A27A61"/>
    <w:rsid w:val="45A33E32"/>
    <w:rsid w:val="45A47C0E"/>
    <w:rsid w:val="45A71B75"/>
    <w:rsid w:val="45A837D4"/>
    <w:rsid w:val="45A93ACC"/>
    <w:rsid w:val="45B61342"/>
    <w:rsid w:val="45B72C0F"/>
    <w:rsid w:val="45BB6B71"/>
    <w:rsid w:val="45BE6EBE"/>
    <w:rsid w:val="45C757DF"/>
    <w:rsid w:val="45C83899"/>
    <w:rsid w:val="45CC270F"/>
    <w:rsid w:val="45CC3389"/>
    <w:rsid w:val="45CC48EC"/>
    <w:rsid w:val="45CD7101"/>
    <w:rsid w:val="45CF4C28"/>
    <w:rsid w:val="45D25D77"/>
    <w:rsid w:val="45D31A53"/>
    <w:rsid w:val="45D73ADC"/>
    <w:rsid w:val="45DC4ADB"/>
    <w:rsid w:val="45DD59D2"/>
    <w:rsid w:val="45E13340"/>
    <w:rsid w:val="45E15F33"/>
    <w:rsid w:val="45EA7CB3"/>
    <w:rsid w:val="45EC3A2B"/>
    <w:rsid w:val="45F13B3D"/>
    <w:rsid w:val="45F94D19"/>
    <w:rsid w:val="45FB34D6"/>
    <w:rsid w:val="460074D7"/>
    <w:rsid w:val="46024FFD"/>
    <w:rsid w:val="4603688D"/>
    <w:rsid w:val="46067C48"/>
    <w:rsid w:val="46080375"/>
    <w:rsid w:val="460D2A30"/>
    <w:rsid w:val="4613720A"/>
    <w:rsid w:val="461865CE"/>
    <w:rsid w:val="461933F6"/>
    <w:rsid w:val="461E1271"/>
    <w:rsid w:val="462211FB"/>
    <w:rsid w:val="462A6302"/>
    <w:rsid w:val="462C5BD6"/>
    <w:rsid w:val="46380A1F"/>
    <w:rsid w:val="463F1DAD"/>
    <w:rsid w:val="463F3332"/>
    <w:rsid w:val="46405B25"/>
    <w:rsid w:val="4646138E"/>
    <w:rsid w:val="464B42E2"/>
    <w:rsid w:val="464C17F0"/>
    <w:rsid w:val="464C5BD7"/>
    <w:rsid w:val="464D0110"/>
    <w:rsid w:val="464E5981"/>
    <w:rsid w:val="465515D1"/>
    <w:rsid w:val="46560EA5"/>
    <w:rsid w:val="46577FD6"/>
    <w:rsid w:val="465808C7"/>
    <w:rsid w:val="46584C1D"/>
    <w:rsid w:val="465869CB"/>
    <w:rsid w:val="465A1079"/>
    <w:rsid w:val="465A4F2F"/>
    <w:rsid w:val="465D2233"/>
    <w:rsid w:val="46612A2F"/>
    <w:rsid w:val="4669507C"/>
    <w:rsid w:val="466970F6"/>
    <w:rsid w:val="466A3237"/>
    <w:rsid w:val="466C691A"/>
    <w:rsid w:val="466E4440"/>
    <w:rsid w:val="466F5DB0"/>
    <w:rsid w:val="467001B9"/>
    <w:rsid w:val="467712F2"/>
    <w:rsid w:val="4677696F"/>
    <w:rsid w:val="467A34E7"/>
    <w:rsid w:val="467C4DAF"/>
    <w:rsid w:val="46800436"/>
    <w:rsid w:val="4686245E"/>
    <w:rsid w:val="46867F0B"/>
    <w:rsid w:val="468B4FF2"/>
    <w:rsid w:val="468E063F"/>
    <w:rsid w:val="46933EA7"/>
    <w:rsid w:val="469D43AE"/>
    <w:rsid w:val="469E1A47"/>
    <w:rsid w:val="46A240EA"/>
    <w:rsid w:val="46A72415"/>
    <w:rsid w:val="46B11B10"/>
    <w:rsid w:val="46BC33FE"/>
    <w:rsid w:val="46BD2CD2"/>
    <w:rsid w:val="46BF4C9C"/>
    <w:rsid w:val="46BF56D8"/>
    <w:rsid w:val="46C774E3"/>
    <w:rsid w:val="46D02A05"/>
    <w:rsid w:val="46D71FE6"/>
    <w:rsid w:val="46D83FB0"/>
    <w:rsid w:val="46D955A7"/>
    <w:rsid w:val="46EA50E5"/>
    <w:rsid w:val="46ED61DB"/>
    <w:rsid w:val="46EE10DD"/>
    <w:rsid w:val="46F210A5"/>
    <w:rsid w:val="46F25071"/>
    <w:rsid w:val="46F81887"/>
    <w:rsid w:val="46FC0A6C"/>
    <w:rsid w:val="46FE3A16"/>
    <w:rsid w:val="46FF778E"/>
    <w:rsid w:val="47003456"/>
    <w:rsid w:val="47084895"/>
    <w:rsid w:val="47091BE0"/>
    <w:rsid w:val="470B1C8F"/>
    <w:rsid w:val="470D3C83"/>
    <w:rsid w:val="470D682C"/>
    <w:rsid w:val="470E79D1"/>
    <w:rsid w:val="47121221"/>
    <w:rsid w:val="47133957"/>
    <w:rsid w:val="47134FE8"/>
    <w:rsid w:val="47177DD6"/>
    <w:rsid w:val="47190850"/>
    <w:rsid w:val="471A0124"/>
    <w:rsid w:val="471A66D8"/>
    <w:rsid w:val="471B4EB4"/>
    <w:rsid w:val="471E5E67"/>
    <w:rsid w:val="4723522B"/>
    <w:rsid w:val="472707CD"/>
    <w:rsid w:val="472B6EFA"/>
    <w:rsid w:val="472D48A2"/>
    <w:rsid w:val="472E3BD0"/>
    <w:rsid w:val="4734568A"/>
    <w:rsid w:val="47392CA0"/>
    <w:rsid w:val="473B22F2"/>
    <w:rsid w:val="473D3E13"/>
    <w:rsid w:val="473E081F"/>
    <w:rsid w:val="473F5062"/>
    <w:rsid w:val="474156B1"/>
    <w:rsid w:val="474613F4"/>
    <w:rsid w:val="47462CC7"/>
    <w:rsid w:val="47481CF8"/>
    <w:rsid w:val="474C5355"/>
    <w:rsid w:val="47543636"/>
    <w:rsid w:val="47590C4D"/>
    <w:rsid w:val="475A3E61"/>
    <w:rsid w:val="475D5053"/>
    <w:rsid w:val="47617B01"/>
    <w:rsid w:val="47680E90"/>
    <w:rsid w:val="47685334"/>
    <w:rsid w:val="47694C08"/>
    <w:rsid w:val="4770243A"/>
    <w:rsid w:val="477041E8"/>
    <w:rsid w:val="47727F60"/>
    <w:rsid w:val="47742A84"/>
    <w:rsid w:val="47767D9D"/>
    <w:rsid w:val="47782EFF"/>
    <w:rsid w:val="477A5EA1"/>
    <w:rsid w:val="477A6E15"/>
    <w:rsid w:val="477C2B8D"/>
    <w:rsid w:val="477C493B"/>
    <w:rsid w:val="477E06B3"/>
    <w:rsid w:val="477F442B"/>
    <w:rsid w:val="478162C5"/>
    <w:rsid w:val="47857C94"/>
    <w:rsid w:val="47885E58"/>
    <w:rsid w:val="478A6EB7"/>
    <w:rsid w:val="479954ED"/>
    <w:rsid w:val="479C322F"/>
    <w:rsid w:val="479C7DAA"/>
    <w:rsid w:val="479E0D55"/>
    <w:rsid w:val="479E5E8D"/>
    <w:rsid w:val="47A07E0C"/>
    <w:rsid w:val="47AA1CA0"/>
    <w:rsid w:val="47B04E87"/>
    <w:rsid w:val="47BE6D02"/>
    <w:rsid w:val="47C85DD2"/>
    <w:rsid w:val="47CA56A6"/>
    <w:rsid w:val="47CA7D9C"/>
    <w:rsid w:val="47CD71C9"/>
    <w:rsid w:val="47D7186A"/>
    <w:rsid w:val="47D84C18"/>
    <w:rsid w:val="47DB5CF2"/>
    <w:rsid w:val="47E32C0C"/>
    <w:rsid w:val="47E86474"/>
    <w:rsid w:val="47EA7AF7"/>
    <w:rsid w:val="47EB50F1"/>
    <w:rsid w:val="47F06C1E"/>
    <w:rsid w:val="47F25430"/>
    <w:rsid w:val="47F40975"/>
    <w:rsid w:val="47F60B91"/>
    <w:rsid w:val="47F70466"/>
    <w:rsid w:val="47F866B8"/>
    <w:rsid w:val="47FC2B0F"/>
    <w:rsid w:val="47FC5A7C"/>
    <w:rsid w:val="47FC693C"/>
    <w:rsid w:val="47FE1F9A"/>
    <w:rsid w:val="4800556C"/>
    <w:rsid w:val="4800731A"/>
    <w:rsid w:val="480233D2"/>
    <w:rsid w:val="48027536"/>
    <w:rsid w:val="480C5CBF"/>
    <w:rsid w:val="4812652E"/>
    <w:rsid w:val="481334F1"/>
    <w:rsid w:val="48141018"/>
    <w:rsid w:val="48153F2E"/>
    <w:rsid w:val="48164D90"/>
    <w:rsid w:val="481A5446"/>
    <w:rsid w:val="481C180D"/>
    <w:rsid w:val="481C5B2A"/>
    <w:rsid w:val="481E3C44"/>
    <w:rsid w:val="4823125B"/>
    <w:rsid w:val="48253225"/>
    <w:rsid w:val="483457FD"/>
    <w:rsid w:val="48384D06"/>
    <w:rsid w:val="483B2A48"/>
    <w:rsid w:val="483B65A4"/>
    <w:rsid w:val="483E5E27"/>
    <w:rsid w:val="484418FD"/>
    <w:rsid w:val="484A67E7"/>
    <w:rsid w:val="484E10AB"/>
    <w:rsid w:val="4851401A"/>
    <w:rsid w:val="48561630"/>
    <w:rsid w:val="485857E8"/>
    <w:rsid w:val="48594C7C"/>
    <w:rsid w:val="485D651B"/>
    <w:rsid w:val="4860600B"/>
    <w:rsid w:val="486D7EBB"/>
    <w:rsid w:val="486F26F2"/>
    <w:rsid w:val="486F70A9"/>
    <w:rsid w:val="4870272E"/>
    <w:rsid w:val="48707469"/>
    <w:rsid w:val="48743864"/>
    <w:rsid w:val="48755BF9"/>
    <w:rsid w:val="487963A2"/>
    <w:rsid w:val="487A3570"/>
    <w:rsid w:val="487B4BF3"/>
    <w:rsid w:val="4881611D"/>
    <w:rsid w:val="48852288"/>
    <w:rsid w:val="48875CBB"/>
    <w:rsid w:val="48893068"/>
    <w:rsid w:val="48893563"/>
    <w:rsid w:val="488F68F0"/>
    <w:rsid w:val="48904C60"/>
    <w:rsid w:val="48973EA7"/>
    <w:rsid w:val="489932CB"/>
    <w:rsid w:val="489B5B6C"/>
    <w:rsid w:val="48A240F1"/>
    <w:rsid w:val="48A3140C"/>
    <w:rsid w:val="48A91760"/>
    <w:rsid w:val="48A95C04"/>
    <w:rsid w:val="48A97254"/>
    <w:rsid w:val="48AA50C6"/>
    <w:rsid w:val="48AA54D8"/>
    <w:rsid w:val="48B14AB8"/>
    <w:rsid w:val="48BC5020"/>
    <w:rsid w:val="48C12F4D"/>
    <w:rsid w:val="48C17221"/>
    <w:rsid w:val="48C301A1"/>
    <w:rsid w:val="48C42A3E"/>
    <w:rsid w:val="48C447EC"/>
    <w:rsid w:val="48C753E1"/>
    <w:rsid w:val="48CA190C"/>
    <w:rsid w:val="48CC1C18"/>
    <w:rsid w:val="48CF1A39"/>
    <w:rsid w:val="48D507A7"/>
    <w:rsid w:val="48D81615"/>
    <w:rsid w:val="48DC090D"/>
    <w:rsid w:val="48DD3AFF"/>
    <w:rsid w:val="48DE1DC6"/>
    <w:rsid w:val="48E00EFA"/>
    <w:rsid w:val="48E11FE9"/>
    <w:rsid w:val="48E21116"/>
    <w:rsid w:val="48E409EA"/>
    <w:rsid w:val="48E56893"/>
    <w:rsid w:val="48E676FD"/>
    <w:rsid w:val="48EC5AF0"/>
    <w:rsid w:val="48EC68C7"/>
    <w:rsid w:val="48F34C13"/>
    <w:rsid w:val="48F3590D"/>
    <w:rsid w:val="48F36E7F"/>
    <w:rsid w:val="48F454D0"/>
    <w:rsid w:val="48F52BF7"/>
    <w:rsid w:val="48FA18C0"/>
    <w:rsid w:val="48FD1AAC"/>
    <w:rsid w:val="48FD5F50"/>
    <w:rsid w:val="48FE1DE2"/>
    <w:rsid w:val="490C1A30"/>
    <w:rsid w:val="49134BDB"/>
    <w:rsid w:val="49155047"/>
    <w:rsid w:val="491F7C74"/>
    <w:rsid w:val="492434DC"/>
    <w:rsid w:val="4924528A"/>
    <w:rsid w:val="49276B29"/>
    <w:rsid w:val="4929464F"/>
    <w:rsid w:val="492B486B"/>
    <w:rsid w:val="49303C2F"/>
    <w:rsid w:val="49353AF4"/>
    <w:rsid w:val="49363636"/>
    <w:rsid w:val="49380D36"/>
    <w:rsid w:val="49382AE4"/>
    <w:rsid w:val="49396F88"/>
    <w:rsid w:val="493A2D00"/>
    <w:rsid w:val="493B5220"/>
    <w:rsid w:val="493C0826"/>
    <w:rsid w:val="49437E06"/>
    <w:rsid w:val="49481053"/>
    <w:rsid w:val="494F67AB"/>
    <w:rsid w:val="494F776C"/>
    <w:rsid w:val="495219D9"/>
    <w:rsid w:val="495C2C76"/>
    <w:rsid w:val="49665E60"/>
    <w:rsid w:val="4966775F"/>
    <w:rsid w:val="49675177"/>
    <w:rsid w:val="4968786D"/>
    <w:rsid w:val="496B2DEF"/>
    <w:rsid w:val="496F29A9"/>
    <w:rsid w:val="497132D6"/>
    <w:rsid w:val="49725FF6"/>
    <w:rsid w:val="49787384"/>
    <w:rsid w:val="49793828"/>
    <w:rsid w:val="49793E45"/>
    <w:rsid w:val="497955D6"/>
    <w:rsid w:val="49795D3F"/>
    <w:rsid w:val="4981092F"/>
    <w:rsid w:val="49834A60"/>
    <w:rsid w:val="49855267"/>
    <w:rsid w:val="498875C7"/>
    <w:rsid w:val="498A2208"/>
    <w:rsid w:val="498E0956"/>
    <w:rsid w:val="49900B72"/>
    <w:rsid w:val="499046CE"/>
    <w:rsid w:val="49975A5C"/>
    <w:rsid w:val="499D3E28"/>
    <w:rsid w:val="499F0DB5"/>
    <w:rsid w:val="49A95790"/>
    <w:rsid w:val="49AB59AC"/>
    <w:rsid w:val="49AD34D2"/>
    <w:rsid w:val="49AF52CE"/>
    <w:rsid w:val="49B04DFE"/>
    <w:rsid w:val="49B54134"/>
    <w:rsid w:val="49BA799D"/>
    <w:rsid w:val="49BE123B"/>
    <w:rsid w:val="49BE748D"/>
    <w:rsid w:val="49BF4FB3"/>
    <w:rsid w:val="49BF6D61"/>
    <w:rsid w:val="49C01457"/>
    <w:rsid w:val="49C62240"/>
    <w:rsid w:val="49CB179D"/>
    <w:rsid w:val="49CE50AF"/>
    <w:rsid w:val="49D4280C"/>
    <w:rsid w:val="49DA50C7"/>
    <w:rsid w:val="49DC6C17"/>
    <w:rsid w:val="49DC7715"/>
    <w:rsid w:val="49DE7B2F"/>
    <w:rsid w:val="49E05655"/>
    <w:rsid w:val="49E35145"/>
    <w:rsid w:val="49E37C61"/>
    <w:rsid w:val="49E65D32"/>
    <w:rsid w:val="49EB2F34"/>
    <w:rsid w:val="49EC3FFA"/>
    <w:rsid w:val="49EF3AEA"/>
    <w:rsid w:val="49F829E7"/>
    <w:rsid w:val="49FC19CF"/>
    <w:rsid w:val="49FF5A42"/>
    <w:rsid w:val="4A003601"/>
    <w:rsid w:val="4A007AA5"/>
    <w:rsid w:val="4A021E4C"/>
    <w:rsid w:val="4A023139"/>
    <w:rsid w:val="4A02381D"/>
    <w:rsid w:val="4A097A1B"/>
    <w:rsid w:val="4A097FF6"/>
    <w:rsid w:val="4A123335"/>
    <w:rsid w:val="4A1361C5"/>
    <w:rsid w:val="4A143551"/>
    <w:rsid w:val="4A1452FF"/>
    <w:rsid w:val="4A190B67"/>
    <w:rsid w:val="4A1B48DF"/>
    <w:rsid w:val="4A1C2405"/>
    <w:rsid w:val="4A280D6F"/>
    <w:rsid w:val="4A2B43F6"/>
    <w:rsid w:val="4A2C089A"/>
    <w:rsid w:val="4A2C3466"/>
    <w:rsid w:val="4A3459A1"/>
    <w:rsid w:val="4A3961AC"/>
    <w:rsid w:val="4A3B0ADD"/>
    <w:rsid w:val="4A3D4856"/>
    <w:rsid w:val="4A4060F4"/>
    <w:rsid w:val="4A4A2ACF"/>
    <w:rsid w:val="4A4C6B34"/>
    <w:rsid w:val="4A4D25BF"/>
    <w:rsid w:val="4A507745"/>
    <w:rsid w:val="4A5106A7"/>
    <w:rsid w:val="4A541B9F"/>
    <w:rsid w:val="4A5C2802"/>
    <w:rsid w:val="4A6D17DC"/>
    <w:rsid w:val="4A6E0EB3"/>
    <w:rsid w:val="4A745E79"/>
    <w:rsid w:val="4A754ADE"/>
    <w:rsid w:val="4A7B576F"/>
    <w:rsid w:val="4A7D4C52"/>
    <w:rsid w:val="4A8038E4"/>
    <w:rsid w:val="4A810B41"/>
    <w:rsid w:val="4A835FE1"/>
    <w:rsid w:val="4A8741CA"/>
    <w:rsid w:val="4A875AD1"/>
    <w:rsid w:val="4A8B0B24"/>
    <w:rsid w:val="4A8C758B"/>
    <w:rsid w:val="4A8E3303"/>
    <w:rsid w:val="4A9326C8"/>
    <w:rsid w:val="4A937164"/>
    <w:rsid w:val="4A9B157C"/>
    <w:rsid w:val="4A9D0D79"/>
    <w:rsid w:val="4A9F7334"/>
    <w:rsid w:val="4AA053B9"/>
    <w:rsid w:val="4AA91EEB"/>
    <w:rsid w:val="4AA94B8B"/>
    <w:rsid w:val="4AAA54E9"/>
    <w:rsid w:val="4AB443EC"/>
    <w:rsid w:val="4AB60164"/>
    <w:rsid w:val="4AB651B1"/>
    <w:rsid w:val="4ABA6EA1"/>
    <w:rsid w:val="4ABD6801"/>
    <w:rsid w:val="4ABD70AF"/>
    <w:rsid w:val="4ABF170F"/>
    <w:rsid w:val="4AC12645"/>
    <w:rsid w:val="4AC160A8"/>
    <w:rsid w:val="4AC37F0A"/>
    <w:rsid w:val="4ACA3C0F"/>
    <w:rsid w:val="4ACE1AA3"/>
    <w:rsid w:val="4ACF0D42"/>
    <w:rsid w:val="4AD14F9E"/>
    <w:rsid w:val="4AD54A8E"/>
    <w:rsid w:val="4AD743D6"/>
    <w:rsid w:val="4ADA6548"/>
    <w:rsid w:val="4AE0426F"/>
    <w:rsid w:val="4AE271AB"/>
    <w:rsid w:val="4AE65BCD"/>
    <w:rsid w:val="4AF15640"/>
    <w:rsid w:val="4AF173EE"/>
    <w:rsid w:val="4AF561A9"/>
    <w:rsid w:val="4AF60EA8"/>
    <w:rsid w:val="4AFA2D26"/>
    <w:rsid w:val="4AFF1B0B"/>
    <w:rsid w:val="4B0146E0"/>
    <w:rsid w:val="4B024B88"/>
    <w:rsid w:val="4B0435C5"/>
    <w:rsid w:val="4B09298A"/>
    <w:rsid w:val="4B09762A"/>
    <w:rsid w:val="4B0B6702"/>
    <w:rsid w:val="4B0C5FAB"/>
    <w:rsid w:val="4B0E781D"/>
    <w:rsid w:val="4B103D18"/>
    <w:rsid w:val="4B1151AE"/>
    <w:rsid w:val="4B15132F"/>
    <w:rsid w:val="4B180E1F"/>
    <w:rsid w:val="4B1A06F3"/>
    <w:rsid w:val="4B1B1A3F"/>
    <w:rsid w:val="4B1C090F"/>
    <w:rsid w:val="4B232DA2"/>
    <w:rsid w:val="4B246B6D"/>
    <w:rsid w:val="4B2509CF"/>
    <w:rsid w:val="4B262037"/>
    <w:rsid w:val="4B280921"/>
    <w:rsid w:val="4B2C48CA"/>
    <w:rsid w:val="4B2E0642"/>
    <w:rsid w:val="4B2F023D"/>
    <w:rsid w:val="4B3043BA"/>
    <w:rsid w:val="4B313C8F"/>
    <w:rsid w:val="4B320132"/>
    <w:rsid w:val="4B364751"/>
    <w:rsid w:val="4B3726A8"/>
    <w:rsid w:val="4B3774F7"/>
    <w:rsid w:val="4B3A2B43"/>
    <w:rsid w:val="4B3D0885"/>
    <w:rsid w:val="4B3D2B25"/>
    <w:rsid w:val="4B3F17C4"/>
    <w:rsid w:val="4B4340EE"/>
    <w:rsid w:val="4B441C14"/>
    <w:rsid w:val="4B447E66"/>
    <w:rsid w:val="4B475260"/>
    <w:rsid w:val="4B49547C"/>
    <w:rsid w:val="4B4B6913"/>
    <w:rsid w:val="4B5005B9"/>
    <w:rsid w:val="4B502367"/>
    <w:rsid w:val="4B517E8D"/>
    <w:rsid w:val="4B5566F9"/>
    <w:rsid w:val="4B571947"/>
    <w:rsid w:val="4B5977A3"/>
    <w:rsid w:val="4B5C107E"/>
    <w:rsid w:val="4B5D6832"/>
    <w:rsid w:val="4B644064"/>
    <w:rsid w:val="4B647BC0"/>
    <w:rsid w:val="4B660103"/>
    <w:rsid w:val="4B69167A"/>
    <w:rsid w:val="4B6E0A3F"/>
    <w:rsid w:val="4B7122DD"/>
    <w:rsid w:val="4B726781"/>
    <w:rsid w:val="4B7342A7"/>
    <w:rsid w:val="4B745000"/>
    <w:rsid w:val="4B7C5B57"/>
    <w:rsid w:val="4B8244EA"/>
    <w:rsid w:val="4B83098E"/>
    <w:rsid w:val="4B863FDA"/>
    <w:rsid w:val="4B871B00"/>
    <w:rsid w:val="4B895879"/>
    <w:rsid w:val="4B8C2BFF"/>
    <w:rsid w:val="4B8D35BB"/>
    <w:rsid w:val="4B8F7333"/>
    <w:rsid w:val="4B952E6B"/>
    <w:rsid w:val="4B960E78"/>
    <w:rsid w:val="4B9C37FE"/>
    <w:rsid w:val="4B9E161E"/>
    <w:rsid w:val="4BA24833"/>
    <w:rsid w:val="4BA56E78"/>
    <w:rsid w:val="4BA821A3"/>
    <w:rsid w:val="4BA9472E"/>
    <w:rsid w:val="4BA97CC9"/>
    <w:rsid w:val="4BAB1C93"/>
    <w:rsid w:val="4BB35289"/>
    <w:rsid w:val="4BB5041C"/>
    <w:rsid w:val="4BB70638"/>
    <w:rsid w:val="4BB723E6"/>
    <w:rsid w:val="4BB9615E"/>
    <w:rsid w:val="4BBF01FE"/>
    <w:rsid w:val="4BC32B39"/>
    <w:rsid w:val="4BC44B03"/>
    <w:rsid w:val="4BC468B1"/>
    <w:rsid w:val="4BC8004E"/>
    <w:rsid w:val="4BC973E3"/>
    <w:rsid w:val="4BCE14DD"/>
    <w:rsid w:val="4BCE3947"/>
    <w:rsid w:val="4BCE72EF"/>
    <w:rsid w:val="4BCF5981"/>
    <w:rsid w:val="4BD028C4"/>
    <w:rsid w:val="4BD42F98"/>
    <w:rsid w:val="4BD56D10"/>
    <w:rsid w:val="4BDA3C25"/>
    <w:rsid w:val="4BDC6101"/>
    <w:rsid w:val="4BDD5FA9"/>
    <w:rsid w:val="4BDD6881"/>
    <w:rsid w:val="4BDE3E16"/>
    <w:rsid w:val="4BE041DA"/>
    <w:rsid w:val="4BE11211"/>
    <w:rsid w:val="4BE46F63"/>
    <w:rsid w:val="4BEA19F6"/>
    <w:rsid w:val="4BEB02E1"/>
    <w:rsid w:val="4BED22AB"/>
    <w:rsid w:val="4BED4059"/>
    <w:rsid w:val="4BF47196"/>
    <w:rsid w:val="4BF57B61"/>
    <w:rsid w:val="4BF70A34"/>
    <w:rsid w:val="4BFB6776"/>
    <w:rsid w:val="4BFB7921"/>
    <w:rsid w:val="4BFF5B3B"/>
    <w:rsid w:val="4C0015A9"/>
    <w:rsid w:val="4C043151"/>
    <w:rsid w:val="4C066EC9"/>
    <w:rsid w:val="4C082549"/>
    <w:rsid w:val="4C0A0767"/>
    <w:rsid w:val="4C0F2222"/>
    <w:rsid w:val="4C124497"/>
    <w:rsid w:val="4C213D03"/>
    <w:rsid w:val="4C22386C"/>
    <w:rsid w:val="4C2537F3"/>
    <w:rsid w:val="4C26756B"/>
    <w:rsid w:val="4C2B16B2"/>
    <w:rsid w:val="4C324162"/>
    <w:rsid w:val="4C3861A2"/>
    <w:rsid w:val="4C392DFB"/>
    <w:rsid w:val="4C3D6D8F"/>
    <w:rsid w:val="4C433C79"/>
    <w:rsid w:val="4C455C43"/>
    <w:rsid w:val="4C481290"/>
    <w:rsid w:val="4C4A0649"/>
    <w:rsid w:val="4C4B0C8F"/>
    <w:rsid w:val="4C4B0FB2"/>
    <w:rsid w:val="4C4E2BE2"/>
    <w:rsid w:val="4C5015A8"/>
    <w:rsid w:val="4C51363C"/>
    <w:rsid w:val="4C5145E8"/>
    <w:rsid w:val="4C545E87"/>
    <w:rsid w:val="4C555ECC"/>
    <w:rsid w:val="4C561BFF"/>
    <w:rsid w:val="4C5C5856"/>
    <w:rsid w:val="4C61349E"/>
    <w:rsid w:val="4C633D3F"/>
    <w:rsid w:val="4C6467C1"/>
    <w:rsid w:val="4C687B84"/>
    <w:rsid w:val="4C6F31F2"/>
    <w:rsid w:val="4C6F4A6E"/>
    <w:rsid w:val="4C7327B1"/>
    <w:rsid w:val="4C783645"/>
    <w:rsid w:val="4C7B1665"/>
    <w:rsid w:val="4C7E5ECA"/>
    <w:rsid w:val="4C800A2A"/>
    <w:rsid w:val="4C8229F4"/>
    <w:rsid w:val="4C83051A"/>
    <w:rsid w:val="4C8449BE"/>
    <w:rsid w:val="4C876AA5"/>
    <w:rsid w:val="4C885B30"/>
    <w:rsid w:val="4C8D4DA7"/>
    <w:rsid w:val="4C8F3363"/>
    <w:rsid w:val="4C910E89"/>
    <w:rsid w:val="4C942727"/>
    <w:rsid w:val="4C952AAB"/>
    <w:rsid w:val="4C9646F1"/>
    <w:rsid w:val="4C9B5863"/>
    <w:rsid w:val="4C9D4B51"/>
    <w:rsid w:val="4C9D62C0"/>
    <w:rsid w:val="4CA15F48"/>
    <w:rsid w:val="4CAB74D9"/>
    <w:rsid w:val="4CAD5597"/>
    <w:rsid w:val="4CAE0BB3"/>
    <w:rsid w:val="4CAF47D4"/>
    <w:rsid w:val="4CB132D9"/>
    <w:rsid w:val="4CB30FA5"/>
    <w:rsid w:val="4CBB4158"/>
    <w:rsid w:val="4CBC6B75"/>
    <w:rsid w:val="4CBD1C7E"/>
    <w:rsid w:val="4CBD45F6"/>
    <w:rsid w:val="4CBE6751"/>
    <w:rsid w:val="4CC01258"/>
    <w:rsid w:val="4CC4568A"/>
    <w:rsid w:val="4CC529EA"/>
    <w:rsid w:val="4CC86DF6"/>
    <w:rsid w:val="4CC96874"/>
    <w:rsid w:val="4CD564D9"/>
    <w:rsid w:val="4CD94E20"/>
    <w:rsid w:val="4CDD40CE"/>
    <w:rsid w:val="4CDD5E7C"/>
    <w:rsid w:val="4CE0596C"/>
    <w:rsid w:val="4CE4545C"/>
    <w:rsid w:val="4CE47A7D"/>
    <w:rsid w:val="4CE65CAC"/>
    <w:rsid w:val="4CEA2347"/>
    <w:rsid w:val="4CEC7770"/>
    <w:rsid w:val="4CF237DA"/>
    <w:rsid w:val="4CF308FD"/>
    <w:rsid w:val="4CF40C7B"/>
    <w:rsid w:val="4CF55099"/>
    <w:rsid w:val="4CFA0BD8"/>
    <w:rsid w:val="4CFA2DD6"/>
    <w:rsid w:val="4D0725A2"/>
    <w:rsid w:val="4D077EEE"/>
    <w:rsid w:val="4D0B0C3B"/>
    <w:rsid w:val="4D0C49B3"/>
    <w:rsid w:val="4D0E00FB"/>
    <w:rsid w:val="4D103886"/>
    <w:rsid w:val="4D153868"/>
    <w:rsid w:val="4D176606"/>
    <w:rsid w:val="4D1B477C"/>
    <w:rsid w:val="4D1E40A2"/>
    <w:rsid w:val="4D215DDF"/>
    <w:rsid w:val="4D227D33"/>
    <w:rsid w:val="4D245859"/>
    <w:rsid w:val="4D264F1F"/>
    <w:rsid w:val="4D274840"/>
    <w:rsid w:val="4D28463C"/>
    <w:rsid w:val="4D2C6E03"/>
    <w:rsid w:val="4D3006A2"/>
    <w:rsid w:val="4D331F40"/>
    <w:rsid w:val="4D333CEE"/>
    <w:rsid w:val="4D387820"/>
    <w:rsid w:val="4D3D4B6D"/>
    <w:rsid w:val="4D40606D"/>
    <w:rsid w:val="4D4128AF"/>
    <w:rsid w:val="4D423F31"/>
    <w:rsid w:val="4D44414D"/>
    <w:rsid w:val="4D447CA9"/>
    <w:rsid w:val="4D52686A"/>
    <w:rsid w:val="4D527B0F"/>
    <w:rsid w:val="4D530247"/>
    <w:rsid w:val="4D533747"/>
    <w:rsid w:val="4D565C2E"/>
    <w:rsid w:val="4D5A571F"/>
    <w:rsid w:val="4D5A74CD"/>
    <w:rsid w:val="4D5D01E1"/>
    <w:rsid w:val="4D5F0F87"/>
    <w:rsid w:val="4D5F7951"/>
    <w:rsid w:val="4D61085B"/>
    <w:rsid w:val="4D662315"/>
    <w:rsid w:val="4D6E0B97"/>
    <w:rsid w:val="4D704F42"/>
    <w:rsid w:val="4D714816"/>
    <w:rsid w:val="4D73233C"/>
    <w:rsid w:val="4D761E2D"/>
    <w:rsid w:val="4D793BC7"/>
    <w:rsid w:val="4D7A7353"/>
    <w:rsid w:val="4D7E2762"/>
    <w:rsid w:val="4D810EFD"/>
    <w:rsid w:val="4D812CAB"/>
    <w:rsid w:val="4D836789"/>
    <w:rsid w:val="4D846E33"/>
    <w:rsid w:val="4D856466"/>
    <w:rsid w:val="4D8C1650"/>
    <w:rsid w:val="4D8D08B2"/>
    <w:rsid w:val="4D8E361A"/>
    <w:rsid w:val="4D930C1A"/>
    <w:rsid w:val="4D967E9A"/>
    <w:rsid w:val="4D9724CF"/>
    <w:rsid w:val="4D9B7B80"/>
    <w:rsid w:val="4D9E1AAF"/>
    <w:rsid w:val="4DA71E8A"/>
    <w:rsid w:val="4DAB1AD6"/>
    <w:rsid w:val="4DAB5F7A"/>
    <w:rsid w:val="4DAC067B"/>
    <w:rsid w:val="4DB35F12"/>
    <w:rsid w:val="4DB715DA"/>
    <w:rsid w:val="4DB75F3D"/>
    <w:rsid w:val="4DBE3EFF"/>
    <w:rsid w:val="4DC86B2C"/>
    <w:rsid w:val="4DCB03CA"/>
    <w:rsid w:val="4DCF5FFB"/>
    <w:rsid w:val="4DD13CF9"/>
    <w:rsid w:val="4DD252B5"/>
    <w:rsid w:val="4DD31850"/>
    <w:rsid w:val="4DD77090"/>
    <w:rsid w:val="4DD86643"/>
    <w:rsid w:val="4DDD3C5A"/>
    <w:rsid w:val="4DE33966"/>
    <w:rsid w:val="4DE374C2"/>
    <w:rsid w:val="4DEA53BD"/>
    <w:rsid w:val="4DEB6377"/>
    <w:rsid w:val="4DEC4FB0"/>
    <w:rsid w:val="4DEE6F0D"/>
    <w:rsid w:val="4DF16954"/>
    <w:rsid w:val="4DF26BF1"/>
    <w:rsid w:val="4DF46181"/>
    <w:rsid w:val="4DF46F02"/>
    <w:rsid w:val="4DF5104E"/>
    <w:rsid w:val="4DFC0584"/>
    <w:rsid w:val="4DFC5726"/>
    <w:rsid w:val="4DFF0486"/>
    <w:rsid w:val="4E013DEC"/>
    <w:rsid w:val="4E065CB6"/>
    <w:rsid w:val="4E075D8A"/>
    <w:rsid w:val="4E0909D2"/>
    <w:rsid w:val="4E0A1A85"/>
    <w:rsid w:val="4E0E50C7"/>
    <w:rsid w:val="4E131761"/>
    <w:rsid w:val="4E140649"/>
    <w:rsid w:val="4E165AE9"/>
    <w:rsid w:val="4E1927DA"/>
    <w:rsid w:val="4E1E499E"/>
    <w:rsid w:val="4E1E68D3"/>
    <w:rsid w:val="4E235B10"/>
    <w:rsid w:val="4E2E4192"/>
    <w:rsid w:val="4E2F0959"/>
    <w:rsid w:val="4E2F31D3"/>
    <w:rsid w:val="4E3427C1"/>
    <w:rsid w:val="4E355844"/>
    <w:rsid w:val="4E37780E"/>
    <w:rsid w:val="4E3E294A"/>
    <w:rsid w:val="4E423311"/>
    <w:rsid w:val="4E437F61"/>
    <w:rsid w:val="4E487C6D"/>
    <w:rsid w:val="4E4C150B"/>
    <w:rsid w:val="4E4D0DDF"/>
    <w:rsid w:val="4E4E209C"/>
    <w:rsid w:val="4E52289A"/>
    <w:rsid w:val="4E533FC2"/>
    <w:rsid w:val="4E535E18"/>
    <w:rsid w:val="4E553E46"/>
    <w:rsid w:val="4E5553A1"/>
    <w:rsid w:val="4E564138"/>
    <w:rsid w:val="4E565D23"/>
    <w:rsid w:val="4E593C28"/>
    <w:rsid w:val="4E5B78B6"/>
    <w:rsid w:val="4E604914"/>
    <w:rsid w:val="4E611B8B"/>
    <w:rsid w:val="4E646F2C"/>
    <w:rsid w:val="4E6836D6"/>
    <w:rsid w:val="4E6B74B7"/>
    <w:rsid w:val="4E6E25EE"/>
    <w:rsid w:val="4E750330"/>
    <w:rsid w:val="4E760336"/>
    <w:rsid w:val="4E7B3B8F"/>
    <w:rsid w:val="4E7B594C"/>
    <w:rsid w:val="4E8011B5"/>
    <w:rsid w:val="4E832A53"/>
    <w:rsid w:val="4E870795"/>
    <w:rsid w:val="4E880069"/>
    <w:rsid w:val="4E8812E3"/>
    <w:rsid w:val="4E8862BB"/>
    <w:rsid w:val="4E8D5680"/>
    <w:rsid w:val="4E962786"/>
    <w:rsid w:val="4E983985"/>
    <w:rsid w:val="4EA316A1"/>
    <w:rsid w:val="4EA40FCB"/>
    <w:rsid w:val="4EA503D4"/>
    <w:rsid w:val="4EA50C1B"/>
    <w:rsid w:val="4EAD5D22"/>
    <w:rsid w:val="4EAF55F6"/>
    <w:rsid w:val="4EB26E94"/>
    <w:rsid w:val="4EB90223"/>
    <w:rsid w:val="4EBB3F9B"/>
    <w:rsid w:val="4EC00FAD"/>
    <w:rsid w:val="4EC05A55"/>
    <w:rsid w:val="4EC76DE4"/>
    <w:rsid w:val="4ECE0172"/>
    <w:rsid w:val="4ECE3DA7"/>
    <w:rsid w:val="4ED9366C"/>
    <w:rsid w:val="4EDB463D"/>
    <w:rsid w:val="4EDE4938"/>
    <w:rsid w:val="4EE01C53"/>
    <w:rsid w:val="4EE820C6"/>
    <w:rsid w:val="4EEA7926"/>
    <w:rsid w:val="4EEC684A"/>
    <w:rsid w:val="4EED611E"/>
    <w:rsid w:val="4EEF00E8"/>
    <w:rsid w:val="4EEF1E97"/>
    <w:rsid w:val="4EF23B67"/>
    <w:rsid w:val="4EF474AD"/>
    <w:rsid w:val="4EF70D4B"/>
    <w:rsid w:val="4EFE032C"/>
    <w:rsid w:val="4F043B94"/>
    <w:rsid w:val="4F0658C5"/>
    <w:rsid w:val="4F0771E0"/>
    <w:rsid w:val="4F0F5D09"/>
    <w:rsid w:val="4F111E0D"/>
    <w:rsid w:val="4F147B4F"/>
    <w:rsid w:val="4F1638C7"/>
    <w:rsid w:val="4F1A6654"/>
    <w:rsid w:val="4F1D4C56"/>
    <w:rsid w:val="4F2953A8"/>
    <w:rsid w:val="4F2A4BBE"/>
    <w:rsid w:val="4F2C382C"/>
    <w:rsid w:val="4F301FFB"/>
    <w:rsid w:val="4F304989"/>
    <w:rsid w:val="4F3533FC"/>
    <w:rsid w:val="4F372FC5"/>
    <w:rsid w:val="4F3860E4"/>
    <w:rsid w:val="4F3C4E12"/>
    <w:rsid w:val="4F3F0728"/>
    <w:rsid w:val="4F416B96"/>
    <w:rsid w:val="4F42290E"/>
    <w:rsid w:val="4F4411B6"/>
    <w:rsid w:val="4F46214F"/>
    <w:rsid w:val="4F4A3571"/>
    <w:rsid w:val="4F4A3DFE"/>
    <w:rsid w:val="4F4A531F"/>
    <w:rsid w:val="4F4B5D83"/>
    <w:rsid w:val="4F4F2935"/>
    <w:rsid w:val="4F4F48BB"/>
    <w:rsid w:val="4F510191"/>
    <w:rsid w:val="4F5148FF"/>
    <w:rsid w:val="4F5368C9"/>
    <w:rsid w:val="4F5506C1"/>
    <w:rsid w:val="4F55619D"/>
    <w:rsid w:val="4F587A3C"/>
    <w:rsid w:val="4F59743D"/>
    <w:rsid w:val="4F5A7E58"/>
    <w:rsid w:val="4F5E0212"/>
    <w:rsid w:val="4F5F526E"/>
    <w:rsid w:val="4F644633"/>
    <w:rsid w:val="4F6C34E7"/>
    <w:rsid w:val="4F701229"/>
    <w:rsid w:val="4F7109B5"/>
    <w:rsid w:val="4F7471DC"/>
    <w:rsid w:val="4F764366"/>
    <w:rsid w:val="4F812B80"/>
    <w:rsid w:val="4F813436"/>
    <w:rsid w:val="4F8F151A"/>
    <w:rsid w:val="4F9009A8"/>
    <w:rsid w:val="4F9273F2"/>
    <w:rsid w:val="4F934F18"/>
    <w:rsid w:val="4F952A3E"/>
    <w:rsid w:val="4F980780"/>
    <w:rsid w:val="4F9843DC"/>
    <w:rsid w:val="4F9D18F3"/>
    <w:rsid w:val="4FA17635"/>
    <w:rsid w:val="4FA2515B"/>
    <w:rsid w:val="4FA26F09"/>
    <w:rsid w:val="4FA709C3"/>
    <w:rsid w:val="4FA843B3"/>
    <w:rsid w:val="4FA90297"/>
    <w:rsid w:val="4FA96954"/>
    <w:rsid w:val="4FAE0671"/>
    <w:rsid w:val="4FAF18DD"/>
    <w:rsid w:val="4FB27ACC"/>
    <w:rsid w:val="4FB5677A"/>
    <w:rsid w:val="4FC01F58"/>
    <w:rsid w:val="4FC13833"/>
    <w:rsid w:val="4FC151B1"/>
    <w:rsid w:val="4FC41575"/>
    <w:rsid w:val="4FC4329A"/>
    <w:rsid w:val="4FC450D1"/>
    <w:rsid w:val="4FC504FB"/>
    <w:rsid w:val="4FC62A8C"/>
    <w:rsid w:val="4FC82E13"/>
    <w:rsid w:val="4FC96B8B"/>
    <w:rsid w:val="4FCA764D"/>
    <w:rsid w:val="4FCE780F"/>
    <w:rsid w:val="4FCE7CFE"/>
    <w:rsid w:val="4FD113F6"/>
    <w:rsid w:val="4FD317B8"/>
    <w:rsid w:val="4FD64330"/>
    <w:rsid w:val="4FD712A8"/>
    <w:rsid w:val="4FDF1F0B"/>
    <w:rsid w:val="4FDF63AF"/>
    <w:rsid w:val="4FE17A31"/>
    <w:rsid w:val="4FE20F0D"/>
    <w:rsid w:val="4FE51552"/>
    <w:rsid w:val="4FE94417"/>
    <w:rsid w:val="4FE94B38"/>
    <w:rsid w:val="4FF0236A"/>
    <w:rsid w:val="4FF450A0"/>
    <w:rsid w:val="4FF84D7B"/>
    <w:rsid w:val="4FFA6D45"/>
    <w:rsid w:val="500100D3"/>
    <w:rsid w:val="50027F99"/>
    <w:rsid w:val="50047BC4"/>
    <w:rsid w:val="500B3467"/>
    <w:rsid w:val="500D04FA"/>
    <w:rsid w:val="501A73E7"/>
    <w:rsid w:val="501C315F"/>
    <w:rsid w:val="501C796A"/>
    <w:rsid w:val="501E4BFD"/>
    <w:rsid w:val="501F4D9E"/>
    <w:rsid w:val="501F67AB"/>
    <w:rsid w:val="5023004A"/>
    <w:rsid w:val="50250266"/>
    <w:rsid w:val="50286CD9"/>
    <w:rsid w:val="502D705A"/>
    <w:rsid w:val="503009B9"/>
    <w:rsid w:val="50306C0B"/>
    <w:rsid w:val="5036159B"/>
    <w:rsid w:val="503B20C3"/>
    <w:rsid w:val="503C110B"/>
    <w:rsid w:val="503C7AAB"/>
    <w:rsid w:val="503E2F33"/>
    <w:rsid w:val="504E180D"/>
    <w:rsid w:val="50504C4B"/>
    <w:rsid w:val="50580167"/>
    <w:rsid w:val="50584677"/>
    <w:rsid w:val="505C355C"/>
    <w:rsid w:val="5060129E"/>
    <w:rsid w:val="50621A3A"/>
    <w:rsid w:val="506B7C43"/>
    <w:rsid w:val="506D7517"/>
    <w:rsid w:val="506F7733"/>
    <w:rsid w:val="5071695E"/>
    <w:rsid w:val="507C14E9"/>
    <w:rsid w:val="50810E2D"/>
    <w:rsid w:val="50842909"/>
    <w:rsid w:val="50854860"/>
    <w:rsid w:val="508807F5"/>
    <w:rsid w:val="508825A3"/>
    <w:rsid w:val="508F6E76"/>
    <w:rsid w:val="50922385"/>
    <w:rsid w:val="50962F12"/>
    <w:rsid w:val="50976947"/>
    <w:rsid w:val="509C6E7C"/>
    <w:rsid w:val="509C7DFC"/>
    <w:rsid w:val="509E5922"/>
    <w:rsid w:val="50A17D6E"/>
    <w:rsid w:val="50A3118B"/>
    <w:rsid w:val="50A50E70"/>
    <w:rsid w:val="50A867A1"/>
    <w:rsid w:val="50AC44E3"/>
    <w:rsid w:val="50AC6439"/>
    <w:rsid w:val="50AD2009"/>
    <w:rsid w:val="50AE34C0"/>
    <w:rsid w:val="50B341B0"/>
    <w:rsid w:val="50B76110"/>
    <w:rsid w:val="50B909AE"/>
    <w:rsid w:val="50BB0282"/>
    <w:rsid w:val="50BC224C"/>
    <w:rsid w:val="50BC3FFA"/>
    <w:rsid w:val="50BD55C0"/>
    <w:rsid w:val="50BE6D04"/>
    <w:rsid w:val="50C555A5"/>
    <w:rsid w:val="50C61B92"/>
    <w:rsid w:val="50C7131D"/>
    <w:rsid w:val="50C91AA5"/>
    <w:rsid w:val="50CA4969"/>
    <w:rsid w:val="50CA639A"/>
    <w:rsid w:val="50CE26AB"/>
    <w:rsid w:val="50CE3854"/>
    <w:rsid w:val="50CF1F80"/>
    <w:rsid w:val="50CF678F"/>
    <w:rsid w:val="50D2381E"/>
    <w:rsid w:val="50D6330E"/>
    <w:rsid w:val="50D63ABE"/>
    <w:rsid w:val="50DA7442"/>
    <w:rsid w:val="50DB26D2"/>
    <w:rsid w:val="50DB448D"/>
    <w:rsid w:val="50DB5F91"/>
    <w:rsid w:val="50DC591D"/>
    <w:rsid w:val="50E023DF"/>
    <w:rsid w:val="50E05F3B"/>
    <w:rsid w:val="50ED0658"/>
    <w:rsid w:val="50EE4AFC"/>
    <w:rsid w:val="50F06140"/>
    <w:rsid w:val="50F43794"/>
    <w:rsid w:val="50F554A0"/>
    <w:rsid w:val="50F639B0"/>
    <w:rsid w:val="50F86586"/>
    <w:rsid w:val="510155EC"/>
    <w:rsid w:val="51025EB1"/>
    <w:rsid w:val="51031C29"/>
    <w:rsid w:val="510460CD"/>
    <w:rsid w:val="510819DD"/>
    <w:rsid w:val="510A2FB8"/>
    <w:rsid w:val="510F41E7"/>
    <w:rsid w:val="51124A1D"/>
    <w:rsid w:val="51142088"/>
    <w:rsid w:val="51183927"/>
    <w:rsid w:val="511D0F3D"/>
    <w:rsid w:val="5122056B"/>
    <w:rsid w:val="51234079"/>
    <w:rsid w:val="51262417"/>
    <w:rsid w:val="512A5408"/>
    <w:rsid w:val="512F6EC2"/>
    <w:rsid w:val="51316796"/>
    <w:rsid w:val="51326CC3"/>
    <w:rsid w:val="51341902"/>
    <w:rsid w:val="51355098"/>
    <w:rsid w:val="51387B25"/>
    <w:rsid w:val="513D41D6"/>
    <w:rsid w:val="51422751"/>
    <w:rsid w:val="51422839"/>
    <w:rsid w:val="514F6B70"/>
    <w:rsid w:val="5151571A"/>
    <w:rsid w:val="51532BB1"/>
    <w:rsid w:val="515526FB"/>
    <w:rsid w:val="515629DC"/>
    <w:rsid w:val="5156444F"/>
    <w:rsid w:val="51581F75"/>
    <w:rsid w:val="51583D23"/>
    <w:rsid w:val="515A1CF6"/>
    <w:rsid w:val="515C2DD9"/>
    <w:rsid w:val="515C37AD"/>
    <w:rsid w:val="5162104E"/>
    <w:rsid w:val="516C77CE"/>
    <w:rsid w:val="516D59CC"/>
    <w:rsid w:val="51710FD9"/>
    <w:rsid w:val="51723EB6"/>
    <w:rsid w:val="517448D5"/>
    <w:rsid w:val="5178776B"/>
    <w:rsid w:val="517B0CA3"/>
    <w:rsid w:val="517D19DC"/>
    <w:rsid w:val="5183249D"/>
    <w:rsid w:val="518604BC"/>
    <w:rsid w:val="5186454B"/>
    <w:rsid w:val="51874608"/>
    <w:rsid w:val="51894ABC"/>
    <w:rsid w:val="51895BC4"/>
    <w:rsid w:val="518A6F8B"/>
    <w:rsid w:val="518C60C3"/>
    <w:rsid w:val="518E5997"/>
    <w:rsid w:val="51915487"/>
    <w:rsid w:val="51956D25"/>
    <w:rsid w:val="519805C3"/>
    <w:rsid w:val="519D3E2C"/>
    <w:rsid w:val="519D5BDA"/>
    <w:rsid w:val="519F5DF6"/>
    <w:rsid w:val="51A518F8"/>
    <w:rsid w:val="51A52CE0"/>
    <w:rsid w:val="51AE7DE7"/>
    <w:rsid w:val="51B02621"/>
    <w:rsid w:val="51BF216C"/>
    <w:rsid w:val="51C95B83"/>
    <w:rsid w:val="51CB2747"/>
    <w:rsid w:val="51CD2963"/>
    <w:rsid w:val="51CE23C5"/>
    <w:rsid w:val="51D27F79"/>
    <w:rsid w:val="51D3335B"/>
    <w:rsid w:val="51D3784E"/>
    <w:rsid w:val="51D50F8B"/>
    <w:rsid w:val="51D830B6"/>
    <w:rsid w:val="51DA038A"/>
    <w:rsid w:val="51DD5C5A"/>
    <w:rsid w:val="51DD691E"/>
    <w:rsid w:val="51E2214F"/>
    <w:rsid w:val="51E2757B"/>
    <w:rsid w:val="51E37B44"/>
    <w:rsid w:val="51E41A5B"/>
    <w:rsid w:val="51E44568"/>
    <w:rsid w:val="51E97071"/>
    <w:rsid w:val="51EB7A8C"/>
    <w:rsid w:val="51EC090F"/>
    <w:rsid w:val="51F0037B"/>
    <w:rsid w:val="51F15F26"/>
    <w:rsid w:val="51F872B4"/>
    <w:rsid w:val="51FC6B68"/>
    <w:rsid w:val="51FF0643"/>
    <w:rsid w:val="51FF6019"/>
    <w:rsid w:val="51FF6894"/>
    <w:rsid w:val="52024883"/>
    <w:rsid w:val="52081BED"/>
    <w:rsid w:val="52094397"/>
    <w:rsid w:val="520A0A49"/>
    <w:rsid w:val="520B08F9"/>
    <w:rsid w:val="52133DB3"/>
    <w:rsid w:val="5214490E"/>
    <w:rsid w:val="52157E66"/>
    <w:rsid w:val="52197F39"/>
    <w:rsid w:val="521B066E"/>
    <w:rsid w:val="52245352"/>
    <w:rsid w:val="522D1654"/>
    <w:rsid w:val="522E717A"/>
    <w:rsid w:val="5233653E"/>
    <w:rsid w:val="52344790"/>
    <w:rsid w:val="52352BC9"/>
    <w:rsid w:val="52394E29"/>
    <w:rsid w:val="523C1897"/>
    <w:rsid w:val="52466271"/>
    <w:rsid w:val="5248054A"/>
    <w:rsid w:val="524A2661"/>
    <w:rsid w:val="524B7D2C"/>
    <w:rsid w:val="524D5852"/>
    <w:rsid w:val="525503FE"/>
    <w:rsid w:val="52585D5A"/>
    <w:rsid w:val="525A1D1D"/>
    <w:rsid w:val="525D7B81"/>
    <w:rsid w:val="525F10E1"/>
    <w:rsid w:val="526154D9"/>
    <w:rsid w:val="52642B9B"/>
    <w:rsid w:val="52645A0F"/>
    <w:rsid w:val="52691F60"/>
    <w:rsid w:val="527903F5"/>
    <w:rsid w:val="527C31C3"/>
    <w:rsid w:val="527D1264"/>
    <w:rsid w:val="52833022"/>
    <w:rsid w:val="52862B12"/>
    <w:rsid w:val="528C2795"/>
    <w:rsid w:val="52923265"/>
    <w:rsid w:val="529242F1"/>
    <w:rsid w:val="529369ED"/>
    <w:rsid w:val="52A40696"/>
    <w:rsid w:val="52A42F98"/>
    <w:rsid w:val="52AC6530"/>
    <w:rsid w:val="52AF2069"/>
    <w:rsid w:val="52B11F76"/>
    <w:rsid w:val="52B23907"/>
    <w:rsid w:val="52B648C1"/>
    <w:rsid w:val="52BA32C7"/>
    <w:rsid w:val="52BB22D8"/>
    <w:rsid w:val="52BC3CB1"/>
    <w:rsid w:val="52BE405A"/>
    <w:rsid w:val="52C3645F"/>
    <w:rsid w:val="52C75604"/>
    <w:rsid w:val="52CA29FF"/>
    <w:rsid w:val="52CD0741"/>
    <w:rsid w:val="52CD24EF"/>
    <w:rsid w:val="52D0546B"/>
    <w:rsid w:val="52D41ACF"/>
    <w:rsid w:val="52D42983"/>
    <w:rsid w:val="52D65847"/>
    <w:rsid w:val="52DE294E"/>
    <w:rsid w:val="52E02222"/>
    <w:rsid w:val="52E04A36"/>
    <w:rsid w:val="52E22421"/>
    <w:rsid w:val="52E8557B"/>
    <w:rsid w:val="52E87329"/>
    <w:rsid w:val="52F12681"/>
    <w:rsid w:val="52F35D43"/>
    <w:rsid w:val="52F715A0"/>
    <w:rsid w:val="52F757BE"/>
    <w:rsid w:val="52FF0538"/>
    <w:rsid w:val="53065A01"/>
    <w:rsid w:val="53071EA5"/>
    <w:rsid w:val="53080EFD"/>
    <w:rsid w:val="530A729F"/>
    <w:rsid w:val="530B42C2"/>
    <w:rsid w:val="530E4E22"/>
    <w:rsid w:val="531445C2"/>
    <w:rsid w:val="53163E96"/>
    <w:rsid w:val="531A6B5C"/>
    <w:rsid w:val="531B14AC"/>
    <w:rsid w:val="531B4A3A"/>
    <w:rsid w:val="531C6FD2"/>
    <w:rsid w:val="53213F70"/>
    <w:rsid w:val="5322283B"/>
    <w:rsid w:val="53230361"/>
    <w:rsid w:val="532742F5"/>
    <w:rsid w:val="532959CD"/>
    <w:rsid w:val="53303F2B"/>
    <w:rsid w:val="53316F22"/>
    <w:rsid w:val="533407C0"/>
    <w:rsid w:val="533455A3"/>
    <w:rsid w:val="533662E6"/>
    <w:rsid w:val="53383B95"/>
    <w:rsid w:val="533C25DC"/>
    <w:rsid w:val="533C41C5"/>
    <w:rsid w:val="534827D0"/>
    <w:rsid w:val="5349426B"/>
    <w:rsid w:val="534E1882"/>
    <w:rsid w:val="534F5D39"/>
    <w:rsid w:val="535769B0"/>
    <w:rsid w:val="536146CE"/>
    <w:rsid w:val="5362532D"/>
    <w:rsid w:val="536306DA"/>
    <w:rsid w:val="53670B95"/>
    <w:rsid w:val="536C61AC"/>
    <w:rsid w:val="536E3CD2"/>
    <w:rsid w:val="537506AF"/>
    <w:rsid w:val="537B019D"/>
    <w:rsid w:val="537E2111"/>
    <w:rsid w:val="538057B3"/>
    <w:rsid w:val="538461DF"/>
    <w:rsid w:val="53874D93"/>
    <w:rsid w:val="538873DD"/>
    <w:rsid w:val="53890B0C"/>
    <w:rsid w:val="538B2E4A"/>
    <w:rsid w:val="538B4884"/>
    <w:rsid w:val="539300FF"/>
    <w:rsid w:val="53941B93"/>
    <w:rsid w:val="5394364E"/>
    <w:rsid w:val="53952E53"/>
    <w:rsid w:val="53986FA1"/>
    <w:rsid w:val="539A2935"/>
    <w:rsid w:val="539E4FD0"/>
    <w:rsid w:val="53A019B1"/>
    <w:rsid w:val="53A039CC"/>
    <w:rsid w:val="53A1505A"/>
    <w:rsid w:val="53A54A39"/>
    <w:rsid w:val="53A54C8E"/>
    <w:rsid w:val="53A5521A"/>
    <w:rsid w:val="53AB5F7D"/>
    <w:rsid w:val="53AB6CD4"/>
    <w:rsid w:val="53AE40CE"/>
    <w:rsid w:val="53B21E71"/>
    <w:rsid w:val="53B4718A"/>
    <w:rsid w:val="53C02B75"/>
    <w:rsid w:val="53C51418"/>
    <w:rsid w:val="53C5766A"/>
    <w:rsid w:val="53C90F08"/>
    <w:rsid w:val="53D0274A"/>
    <w:rsid w:val="53D22156"/>
    <w:rsid w:val="53D224B3"/>
    <w:rsid w:val="53D33B35"/>
    <w:rsid w:val="53D55AFF"/>
    <w:rsid w:val="53D578AD"/>
    <w:rsid w:val="53D77D03"/>
    <w:rsid w:val="53D91E35"/>
    <w:rsid w:val="53DF697E"/>
    <w:rsid w:val="53E45D42"/>
    <w:rsid w:val="53E746BF"/>
    <w:rsid w:val="53E83104"/>
    <w:rsid w:val="53EC2E48"/>
    <w:rsid w:val="53F046E7"/>
    <w:rsid w:val="53F131C4"/>
    <w:rsid w:val="53F817ED"/>
    <w:rsid w:val="53FA5565"/>
    <w:rsid w:val="53FB3082"/>
    <w:rsid w:val="54001829"/>
    <w:rsid w:val="540070EB"/>
    <w:rsid w:val="5402441A"/>
    <w:rsid w:val="54025A44"/>
    <w:rsid w:val="54041F40"/>
    <w:rsid w:val="54054DD7"/>
    <w:rsid w:val="54063E08"/>
    <w:rsid w:val="540672D6"/>
    <w:rsid w:val="54077C82"/>
    <w:rsid w:val="5408413B"/>
    <w:rsid w:val="540E22B0"/>
    <w:rsid w:val="54102FDB"/>
    <w:rsid w:val="54134879"/>
    <w:rsid w:val="54183C3E"/>
    <w:rsid w:val="54194508"/>
    <w:rsid w:val="541A5C08"/>
    <w:rsid w:val="541C2BD1"/>
    <w:rsid w:val="541D74A6"/>
    <w:rsid w:val="541D7C9C"/>
    <w:rsid w:val="541E1BA7"/>
    <w:rsid w:val="541F4FCC"/>
    <w:rsid w:val="5421480E"/>
    <w:rsid w:val="54246E44"/>
    <w:rsid w:val="5426635A"/>
    <w:rsid w:val="54297278"/>
    <w:rsid w:val="542D76E9"/>
    <w:rsid w:val="542E3461"/>
    <w:rsid w:val="543437E8"/>
    <w:rsid w:val="543546D5"/>
    <w:rsid w:val="54372316"/>
    <w:rsid w:val="54396B62"/>
    <w:rsid w:val="543A0058"/>
    <w:rsid w:val="543C3DD0"/>
    <w:rsid w:val="543C7743"/>
    <w:rsid w:val="54434E84"/>
    <w:rsid w:val="544467E1"/>
    <w:rsid w:val="5446594F"/>
    <w:rsid w:val="544A1E12"/>
    <w:rsid w:val="544B5FDC"/>
    <w:rsid w:val="544C2E0C"/>
    <w:rsid w:val="54555434"/>
    <w:rsid w:val="5455702E"/>
    <w:rsid w:val="545804DE"/>
    <w:rsid w:val="54596730"/>
    <w:rsid w:val="545A24A8"/>
    <w:rsid w:val="545A4F6A"/>
    <w:rsid w:val="545C0092"/>
    <w:rsid w:val="545C7FCE"/>
    <w:rsid w:val="546169CA"/>
    <w:rsid w:val="546649A9"/>
    <w:rsid w:val="546D3F89"/>
    <w:rsid w:val="546D5D37"/>
    <w:rsid w:val="54735527"/>
    <w:rsid w:val="547837B4"/>
    <w:rsid w:val="54790B80"/>
    <w:rsid w:val="547C77E1"/>
    <w:rsid w:val="54857525"/>
    <w:rsid w:val="54882B71"/>
    <w:rsid w:val="54894BE9"/>
    <w:rsid w:val="54931516"/>
    <w:rsid w:val="54947768"/>
    <w:rsid w:val="5495528E"/>
    <w:rsid w:val="54971006"/>
    <w:rsid w:val="54992FD0"/>
    <w:rsid w:val="54996B2C"/>
    <w:rsid w:val="549B5123"/>
    <w:rsid w:val="549E4143"/>
    <w:rsid w:val="54A159E1"/>
    <w:rsid w:val="54A35BFD"/>
    <w:rsid w:val="54AC3115"/>
    <w:rsid w:val="54AC551B"/>
    <w:rsid w:val="54AD5A82"/>
    <w:rsid w:val="54B70C74"/>
    <w:rsid w:val="54B716A8"/>
    <w:rsid w:val="54B72E39"/>
    <w:rsid w:val="54B73FFB"/>
    <w:rsid w:val="54B96610"/>
    <w:rsid w:val="54BB2DFA"/>
    <w:rsid w:val="54BC6CBF"/>
    <w:rsid w:val="54BF4C96"/>
    <w:rsid w:val="54C02666"/>
    <w:rsid w:val="54C3004D"/>
    <w:rsid w:val="54C31DFB"/>
    <w:rsid w:val="54C85664"/>
    <w:rsid w:val="54C85830"/>
    <w:rsid w:val="54CA13DC"/>
    <w:rsid w:val="54CE5DA9"/>
    <w:rsid w:val="54CF07B4"/>
    <w:rsid w:val="54D05F50"/>
    <w:rsid w:val="54D35F3D"/>
    <w:rsid w:val="54D538DD"/>
    <w:rsid w:val="54DB547E"/>
    <w:rsid w:val="54DC2EBD"/>
    <w:rsid w:val="54DE09E3"/>
    <w:rsid w:val="54DF6509"/>
    <w:rsid w:val="54E0475B"/>
    <w:rsid w:val="54E3249D"/>
    <w:rsid w:val="54E57FC4"/>
    <w:rsid w:val="54E65AA0"/>
    <w:rsid w:val="54E81750"/>
    <w:rsid w:val="54EA55DA"/>
    <w:rsid w:val="54EF26DE"/>
    <w:rsid w:val="54EF2BF0"/>
    <w:rsid w:val="54F00716"/>
    <w:rsid w:val="54F15F6F"/>
    <w:rsid w:val="54F16968"/>
    <w:rsid w:val="54F226E1"/>
    <w:rsid w:val="54F2623D"/>
    <w:rsid w:val="54F36F93"/>
    <w:rsid w:val="54F46459"/>
    <w:rsid w:val="54F621D1"/>
    <w:rsid w:val="54F6391C"/>
    <w:rsid w:val="54F73313"/>
    <w:rsid w:val="54F80955"/>
    <w:rsid w:val="54FA6421"/>
    <w:rsid w:val="54FB4AFB"/>
    <w:rsid w:val="54FC6198"/>
    <w:rsid w:val="54FE1085"/>
    <w:rsid w:val="5502346B"/>
    <w:rsid w:val="5502745C"/>
    <w:rsid w:val="55034E8A"/>
    <w:rsid w:val="55067F3A"/>
    <w:rsid w:val="5507140E"/>
    <w:rsid w:val="55072635"/>
    <w:rsid w:val="55085A60"/>
    <w:rsid w:val="55092506"/>
    <w:rsid w:val="550B5550"/>
    <w:rsid w:val="55144405"/>
    <w:rsid w:val="55191A1B"/>
    <w:rsid w:val="551C775D"/>
    <w:rsid w:val="551F0EE2"/>
    <w:rsid w:val="55236889"/>
    <w:rsid w:val="55273E82"/>
    <w:rsid w:val="5528754F"/>
    <w:rsid w:val="55306D65"/>
    <w:rsid w:val="553132E3"/>
    <w:rsid w:val="55326F81"/>
    <w:rsid w:val="55376345"/>
    <w:rsid w:val="5538461C"/>
    <w:rsid w:val="553B5E36"/>
    <w:rsid w:val="553B63BD"/>
    <w:rsid w:val="553B7BE4"/>
    <w:rsid w:val="553E7330"/>
    <w:rsid w:val="55435EE8"/>
    <w:rsid w:val="55466588"/>
    <w:rsid w:val="5549190E"/>
    <w:rsid w:val="554C6B20"/>
    <w:rsid w:val="554F487B"/>
    <w:rsid w:val="555170A7"/>
    <w:rsid w:val="555222D6"/>
    <w:rsid w:val="55540CA5"/>
    <w:rsid w:val="555534C9"/>
    <w:rsid w:val="555B47BD"/>
    <w:rsid w:val="555B64D8"/>
    <w:rsid w:val="555D3FFE"/>
    <w:rsid w:val="55621614"/>
    <w:rsid w:val="5563713A"/>
    <w:rsid w:val="55693404"/>
    <w:rsid w:val="556B5782"/>
    <w:rsid w:val="556E620B"/>
    <w:rsid w:val="556F3D31"/>
    <w:rsid w:val="55757E11"/>
    <w:rsid w:val="557650C0"/>
    <w:rsid w:val="55801A9A"/>
    <w:rsid w:val="5587536D"/>
    <w:rsid w:val="558770C6"/>
    <w:rsid w:val="55886BA1"/>
    <w:rsid w:val="55894DF3"/>
    <w:rsid w:val="558A2919"/>
    <w:rsid w:val="558D721B"/>
    <w:rsid w:val="5598445C"/>
    <w:rsid w:val="559B174B"/>
    <w:rsid w:val="559B2D78"/>
    <w:rsid w:val="559D089E"/>
    <w:rsid w:val="559D264C"/>
    <w:rsid w:val="559D43FA"/>
    <w:rsid w:val="559D5CC0"/>
    <w:rsid w:val="55A27C63"/>
    <w:rsid w:val="55A3400F"/>
    <w:rsid w:val="55A77192"/>
    <w:rsid w:val="55AD03B6"/>
    <w:rsid w:val="55B856D8"/>
    <w:rsid w:val="55BA1450"/>
    <w:rsid w:val="55BD684B"/>
    <w:rsid w:val="55BF0815"/>
    <w:rsid w:val="55C45E2B"/>
    <w:rsid w:val="55C71477"/>
    <w:rsid w:val="55C951EF"/>
    <w:rsid w:val="55CE0CF4"/>
    <w:rsid w:val="55CE67D9"/>
    <w:rsid w:val="55D02A22"/>
    <w:rsid w:val="55D342C0"/>
    <w:rsid w:val="55D63DB0"/>
    <w:rsid w:val="55D83684"/>
    <w:rsid w:val="55D911AB"/>
    <w:rsid w:val="55DA73FC"/>
    <w:rsid w:val="55DD79D2"/>
    <w:rsid w:val="55DF5A88"/>
    <w:rsid w:val="55E07CEB"/>
    <w:rsid w:val="55E24503"/>
    <w:rsid w:val="55E6064E"/>
    <w:rsid w:val="55EA33B8"/>
    <w:rsid w:val="55EC0126"/>
    <w:rsid w:val="55EE2985"/>
    <w:rsid w:val="55F12998"/>
    <w:rsid w:val="55F711BD"/>
    <w:rsid w:val="55F867FB"/>
    <w:rsid w:val="55FB7373"/>
    <w:rsid w:val="55FC203D"/>
    <w:rsid w:val="56010E2D"/>
    <w:rsid w:val="560B3A5A"/>
    <w:rsid w:val="560F492A"/>
    <w:rsid w:val="561072C2"/>
    <w:rsid w:val="561548D9"/>
    <w:rsid w:val="56162D09"/>
    <w:rsid w:val="561843C9"/>
    <w:rsid w:val="561B5752"/>
    <w:rsid w:val="5623455D"/>
    <w:rsid w:val="56270168"/>
    <w:rsid w:val="56293737"/>
    <w:rsid w:val="56293EE0"/>
    <w:rsid w:val="562C39D0"/>
    <w:rsid w:val="562C6234"/>
    <w:rsid w:val="56301712"/>
    <w:rsid w:val="5632114B"/>
    <w:rsid w:val="56323497"/>
    <w:rsid w:val="563665FD"/>
    <w:rsid w:val="563C00B7"/>
    <w:rsid w:val="563D454F"/>
    <w:rsid w:val="563F375A"/>
    <w:rsid w:val="563F39B0"/>
    <w:rsid w:val="56437EDE"/>
    <w:rsid w:val="5648237A"/>
    <w:rsid w:val="564C3298"/>
    <w:rsid w:val="564C3509"/>
    <w:rsid w:val="564E64E5"/>
    <w:rsid w:val="56503B63"/>
    <w:rsid w:val="565151E5"/>
    <w:rsid w:val="56521689"/>
    <w:rsid w:val="565371AF"/>
    <w:rsid w:val="56554CD5"/>
    <w:rsid w:val="56576C9F"/>
    <w:rsid w:val="565A053D"/>
    <w:rsid w:val="565A22EB"/>
    <w:rsid w:val="5662347E"/>
    <w:rsid w:val="56625644"/>
    <w:rsid w:val="56644F18"/>
    <w:rsid w:val="56673F1F"/>
    <w:rsid w:val="56694C24"/>
    <w:rsid w:val="566969D2"/>
    <w:rsid w:val="566D253A"/>
    <w:rsid w:val="566D3123"/>
    <w:rsid w:val="566D69A1"/>
    <w:rsid w:val="56727104"/>
    <w:rsid w:val="567B6271"/>
    <w:rsid w:val="567D13ED"/>
    <w:rsid w:val="567D422C"/>
    <w:rsid w:val="56861332"/>
    <w:rsid w:val="56902438"/>
    <w:rsid w:val="569972B8"/>
    <w:rsid w:val="569A3030"/>
    <w:rsid w:val="56A17F1A"/>
    <w:rsid w:val="56A33C92"/>
    <w:rsid w:val="56A95A76"/>
    <w:rsid w:val="56B22A9C"/>
    <w:rsid w:val="56B23691"/>
    <w:rsid w:val="56B24168"/>
    <w:rsid w:val="56B32712"/>
    <w:rsid w:val="56B509D3"/>
    <w:rsid w:val="56B714EC"/>
    <w:rsid w:val="56B80EAE"/>
    <w:rsid w:val="56C34BB0"/>
    <w:rsid w:val="56C43C09"/>
    <w:rsid w:val="56CA5E49"/>
    <w:rsid w:val="56CE0279"/>
    <w:rsid w:val="56CE6835"/>
    <w:rsid w:val="56CF3D11"/>
    <w:rsid w:val="56D007FF"/>
    <w:rsid w:val="56D26326"/>
    <w:rsid w:val="56D47B29"/>
    <w:rsid w:val="56D73387"/>
    <w:rsid w:val="56D9408C"/>
    <w:rsid w:val="56DA7D27"/>
    <w:rsid w:val="56DC71A4"/>
    <w:rsid w:val="56E12A0D"/>
    <w:rsid w:val="56E368B8"/>
    <w:rsid w:val="56E61DD1"/>
    <w:rsid w:val="56EA18C1"/>
    <w:rsid w:val="56ED13B1"/>
    <w:rsid w:val="56EE0C86"/>
    <w:rsid w:val="56EF7BD8"/>
    <w:rsid w:val="56F20776"/>
    <w:rsid w:val="56F269C8"/>
    <w:rsid w:val="56F444EE"/>
    <w:rsid w:val="56F72230"/>
    <w:rsid w:val="56F86467"/>
    <w:rsid w:val="56F965BD"/>
    <w:rsid w:val="56FE6056"/>
    <w:rsid w:val="56FF0A48"/>
    <w:rsid w:val="57016C0B"/>
    <w:rsid w:val="57030BD5"/>
    <w:rsid w:val="570404A9"/>
    <w:rsid w:val="57046113"/>
    <w:rsid w:val="570566FB"/>
    <w:rsid w:val="5706344A"/>
    <w:rsid w:val="57081358"/>
    <w:rsid w:val="570B3561"/>
    <w:rsid w:val="570C1A39"/>
    <w:rsid w:val="570C5CDB"/>
    <w:rsid w:val="57117D57"/>
    <w:rsid w:val="57122853"/>
    <w:rsid w:val="57135A77"/>
    <w:rsid w:val="57144B90"/>
    <w:rsid w:val="5714693E"/>
    <w:rsid w:val="57154464"/>
    <w:rsid w:val="571903F8"/>
    <w:rsid w:val="57194BA0"/>
    <w:rsid w:val="571B5F1F"/>
    <w:rsid w:val="571E5A0F"/>
    <w:rsid w:val="572052E3"/>
    <w:rsid w:val="5721105B"/>
    <w:rsid w:val="57224B04"/>
    <w:rsid w:val="572465E0"/>
    <w:rsid w:val="57283E0B"/>
    <w:rsid w:val="5735725F"/>
    <w:rsid w:val="5737460E"/>
    <w:rsid w:val="57387AFE"/>
    <w:rsid w:val="573963A5"/>
    <w:rsid w:val="573B211D"/>
    <w:rsid w:val="573C0DF4"/>
    <w:rsid w:val="573C40E7"/>
    <w:rsid w:val="573E41C4"/>
    <w:rsid w:val="57435475"/>
    <w:rsid w:val="574B60D8"/>
    <w:rsid w:val="574F3FF6"/>
    <w:rsid w:val="57504512"/>
    <w:rsid w:val="57530294"/>
    <w:rsid w:val="57565668"/>
    <w:rsid w:val="57580F21"/>
    <w:rsid w:val="575E5E0B"/>
    <w:rsid w:val="57633422"/>
    <w:rsid w:val="576467FF"/>
    <w:rsid w:val="576551C6"/>
    <w:rsid w:val="57664CC0"/>
    <w:rsid w:val="57684EDC"/>
    <w:rsid w:val="576B6907"/>
    <w:rsid w:val="576F0018"/>
    <w:rsid w:val="57700B77"/>
    <w:rsid w:val="57776ECD"/>
    <w:rsid w:val="577E4961"/>
    <w:rsid w:val="5781047F"/>
    <w:rsid w:val="5782609F"/>
    <w:rsid w:val="57835872"/>
    <w:rsid w:val="578735B4"/>
    <w:rsid w:val="5789732C"/>
    <w:rsid w:val="578B5B97"/>
    <w:rsid w:val="57926D3D"/>
    <w:rsid w:val="57953E1C"/>
    <w:rsid w:val="579A2768"/>
    <w:rsid w:val="579C65C0"/>
    <w:rsid w:val="579E445A"/>
    <w:rsid w:val="57A43D49"/>
    <w:rsid w:val="57A53A3A"/>
    <w:rsid w:val="57AD28EF"/>
    <w:rsid w:val="57AD6FAC"/>
    <w:rsid w:val="57AE601F"/>
    <w:rsid w:val="57B343A9"/>
    <w:rsid w:val="57B57EEE"/>
    <w:rsid w:val="57B72A76"/>
    <w:rsid w:val="57B7551B"/>
    <w:rsid w:val="57BB325E"/>
    <w:rsid w:val="57BD0D84"/>
    <w:rsid w:val="57BE68AA"/>
    <w:rsid w:val="57C31A8B"/>
    <w:rsid w:val="57C3426C"/>
    <w:rsid w:val="57C93CAF"/>
    <w:rsid w:val="57CA34A1"/>
    <w:rsid w:val="57CC546B"/>
    <w:rsid w:val="57CE1F93"/>
    <w:rsid w:val="57D37254"/>
    <w:rsid w:val="57DD1426"/>
    <w:rsid w:val="57DD48BE"/>
    <w:rsid w:val="57E02DDB"/>
    <w:rsid w:val="57E36310"/>
    <w:rsid w:val="57E5652D"/>
    <w:rsid w:val="57EC3417"/>
    <w:rsid w:val="57EF1159"/>
    <w:rsid w:val="57F14ED1"/>
    <w:rsid w:val="57F154BB"/>
    <w:rsid w:val="57F16C7F"/>
    <w:rsid w:val="57F64296"/>
    <w:rsid w:val="57F86A62"/>
    <w:rsid w:val="57F873A0"/>
    <w:rsid w:val="57F95B34"/>
    <w:rsid w:val="57FA1D13"/>
    <w:rsid w:val="57FB18AC"/>
    <w:rsid w:val="57FD73D2"/>
    <w:rsid w:val="57FF75EE"/>
    <w:rsid w:val="58020713"/>
    <w:rsid w:val="58022C3B"/>
    <w:rsid w:val="58030761"/>
    <w:rsid w:val="580746F5"/>
    <w:rsid w:val="5814471C"/>
    <w:rsid w:val="58164938"/>
    <w:rsid w:val="58172ADF"/>
    <w:rsid w:val="581806B0"/>
    <w:rsid w:val="5822508B"/>
    <w:rsid w:val="582810F4"/>
    <w:rsid w:val="582C01C2"/>
    <w:rsid w:val="583152CE"/>
    <w:rsid w:val="58322102"/>
    <w:rsid w:val="583A0626"/>
    <w:rsid w:val="58403763"/>
    <w:rsid w:val="58403E1F"/>
    <w:rsid w:val="5842572D"/>
    <w:rsid w:val="584355C0"/>
    <w:rsid w:val="58436347"/>
    <w:rsid w:val="584E7C2E"/>
    <w:rsid w:val="585215FA"/>
    <w:rsid w:val="585316E8"/>
    <w:rsid w:val="585328F9"/>
    <w:rsid w:val="58535244"/>
    <w:rsid w:val="58586CFE"/>
    <w:rsid w:val="585A65D3"/>
    <w:rsid w:val="586631C9"/>
    <w:rsid w:val="58690F0C"/>
    <w:rsid w:val="586B3A56"/>
    <w:rsid w:val="58760F77"/>
    <w:rsid w:val="58770836"/>
    <w:rsid w:val="58773629"/>
    <w:rsid w:val="587E2145"/>
    <w:rsid w:val="587F428B"/>
    <w:rsid w:val="58822D33"/>
    <w:rsid w:val="588418A2"/>
    <w:rsid w:val="58850B9C"/>
    <w:rsid w:val="588743D1"/>
    <w:rsid w:val="5887701A"/>
    <w:rsid w:val="588B230B"/>
    <w:rsid w:val="588C555B"/>
    <w:rsid w:val="588D0E94"/>
    <w:rsid w:val="588D4BFA"/>
    <w:rsid w:val="589046EA"/>
    <w:rsid w:val="58913FBE"/>
    <w:rsid w:val="589171BF"/>
    <w:rsid w:val="58924565"/>
    <w:rsid w:val="58935F89"/>
    <w:rsid w:val="58947260"/>
    <w:rsid w:val="58953141"/>
    <w:rsid w:val="58953AAF"/>
    <w:rsid w:val="589A2E73"/>
    <w:rsid w:val="589F66DB"/>
    <w:rsid w:val="58A12453"/>
    <w:rsid w:val="58A61818"/>
    <w:rsid w:val="58A81A34"/>
    <w:rsid w:val="58A91308"/>
    <w:rsid w:val="58AB6E2E"/>
    <w:rsid w:val="58AE459A"/>
    <w:rsid w:val="58B07973"/>
    <w:rsid w:val="58B21713"/>
    <w:rsid w:val="58B33F35"/>
    <w:rsid w:val="58B71C77"/>
    <w:rsid w:val="58BC103B"/>
    <w:rsid w:val="58BC7AA4"/>
    <w:rsid w:val="58BE1257"/>
    <w:rsid w:val="58C47EF0"/>
    <w:rsid w:val="58C6010C"/>
    <w:rsid w:val="58CA24E2"/>
    <w:rsid w:val="58CE6FC1"/>
    <w:rsid w:val="58CF0836"/>
    <w:rsid w:val="58DF11CE"/>
    <w:rsid w:val="58E30CBE"/>
    <w:rsid w:val="58E6430A"/>
    <w:rsid w:val="58E67648"/>
    <w:rsid w:val="58E86238"/>
    <w:rsid w:val="58E9186D"/>
    <w:rsid w:val="58E95BA9"/>
    <w:rsid w:val="58EE5793"/>
    <w:rsid w:val="58F11969"/>
    <w:rsid w:val="58F46A27"/>
    <w:rsid w:val="58FD0B73"/>
    <w:rsid w:val="58FF53CC"/>
    <w:rsid w:val="590315FB"/>
    <w:rsid w:val="590429E2"/>
    <w:rsid w:val="59066C26"/>
    <w:rsid w:val="59084281"/>
    <w:rsid w:val="59132074"/>
    <w:rsid w:val="591470C9"/>
    <w:rsid w:val="59170968"/>
    <w:rsid w:val="591B0458"/>
    <w:rsid w:val="591D35BC"/>
    <w:rsid w:val="59215342"/>
    <w:rsid w:val="592310BA"/>
    <w:rsid w:val="592D1F39"/>
    <w:rsid w:val="59305585"/>
    <w:rsid w:val="59322E3A"/>
    <w:rsid w:val="59352B9C"/>
    <w:rsid w:val="593632DA"/>
    <w:rsid w:val="59372DB8"/>
    <w:rsid w:val="593C217C"/>
    <w:rsid w:val="59423504"/>
    <w:rsid w:val="59451C63"/>
    <w:rsid w:val="59451FBE"/>
    <w:rsid w:val="594554D5"/>
    <w:rsid w:val="59457283"/>
    <w:rsid w:val="59462FFB"/>
    <w:rsid w:val="594B23BF"/>
    <w:rsid w:val="59527BF2"/>
    <w:rsid w:val="595345F5"/>
    <w:rsid w:val="5954396A"/>
    <w:rsid w:val="59576FB6"/>
    <w:rsid w:val="595B6AA6"/>
    <w:rsid w:val="595C637A"/>
    <w:rsid w:val="595D0E79"/>
    <w:rsid w:val="59654D46"/>
    <w:rsid w:val="59682F71"/>
    <w:rsid w:val="597247E0"/>
    <w:rsid w:val="5979381F"/>
    <w:rsid w:val="5979517E"/>
    <w:rsid w:val="597B0EF6"/>
    <w:rsid w:val="597B2CA5"/>
    <w:rsid w:val="5980650D"/>
    <w:rsid w:val="59835FFD"/>
    <w:rsid w:val="59837DAB"/>
    <w:rsid w:val="598541D6"/>
    <w:rsid w:val="59861649"/>
    <w:rsid w:val="59876967"/>
    <w:rsid w:val="5987789B"/>
    <w:rsid w:val="59883613"/>
    <w:rsid w:val="598B6C60"/>
    <w:rsid w:val="598C17B9"/>
    <w:rsid w:val="59942098"/>
    <w:rsid w:val="59945B14"/>
    <w:rsid w:val="599B50F5"/>
    <w:rsid w:val="599C7F9A"/>
    <w:rsid w:val="599D630C"/>
    <w:rsid w:val="599E6993"/>
    <w:rsid w:val="59A37FFC"/>
    <w:rsid w:val="59A4473C"/>
    <w:rsid w:val="59A57D21"/>
    <w:rsid w:val="59B241EC"/>
    <w:rsid w:val="59B30690"/>
    <w:rsid w:val="59B461B6"/>
    <w:rsid w:val="59B463F7"/>
    <w:rsid w:val="59B834CE"/>
    <w:rsid w:val="59B91A1F"/>
    <w:rsid w:val="59B94BE9"/>
    <w:rsid w:val="59BD150F"/>
    <w:rsid w:val="59BD1846"/>
    <w:rsid w:val="59BE5DFE"/>
    <w:rsid w:val="59C0439F"/>
    <w:rsid w:val="59C24CD2"/>
    <w:rsid w:val="59C363FA"/>
    <w:rsid w:val="59C86B3A"/>
    <w:rsid w:val="59CC10D9"/>
    <w:rsid w:val="59D32AE1"/>
    <w:rsid w:val="59D423B5"/>
    <w:rsid w:val="59D43AA9"/>
    <w:rsid w:val="59D52770"/>
    <w:rsid w:val="59D6437F"/>
    <w:rsid w:val="59DB7BE7"/>
    <w:rsid w:val="59DC1A3C"/>
    <w:rsid w:val="59DF66A0"/>
    <w:rsid w:val="59DF6902"/>
    <w:rsid w:val="59E05CC1"/>
    <w:rsid w:val="59E431E9"/>
    <w:rsid w:val="59E629DC"/>
    <w:rsid w:val="59E7658C"/>
    <w:rsid w:val="59E940B2"/>
    <w:rsid w:val="59EC3BA2"/>
    <w:rsid w:val="59EC76FE"/>
    <w:rsid w:val="59EF5441"/>
    <w:rsid w:val="59EF71EF"/>
    <w:rsid w:val="59F1740B"/>
    <w:rsid w:val="59F237BA"/>
    <w:rsid w:val="59F40CA9"/>
    <w:rsid w:val="59F55100"/>
    <w:rsid w:val="59F56C75"/>
    <w:rsid w:val="59F760A3"/>
    <w:rsid w:val="59F81919"/>
    <w:rsid w:val="59FD5DAF"/>
    <w:rsid w:val="5A040EEC"/>
    <w:rsid w:val="5A0542DA"/>
    <w:rsid w:val="5A054C64"/>
    <w:rsid w:val="5A0A4028"/>
    <w:rsid w:val="5A0C551C"/>
    <w:rsid w:val="5A0C78B7"/>
    <w:rsid w:val="5A146537"/>
    <w:rsid w:val="5A191374"/>
    <w:rsid w:val="5A1D5B0A"/>
    <w:rsid w:val="5A20384C"/>
    <w:rsid w:val="5A296BA4"/>
    <w:rsid w:val="5A2B29C3"/>
    <w:rsid w:val="5A2C3F9F"/>
    <w:rsid w:val="5A2D764F"/>
    <w:rsid w:val="5A386DE8"/>
    <w:rsid w:val="5A4532B2"/>
    <w:rsid w:val="5A47527D"/>
    <w:rsid w:val="5A484F8A"/>
    <w:rsid w:val="5A492DA3"/>
    <w:rsid w:val="5A4A08C9"/>
    <w:rsid w:val="5A4D65D0"/>
    <w:rsid w:val="5A5022EF"/>
    <w:rsid w:val="5A582FE6"/>
    <w:rsid w:val="5A5D05FC"/>
    <w:rsid w:val="5A5D23AA"/>
    <w:rsid w:val="5A5D31A1"/>
    <w:rsid w:val="5A5F26D4"/>
    <w:rsid w:val="5A5F4374"/>
    <w:rsid w:val="5A6279C1"/>
    <w:rsid w:val="5A627DD5"/>
    <w:rsid w:val="5A64329F"/>
    <w:rsid w:val="5A6B0F6B"/>
    <w:rsid w:val="5A6D19E9"/>
    <w:rsid w:val="5A6D587F"/>
    <w:rsid w:val="5A6F5562"/>
    <w:rsid w:val="5A706551"/>
    <w:rsid w:val="5A7616BE"/>
    <w:rsid w:val="5A766A76"/>
    <w:rsid w:val="5A7B6781"/>
    <w:rsid w:val="5A7F3D50"/>
    <w:rsid w:val="5A8148A2"/>
    <w:rsid w:val="5A816F33"/>
    <w:rsid w:val="5A8550FA"/>
    <w:rsid w:val="5A861664"/>
    <w:rsid w:val="5A875679"/>
    <w:rsid w:val="5A8A6B27"/>
    <w:rsid w:val="5A8B5169"/>
    <w:rsid w:val="5A8E07B6"/>
    <w:rsid w:val="5A8E2EAB"/>
    <w:rsid w:val="5A8F0385"/>
    <w:rsid w:val="5A934AE8"/>
    <w:rsid w:val="5AA4622B"/>
    <w:rsid w:val="5AA85FA7"/>
    <w:rsid w:val="5AA91A93"/>
    <w:rsid w:val="5AAD1584"/>
    <w:rsid w:val="5AB32912"/>
    <w:rsid w:val="5AB50438"/>
    <w:rsid w:val="5AB741B0"/>
    <w:rsid w:val="5ABA5A4E"/>
    <w:rsid w:val="5ABE2233"/>
    <w:rsid w:val="5ABE7E1B"/>
    <w:rsid w:val="5AC01C3D"/>
    <w:rsid w:val="5AC42429"/>
    <w:rsid w:val="5AC46799"/>
    <w:rsid w:val="5ACB69B9"/>
    <w:rsid w:val="5ACD7D4A"/>
    <w:rsid w:val="5ACF7B3C"/>
    <w:rsid w:val="5AD05272"/>
    <w:rsid w:val="5AD20FEA"/>
    <w:rsid w:val="5ADC4F12"/>
    <w:rsid w:val="5ADC59C5"/>
    <w:rsid w:val="5ADC5E19"/>
    <w:rsid w:val="5AE04F4C"/>
    <w:rsid w:val="5AF06C4D"/>
    <w:rsid w:val="5AF276C4"/>
    <w:rsid w:val="5AF30F60"/>
    <w:rsid w:val="5AF326CD"/>
    <w:rsid w:val="5AF34ABD"/>
    <w:rsid w:val="5AF54A8A"/>
    <w:rsid w:val="5AF56A87"/>
    <w:rsid w:val="5AF745AD"/>
    <w:rsid w:val="5AFC7E15"/>
    <w:rsid w:val="5AFE1C82"/>
    <w:rsid w:val="5AFF7905"/>
    <w:rsid w:val="5B0171D9"/>
    <w:rsid w:val="5B022F52"/>
    <w:rsid w:val="5B04316E"/>
    <w:rsid w:val="5B062A42"/>
    <w:rsid w:val="5B0827D1"/>
    <w:rsid w:val="5B0942E0"/>
    <w:rsid w:val="5B0A0784"/>
    <w:rsid w:val="5B0D5130"/>
    <w:rsid w:val="5B0F5D9A"/>
    <w:rsid w:val="5B1213E7"/>
    <w:rsid w:val="5B1651F0"/>
    <w:rsid w:val="5B172EA1"/>
    <w:rsid w:val="5B1C04B7"/>
    <w:rsid w:val="5B286E5C"/>
    <w:rsid w:val="5B287B9E"/>
    <w:rsid w:val="5B2B5093"/>
    <w:rsid w:val="5B2D4026"/>
    <w:rsid w:val="5B3255E5"/>
    <w:rsid w:val="5B343536"/>
    <w:rsid w:val="5B3524F6"/>
    <w:rsid w:val="5B355BAF"/>
    <w:rsid w:val="5B373C33"/>
    <w:rsid w:val="5B394BC5"/>
    <w:rsid w:val="5B3A2569"/>
    <w:rsid w:val="5B3A26EB"/>
    <w:rsid w:val="5B3F38F0"/>
    <w:rsid w:val="5B44356A"/>
    <w:rsid w:val="5B465534"/>
    <w:rsid w:val="5B4672E2"/>
    <w:rsid w:val="5B474DD8"/>
    <w:rsid w:val="5B53012E"/>
    <w:rsid w:val="5B5639C9"/>
    <w:rsid w:val="5B5E178C"/>
    <w:rsid w:val="5B5F1D05"/>
    <w:rsid w:val="5B62077E"/>
    <w:rsid w:val="5B631C42"/>
    <w:rsid w:val="5B637E94"/>
    <w:rsid w:val="5B6559BA"/>
    <w:rsid w:val="5B6854AA"/>
    <w:rsid w:val="5B715EBD"/>
    <w:rsid w:val="5B733E48"/>
    <w:rsid w:val="5B74055E"/>
    <w:rsid w:val="5B743E4F"/>
    <w:rsid w:val="5B745BFD"/>
    <w:rsid w:val="5B77068B"/>
    <w:rsid w:val="5B7976B8"/>
    <w:rsid w:val="5B7B5AF5"/>
    <w:rsid w:val="5B7F32C0"/>
    <w:rsid w:val="5B81031A"/>
    <w:rsid w:val="5B8125D8"/>
    <w:rsid w:val="5B812656"/>
    <w:rsid w:val="5B841BB9"/>
    <w:rsid w:val="5B85605C"/>
    <w:rsid w:val="5B8B37BD"/>
    <w:rsid w:val="5B8F2A37"/>
    <w:rsid w:val="5B916CE6"/>
    <w:rsid w:val="5B961E3B"/>
    <w:rsid w:val="5B9F0AF4"/>
    <w:rsid w:val="5BA74A5A"/>
    <w:rsid w:val="5BA7648B"/>
    <w:rsid w:val="5BAF4E87"/>
    <w:rsid w:val="5BAF6C35"/>
    <w:rsid w:val="5BB62C85"/>
    <w:rsid w:val="5BB97AB4"/>
    <w:rsid w:val="5BBE767B"/>
    <w:rsid w:val="5BC17A4E"/>
    <w:rsid w:val="5BC32306"/>
    <w:rsid w:val="5BC528FD"/>
    <w:rsid w:val="5BC546AB"/>
    <w:rsid w:val="5BC56459"/>
    <w:rsid w:val="5BC70423"/>
    <w:rsid w:val="5BC85F49"/>
    <w:rsid w:val="5BC94BEF"/>
    <w:rsid w:val="5BCA1926"/>
    <w:rsid w:val="5BD12AD4"/>
    <w:rsid w:val="5BD42B40"/>
    <w:rsid w:val="5BD55A52"/>
    <w:rsid w:val="5BD86D8C"/>
    <w:rsid w:val="5BD90156"/>
    <w:rsid w:val="5BDB3ECE"/>
    <w:rsid w:val="5BDB5443"/>
    <w:rsid w:val="5BDB79E6"/>
    <w:rsid w:val="5BDD7C46"/>
    <w:rsid w:val="5BDF5D95"/>
    <w:rsid w:val="5BE2700B"/>
    <w:rsid w:val="5BE54D4D"/>
    <w:rsid w:val="5BE5543D"/>
    <w:rsid w:val="5BE64117"/>
    <w:rsid w:val="5BE663CF"/>
    <w:rsid w:val="5BE80399"/>
    <w:rsid w:val="5BF154A0"/>
    <w:rsid w:val="5BF46D3E"/>
    <w:rsid w:val="5BF6345A"/>
    <w:rsid w:val="5BF64864"/>
    <w:rsid w:val="5BFC5BF3"/>
    <w:rsid w:val="5BFD2097"/>
    <w:rsid w:val="5BFD32B2"/>
    <w:rsid w:val="5BFE7528"/>
    <w:rsid w:val="5C036210"/>
    <w:rsid w:val="5C0A1DD1"/>
    <w:rsid w:val="5C0D1BAE"/>
    <w:rsid w:val="5C0E6052"/>
    <w:rsid w:val="5C0F1033"/>
    <w:rsid w:val="5C103962"/>
    <w:rsid w:val="5C152EF2"/>
    <w:rsid w:val="5C1A3D31"/>
    <w:rsid w:val="5C1E200D"/>
    <w:rsid w:val="5C230EA5"/>
    <w:rsid w:val="5C2359AD"/>
    <w:rsid w:val="5C2B0143"/>
    <w:rsid w:val="5C390BF5"/>
    <w:rsid w:val="5C3B2BBF"/>
    <w:rsid w:val="5C3F26AF"/>
    <w:rsid w:val="5C431E33"/>
    <w:rsid w:val="5C4336A2"/>
    <w:rsid w:val="5C4708E2"/>
    <w:rsid w:val="5C4B5C8F"/>
    <w:rsid w:val="5C50666A"/>
    <w:rsid w:val="5C5617A7"/>
    <w:rsid w:val="5C563555"/>
    <w:rsid w:val="5C584D8E"/>
    <w:rsid w:val="5C5872CD"/>
    <w:rsid w:val="5C5D0D87"/>
    <w:rsid w:val="5C5F523E"/>
    <w:rsid w:val="5C606182"/>
    <w:rsid w:val="5C60623A"/>
    <w:rsid w:val="5C621EFA"/>
    <w:rsid w:val="5C64301A"/>
    <w:rsid w:val="5C643EC4"/>
    <w:rsid w:val="5C665027"/>
    <w:rsid w:val="5C6739B4"/>
    <w:rsid w:val="5C675762"/>
    <w:rsid w:val="5C6A0DAE"/>
    <w:rsid w:val="5C6B0270"/>
    <w:rsid w:val="5C744E01"/>
    <w:rsid w:val="5C785019"/>
    <w:rsid w:val="5C797243"/>
    <w:rsid w:val="5C7A5495"/>
    <w:rsid w:val="5C7E485A"/>
    <w:rsid w:val="5C877749"/>
    <w:rsid w:val="5C8835A6"/>
    <w:rsid w:val="5C8C51C9"/>
    <w:rsid w:val="5C8C6A72"/>
    <w:rsid w:val="5C9022BC"/>
    <w:rsid w:val="5C9347A9"/>
    <w:rsid w:val="5C9522CF"/>
    <w:rsid w:val="5C961BA3"/>
    <w:rsid w:val="5C983B6D"/>
    <w:rsid w:val="5C995A60"/>
    <w:rsid w:val="5C9C2AF0"/>
    <w:rsid w:val="5CA32899"/>
    <w:rsid w:val="5CA50038"/>
    <w:rsid w:val="5CA95D7B"/>
    <w:rsid w:val="5CAA7F35"/>
    <w:rsid w:val="5CAC13C7"/>
    <w:rsid w:val="5CAC7619"/>
    <w:rsid w:val="5CAF441C"/>
    <w:rsid w:val="5CB309A7"/>
    <w:rsid w:val="5CB84210"/>
    <w:rsid w:val="5CB87D6C"/>
    <w:rsid w:val="5CB97774"/>
    <w:rsid w:val="5CBC55B5"/>
    <w:rsid w:val="5CBC7B63"/>
    <w:rsid w:val="5CBD1826"/>
    <w:rsid w:val="5CC206EC"/>
    <w:rsid w:val="5CC76345"/>
    <w:rsid w:val="5CC91F79"/>
    <w:rsid w:val="5CCF29EE"/>
    <w:rsid w:val="5CD03A30"/>
    <w:rsid w:val="5CD252D1"/>
    <w:rsid w:val="5CD31049"/>
    <w:rsid w:val="5CD32EEC"/>
    <w:rsid w:val="5CD437AF"/>
    <w:rsid w:val="5CD64696"/>
    <w:rsid w:val="5CD92E88"/>
    <w:rsid w:val="5CDA4186"/>
    <w:rsid w:val="5CE15514"/>
    <w:rsid w:val="5CE655CD"/>
    <w:rsid w:val="5CF35248"/>
    <w:rsid w:val="5CF44C91"/>
    <w:rsid w:val="5CF52AD3"/>
    <w:rsid w:val="5CF55A11"/>
    <w:rsid w:val="5CF82FF0"/>
    <w:rsid w:val="5CF946F9"/>
    <w:rsid w:val="5CFE60C6"/>
    <w:rsid w:val="5CFF1E3E"/>
    <w:rsid w:val="5D0134C1"/>
    <w:rsid w:val="5D02548B"/>
    <w:rsid w:val="5D056A50"/>
    <w:rsid w:val="5D07484F"/>
    <w:rsid w:val="5D080CF3"/>
    <w:rsid w:val="5D0905C7"/>
    <w:rsid w:val="5D094A6B"/>
    <w:rsid w:val="5D0B71E5"/>
    <w:rsid w:val="5D0D455B"/>
    <w:rsid w:val="5D0D6309"/>
    <w:rsid w:val="5D0E3E30"/>
    <w:rsid w:val="5D131446"/>
    <w:rsid w:val="5D137698"/>
    <w:rsid w:val="5D183409"/>
    <w:rsid w:val="5D19769B"/>
    <w:rsid w:val="5D1C04EB"/>
    <w:rsid w:val="5D2109E2"/>
    <w:rsid w:val="5D26561D"/>
    <w:rsid w:val="5D2B7A1F"/>
    <w:rsid w:val="5D2C552D"/>
    <w:rsid w:val="5D3046F0"/>
    <w:rsid w:val="5D320DA7"/>
    <w:rsid w:val="5D36018C"/>
    <w:rsid w:val="5D3E5E5C"/>
    <w:rsid w:val="5D3F6F7E"/>
    <w:rsid w:val="5D40331D"/>
    <w:rsid w:val="5D485594"/>
    <w:rsid w:val="5D4A130C"/>
    <w:rsid w:val="5D4D6706"/>
    <w:rsid w:val="5D4D7C59"/>
    <w:rsid w:val="5D543F38"/>
    <w:rsid w:val="5D55380D"/>
    <w:rsid w:val="5D573851"/>
    <w:rsid w:val="5D59154F"/>
    <w:rsid w:val="5D5977A1"/>
    <w:rsid w:val="5D621A24"/>
    <w:rsid w:val="5D63417B"/>
    <w:rsid w:val="5D6879E4"/>
    <w:rsid w:val="5D69080D"/>
    <w:rsid w:val="5D69191D"/>
    <w:rsid w:val="5D6972B8"/>
    <w:rsid w:val="5D6B1282"/>
    <w:rsid w:val="5D6D6DA8"/>
    <w:rsid w:val="5D706898"/>
    <w:rsid w:val="5D742CC5"/>
    <w:rsid w:val="5D746389"/>
    <w:rsid w:val="5D7673E3"/>
    <w:rsid w:val="5D77019C"/>
    <w:rsid w:val="5D772EA3"/>
    <w:rsid w:val="5D777C27"/>
    <w:rsid w:val="5D79399F"/>
    <w:rsid w:val="5D7C5EAE"/>
    <w:rsid w:val="5D7E7207"/>
    <w:rsid w:val="5D814602"/>
    <w:rsid w:val="5D83037A"/>
    <w:rsid w:val="5D83481E"/>
    <w:rsid w:val="5D845EA0"/>
    <w:rsid w:val="5D850596"/>
    <w:rsid w:val="5D85547F"/>
    <w:rsid w:val="5D8774BB"/>
    <w:rsid w:val="5D900CE9"/>
    <w:rsid w:val="5D971FC5"/>
    <w:rsid w:val="5D972077"/>
    <w:rsid w:val="5D9B72D3"/>
    <w:rsid w:val="5DA16A52"/>
    <w:rsid w:val="5DA2346C"/>
    <w:rsid w:val="5DA87DE0"/>
    <w:rsid w:val="5DAA5787"/>
    <w:rsid w:val="5DAD53F7"/>
    <w:rsid w:val="5DAE6D52"/>
    <w:rsid w:val="5DB14F7B"/>
    <w:rsid w:val="5DB2073C"/>
    <w:rsid w:val="5DB31E9B"/>
    <w:rsid w:val="5DB3780B"/>
    <w:rsid w:val="5DB90A1A"/>
    <w:rsid w:val="5DC00F91"/>
    <w:rsid w:val="5DC170F4"/>
    <w:rsid w:val="5DC215A6"/>
    <w:rsid w:val="5DC310BE"/>
    <w:rsid w:val="5DC55B33"/>
    <w:rsid w:val="5DC6470A"/>
    <w:rsid w:val="5DC926EA"/>
    <w:rsid w:val="5DD15589"/>
    <w:rsid w:val="5DD651EE"/>
    <w:rsid w:val="5DDB01B6"/>
    <w:rsid w:val="5DDE1552"/>
    <w:rsid w:val="5DDE7CA6"/>
    <w:rsid w:val="5DDF66DA"/>
    <w:rsid w:val="5DE03A1E"/>
    <w:rsid w:val="5DE0757A"/>
    <w:rsid w:val="5DEA301A"/>
    <w:rsid w:val="5DED613B"/>
    <w:rsid w:val="5DF11787"/>
    <w:rsid w:val="5DF14932"/>
    <w:rsid w:val="5DFA32E2"/>
    <w:rsid w:val="5DFA38AA"/>
    <w:rsid w:val="5DFB43B4"/>
    <w:rsid w:val="5DFD1EE2"/>
    <w:rsid w:val="5DFD637E"/>
    <w:rsid w:val="5DFD7355"/>
    <w:rsid w:val="5E005E6E"/>
    <w:rsid w:val="5E0064CD"/>
    <w:rsid w:val="5E0314BA"/>
    <w:rsid w:val="5E03770C"/>
    <w:rsid w:val="5E0453D0"/>
    <w:rsid w:val="5E055233"/>
    <w:rsid w:val="5E086AD1"/>
    <w:rsid w:val="5E0A7B65"/>
    <w:rsid w:val="5E0D2339"/>
    <w:rsid w:val="5E0D665D"/>
    <w:rsid w:val="5E113BD7"/>
    <w:rsid w:val="5E122A99"/>
    <w:rsid w:val="5E145476"/>
    <w:rsid w:val="5E196812"/>
    <w:rsid w:val="5E1E00A2"/>
    <w:rsid w:val="5E2467F1"/>
    <w:rsid w:val="5E2A2EEB"/>
    <w:rsid w:val="5E301D82"/>
    <w:rsid w:val="5E343D6A"/>
    <w:rsid w:val="5E36057A"/>
    <w:rsid w:val="5E37325F"/>
    <w:rsid w:val="5E385608"/>
    <w:rsid w:val="5E3B3CA9"/>
    <w:rsid w:val="5E3C677A"/>
    <w:rsid w:val="5E412B34"/>
    <w:rsid w:val="5E413290"/>
    <w:rsid w:val="5E420235"/>
    <w:rsid w:val="5E4E5793"/>
    <w:rsid w:val="5E4E6BDA"/>
    <w:rsid w:val="5E4F2952"/>
    <w:rsid w:val="5E52288E"/>
    <w:rsid w:val="5E547F68"/>
    <w:rsid w:val="5E624433"/>
    <w:rsid w:val="5E6261E1"/>
    <w:rsid w:val="5E626E75"/>
    <w:rsid w:val="5E6301AB"/>
    <w:rsid w:val="5E6703CC"/>
    <w:rsid w:val="5E68756F"/>
    <w:rsid w:val="5E6C37D3"/>
    <w:rsid w:val="5E6E102A"/>
    <w:rsid w:val="5E6F6B50"/>
    <w:rsid w:val="5E7333A8"/>
    <w:rsid w:val="5E744166"/>
    <w:rsid w:val="5E761C8C"/>
    <w:rsid w:val="5E785A05"/>
    <w:rsid w:val="5E826883"/>
    <w:rsid w:val="5E856373"/>
    <w:rsid w:val="5E867220"/>
    <w:rsid w:val="5E897C12"/>
    <w:rsid w:val="5E8A732C"/>
    <w:rsid w:val="5E8C32A6"/>
    <w:rsid w:val="5E91621B"/>
    <w:rsid w:val="5E951372"/>
    <w:rsid w:val="5E960581"/>
    <w:rsid w:val="5E977899"/>
    <w:rsid w:val="5E9860A7"/>
    <w:rsid w:val="5E9B0352"/>
    <w:rsid w:val="5E9D546B"/>
    <w:rsid w:val="5E9F7435"/>
    <w:rsid w:val="5EA0144F"/>
    <w:rsid w:val="5EA44A4C"/>
    <w:rsid w:val="5EA54320"/>
    <w:rsid w:val="5EAB6706"/>
    <w:rsid w:val="5EAC56AE"/>
    <w:rsid w:val="5EAD68C4"/>
    <w:rsid w:val="5EAF519E"/>
    <w:rsid w:val="5EB36A3D"/>
    <w:rsid w:val="5EB454D9"/>
    <w:rsid w:val="5EB4558F"/>
    <w:rsid w:val="5EB80A85"/>
    <w:rsid w:val="5EB85BAA"/>
    <w:rsid w:val="5EB86749"/>
    <w:rsid w:val="5EBA367D"/>
    <w:rsid w:val="5EBA601D"/>
    <w:rsid w:val="5EBC0655"/>
    <w:rsid w:val="5EBD5B0D"/>
    <w:rsid w:val="5EC00143"/>
    <w:rsid w:val="5EC133FC"/>
    <w:rsid w:val="5EC44B06"/>
    <w:rsid w:val="5EC73F4C"/>
    <w:rsid w:val="5EC925A8"/>
    <w:rsid w:val="5ED115B9"/>
    <w:rsid w:val="5ED546FB"/>
    <w:rsid w:val="5ED8382B"/>
    <w:rsid w:val="5EDD7F5D"/>
    <w:rsid w:val="5EE44E48"/>
    <w:rsid w:val="5EE80A93"/>
    <w:rsid w:val="5EEB1A00"/>
    <w:rsid w:val="5EF26E43"/>
    <w:rsid w:val="5EFA1CF9"/>
    <w:rsid w:val="5EFD23AE"/>
    <w:rsid w:val="5EFF3BB3"/>
    <w:rsid w:val="5F0333E3"/>
    <w:rsid w:val="5F0720F8"/>
    <w:rsid w:val="5F0A0E0B"/>
    <w:rsid w:val="5F0B0627"/>
    <w:rsid w:val="5F0B6879"/>
    <w:rsid w:val="5F0C25F1"/>
    <w:rsid w:val="5F0E45BB"/>
    <w:rsid w:val="5F125E59"/>
    <w:rsid w:val="5F136BC2"/>
    <w:rsid w:val="5F15360C"/>
    <w:rsid w:val="5F180F96"/>
    <w:rsid w:val="5F182D44"/>
    <w:rsid w:val="5F1871E8"/>
    <w:rsid w:val="5F192253"/>
    <w:rsid w:val="5F1A2B43"/>
    <w:rsid w:val="5F1A2F60"/>
    <w:rsid w:val="5F1E1F19"/>
    <w:rsid w:val="5F201AAD"/>
    <w:rsid w:val="5F21609C"/>
    <w:rsid w:val="5F221E14"/>
    <w:rsid w:val="5F245B8C"/>
    <w:rsid w:val="5F2A273D"/>
    <w:rsid w:val="5F2E07B9"/>
    <w:rsid w:val="5F3202A9"/>
    <w:rsid w:val="5F322057"/>
    <w:rsid w:val="5F334021"/>
    <w:rsid w:val="5F337B7D"/>
    <w:rsid w:val="5F344AD7"/>
    <w:rsid w:val="5F3C5F70"/>
    <w:rsid w:val="5F3D27AA"/>
    <w:rsid w:val="5F3F07F3"/>
    <w:rsid w:val="5F3F5DA4"/>
    <w:rsid w:val="5F426012"/>
    <w:rsid w:val="5F447FDD"/>
    <w:rsid w:val="5F476710"/>
    <w:rsid w:val="5F4973A1"/>
    <w:rsid w:val="5F4D4C3A"/>
    <w:rsid w:val="5F506981"/>
    <w:rsid w:val="5F557AF4"/>
    <w:rsid w:val="5F585836"/>
    <w:rsid w:val="5F594CBD"/>
    <w:rsid w:val="5F5D2E4C"/>
    <w:rsid w:val="5F5F72D5"/>
    <w:rsid w:val="5F622211"/>
    <w:rsid w:val="5F6366B5"/>
    <w:rsid w:val="5F65716A"/>
    <w:rsid w:val="5F661190"/>
    <w:rsid w:val="5F681F1D"/>
    <w:rsid w:val="5F684266"/>
    <w:rsid w:val="5F695419"/>
    <w:rsid w:val="5F6E0BB6"/>
    <w:rsid w:val="5F77055C"/>
    <w:rsid w:val="5F772160"/>
    <w:rsid w:val="5F7C4381"/>
    <w:rsid w:val="5F7C510F"/>
    <w:rsid w:val="5F815D2A"/>
    <w:rsid w:val="5F8328B3"/>
    <w:rsid w:val="5F85487D"/>
    <w:rsid w:val="5F860448"/>
    <w:rsid w:val="5F8960B6"/>
    <w:rsid w:val="5F8A1207"/>
    <w:rsid w:val="5F920D48"/>
    <w:rsid w:val="5F921CDC"/>
    <w:rsid w:val="5F961BF6"/>
    <w:rsid w:val="5F980362"/>
    <w:rsid w:val="5F98625E"/>
    <w:rsid w:val="5F992C3D"/>
    <w:rsid w:val="5F9F1AF5"/>
    <w:rsid w:val="5FA1767C"/>
    <w:rsid w:val="5FA33338"/>
    <w:rsid w:val="5FA832B9"/>
    <w:rsid w:val="5FAB1C81"/>
    <w:rsid w:val="5FAE637E"/>
    <w:rsid w:val="5FAF1AEE"/>
    <w:rsid w:val="5FB24F46"/>
    <w:rsid w:val="5FB36828"/>
    <w:rsid w:val="5FB837BB"/>
    <w:rsid w:val="5FBA32E5"/>
    <w:rsid w:val="5FBD1472"/>
    <w:rsid w:val="5FBF1411"/>
    <w:rsid w:val="5FC833BC"/>
    <w:rsid w:val="5FC8476A"/>
    <w:rsid w:val="5FCD546F"/>
    <w:rsid w:val="5FCF5AF8"/>
    <w:rsid w:val="5FD01870"/>
    <w:rsid w:val="5FD16B14"/>
    <w:rsid w:val="5FD3636E"/>
    <w:rsid w:val="5FD838E2"/>
    <w:rsid w:val="5FDA4335"/>
    <w:rsid w:val="5FDA7355"/>
    <w:rsid w:val="5FDB26EF"/>
    <w:rsid w:val="5FDC6467"/>
    <w:rsid w:val="5FE01AB3"/>
    <w:rsid w:val="5FE33352"/>
    <w:rsid w:val="5FE570CA"/>
    <w:rsid w:val="5FE62E42"/>
    <w:rsid w:val="5FEB0458"/>
    <w:rsid w:val="5FEB0FA6"/>
    <w:rsid w:val="5FEF711E"/>
    <w:rsid w:val="5FF23595"/>
    <w:rsid w:val="5FF437B1"/>
    <w:rsid w:val="5FF735A4"/>
    <w:rsid w:val="5FF84F72"/>
    <w:rsid w:val="5FFC2665"/>
    <w:rsid w:val="5FFE018B"/>
    <w:rsid w:val="5FFF5CB2"/>
    <w:rsid w:val="60002155"/>
    <w:rsid w:val="60067040"/>
    <w:rsid w:val="60085BF5"/>
    <w:rsid w:val="60114363"/>
    <w:rsid w:val="6013108D"/>
    <w:rsid w:val="60131F0B"/>
    <w:rsid w:val="601879B6"/>
    <w:rsid w:val="601C3253"/>
    <w:rsid w:val="601E0862"/>
    <w:rsid w:val="602C4CF9"/>
    <w:rsid w:val="602F6597"/>
    <w:rsid w:val="603040BD"/>
    <w:rsid w:val="603242D9"/>
    <w:rsid w:val="60326087"/>
    <w:rsid w:val="60365B77"/>
    <w:rsid w:val="60367925"/>
    <w:rsid w:val="6037369D"/>
    <w:rsid w:val="6037544B"/>
    <w:rsid w:val="603D6F06"/>
    <w:rsid w:val="60402552"/>
    <w:rsid w:val="60454C3A"/>
    <w:rsid w:val="604638E0"/>
    <w:rsid w:val="604D4C6F"/>
    <w:rsid w:val="6051650D"/>
    <w:rsid w:val="60522285"/>
    <w:rsid w:val="605424A1"/>
    <w:rsid w:val="6054278F"/>
    <w:rsid w:val="605B738C"/>
    <w:rsid w:val="605E50CE"/>
    <w:rsid w:val="605E5565"/>
    <w:rsid w:val="605E571B"/>
    <w:rsid w:val="605F38FD"/>
    <w:rsid w:val="6062696C"/>
    <w:rsid w:val="60670323"/>
    <w:rsid w:val="606771A0"/>
    <w:rsid w:val="60691FD2"/>
    <w:rsid w:val="606A5821"/>
    <w:rsid w:val="606E5E7E"/>
    <w:rsid w:val="606F4BE5"/>
    <w:rsid w:val="6077540C"/>
    <w:rsid w:val="60797019"/>
    <w:rsid w:val="607D37A6"/>
    <w:rsid w:val="607E307A"/>
    <w:rsid w:val="608179A6"/>
    <w:rsid w:val="608368E3"/>
    <w:rsid w:val="608508AD"/>
    <w:rsid w:val="60885CA7"/>
    <w:rsid w:val="608D150F"/>
    <w:rsid w:val="60912DAE"/>
    <w:rsid w:val="60964636"/>
    <w:rsid w:val="6098238E"/>
    <w:rsid w:val="60995B36"/>
    <w:rsid w:val="609B59DA"/>
    <w:rsid w:val="60A10E8C"/>
    <w:rsid w:val="60A32AE1"/>
    <w:rsid w:val="60A52CFD"/>
    <w:rsid w:val="60A56859"/>
    <w:rsid w:val="60A76A75"/>
    <w:rsid w:val="60AB6F25"/>
    <w:rsid w:val="60AF76D8"/>
    <w:rsid w:val="60B151FE"/>
    <w:rsid w:val="60B51AEB"/>
    <w:rsid w:val="60BD35DF"/>
    <w:rsid w:val="60C05441"/>
    <w:rsid w:val="60C211B9"/>
    <w:rsid w:val="60C63B32"/>
    <w:rsid w:val="60C90799"/>
    <w:rsid w:val="60CA19D8"/>
    <w:rsid w:val="60CC405A"/>
    <w:rsid w:val="60CE5DB0"/>
    <w:rsid w:val="60CF7EEB"/>
    <w:rsid w:val="60D33FA2"/>
    <w:rsid w:val="60D40EEC"/>
    <w:rsid w:val="60D80770"/>
    <w:rsid w:val="60DA29A7"/>
    <w:rsid w:val="60DF2A40"/>
    <w:rsid w:val="60E07891"/>
    <w:rsid w:val="60E4432C"/>
    <w:rsid w:val="60E94998"/>
    <w:rsid w:val="60EE6452"/>
    <w:rsid w:val="60EF4C1A"/>
    <w:rsid w:val="60EF513B"/>
    <w:rsid w:val="60F31CBA"/>
    <w:rsid w:val="60F44AF8"/>
    <w:rsid w:val="60FA6BA5"/>
    <w:rsid w:val="60FC5A2B"/>
    <w:rsid w:val="60FD0AE2"/>
    <w:rsid w:val="60FD6695"/>
    <w:rsid w:val="60FF240D"/>
    <w:rsid w:val="610037FD"/>
    <w:rsid w:val="61020388"/>
    <w:rsid w:val="610B0DB2"/>
    <w:rsid w:val="610E08A2"/>
    <w:rsid w:val="610E1977"/>
    <w:rsid w:val="61120392"/>
    <w:rsid w:val="61121104"/>
    <w:rsid w:val="6115578D"/>
    <w:rsid w:val="611D4629"/>
    <w:rsid w:val="611F236E"/>
    <w:rsid w:val="612105D5"/>
    <w:rsid w:val="61232C56"/>
    <w:rsid w:val="612D0E88"/>
    <w:rsid w:val="612E3591"/>
    <w:rsid w:val="612F0CAE"/>
    <w:rsid w:val="6131159B"/>
    <w:rsid w:val="613320B7"/>
    <w:rsid w:val="6138591F"/>
    <w:rsid w:val="613A2661"/>
    <w:rsid w:val="613A51F3"/>
    <w:rsid w:val="613C71BD"/>
    <w:rsid w:val="613E32FA"/>
    <w:rsid w:val="613F1AF9"/>
    <w:rsid w:val="613F280A"/>
    <w:rsid w:val="614147D4"/>
    <w:rsid w:val="61422372"/>
    <w:rsid w:val="6144523A"/>
    <w:rsid w:val="61475B62"/>
    <w:rsid w:val="614909B6"/>
    <w:rsid w:val="61533EBB"/>
    <w:rsid w:val="61572249"/>
    <w:rsid w:val="615A5895"/>
    <w:rsid w:val="615A7954"/>
    <w:rsid w:val="615D0EE2"/>
    <w:rsid w:val="616379EA"/>
    <w:rsid w:val="61642270"/>
    <w:rsid w:val="61646DB2"/>
    <w:rsid w:val="61657B33"/>
    <w:rsid w:val="61677945"/>
    <w:rsid w:val="61693C9A"/>
    <w:rsid w:val="616E7593"/>
    <w:rsid w:val="617050B9"/>
    <w:rsid w:val="61706E67"/>
    <w:rsid w:val="617304B8"/>
    <w:rsid w:val="61734BA9"/>
    <w:rsid w:val="617525BE"/>
    <w:rsid w:val="61783F6D"/>
    <w:rsid w:val="617B4671"/>
    <w:rsid w:val="617C4908"/>
    <w:rsid w:val="617D1584"/>
    <w:rsid w:val="6182125E"/>
    <w:rsid w:val="6184468A"/>
    <w:rsid w:val="61883485"/>
    <w:rsid w:val="618B1EF3"/>
    <w:rsid w:val="618B5A4F"/>
    <w:rsid w:val="61923281"/>
    <w:rsid w:val="619244A7"/>
    <w:rsid w:val="619568CD"/>
    <w:rsid w:val="61967E27"/>
    <w:rsid w:val="61970A52"/>
    <w:rsid w:val="619C1A0A"/>
    <w:rsid w:val="61A067CD"/>
    <w:rsid w:val="61A161B8"/>
    <w:rsid w:val="61A23C3A"/>
    <w:rsid w:val="61AA6E6F"/>
    <w:rsid w:val="61B2747F"/>
    <w:rsid w:val="61B41226"/>
    <w:rsid w:val="61B50D1E"/>
    <w:rsid w:val="61B76844"/>
    <w:rsid w:val="61BA6334"/>
    <w:rsid w:val="61BC4013"/>
    <w:rsid w:val="61C3168D"/>
    <w:rsid w:val="61C40F61"/>
    <w:rsid w:val="61CE3CBA"/>
    <w:rsid w:val="61D75138"/>
    <w:rsid w:val="61D902B3"/>
    <w:rsid w:val="61DC62AA"/>
    <w:rsid w:val="61E0688E"/>
    <w:rsid w:val="61E215D8"/>
    <w:rsid w:val="61E6537B"/>
    <w:rsid w:val="61EA4E6B"/>
    <w:rsid w:val="61EC428A"/>
    <w:rsid w:val="61EF2482"/>
    <w:rsid w:val="61F35FC3"/>
    <w:rsid w:val="61F50987"/>
    <w:rsid w:val="61FB33CF"/>
    <w:rsid w:val="61FF043B"/>
    <w:rsid w:val="620102BC"/>
    <w:rsid w:val="62055A75"/>
    <w:rsid w:val="62060558"/>
    <w:rsid w:val="620D46B6"/>
    <w:rsid w:val="620F48D2"/>
    <w:rsid w:val="62145A44"/>
    <w:rsid w:val="621719D8"/>
    <w:rsid w:val="6218215D"/>
    <w:rsid w:val="621912AD"/>
    <w:rsid w:val="621A5025"/>
    <w:rsid w:val="621B3775"/>
    <w:rsid w:val="621E2D67"/>
    <w:rsid w:val="621F4188"/>
    <w:rsid w:val="62205618"/>
    <w:rsid w:val="62206160"/>
    <w:rsid w:val="62206ADF"/>
    <w:rsid w:val="62243898"/>
    <w:rsid w:val="62290BDA"/>
    <w:rsid w:val="6229697B"/>
    <w:rsid w:val="622B7232"/>
    <w:rsid w:val="622C2854"/>
    <w:rsid w:val="622C5484"/>
    <w:rsid w:val="62300FDA"/>
    <w:rsid w:val="62310865"/>
    <w:rsid w:val="62347E94"/>
    <w:rsid w:val="62364782"/>
    <w:rsid w:val="623C1D4D"/>
    <w:rsid w:val="623D684E"/>
    <w:rsid w:val="623F14B6"/>
    <w:rsid w:val="62402CDD"/>
    <w:rsid w:val="62426A55"/>
    <w:rsid w:val="6245420A"/>
    <w:rsid w:val="62463C94"/>
    <w:rsid w:val="6246445C"/>
    <w:rsid w:val="62492730"/>
    <w:rsid w:val="624A2032"/>
    <w:rsid w:val="624C78D4"/>
    <w:rsid w:val="624D27B1"/>
    <w:rsid w:val="624F1172"/>
    <w:rsid w:val="6252656D"/>
    <w:rsid w:val="625B0972"/>
    <w:rsid w:val="625B7B17"/>
    <w:rsid w:val="625E3163"/>
    <w:rsid w:val="626D15F8"/>
    <w:rsid w:val="62767339"/>
    <w:rsid w:val="627B1F67"/>
    <w:rsid w:val="627C183B"/>
    <w:rsid w:val="627F6C32"/>
    <w:rsid w:val="62826B2B"/>
    <w:rsid w:val="62875C56"/>
    <w:rsid w:val="628A21AA"/>
    <w:rsid w:val="628E1C9B"/>
    <w:rsid w:val="628F0475"/>
    <w:rsid w:val="628F77C1"/>
    <w:rsid w:val="62944C7E"/>
    <w:rsid w:val="629B43B7"/>
    <w:rsid w:val="629D6575"/>
    <w:rsid w:val="62A36DC8"/>
    <w:rsid w:val="62A46B26"/>
    <w:rsid w:val="62A9666D"/>
    <w:rsid w:val="62AA45FB"/>
    <w:rsid w:val="62B222E6"/>
    <w:rsid w:val="62B60AC0"/>
    <w:rsid w:val="62C27B96"/>
    <w:rsid w:val="62C3746A"/>
    <w:rsid w:val="62C470A3"/>
    <w:rsid w:val="62C54F90"/>
    <w:rsid w:val="62CC761B"/>
    <w:rsid w:val="62CF1D8D"/>
    <w:rsid w:val="62D86A66"/>
    <w:rsid w:val="62DD052C"/>
    <w:rsid w:val="62DE3B28"/>
    <w:rsid w:val="62DE42A4"/>
    <w:rsid w:val="62E23D94"/>
    <w:rsid w:val="62E47B0C"/>
    <w:rsid w:val="62E55633"/>
    <w:rsid w:val="62E95123"/>
    <w:rsid w:val="62EA0E9B"/>
    <w:rsid w:val="62EF64B1"/>
    <w:rsid w:val="62F40043"/>
    <w:rsid w:val="62F72B04"/>
    <w:rsid w:val="62FB09B2"/>
    <w:rsid w:val="62FB5D40"/>
    <w:rsid w:val="62FD1CBD"/>
    <w:rsid w:val="62FD297C"/>
    <w:rsid w:val="62FD43A6"/>
    <w:rsid w:val="62FD472A"/>
    <w:rsid w:val="62FF4946"/>
    <w:rsid w:val="6300421A"/>
    <w:rsid w:val="630759AB"/>
    <w:rsid w:val="63097573"/>
    <w:rsid w:val="630A1E3D"/>
    <w:rsid w:val="630A5BB9"/>
    <w:rsid w:val="63141A74"/>
    <w:rsid w:val="63155F18"/>
    <w:rsid w:val="63161119"/>
    <w:rsid w:val="63164E21"/>
    <w:rsid w:val="6318481E"/>
    <w:rsid w:val="631B1054"/>
    <w:rsid w:val="63247F09"/>
    <w:rsid w:val="632919C3"/>
    <w:rsid w:val="632A05BD"/>
    <w:rsid w:val="63334E9C"/>
    <w:rsid w:val="63393D9B"/>
    <w:rsid w:val="63416D0D"/>
    <w:rsid w:val="634344BD"/>
    <w:rsid w:val="634467FD"/>
    <w:rsid w:val="634560D1"/>
    <w:rsid w:val="634A6574"/>
    <w:rsid w:val="634B5FBF"/>
    <w:rsid w:val="634C2B4E"/>
    <w:rsid w:val="634E2E7F"/>
    <w:rsid w:val="635051A2"/>
    <w:rsid w:val="63562387"/>
    <w:rsid w:val="6356503F"/>
    <w:rsid w:val="6358588A"/>
    <w:rsid w:val="6359330B"/>
    <w:rsid w:val="635D166D"/>
    <w:rsid w:val="63612F0B"/>
    <w:rsid w:val="63640C4D"/>
    <w:rsid w:val="636429FB"/>
    <w:rsid w:val="63660521"/>
    <w:rsid w:val="63686489"/>
    <w:rsid w:val="63694D48"/>
    <w:rsid w:val="636C18B0"/>
    <w:rsid w:val="6372336A"/>
    <w:rsid w:val="637575FD"/>
    <w:rsid w:val="637644DD"/>
    <w:rsid w:val="63780D97"/>
    <w:rsid w:val="63796894"/>
    <w:rsid w:val="637A40EB"/>
    <w:rsid w:val="637B5220"/>
    <w:rsid w:val="637F7835"/>
    <w:rsid w:val="63827325"/>
    <w:rsid w:val="6384309D"/>
    <w:rsid w:val="63861A11"/>
    <w:rsid w:val="63890B31"/>
    <w:rsid w:val="638D663E"/>
    <w:rsid w:val="63911317"/>
    <w:rsid w:val="6394356A"/>
    <w:rsid w:val="639B5C2E"/>
    <w:rsid w:val="639D7CBB"/>
    <w:rsid w:val="639E6557"/>
    <w:rsid w:val="639F3A33"/>
    <w:rsid w:val="63A0772A"/>
    <w:rsid w:val="63A1155A"/>
    <w:rsid w:val="63A20CAD"/>
    <w:rsid w:val="63A454EE"/>
    <w:rsid w:val="63A64DC2"/>
    <w:rsid w:val="63A70EBB"/>
    <w:rsid w:val="63AB687C"/>
    <w:rsid w:val="63AE011A"/>
    <w:rsid w:val="63AE3C76"/>
    <w:rsid w:val="63B05C41"/>
    <w:rsid w:val="63B75221"/>
    <w:rsid w:val="63B958B4"/>
    <w:rsid w:val="63BA086D"/>
    <w:rsid w:val="63C14D8A"/>
    <w:rsid w:val="63C61B2C"/>
    <w:rsid w:val="63C82F8A"/>
    <w:rsid w:val="63C96D02"/>
    <w:rsid w:val="63CC68A3"/>
    <w:rsid w:val="63D01E3F"/>
    <w:rsid w:val="63D23E09"/>
    <w:rsid w:val="63D25BB7"/>
    <w:rsid w:val="63D40BE9"/>
    <w:rsid w:val="63DB4B39"/>
    <w:rsid w:val="63DB6104"/>
    <w:rsid w:val="63DE255A"/>
    <w:rsid w:val="63E1229E"/>
    <w:rsid w:val="63E15DFA"/>
    <w:rsid w:val="63E678B4"/>
    <w:rsid w:val="63E91153"/>
    <w:rsid w:val="63EC3C2E"/>
    <w:rsid w:val="63F0428F"/>
    <w:rsid w:val="63F13D4B"/>
    <w:rsid w:val="63F72048"/>
    <w:rsid w:val="63F7386F"/>
    <w:rsid w:val="63F8035B"/>
    <w:rsid w:val="63F83144"/>
    <w:rsid w:val="63FE69AC"/>
    <w:rsid w:val="63FF1835"/>
    <w:rsid w:val="64027CC5"/>
    <w:rsid w:val="640815D9"/>
    <w:rsid w:val="64095351"/>
    <w:rsid w:val="640B2E77"/>
    <w:rsid w:val="640D3093"/>
    <w:rsid w:val="640D6BEF"/>
    <w:rsid w:val="640F0BB9"/>
    <w:rsid w:val="64102431"/>
    <w:rsid w:val="641036CB"/>
    <w:rsid w:val="641F6922"/>
    <w:rsid w:val="6421351D"/>
    <w:rsid w:val="642360A3"/>
    <w:rsid w:val="6424218B"/>
    <w:rsid w:val="64291B1D"/>
    <w:rsid w:val="64306D81"/>
    <w:rsid w:val="64356146"/>
    <w:rsid w:val="64393E88"/>
    <w:rsid w:val="643C5726"/>
    <w:rsid w:val="6443341F"/>
    <w:rsid w:val="6445029B"/>
    <w:rsid w:val="64460353"/>
    <w:rsid w:val="64502F80"/>
    <w:rsid w:val="64504D2E"/>
    <w:rsid w:val="64540CC2"/>
    <w:rsid w:val="6454481E"/>
    <w:rsid w:val="645C36D2"/>
    <w:rsid w:val="645E09DA"/>
    <w:rsid w:val="64611FD6"/>
    <w:rsid w:val="646215BF"/>
    <w:rsid w:val="64634A61"/>
    <w:rsid w:val="64652E2F"/>
    <w:rsid w:val="64671F23"/>
    <w:rsid w:val="646761C8"/>
    <w:rsid w:val="64680F0F"/>
    <w:rsid w:val="646A03B4"/>
    <w:rsid w:val="646A5DEF"/>
    <w:rsid w:val="646B11DF"/>
    <w:rsid w:val="64744EC0"/>
    <w:rsid w:val="64760C38"/>
    <w:rsid w:val="64766213"/>
    <w:rsid w:val="64782B78"/>
    <w:rsid w:val="647A1DAB"/>
    <w:rsid w:val="647E7AED"/>
    <w:rsid w:val="647F0168"/>
    <w:rsid w:val="648019F7"/>
    <w:rsid w:val="64852C29"/>
    <w:rsid w:val="64872E45"/>
    <w:rsid w:val="648A46E4"/>
    <w:rsid w:val="648F1CFA"/>
    <w:rsid w:val="64925346"/>
    <w:rsid w:val="6493221D"/>
    <w:rsid w:val="649A55A1"/>
    <w:rsid w:val="649B24DD"/>
    <w:rsid w:val="64A01811"/>
    <w:rsid w:val="64A15589"/>
    <w:rsid w:val="64A31746"/>
    <w:rsid w:val="64A323B3"/>
    <w:rsid w:val="64A439A6"/>
    <w:rsid w:val="64A5243A"/>
    <w:rsid w:val="64A67531"/>
    <w:rsid w:val="64AD03D2"/>
    <w:rsid w:val="64B11C70"/>
    <w:rsid w:val="64B14BC2"/>
    <w:rsid w:val="64B21544"/>
    <w:rsid w:val="64B268A0"/>
    <w:rsid w:val="64B81251"/>
    <w:rsid w:val="64B96D77"/>
    <w:rsid w:val="64BA54D1"/>
    <w:rsid w:val="64C51278"/>
    <w:rsid w:val="64C5396E"/>
    <w:rsid w:val="64C612E4"/>
    <w:rsid w:val="64CC5391"/>
    <w:rsid w:val="64CC6AAA"/>
    <w:rsid w:val="64CF20F6"/>
    <w:rsid w:val="64D213A9"/>
    <w:rsid w:val="64D21BE7"/>
    <w:rsid w:val="64D23995"/>
    <w:rsid w:val="64D23DC0"/>
    <w:rsid w:val="64DE6065"/>
    <w:rsid w:val="64E060B2"/>
    <w:rsid w:val="64E13562"/>
    <w:rsid w:val="64E23781"/>
    <w:rsid w:val="64E844C4"/>
    <w:rsid w:val="64EC2CA8"/>
    <w:rsid w:val="64ED07CF"/>
    <w:rsid w:val="64F40B2E"/>
    <w:rsid w:val="64F41B5D"/>
    <w:rsid w:val="64F531DE"/>
    <w:rsid w:val="64F9091E"/>
    <w:rsid w:val="64FD3107"/>
    <w:rsid w:val="64FF1F3E"/>
    <w:rsid w:val="65012FA5"/>
    <w:rsid w:val="65096FE4"/>
    <w:rsid w:val="650C4160"/>
    <w:rsid w:val="65123123"/>
    <w:rsid w:val="65130235"/>
    <w:rsid w:val="651D5558"/>
    <w:rsid w:val="651E3B37"/>
    <w:rsid w:val="6522491C"/>
    <w:rsid w:val="6524387C"/>
    <w:rsid w:val="652E1513"/>
    <w:rsid w:val="6531690D"/>
    <w:rsid w:val="653414D1"/>
    <w:rsid w:val="6535464F"/>
    <w:rsid w:val="65373578"/>
    <w:rsid w:val="65385EEE"/>
    <w:rsid w:val="653A4957"/>
    <w:rsid w:val="653D2B9D"/>
    <w:rsid w:val="653F54CE"/>
    <w:rsid w:val="654228F2"/>
    <w:rsid w:val="6549634D"/>
    <w:rsid w:val="654C3747"/>
    <w:rsid w:val="655645C6"/>
    <w:rsid w:val="65566374"/>
    <w:rsid w:val="655A2308"/>
    <w:rsid w:val="656211BC"/>
    <w:rsid w:val="65621852"/>
    <w:rsid w:val="65640A91"/>
    <w:rsid w:val="65650E44"/>
    <w:rsid w:val="656E190F"/>
    <w:rsid w:val="656E5DB3"/>
    <w:rsid w:val="65744A4C"/>
    <w:rsid w:val="65752381"/>
    <w:rsid w:val="65764C68"/>
    <w:rsid w:val="657809E0"/>
    <w:rsid w:val="657B13F8"/>
    <w:rsid w:val="657B69CF"/>
    <w:rsid w:val="658436C0"/>
    <w:rsid w:val="65883BF7"/>
    <w:rsid w:val="658C7C50"/>
    <w:rsid w:val="659077A3"/>
    <w:rsid w:val="65931884"/>
    <w:rsid w:val="65953340"/>
    <w:rsid w:val="65985567"/>
    <w:rsid w:val="659A2704"/>
    <w:rsid w:val="659A3190"/>
    <w:rsid w:val="659B647C"/>
    <w:rsid w:val="659C46CE"/>
    <w:rsid w:val="65A45331"/>
    <w:rsid w:val="65A672FB"/>
    <w:rsid w:val="65AE7F5E"/>
    <w:rsid w:val="65AF6DA2"/>
    <w:rsid w:val="65B21324"/>
    <w:rsid w:val="65B337C6"/>
    <w:rsid w:val="65B37C6A"/>
    <w:rsid w:val="65B84A0F"/>
    <w:rsid w:val="65BA2DA7"/>
    <w:rsid w:val="65BD63F3"/>
    <w:rsid w:val="65C07C32"/>
    <w:rsid w:val="65C6174B"/>
    <w:rsid w:val="65C634F9"/>
    <w:rsid w:val="65C6799D"/>
    <w:rsid w:val="65C75029"/>
    <w:rsid w:val="65C82D58"/>
    <w:rsid w:val="65CD60CE"/>
    <w:rsid w:val="65CE1B16"/>
    <w:rsid w:val="65D100E1"/>
    <w:rsid w:val="65D21D70"/>
    <w:rsid w:val="65D33849"/>
    <w:rsid w:val="65D57BE0"/>
    <w:rsid w:val="65DD0843"/>
    <w:rsid w:val="65DF0A5F"/>
    <w:rsid w:val="65E120E1"/>
    <w:rsid w:val="65E17927"/>
    <w:rsid w:val="65E87914"/>
    <w:rsid w:val="65E91B04"/>
    <w:rsid w:val="65EC71F6"/>
    <w:rsid w:val="65EE670F"/>
    <w:rsid w:val="65F31E15"/>
    <w:rsid w:val="65FA7647"/>
    <w:rsid w:val="65FF4C5D"/>
    <w:rsid w:val="660147E6"/>
    <w:rsid w:val="66032238"/>
    <w:rsid w:val="660B715E"/>
    <w:rsid w:val="660C6084"/>
    <w:rsid w:val="660D737A"/>
    <w:rsid w:val="66101CBF"/>
    <w:rsid w:val="6610356E"/>
    <w:rsid w:val="6612673F"/>
    <w:rsid w:val="661F70AE"/>
    <w:rsid w:val="662621EA"/>
    <w:rsid w:val="66287D10"/>
    <w:rsid w:val="662D5433"/>
    <w:rsid w:val="66311638"/>
    <w:rsid w:val="66342B59"/>
    <w:rsid w:val="6635242D"/>
    <w:rsid w:val="66372649"/>
    <w:rsid w:val="6639016F"/>
    <w:rsid w:val="663C37BC"/>
    <w:rsid w:val="663E0A2F"/>
    <w:rsid w:val="66417BAB"/>
    <w:rsid w:val="66430FEE"/>
    <w:rsid w:val="664975AF"/>
    <w:rsid w:val="66501015"/>
    <w:rsid w:val="665054B9"/>
    <w:rsid w:val="665135D2"/>
    <w:rsid w:val="6655487D"/>
    <w:rsid w:val="665761F7"/>
    <w:rsid w:val="66581C17"/>
    <w:rsid w:val="665925BF"/>
    <w:rsid w:val="665B6338"/>
    <w:rsid w:val="665E69D3"/>
    <w:rsid w:val="66630D48"/>
    <w:rsid w:val="666351EC"/>
    <w:rsid w:val="6667106F"/>
    <w:rsid w:val="666920D7"/>
    <w:rsid w:val="666D1BC7"/>
    <w:rsid w:val="666F3B91"/>
    <w:rsid w:val="66783F59"/>
    <w:rsid w:val="667F2833"/>
    <w:rsid w:val="668313EA"/>
    <w:rsid w:val="66862C89"/>
    <w:rsid w:val="668B34A3"/>
    <w:rsid w:val="66925AD1"/>
    <w:rsid w:val="66990C0E"/>
    <w:rsid w:val="669E6224"/>
    <w:rsid w:val="66A001EE"/>
    <w:rsid w:val="66A12257"/>
    <w:rsid w:val="66A51361"/>
    <w:rsid w:val="66A575B3"/>
    <w:rsid w:val="66AC652F"/>
    <w:rsid w:val="66AD3A54"/>
    <w:rsid w:val="66AD6206"/>
    <w:rsid w:val="66B01A31"/>
    <w:rsid w:val="66B27F22"/>
    <w:rsid w:val="66B5531C"/>
    <w:rsid w:val="66BC48FC"/>
    <w:rsid w:val="66C0058E"/>
    <w:rsid w:val="66C33EDD"/>
    <w:rsid w:val="66CB4B3F"/>
    <w:rsid w:val="66CC0B18"/>
    <w:rsid w:val="66CD36E6"/>
    <w:rsid w:val="66CE4A3B"/>
    <w:rsid w:val="66D6113F"/>
    <w:rsid w:val="66D954AE"/>
    <w:rsid w:val="66DC55BD"/>
    <w:rsid w:val="66DF14B8"/>
    <w:rsid w:val="66E83943"/>
    <w:rsid w:val="66F45E44"/>
    <w:rsid w:val="66F57DCC"/>
    <w:rsid w:val="66F66060"/>
    <w:rsid w:val="66F83B86"/>
    <w:rsid w:val="66FC0AB7"/>
    <w:rsid w:val="66FC49D5"/>
    <w:rsid w:val="67010561"/>
    <w:rsid w:val="67023B66"/>
    <w:rsid w:val="670267B3"/>
    <w:rsid w:val="6703252B"/>
    <w:rsid w:val="67050051"/>
    <w:rsid w:val="67051EB5"/>
    <w:rsid w:val="67087B42"/>
    <w:rsid w:val="6709601B"/>
    <w:rsid w:val="670B5E46"/>
    <w:rsid w:val="670D5158"/>
    <w:rsid w:val="670F0EF5"/>
    <w:rsid w:val="67162355"/>
    <w:rsid w:val="671958AB"/>
    <w:rsid w:val="671B5AC7"/>
    <w:rsid w:val="671E1113"/>
    <w:rsid w:val="671F124A"/>
    <w:rsid w:val="671F6E1E"/>
    <w:rsid w:val="672030DD"/>
    <w:rsid w:val="672B6D3E"/>
    <w:rsid w:val="672C7B69"/>
    <w:rsid w:val="672E0D7D"/>
    <w:rsid w:val="672F50CE"/>
    <w:rsid w:val="67383DD6"/>
    <w:rsid w:val="673E4DE3"/>
    <w:rsid w:val="67436401"/>
    <w:rsid w:val="6749577D"/>
    <w:rsid w:val="67495941"/>
    <w:rsid w:val="674C6704"/>
    <w:rsid w:val="674D3382"/>
    <w:rsid w:val="674E7C4A"/>
    <w:rsid w:val="674F2D6F"/>
    <w:rsid w:val="67512F25"/>
    <w:rsid w:val="67544B35"/>
    <w:rsid w:val="67564D51"/>
    <w:rsid w:val="67582877"/>
    <w:rsid w:val="675B2367"/>
    <w:rsid w:val="675D1C3B"/>
    <w:rsid w:val="675D60DF"/>
    <w:rsid w:val="67654F94"/>
    <w:rsid w:val="67672AEA"/>
    <w:rsid w:val="676B07FC"/>
    <w:rsid w:val="67714745"/>
    <w:rsid w:val="67715A16"/>
    <w:rsid w:val="67786A75"/>
    <w:rsid w:val="67796717"/>
    <w:rsid w:val="677A33C6"/>
    <w:rsid w:val="677F5616"/>
    <w:rsid w:val="677F6056"/>
    <w:rsid w:val="67825B46"/>
    <w:rsid w:val="678A786E"/>
    <w:rsid w:val="67915D89"/>
    <w:rsid w:val="67991B86"/>
    <w:rsid w:val="679D64DC"/>
    <w:rsid w:val="679E6F4A"/>
    <w:rsid w:val="679F04A6"/>
    <w:rsid w:val="67A374C5"/>
    <w:rsid w:val="67A55102"/>
    <w:rsid w:val="67A71109"/>
    <w:rsid w:val="67AB7CE7"/>
    <w:rsid w:val="67AC6234"/>
    <w:rsid w:val="67AE4FCE"/>
    <w:rsid w:val="67B0620F"/>
    <w:rsid w:val="67B07479"/>
    <w:rsid w:val="67B13D35"/>
    <w:rsid w:val="67B21312"/>
    <w:rsid w:val="67B37AAD"/>
    <w:rsid w:val="67B406B2"/>
    <w:rsid w:val="67B6134C"/>
    <w:rsid w:val="67BA7B36"/>
    <w:rsid w:val="67C03F80"/>
    <w:rsid w:val="67C43A69"/>
    <w:rsid w:val="67C45239"/>
    <w:rsid w:val="67C47F0C"/>
    <w:rsid w:val="67C73559"/>
    <w:rsid w:val="67C8738A"/>
    <w:rsid w:val="67D22629"/>
    <w:rsid w:val="67D5446A"/>
    <w:rsid w:val="67D6379C"/>
    <w:rsid w:val="67D87514"/>
    <w:rsid w:val="67DB2C92"/>
    <w:rsid w:val="67DB41F5"/>
    <w:rsid w:val="67DD4B2A"/>
    <w:rsid w:val="67E10ABE"/>
    <w:rsid w:val="67E5303E"/>
    <w:rsid w:val="67E5371B"/>
    <w:rsid w:val="67E8300F"/>
    <w:rsid w:val="67E972F3"/>
    <w:rsid w:val="67EB5499"/>
    <w:rsid w:val="67ED3459"/>
    <w:rsid w:val="67EE31DB"/>
    <w:rsid w:val="67F1102B"/>
    <w:rsid w:val="67F24A7A"/>
    <w:rsid w:val="67F307F2"/>
    <w:rsid w:val="67FC1454"/>
    <w:rsid w:val="67FD341E"/>
    <w:rsid w:val="67FE060E"/>
    <w:rsid w:val="68000819"/>
    <w:rsid w:val="6802397F"/>
    <w:rsid w:val="680851F4"/>
    <w:rsid w:val="68091DC3"/>
    <w:rsid w:val="680D18B3"/>
    <w:rsid w:val="68112B7C"/>
    <w:rsid w:val="68144CC4"/>
    <w:rsid w:val="6818216D"/>
    <w:rsid w:val="681A7B2C"/>
    <w:rsid w:val="681C56E8"/>
    <w:rsid w:val="681E1E1B"/>
    <w:rsid w:val="681E25A8"/>
    <w:rsid w:val="681E586F"/>
    <w:rsid w:val="681F15E7"/>
    <w:rsid w:val="681F259D"/>
    <w:rsid w:val="681F6961"/>
    <w:rsid w:val="68212C69"/>
    <w:rsid w:val="6822015F"/>
    <w:rsid w:val="6825530A"/>
    <w:rsid w:val="68282249"/>
    <w:rsid w:val="682C160E"/>
    <w:rsid w:val="683055A2"/>
    <w:rsid w:val="68364600"/>
    <w:rsid w:val="6838203F"/>
    <w:rsid w:val="68382E89"/>
    <w:rsid w:val="683E7CBF"/>
    <w:rsid w:val="6841155D"/>
    <w:rsid w:val="68430937"/>
    <w:rsid w:val="68466B73"/>
    <w:rsid w:val="6848469A"/>
    <w:rsid w:val="684921C0"/>
    <w:rsid w:val="684D1CB0"/>
    <w:rsid w:val="685017A0"/>
    <w:rsid w:val="68556DB7"/>
    <w:rsid w:val="685748DD"/>
    <w:rsid w:val="68593A89"/>
    <w:rsid w:val="685A6ACB"/>
    <w:rsid w:val="685C0145"/>
    <w:rsid w:val="685C6397"/>
    <w:rsid w:val="685C7FAA"/>
    <w:rsid w:val="68610A2F"/>
    <w:rsid w:val="686314D3"/>
    <w:rsid w:val="68634A40"/>
    <w:rsid w:val="686471D1"/>
    <w:rsid w:val="68681FEA"/>
    <w:rsid w:val="68694610"/>
    <w:rsid w:val="686B482C"/>
    <w:rsid w:val="686D2352"/>
    <w:rsid w:val="686E1298"/>
    <w:rsid w:val="687078B0"/>
    <w:rsid w:val="68792AA5"/>
    <w:rsid w:val="687C2595"/>
    <w:rsid w:val="68805514"/>
    <w:rsid w:val="68815DFE"/>
    <w:rsid w:val="68866F70"/>
    <w:rsid w:val="688A75AA"/>
    <w:rsid w:val="688B0A2A"/>
    <w:rsid w:val="688D02FE"/>
    <w:rsid w:val="688F2D69"/>
    <w:rsid w:val="6891189B"/>
    <w:rsid w:val="68914293"/>
    <w:rsid w:val="68931D9E"/>
    <w:rsid w:val="689B3CD0"/>
    <w:rsid w:val="689D062F"/>
    <w:rsid w:val="689F73B6"/>
    <w:rsid w:val="68A022EA"/>
    <w:rsid w:val="68A23030"/>
    <w:rsid w:val="68A55712"/>
    <w:rsid w:val="68A9069F"/>
    <w:rsid w:val="68AA23E3"/>
    <w:rsid w:val="68AA78F2"/>
    <w:rsid w:val="68AB7945"/>
    <w:rsid w:val="68B912D9"/>
    <w:rsid w:val="68C161FA"/>
    <w:rsid w:val="68CB7079"/>
    <w:rsid w:val="68CC03DA"/>
    <w:rsid w:val="68CD1043"/>
    <w:rsid w:val="68D0468F"/>
    <w:rsid w:val="68D45F2D"/>
    <w:rsid w:val="68D73C6F"/>
    <w:rsid w:val="68DB72BC"/>
    <w:rsid w:val="68DD28B2"/>
    <w:rsid w:val="68DE109F"/>
    <w:rsid w:val="68DE6DAC"/>
    <w:rsid w:val="68E1201D"/>
    <w:rsid w:val="68EA5751"/>
    <w:rsid w:val="68F154E4"/>
    <w:rsid w:val="68F53EA3"/>
    <w:rsid w:val="68F67361"/>
    <w:rsid w:val="68F71C1C"/>
    <w:rsid w:val="68F77E6E"/>
    <w:rsid w:val="68FC2516"/>
    <w:rsid w:val="68FC5484"/>
    <w:rsid w:val="68FD0713"/>
    <w:rsid w:val="690031C6"/>
    <w:rsid w:val="69036813"/>
    <w:rsid w:val="690412D8"/>
    <w:rsid w:val="69083D00"/>
    <w:rsid w:val="69085BD7"/>
    <w:rsid w:val="690A7BA1"/>
    <w:rsid w:val="690F0ADD"/>
    <w:rsid w:val="69112820"/>
    <w:rsid w:val="69126A56"/>
    <w:rsid w:val="69140A20"/>
    <w:rsid w:val="69143AF1"/>
    <w:rsid w:val="69147A61"/>
    <w:rsid w:val="691602F4"/>
    <w:rsid w:val="692073C4"/>
    <w:rsid w:val="69236EB5"/>
    <w:rsid w:val="69274D10"/>
    <w:rsid w:val="69286015"/>
    <w:rsid w:val="692D388F"/>
    <w:rsid w:val="692F2F5C"/>
    <w:rsid w:val="69313380"/>
    <w:rsid w:val="69316E2F"/>
    <w:rsid w:val="69322ADD"/>
    <w:rsid w:val="693410C2"/>
    <w:rsid w:val="694035C3"/>
    <w:rsid w:val="694330B3"/>
    <w:rsid w:val="69434E61"/>
    <w:rsid w:val="694A0FC7"/>
    <w:rsid w:val="694A2693"/>
    <w:rsid w:val="694D196D"/>
    <w:rsid w:val="694E2071"/>
    <w:rsid w:val="69513A22"/>
    <w:rsid w:val="69533807"/>
    <w:rsid w:val="69592E49"/>
    <w:rsid w:val="695E5201"/>
    <w:rsid w:val="695E7EED"/>
    <w:rsid w:val="69644B75"/>
    <w:rsid w:val="696D3286"/>
    <w:rsid w:val="696F5C56"/>
    <w:rsid w:val="6974326C"/>
    <w:rsid w:val="69766163"/>
    <w:rsid w:val="697670FA"/>
    <w:rsid w:val="697904F5"/>
    <w:rsid w:val="69796AD5"/>
    <w:rsid w:val="697A3B33"/>
    <w:rsid w:val="697B66A7"/>
    <w:rsid w:val="697E40EB"/>
    <w:rsid w:val="69823BDB"/>
    <w:rsid w:val="69847953"/>
    <w:rsid w:val="69855479"/>
    <w:rsid w:val="69877444"/>
    <w:rsid w:val="6988602B"/>
    <w:rsid w:val="698A2A90"/>
    <w:rsid w:val="698E432E"/>
    <w:rsid w:val="6991693E"/>
    <w:rsid w:val="699A7F96"/>
    <w:rsid w:val="699B2EEF"/>
    <w:rsid w:val="699F478D"/>
    <w:rsid w:val="699F653B"/>
    <w:rsid w:val="69A7357A"/>
    <w:rsid w:val="69A9560C"/>
    <w:rsid w:val="69AC2A06"/>
    <w:rsid w:val="69AE4852"/>
    <w:rsid w:val="69B12712"/>
    <w:rsid w:val="69B53FB1"/>
    <w:rsid w:val="69B546E6"/>
    <w:rsid w:val="69B75077"/>
    <w:rsid w:val="69B813AB"/>
    <w:rsid w:val="69BB2B00"/>
    <w:rsid w:val="69C05C12"/>
    <w:rsid w:val="69C2047C"/>
    <w:rsid w:val="69C2222A"/>
    <w:rsid w:val="69C77840"/>
    <w:rsid w:val="69CA7330"/>
    <w:rsid w:val="69D106BF"/>
    <w:rsid w:val="69D32689"/>
    <w:rsid w:val="69D41F5D"/>
    <w:rsid w:val="69D44760"/>
    <w:rsid w:val="69D5399A"/>
    <w:rsid w:val="69D63F27"/>
    <w:rsid w:val="69D65CD5"/>
    <w:rsid w:val="69D9332B"/>
    <w:rsid w:val="69E37C4D"/>
    <w:rsid w:val="69E441CA"/>
    <w:rsid w:val="69E55F18"/>
    <w:rsid w:val="69E623BC"/>
    <w:rsid w:val="69E76134"/>
    <w:rsid w:val="69E96F19"/>
    <w:rsid w:val="69EC54F9"/>
    <w:rsid w:val="69F12B0F"/>
    <w:rsid w:val="69F148BD"/>
    <w:rsid w:val="69F30A52"/>
    <w:rsid w:val="69F66377"/>
    <w:rsid w:val="69F83E9D"/>
    <w:rsid w:val="69F97043"/>
    <w:rsid w:val="69FC398E"/>
    <w:rsid w:val="69FC5C16"/>
    <w:rsid w:val="6A026ACA"/>
    <w:rsid w:val="6A042842"/>
    <w:rsid w:val="6A0942FC"/>
    <w:rsid w:val="6A132F25"/>
    <w:rsid w:val="6A164324"/>
    <w:rsid w:val="6A174619"/>
    <w:rsid w:val="6A1D1B56"/>
    <w:rsid w:val="6A1F58CE"/>
    <w:rsid w:val="6A210560"/>
    <w:rsid w:val="6A2147A0"/>
    <w:rsid w:val="6A261D69"/>
    <w:rsid w:val="6A266C5C"/>
    <w:rsid w:val="6A276531"/>
    <w:rsid w:val="6A2D7FEB"/>
    <w:rsid w:val="6A31115D"/>
    <w:rsid w:val="6A3F37E2"/>
    <w:rsid w:val="6A3F38D9"/>
    <w:rsid w:val="6A42336B"/>
    <w:rsid w:val="6A4470E3"/>
    <w:rsid w:val="6A4610AD"/>
    <w:rsid w:val="6A4A055F"/>
    <w:rsid w:val="6A4D243B"/>
    <w:rsid w:val="6A4E3ABD"/>
    <w:rsid w:val="6A503CD9"/>
    <w:rsid w:val="6A50680E"/>
    <w:rsid w:val="6A520EC7"/>
    <w:rsid w:val="6A527A52"/>
    <w:rsid w:val="6A566940"/>
    <w:rsid w:val="6A575068"/>
    <w:rsid w:val="6A5A06B4"/>
    <w:rsid w:val="6A5C61DA"/>
    <w:rsid w:val="6A5D1F52"/>
    <w:rsid w:val="6A5F4521"/>
    <w:rsid w:val="6A6652AB"/>
    <w:rsid w:val="6A6743AB"/>
    <w:rsid w:val="6A68311E"/>
    <w:rsid w:val="6A6B28C1"/>
    <w:rsid w:val="6A6B7163"/>
    <w:rsid w:val="6A6C06A2"/>
    <w:rsid w:val="6A6D7AAB"/>
    <w:rsid w:val="6A6E23B2"/>
    <w:rsid w:val="6A6F2E8A"/>
    <w:rsid w:val="6A723C50"/>
    <w:rsid w:val="6A75729C"/>
    <w:rsid w:val="6A7A6FA8"/>
    <w:rsid w:val="6A845731"/>
    <w:rsid w:val="6A885221"/>
    <w:rsid w:val="6A8A66CB"/>
    <w:rsid w:val="6A8A71EB"/>
    <w:rsid w:val="6A933BC6"/>
    <w:rsid w:val="6A9F4616"/>
    <w:rsid w:val="6A9F6B82"/>
    <w:rsid w:val="6AA1131A"/>
    <w:rsid w:val="6AA162E3"/>
    <w:rsid w:val="6AAF0A00"/>
    <w:rsid w:val="6AB029CA"/>
    <w:rsid w:val="6AB457AE"/>
    <w:rsid w:val="6AB5047B"/>
    <w:rsid w:val="6AB75B07"/>
    <w:rsid w:val="6ABA36B3"/>
    <w:rsid w:val="6ABD6C0D"/>
    <w:rsid w:val="6ABF6769"/>
    <w:rsid w:val="6AC00E5F"/>
    <w:rsid w:val="6AC56475"/>
    <w:rsid w:val="6AC83870"/>
    <w:rsid w:val="6ACF764A"/>
    <w:rsid w:val="6AD1341B"/>
    <w:rsid w:val="6AD1632C"/>
    <w:rsid w:val="6AD2649C"/>
    <w:rsid w:val="6AD67855"/>
    <w:rsid w:val="6AD71D05"/>
    <w:rsid w:val="6AD846D7"/>
    <w:rsid w:val="6ADA6DFD"/>
    <w:rsid w:val="6ADC37BF"/>
    <w:rsid w:val="6ADF6E0B"/>
    <w:rsid w:val="6ADF73D5"/>
    <w:rsid w:val="6AE0505D"/>
    <w:rsid w:val="6AE508C6"/>
    <w:rsid w:val="6AE663EC"/>
    <w:rsid w:val="6AEA7C8A"/>
    <w:rsid w:val="6AEE23DE"/>
    <w:rsid w:val="6AEF704E"/>
    <w:rsid w:val="6AEF73B2"/>
    <w:rsid w:val="6AF04B38"/>
    <w:rsid w:val="6AF1726A"/>
    <w:rsid w:val="6AF26B3F"/>
    <w:rsid w:val="6AF44665"/>
    <w:rsid w:val="6AF87E20"/>
    <w:rsid w:val="6AF9611F"/>
    <w:rsid w:val="6AF97ECD"/>
    <w:rsid w:val="6AFB1E97"/>
    <w:rsid w:val="6AFB3C45"/>
    <w:rsid w:val="6AFE54E3"/>
    <w:rsid w:val="6AFF2EB6"/>
    <w:rsid w:val="6B00125C"/>
    <w:rsid w:val="6B090607"/>
    <w:rsid w:val="6B0A20DA"/>
    <w:rsid w:val="6B0C182E"/>
    <w:rsid w:val="6B125FC4"/>
    <w:rsid w:val="6B1747F7"/>
    <w:rsid w:val="6B1765A5"/>
    <w:rsid w:val="6B18012D"/>
    <w:rsid w:val="6B1D005F"/>
    <w:rsid w:val="6B2018FE"/>
    <w:rsid w:val="6B225676"/>
    <w:rsid w:val="6B233E9C"/>
    <w:rsid w:val="6B247F4F"/>
    <w:rsid w:val="6B2674F5"/>
    <w:rsid w:val="6B272C8C"/>
    <w:rsid w:val="6B2A0087"/>
    <w:rsid w:val="6B2A606B"/>
    <w:rsid w:val="6B2C1649"/>
    <w:rsid w:val="6B3158B9"/>
    <w:rsid w:val="6B322639"/>
    <w:rsid w:val="6B3247AB"/>
    <w:rsid w:val="6B3713F3"/>
    <w:rsid w:val="6B376C47"/>
    <w:rsid w:val="6B4001B8"/>
    <w:rsid w:val="6B4078AA"/>
    <w:rsid w:val="6B413622"/>
    <w:rsid w:val="6B452B0C"/>
    <w:rsid w:val="6B453112"/>
    <w:rsid w:val="6B480E55"/>
    <w:rsid w:val="6B482C03"/>
    <w:rsid w:val="6B5678D2"/>
    <w:rsid w:val="6B57365C"/>
    <w:rsid w:val="6B59096C"/>
    <w:rsid w:val="6B596BBE"/>
    <w:rsid w:val="6B5C220A"/>
    <w:rsid w:val="6B5D66AE"/>
    <w:rsid w:val="6B5E5C9A"/>
    <w:rsid w:val="6B61644D"/>
    <w:rsid w:val="6B6857CF"/>
    <w:rsid w:val="6B6C68F1"/>
    <w:rsid w:val="6B6F4633"/>
    <w:rsid w:val="6B707B2D"/>
    <w:rsid w:val="6B7201A0"/>
    <w:rsid w:val="6B737C68"/>
    <w:rsid w:val="6B7669D6"/>
    <w:rsid w:val="6B7E7FAC"/>
    <w:rsid w:val="6B8312D6"/>
    <w:rsid w:val="6B8754D9"/>
    <w:rsid w:val="6B8A6D77"/>
    <w:rsid w:val="6B8F25DF"/>
    <w:rsid w:val="6B9B5A9A"/>
    <w:rsid w:val="6B9E0FF1"/>
    <w:rsid w:val="6BA24C19"/>
    <w:rsid w:val="6BA44686"/>
    <w:rsid w:val="6BA479EC"/>
    <w:rsid w:val="6BA63E2B"/>
    <w:rsid w:val="6BAA3F28"/>
    <w:rsid w:val="6BAA566B"/>
    <w:rsid w:val="6BAD2501"/>
    <w:rsid w:val="6BAD2A66"/>
    <w:rsid w:val="6BAE3435"/>
    <w:rsid w:val="6BB214E6"/>
    <w:rsid w:val="6BB3651A"/>
    <w:rsid w:val="6BB5675A"/>
    <w:rsid w:val="6BBE700E"/>
    <w:rsid w:val="6BCC55E2"/>
    <w:rsid w:val="6BCF6E80"/>
    <w:rsid w:val="6BDD3EA8"/>
    <w:rsid w:val="6BDD42B9"/>
    <w:rsid w:val="6BE32131"/>
    <w:rsid w:val="6BE741CA"/>
    <w:rsid w:val="6BEA3CBA"/>
    <w:rsid w:val="6BEF5524"/>
    <w:rsid w:val="6BF32B6E"/>
    <w:rsid w:val="6BF568E6"/>
    <w:rsid w:val="6BFA3EFD"/>
    <w:rsid w:val="6BFC1AEE"/>
    <w:rsid w:val="6BFD2B3F"/>
    <w:rsid w:val="6BFD39ED"/>
    <w:rsid w:val="6C003D7A"/>
    <w:rsid w:val="6C007039"/>
    <w:rsid w:val="6C092867"/>
    <w:rsid w:val="6C094140"/>
    <w:rsid w:val="6C0B435C"/>
    <w:rsid w:val="6C1256EA"/>
    <w:rsid w:val="6C134FBF"/>
    <w:rsid w:val="6C196DB0"/>
    <w:rsid w:val="6C1C0317"/>
    <w:rsid w:val="6C1C43DE"/>
    <w:rsid w:val="6C1C6720"/>
    <w:rsid w:val="6C1F5711"/>
    <w:rsid w:val="6C202F44"/>
    <w:rsid w:val="6C206AC0"/>
    <w:rsid w:val="6C292269"/>
    <w:rsid w:val="6C2C6080"/>
    <w:rsid w:val="6C3078F9"/>
    <w:rsid w:val="6C3118E9"/>
    <w:rsid w:val="6C31722F"/>
    <w:rsid w:val="6C3439C0"/>
    <w:rsid w:val="6C354F35"/>
    <w:rsid w:val="6C377790"/>
    <w:rsid w:val="6C390C28"/>
    <w:rsid w:val="6C3B7B4C"/>
    <w:rsid w:val="6C3E5941"/>
    <w:rsid w:val="6C3F4006"/>
    <w:rsid w:val="6C44161C"/>
    <w:rsid w:val="6C450EF0"/>
    <w:rsid w:val="6C47110C"/>
    <w:rsid w:val="6C4A27B9"/>
    <w:rsid w:val="6C4B23BA"/>
    <w:rsid w:val="6C4C56DA"/>
    <w:rsid w:val="6C4E6C53"/>
    <w:rsid w:val="6C4F79C6"/>
    <w:rsid w:val="6C515AE7"/>
    <w:rsid w:val="6C5A7C87"/>
    <w:rsid w:val="6C5B1E4E"/>
    <w:rsid w:val="6C5D7D56"/>
    <w:rsid w:val="6C5E35D9"/>
    <w:rsid w:val="6C5F0204"/>
    <w:rsid w:val="6C621AA2"/>
    <w:rsid w:val="6C635F46"/>
    <w:rsid w:val="6C636C38"/>
    <w:rsid w:val="6C64581A"/>
    <w:rsid w:val="6C6475C8"/>
    <w:rsid w:val="6C6770B8"/>
    <w:rsid w:val="6C682907"/>
    <w:rsid w:val="6C696636"/>
    <w:rsid w:val="6C6B6BA9"/>
    <w:rsid w:val="6C6E6C0B"/>
    <w:rsid w:val="6C705F6D"/>
    <w:rsid w:val="6C7277AE"/>
    <w:rsid w:val="6C7517D5"/>
    <w:rsid w:val="6C7672FB"/>
    <w:rsid w:val="6C8C72D3"/>
    <w:rsid w:val="6C8F6BC2"/>
    <w:rsid w:val="6C937EAD"/>
    <w:rsid w:val="6C97799E"/>
    <w:rsid w:val="6CA03235"/>
    <w:rsid w:val="6CA200F0"/>
    <w:rsid w:val="6CA4030D"/>
    <w:rsid w:val="6CA67BE1"/>
    <w:rsid w:val="6CA9147F"/>
    <w:rsid w:val="6CA976D1"/>
    <w:rsid w:val="6CAC115A"/>
    <w:rsid w:val="6CAF0DB4"/>
    <w:rsid w:val="6CAF118B"/>
    <w:rsid w:val="6CB00A5F"/>
    <w:rsid w:val="6CB26586"/>
    <w:rsid w:val="6CB32CE3"/>
    <w:rsid w:val="6CB72B48"/>
    <w:rsid w:val="6CB94F0A"/>
    <w:rsid w:val="6CBE7DBF"/>
    <w:rsid w:val="6CBF6EF4"/>
    <w:rsid w:val="6CC10EBE"/>
    <w:rsid w:val="6CC35974"/>
    <w:rsid w:val="6CC462B9"/>
    <w:rsid w:val="6CCB5899"/>
    <w:rsid w:val="6CCB7395"/>
    <w:rsid w:val="6CD20778"/>
    <w:rsid w:val="6CD209D6"/>
    <w:rsid w:val="6CD61C8C"/>
    <w:rsid w:val="6CD644A8"/>
    <w:rsid w:val="6CD81D64"/>
    <w:rsid w:val="6CD94FB2"/>
    <w:rsid w:val="6CDA5121"/>
    <w:rsid w:val="6CDC1854"/>
    <w:rsid w:val="6CDD3C12"/>
    <w:rsid w:val="6CDF131F"/>
    <w:rsid w:val="6CE52B0D"/>
    <w:rsid w:val="6CE626D3"/>
    <w:rsid w:val="6CEC139B"/>
    <w:rsid w:val="6CF46B9E"/>
    <w:rsid w:val="6CF546C4"/>
    <w:rsid w:val="6CF7043C"/>
    <w:rsid w:val="6D0112BB"/>
    <w:rsid w:val="6D0A63C2"/>
    <w:rsid w:val="6D0C15C3"/>
    <w:rsid w:val="6D0D4676"/>
    <w:rsid w:val="6D0E3FAE"/>
    <w:rsid w:val="6D1159A2"/>
    <w:rsid w:val="6D140FEE"/>
    <w:rsid w:val="6D185650"/>
    <w:rsid w:val="6D196605"/>
    <w:rsid w:val="6D1B05CF"/>
    <w:rsid w:val="6D1C7EA3"/>
    <w:rsid w:val="6D231231"/>
    <w:rsid w:val="6D260D22"/>
    <w:rsid w:val="6D2A1A28"/>
    <w:rsid w:val="6D2F7BD6"/>
    <w:rsid w:val="6D301BA0"/>
    <w:rsid w:val="6D30394E"/>
    <w:rsid w:val="6D361E7E"/>
    <w:rsid w:val="6D415B5B"/>
    <w:rsid w:val="6D4672D9"/>
    <w:rsid w:val="6D4D62AE"/>
    <w:rsid w:val="6D5835D1"/>
    <w:rsid w:val="6D5910F7"/>
    <w:rsid w:val="6D5E670D"/>
    <w:rsid w:val="6D5F0BFD"/>
    <w:rsid w:val="6D637796"/>
    <w:rsid w:val="6D6506E3"/>
    <w:rsid w:val="6D6A50B2"/>
    <w:rsid w:val="6D6A6E60"/>
    <w:rsid w:val="6D6D6950"/>
    <w:rsid w:val="6D741A8D"/>
    <w:rsid w:val="6D747729"/>
    <w:rsid w:val="6D760823"/>
    <w:rsid w:val="6D7B2101"/>
    <w:rsid w:val="6D7D6164"/>
    <w:rsid w:val="6D7E0B5E"/>
    <w:rsid w:val="6D7E1B24"/>
    <w:rsid w:val="6D7E573E"/>
    <w:rsid w:val="6D80179D"/>
    <w:rsid w:val="6D81776E"/>
    <w:rsid w:val="6D851A67"/>
    <w:rsid w:val="6D8D7B94"/>
    <w:rsid w:val="6D91687F"/>
    <w:rsid w:val="6D922C32"/>
    <w:rsid w:val="6D9411F0"/>
    <w:rsid w:val="6D94675B"/>
    <w:rsid w:val="6D997745"/>
    <w:rsid w:val="6D9A63F2"/>
    <w:rsid w:val="6D9B170F"/>
    <w:rsid w:val="6D9B5410"/>
    <w:rsid w:val="6D9D06E2"/>
    <w:rsid w:val="6D9D7236"/>
    <w:rsid w:val="6D9F7C70"/>
    <w:rsid w:val="6DA14ABC"/>
    <w:rsid w:val="6DA71E62"/>
    <w:rsid w:val="6DAA54AF"/>
    <w:rsid w:val="6DAB4B72"/>
    <w:rsid w:val="6DB14A8F"/>
    <w:rsid w:val="6DB2245F"/>
    <w:rsid w:val="6DB24BA6"/>
    <w:rsid w:val="6DB34098"/>
    <w:rsid w:val="6DB545B6"/>
    <w:rsid w:val="6DB63E53"/>
    <w:rsid w:val="6DB91B96"/>
    <w:rsid w:val="6DBB16F2"/>
    <w:rsid w:val="6DBD1FDD"/>
    <w:rsid w:val="6DBD740C"/>
    <w:rsid w:val="6DBE55BC"/>
    <w:rsid w:val="6DC01176"/>
    <w:rsid w:val="6DC019AF"/>
    <w:rsid w:val="6DC073D6"/>
    <w:rsid w:val="6DC70D5C"/>
    <w:rsid w:val="6DCA1206"/>
    <w:rsid w:val="6DCA78FF"/>
    <w:rsid w:val="6DCC7B1B"/>
    <w:rsid w:val="6DD15131"/>
    <w:rsid w:val="6DD20EEB"/>
    <w:rsid w:val="6DD24A05"/>
    <w:rsid w:val="6DD4449B"/>
    <w:rsid w:val="6DD80F51"/>
    <w:rsid w:val="6DDB1B0C"/>
    <w:rsid w:val="6DDD3AD6"/>
    <w:rsid w:val="6DDE6F4D"/>
    <w:rsid w:val="6DE02BAB"/>
    <w:rsid w:val="6DE02FB4"/>
    <w:rsid w:val="6DE50BDD"/>
    <w:rsid w:val="6DE82246"/>
    <w:rsid w:val="6DE84485"/>
    <w:rsid w:val="6DF004EC"/>
    <w:rsid w:val="6DF717AF"/>
    <w:rsid w:val="6DF80910"/>
    <w:rsid w:val="6DF901E4"/>
    <w:rsid w:val="6DF95579"/>
    <w:rsid w:val="6DFA4688"/>
    <w:rsid w:val="6DFB0400"/>
    <w:rsid w:val="6DFB21AE"/>
    <w:rsid w:val="6DFD5F26"/>
    <w:rsid w:val="6DFE0CAC"/>
    <w:rsid w:val="6E035861"/>
    <w:rsid w:val="6E05302D"/>
    <w:rsid w:val="6E0A23F1"/>
    <w:rsid w:val="6E0C35E3"/>
    <w:rsid w:val="6E0F17B6"/>
    <w:rsid w:val="6E113780"/>
    <w:rsid w:val="6E173FF3"/>
    <w:rsid w:val="6E182D60"/>
    <w:rsid w:val="6E192634"/>
    <w:rsid w:val="6E1B63AC"/>
    <w:rsid w:val="6E1D3ED3"/>
    <w:rsid w:val="6E1E3E44"/>
    <w:rsid w:val="6E272FA3"/>
    <w:rsid w:val="6E2C05BA"/>
    <w:rsid w:val="6E2D05A3"/>
    <w:rsid w:val="6E2E4332"/>
    <w:rsid w:val="6E301E58"/>
    <w:rsid w:val="6E31797E"/>
    <w:rsid w:val="6E361438"/>
    <w:rsid w:val="6E3902D9"/>
    <w:rsid w:val="6E3A0F28"/>
    <w:rsid w:val="6E3A7772"/>
    <w:rsid w:val="6E3D4575"/>
    <w:rsid w:val="6E3E6C13"/>
    <w:rsid w:val="6E406A5E"/>
    <w:rsid w:val="6E494CC8"/>
    <w:rsid w:val="6E4C2A0A"/>
    <w:rsid w:val="6E4C47B8"/>
    <w:rsid w:val="6E4E22DE"/>
    <w:rsid w:val="6E4E2A84"/>
    <w:rsid w:val="6E4F775D"/>
    <w:rsid w:val="6E514CED"/>
    <w:rsid w:val="6E5378F4"/>
    <w:rsid w:val="6E5813AF"/>
    <w:rsid w:val="6E587EF0"/>
    <w:rsid w:val="6E5A5127"/>
    <w:rsid w:val="6E600263"/>
    <w:rsid w:val="6E6050CB"/>
    <w:rsid w:val="6E605222"/>
    <w:rsid w:val="6E663ACB"/>
    <w:rsid w:val="6E673A62"/>
    <w:rsid w:val="6E6933A5"/>
    <w:rsid w:val="6E6935BC"/>
    <w:rsid w:val="6E6E472E"/>
    <w:rsid w:val="6E701BEE"/>
    <w:rsid w:val="6E7206C2"/>
    <w:rsid w:val="6E737F96"/>
    <w:rsid w:val="6E755ABD"/>
    <w:rsid w:val="6E764468"/>
    <w:rsid w:val="6E7D2524"/>
    <w:rsid w:val="6E900B48"/>
    <w:rsid w:val="6E921357"/>
    <w:rsid w:val="6E963C85"/>
    <w:rsid w:val="6E9A5523"/>
    <w:rsid w:val="6EA22932"/>
    <w:rsid w:val="6EA445F4"/>
    <w:rsid w:val="6EA64E36"/>
    <w:rsid w:val="6EAB14DE"/>
    <w:rsid w:val="6EAD4DCD"/>
    <w:rsid w:val="6EAF6C69"/>
    <w:rsid w:val="6EB16DA8"/>
    <w:rsid w:val="6EB34837"/>
    <w:rsid w:val="6EB42084"/>
    <w:rsid w:val="6EB563D5"/>
    <w:rsid w:val="6EB81E4D"/>
    <w:rsid w:val="6EBA3E17"/>
    <w:rsid w:val="6EBD1290"/>
    <w:rsid w:val="6EC15BA9"/>
    <w:rsid w:val="6EC75B57"/>
    <w:rsid w:val="6ED00F45"/>
    <w:rsid w:val="6ED018FF"/>
    <w:rsid w:val="6ED13AB0"/>
    <w:rsid w:val="6ED22F0F"/>
    <w:rsid w:val="6ED42996"/>
    <w:rsid w:val="6ED74E66"/>
    <w:rsid w:val="6ED92677"/>
    <w:rsid w:val="6EDB5809"/>
    <w:rsid w:val="6EDD3AFA"/>
    <w:rsid w:val="6EE132F8"/>
    <w:rsid w:val="6EED5F9B"/>
    <w:rsid w:val="6EF01710"/>
    <w:rsid w:val="6EF035FA"/>
    <w:rsid w:val="6EF74724"/>
    <w:rsid w:val="6EF966EE"/>
    <w:rsid w:val="6EFA5425"/>
    <w:rsid w:val="6EFB5180"/>
    <w:rsid w:val="6F0230C8"/>
    <w:rsid w:val="6F0532E4"/>
    <w:rsid w:val="6F0817D1"/>
    <w:rsid w:val="6F082DD5"/>
    <w:rsid w:val="6F0B01CF"/>
    <w:rsid w:val="6F0D66D0"/>
    <w:rsid w:val="6F0D7199"/>
    <w:rsid w:val="6F0E7CBF"/>
    <w:rsid w:val="6F1005C4"/>
    <w:rsid w:val="6F140344"/>
    <w:rsid w:val="6F141779"/>
    <w:rsid w:val="6F15081B"/>
    <w:rsid w:val="6F150A06"/>
    <w:rsid w:val="6F1B0BD5"/>
    <w:rsid w:val="6F1C062E"/>
    <w:rsid w:val="6F2254EC"/>
    <w:rsid w:val="6F225983"/>
    <w:rsid w:val="6F236D2B"/>
    <w:rsid w:val="6F270681"/>
    <w:rsid w:val="6F285225"/>
    <w:rsid w:val="6F2A65B8"/>
    <w:rsid w:val="6F304979"/>
    <w:rsid w:val="6F310AF8"/>
    <w:rsid w:val="6F332E9E"/>
    <w:rsid w:val="6F347726"/>
    <w:rsid w:val="6F381CF0"/>
    <w:rsid w:val="6F390465"/>
    <w:rsid w:val="6F3A451F"/>
    <w:rsid w:val="6F3B6D06"/>
    <w:rsid w:val="6F437969"/>
    <w:rsid w:val="6F4D4C8B"/>
    <w:rsid w:val="6F515729"/>
    <w:rsid w:val="6F547DC8"/>
    <w:rsid w:val="6F5A4CB2"/>
    <w:rsid w:val="6F5D6E5C"/>
    <w:rsid w:val="6F600FEA"/>
    <w:rsid w:val="6F612C55"/>
    <w:rsid w:val="6F614293"/>
    <w:rsid w:val="6F6561A4"/>
    <w:rsid w:val="6F6E3364"/>
    <w:rsid w:val="6F712800"/>
    <w:rsid w:val="6F742218"/>
    <w:rsid w:val="6F77163A"/>
    <w:rsid w:val="6F7B4EC0"/>
    <w:rsid w:val="6F7E447B"/>
    <w:rsid w:val="6F834209"/>
    <w:rsid w:val="6F8A37EA"/>
    <w:rsid w:val="6F8B7571"/>
    <w:rsid w:val="6F8C6880"/>
    <w:rsid w:val="6F906926"/>
    <w:rsid w:val="6F9208F0"/>
    <w:rsid w:val="6F9251A5"/>
    <w:rsid w:val="6F9539D7"/>
    <w:rsid w:val="6F9603E0"/>
    <w:rsid w:val="6F991C7F"/>
    <w:rsid w:val="6F992790"/>
    <w:rsid w:val="6FA04EC3"/>
    <w:rsid w:val="6FA04FCC"/>
    <w:rsid w:val="6FA06BAE"/>
    <w:rsid w:val="6FA705D9"/>
    <w:rsid w:val="6FAA2D41"/>
    <w:rsid w:val="6FAC19B2"/>
    <w:rsid w:val="6FAC3760"/>
    <w:rsid w:val="6FB152E0"/>
    <w:rsid w:val="6FB16C0D"/>
    <w:rsid w:val="6FB22D40"/>
    <w:rsid w:val="6FB53110"/>
    <w:rsid w:val="6FB70357"/>
    <w:rsid w:val="6FBD3BBF"/>
    <w:rsid w:val="6FBF3137"/>
    <w:rsid w:val="6FC34184"/>
    <w:rsid w:val="6FC54822"/>
    <w:rsid w:val="6FCC5BB0"/>
    <w:rsid w:val="6FD11419"/>
    <w:rsid w:val="6FD20CED"/>
    <w:rsid w:val="6FD40F09"/>
    <w:rsid w:val="6FE078AE"/>
    <w:rsid w:val="6FE32EFA"/>
    <w:rsid w:val="6FE4739E"/>
    <w:rsid w:val="6FE56C72"/>
    <w:rsid w:val="6FEB5EC5"/>
    <w:rsid w:val="6FED08DE"/>
    <w:rsid w:val="6FED13C0"/>
    <w:rsid w:val="6FF20953"/>
    <w:rsid w:val="6FFB46E7"/>
    <w:rsid w:val="6FFC4D49"/>
    <w:rsid w:val="6FFC5590"/>
    <w:rsid w:val="7002147B"/>
    <w:rsid w:val="700A0487"/>
    <w:rsid w:val="700F3D2C"/>
    <w:rsid w:val="70115CB9"/>
    <w:rsid w:val="70117A67"/>
    <w:rsid w:val="701337DF"/>
    <w:rsid w:val="70133B11"/>
    <w:rsid w:val="70197D60"/>
    <w:rsid w:val="701B2694"/>
    <w:rsid w:val="701C1994"/>
    <w:rsid w:val="701C79D2"/>
    <w:rsid w:val="70206657"/>
    <w:rsid w:val="7023779A"/>
    <w:rsid w:val="702459EC"/>
    <w:rsid w:val="7027690E"/>
    <w:rsid w:val="702C48A1"/>
    <w:rsid w:val="702E686B"/>
    <w:rsid w:val="702F613F"/>
    <w:rsid w:val="702F6FF3"/>
    <w:rsid w:val="70310A18"/>
    <w:rsid w:val="70342CA5"/>
    <w:rsid w:val="703805DC"/>
    <w:rsid w:val="70384118"/>
    <w:rsid w:val="70390D6C"/>
    <w:rsid w:val="703C0167"/>
    <w:rsid w:val="703D260A"/>
    <w:rsid w:val="70455963"/>
    <w:rsid w:val="70473489"/>
    <w:rsid w:val="70495453"/>
    <w:rsid w:val="70497201"/>
    <w:rsid w:val="704A4D27"/>
    <w:rsid w:val="704E2A69"/>
    <w:rsid w:val="704F058F"/>
    <w:rsid w:val="70510EFD"/>
    <w:rsid w:val="70512559"/>
    <w:rsid w:val="705160B5"/>
    <w:rsid w:val="705362D1"/>
    <w:rsid w:val="7056191E"/>
    <w:rsid w:val="705B0CE2"/>
    <w:rsid w:val="705F4C76"/>
    <w:rsid w:val="706100D2"/>
    <w:rsid w:val="70657DB3"/>
    <w:rsid w:val="706A53C9"/>
    <w:rsid w:val="706A6832"/>
    <w:rsid w:val="706D1DD0"/>
    <w:rsid w:val="70741DA4"/>
    <w:rsid w:val="707428D9"/>
    <w:rsid w:val="70746E68"/>
    <w:rsid w:val="70757FF6"/>
    <w:rsid w:val="70787AE6"/>
    <w:rsid w:val="707A560C"/>
    <w:rsid w:val="70840239"/>
    <w:rsid w:val="70856B87"/>
    <w:rsid w:val="708E2E66"/>
    <w:rsid w:val="708F6DAD"/>
    <w:rsid w:val="709366CE"/>
    <w:rsid w:val="70973B4F"/>
    <w:rsid w:val="709A7EAC"/>
    <w:rsid w:val="709D12FB"/>
    <w:rsid w:val="709D754D"/>
    <w:rsid w:val="709E2354"/>
    <w:rsid w:val="70A03792"/>
    <w:rsid w:val="70A75A76"/>
    <w:rsid w:val="70AB0832"/>
    <w:rsid w:val="70AB7EBB"/>
    <w:rsid w:val="70B52AE8"/>
    <w:rsid w:val="70B54896"/>
    <w:rsid w:val="70B56644"/>
    <w:rsid w:val="70B566F6"/>
    <w:rsid w:val="70BA1EAD"/>
    <w:rsid w:val="70C60851"/>
    <w:rsid w:val="70C753B7"/>
    <w:rsid w:val="70C76378"/>
    <w:rsid w:val="70CA35FF"/>
    <w:rsid w:val="70D2369A"/>
    <w:rsid w:val="70D527EE"/>
    <w:rsid w:val="70D52DEC"/>
    <w:rsid w:val="70D6480D"/>
    <w:rsid w:val="70D94A29"/>
    <w:rsid w:val="70DA42FD"/>
    <w:rsid w:val="70DC13F2"/>
    <w:rsid w:val="70E15378"/>
    <w:rsid w:val="70E51DA8"/>
    <w:rsid w:val="70E538F0"/>
    <w:rsid w:val="70E94540"/>
    <w:rsid w:val="70EB475C"/>
    <w:rsid w:val="70EE5FFA"/>
    <w:rsid w:val="70EF69D7"/>
    <w:rsid w:val="70F11B9D"/>
    <w:rsid w:val="70F21646"/>
    <w:rsid w:val="70F2329B"/>
    <w:rsid w:val="70F353BF"/>
    <w:rsid w:val="70F862D3"/>
    <w:rsid w:val="70FC0717"/>
    <w:rsid w:val="70FF3D63"/>
    <w:rsid w:val="710010F4"/>
    <w:rsid w:val="71030900"/>
    <w:rsid w:val="7104137A"/>
    <w:rsid w:val="7105583D"/>
    <w:rsid w:val="710650F2"/>
    <w:rsid w:val="711041C2"/>
    <w:rsid w:val="71105F71"/>
    <w:rsid w:val="71127F06"/>
    <w:rsid w:val="711368CE"/>
    <w:rsid w:val="71175551"/>
    <w:rsid w:val="71186BD3"/>
    <w:rsid w:val="7119217E"/>
    <w:rsid w:val="71193077"/>
    <w:rsid w:val="711A07F9"/>
    <w:rsid w:val="711A4C3C"/>
    <w:rsid w:val="712324FF"/>
    <w:rsid w:val="71245578"/>
    <w:rsid w:val="712D08D1"/>
    <w:rsid w:val="7130059F"/>
    <w:rsid w:val="71324139"/>
    <w:rsid w:val="71325EE7"/>
    <w:rsid w:val="713734FD"/>
    <w:rsid w:val="713954C7"/>
    <w:rsid w:val="713A2FED"/>
    <w:rsid w:val="713B48DE"/>
    <w:rsid w:val="713B6B48"/>
    <w:rsid w:val="713C008A"/>
    <w:rsid w:val="713F6856"/>
    <w:rsid w:val="714300F4"/>
    <w:rsid w:val="71431EA2"/>
    <w:rsid w:val="71445C1A"/>
    <w:rsid w:val="714479C8"/>
    <w:rsid w:val="71494FDF"/>
    <w:rsid w:val="714A3FD1"/>
    <w:rsid w:val="714B6FA9"/>
    <w:rsid w:val="714C26EA"/>
    <w:rsid w:val="714C7EEE"/>
    <w:rsid w:val="714F0E73"/>
    <w:rsid w:val="71500A63"/>
    <w:rsid w:val="71540D12"/>
    <w:rsid w:val="7157594D"/>
    <w:rsid w:val="71580BD8"/>
    <w:rsid w:val="715B2707"/>
    <w:rsid w:val="715B3690"/>
    <w:rsid w:val="715B5300"/>
    <w:rsid w:val="715E0A8A"/>
    <w:rsid w:val="7161057A"/>
    <w:rsid w:val="7162317B"/>
    <w:rsid w:val="71662034"/>
    <w:rsid w:val="7166431B"/>
    <w:rsid w:val="7168470E"/>
    <w:rsid w:val="716B764B"/>
    <w:rsid w:val="716D33C3"/>
    <w:rsid w:val="716F4C20"/>
    <w:rsid w:val="716F713B"/>
    <w:rsid w:val="71727C3B"/>
    <w:rsid w:val="71736911"/>
    <w:rsid w:val="71755DD4"/>
    <w:rsid w:val="7178644A"/>
    <w:rsid w:val="717958C4"/>
    <w:rsid w:val="717B788E"/>
    <w:rsid w:val="717D727A"/>
    <w:rsid w:val="717E112C"/>
    <w:rsid w:val="71810C1C"/>
    <w:rsid w:val="71890D14"/>
    <w:rsid w:val="718A1B80"/>
    <w:rsid w:val="718C6759"/>
    <w:rsid w:val="718F6E95"/>
    <w:rsid w:val="719170B1"/>
    <w:rsid w:val="71946BA2"/>
    <w:rsid w:val="71946D08"/>
    <w:rsid w:val="719941B8"/>
    <w:rsid w:val="71A072F4"/>
    <w:rsid w:val="71A212BE"/>
    <w:rsid w:val="71A32E24"/>
    <w:rsid w:val="71A5490B"/>
    <w:rsid w:val="71A8059E"/>
    <w:rsid w:val="71A82806"/>
    <w:rsid w:val="71AF5789"/>
    <w:rsid w:val="71AF7537"/>
    <w:rsid w:val="71C11019"/>
    <w:rsid w:val="71C578FA"/>
    <w:rsid w:val="71C72AD3"/>
    <w:rsid w:val="71C823A7"/>
    <w:rsid w:val="71C9243B"/>
    <w:rsid w:val="71CA4371"/>
    <w:rsid w:val="71CF7BDA"/>
    <w:rsid w:val="71D21478"/>
    <w:rsid w:val="71D27F8A"/>
    <w:rsid w:val="71D9064A"/>
    <w:rsid w:val="71DB657E"/>
    <w:rsid w:val="71DE1BCB"/>
    <w:rsid w:val="71E03B95"/>
    <w:rsid w:val="71E117BB"/>
    <w:rsid w:val="71E27ABF"/>
    <w:rsid w:val="71E371E1"/>
    <w:rsid w:val="71EF5B86"/>
    <w:rsid w:val="71F118FE"/>
    <w:rsid w:val="71F15DA2"/>
    <w:rsid w:val="71F238C8"/>
    <w:rsid w:val="71F65166"/>
    <w:rsid w:val="71F8045A"/>
    <w:rsid w:val="71F87178"/>
    <w:rsid w:val="71FC5ABD"/>
    <w:rsid w:val="71FD29A8"/>
    <w:rsid w:val="71FD4747"/>
    <w:rsid w:val="71FD4EBA"/>
    <w:rsid w:val="71FF2160"/>
    <w:rsid w:val="720930EC"/>
    <w:rsid w:val="720F447A"/>
    <w:rsid w:val="72117193"/>
    <w:rsid w:val="72161365"/>
    <w:rsid w:val="721E646B"/>
    <w:rsid w:val="72264571"/>
    <w:rsid w:val="72271F19"/>
    <w:rsid w:val="72291511"/>
    <w:rsid w:val="722B1FD4"/>
    <w:rsid w:val="7231619E"/>
    <w:rsid w:val="72326EE7"/>
    <w:rsid w:val="72330169"/>
    <w:rsid w:val="72331F17"/>
    <w:rsid w:val="72347FC0"/>
    <w:rsid w:val="72352198"/>
    <w:rsid w:val="72356ABA"/>
    <w:rsid w:val="72374BF5"/>
    <w:rsid w:val="72380C91"/>
    <w:rsid w:val="723B4C48"/>
    <w:rsid w:val="723B526F"/>
    <w:rsid w:val="723F0166"/>
    <w:rsid w:val="723F4D5F"/>
    <w:rsid w:val="724F4877"/>
    <w:rsid w:val="72553024"/>
    <w:rsid w:val="72636FD7"/>
    <w:rsid w:val="726447C6"/>
    <w:rsid w:val="72670600"/>
    <w:rsid w:val="726732E2"/>
    <w:rsid w:val="726B1CAC"/>
    <w:rsid w:val="726F6CC7"/>
    <w:rsid w:val="727662A7"/>
    <w:rsid w:val="72793B35"/>
    <w:rsid w:val="727B233D"/>
    <w:rsid w:val="727D3192"/>
    <w:rsid w:val="727E1565"/>
    <w:rsid w:val="727E16B2"/>
    <w:rsid w:val="727F515C"/>
    <w:rsid w:val="72834520"/>
    <w:rsid w:val="7286134A"/>
    <w:rsid w:val="728925B1"/>
    <w:rsid w:val="728C1BE5"/>
    <w:rsid w:val="728C7879"/>
    <w:rsid w:val="728E0759"/>
    <w:rsid w:val="72952BD1"/>
    <w:rsid w:val="7298446F"/>
    <w:rsid w:val="729E67C3"/>
    <w:rsid w:val="72A10820"/>
    <w:rsid w:val="72A11576"/>
    <w:rsid w:val="72A526E9"/>
    <w:rsid w:val="72A6630F"/>
    <w:rsid w:val="72A76461"/>
    <w:rsid w:val="72B33D47"/>
    <w:rsid w:val="72B33DEA"/>
    <w:rsid w:val="72BB015E"/>
    <w:rsid w:val="72BC0C11"/>
    <w:rsid w:val="72BC7901"/>
    <w:rsid w:val="72C214EC"/>
    <w:rsid w:val="72C23935"/>
    <w:rsid w:val="72C31133"/>
    <w:rsid w:val="72C42487"/>
    <w:rsid w:val="72C84E5C"/>
    <w:rsid w:val="72C94629"/>
    <w:rsid w:val="72C97A85"/>
    <w:rsid w:val="72CC236B"/>
    <w:rsid w:val="72D01C58"/>
    <w:rsid w:val="72D1172F"/>
    <w:rsid w:val="72D354A8"/>
    <w:rsid w:val="72D37256"/>
    <w:rsid w:val="72D72570"/>
    <w:rsid w:val="72DC25AE"/>
    <w:rsid w:val="72E2393D"/>
    <w:rsid w:val="72E355B6"/>
    <w:rsid w:val="72E74AAF"/>
    <w:rsid w:val="72EB27F1"/>
    <w:rsid w:val="72ED68F0"/>
    <w:rsid w:val="72F06BDF"/>
    <w:rsid w:val="72F13B80"/>
    <w:rsid w:val="72F853FF"/>
    <w:rsid w:val="72FB4C14"/>
    <w:rsid w:val="72FF004B"/>
    <w:rsid w:val="72FF29D4"/>
    <w:rsid w:val="730B2E93"/>
    <w:rsid w:val="73122968"/>
    <w:rsid w:val="73133AF6"/>
    <w:rsid w:val="731A14F4"/>
    <w:rsid w:val="731F1D55"/>
    <w:rsid w:val="731F5D5E"/>
    <w:rsid w:val="73216213"/>
    <w:rsid w:val="732170E5"/>
    <w:rsid w:val="73223D39"/>
    <w:rsid w:val="732B4E38"/>
    <w:rsid w:val="732C289D"/>
    <w:rsid w:val="732C4583"/>
    <w:rsid w:val="73323166"/>
    <w:rsid w:val="733F48EB"/>
    <w:rsid w:val="73400AA6"/>
    <w:rsid w:val="734463A5"/>
    <w:rsid w:val="73474DA4"/>
    <w:rsid w:val="7348106F"/>
    <w:rsid w:val="734819F2"/>
    <w:rsid w:val="734E4B2E"/>
    <w:rsid w:val="735623D1"/>
    <w:rsid w:val="7357094B"/>
    <w:rsid w:val="735852FB"/>
    <w:rsid w:val="735D58FC"/>
    <w:rsid w:val="735F2305"/>
    <w:rsid w:val="736507F6"/>
    <w:rsid w:val="73695125"/>
    <w:rsid w:val="736A2763"/>
    <w:rsid w:val="736B1B84"/>
    <w:rsid w:val="736B748E"/>
    <w:rsid w:val="736B7A45"/>
    <w:rsid w:val="736C2CDB"/>
    <w:rsid w:val="736F70B1"/>
    <w:rsid w:val="73702CF6"/>
    <w:rsid w:val="73741484"/>
    <w:rsid w:val="737427E7"/>
    <w:rsid w:val="737547B1"/>
    <w:rsid w:val="737E18B7"/>
    <w:rsid w:val="737F73DD"/>
    <w:rsid w:val="73832A2A"/>
    <w:rsid w:val="738524FE"/>
    <w:rsid w:val="73852C46"/>
    <w:rsid w:val="73880040"/>
    <w:rsid w:val="738A5B9F"/>
    <w:rsid w:val="73903399"/>
    <w:rsid w:val="739369E5"/>
    <w:rsid w:val="73974727"/>
    <w:rsid w:val="73992AC3"/>
    <w:rsid w:val="739C6BE4"/>
    <w:rsid w:val="739E1612"/>
    <w:rsid w:val="739E5AB6"/>
    <w:rsid w:val="73A34E7A"/>
    <w:rsid w:val="73A66A49"/>
    <w:rsid w:val="73AB01D2"/>
    <w:rsid w:val="73AF1A71"/>
    <w:rsid w:val="73B00889"/>
    <w:rsid w:val="73B02BDC"/>
    <w:rsid w:val="73B07597"/>
    <w:rsid w:val="73B47087"/>
    <w:rsid w:val="73B61F92"/>
    <w:rsid w:val="73B74BBB"/>
    <w:rsid w:val="73BE077C"/>
    <w:rsid w:val="73BF5B2F"/>
    <w:rsid w:val="73C117A4"/>
    <w:rsid w:val="73C3551C"/>
    <w:rsid w:val="73C51AD5"/>
    <w:rsid w:val="73CC4A8A"/>
    <w:rsid w:val="73D17C39"/>
    <w:rsid w:val="73DB2866"/>
    <w:rsid w:val="73DC038C"/>
    <w:rsid w:val="73DE2356"/>
    <w:rsid w:val="73DE5EB2"/>
    <w:rsid w:val="73E230B9"/>
    <w:rsid w:val="73E6120B"/>
    <w:rsid w:val="73E97A4A"/>
    <w:rsid w:val="73EA4857"/>
    <w:rsid w:val="73ED07EB"/>
    <w:rsid w:val="73ED2A40"/>
    <w:rsid w:val="73F15875"/>
    <w:rsid w:val="73F41B79"/>
    <w:rsid w:val="73F92CEC"/>
    <w:rsid w:val="73F97190"/>
    <w:rsid w:val="73FA42D5"/>
    <w:rsid w:val="73FB67E5"/>
    <w:rsid w:val="73FF3230"/>
    <w:rsid w:val="7402235F"/>
    <w:rsid w:val="74093490"/>
    <w:rsid w:val="740A314B"/>
    <w:rsid w:val="740A6CA7"/>
    <w:rsid w:val="740F0761"/>
    <w:rsid w:val="741144D9"/>
    <w:rsid w:val="74161AF0"/>
    <w:rsid w:val="741909C5"/>
    <w:rsid w:val="741915E0"/>
    <w:rsid w:val="741E793C"/>
    <w:rsid w:val="742064CB"/>
    <w:rsid w:val="74216777"/>
    <w:rsid w:val="74253AE1"/>
    <w:rsid w:val="74275AAB"/>
    <w:rsid w:val="742C4E6F"/>
    <w:rsid w:val="742F4DE6"/>
    <w:rsid w:val="742F6013"/>
    <w:rsid w:val="7431366F"/>
    <w:rsid w:val="743146C8"/>
    <w:rsid w:val="743401C8"/>
    <w:rsid w:val="7441186B"/>
    <w:rsid w:val="74416441"/>
    <w:rsid w:val="74420ABE"/>
    <w:rsid w:val="74463A57"/>
    <w:rsid w:val="74471BB8"/>
    <w:rsid w:val="744A3547"/>
    <w:rsid w:val="744F4027"/>
    <w:rsid w:val="7459408D"/>
    <w:rsid w:val="74597C2E"/>
    <w:rsid w:val="745B77F1"/>
    <w:rsid w:val="745E3944"/>
    <w:rsid w:val="74687E72"/>
    <w:rsid w:val="746E7F61"/>
    <w:rsid w:val="74736F42"/>
    <w:rsid w:val="74746816"/>
    <w:rsid w:val="7476258E"/>
    <w:rsid w:val="747C5C15"/>
    <w:rsid w:val="7480340D"/>
    <w:rsid w:val="748051BB"/>
    <w:rsid w:val="748C511B"/>
    <w:rsid w:val="74933140"/>
    <w:rsid w:val="74940C50"/>
    <w:rsid w:val="74956EB9"/>
    <w:rsid w:val="7496678D"/>
    <w:rsid w:val="74975840"/>
    <w:rsid w:val="749A63B4"/>
    <w:rsid w:val="749D7B1B"/>
    <w:rsid w:val="74A55CD2"/>
    <w:rsid w:val="74A5696C"/>
    <w:rsid w:val="74A569D0"/>
    <w:rsid w:val="74A62D93"/>
    <w:rsid w:val="74AB66DC"/>
    <w:rsid w:val="74AC4202"/>
    <w:rsid w:val="74B44E65"/>
    <w:rsid w:val="74B45D96"/>
    <w:rsid w:val="74B86703"/>
    <w:rsid w:val="74BD1F6B"/>
    <w:rsid w:val="74BF784D"/>
    <w:rsid w:val="74C01A5C"/>
    <w:rsid w:val="74C23A26"/>
    <w:rsid w:val="74C72DEA"/>
    <w:rsid w:val="74C94DB4"/>
    <w:rsid w:val="74CA4688"/>
    <w:rsid w:val="74CF1C9F"/>
    <w:rsid w:val="74D11B16"/>
    <w:rsid w:val="74D31A39"/>
    <w:rsid w:val="74D6302D"/>
    <w:rsid w:val="74DA48CB"/>
    <w:rsid w:val="74ED4E82"/>
    <w:rsid w:val="74EE0377"/>
    <w:rsid w:val="74F55F2A"/>
    <w:rsid w:val="74F82FA3"/>
    <w:rsid w:val="74FA4F6E"/>
    <w:rsid w:val="74FA7758"/>
    <w:rsid w:val="74FB18F9"/>
    <w:rsid w:val="74FC6604"/>
    <w:rsid w:val="750758DC"/>
    <w:rsid w:val="75094A06"/>
    <w:rsid w:val="75097E5E"/>
    <w:rsid w:val="75117CC3"/>
    <w:rsid w:val="7514770C"/>
    <w:rsid w:val="7516167C"/>
    <w:rsid w:val="75171011"/>
    <w:rsid w:val="75172572"/>
    <w:rsid w:val="75172585"/>
    <w:rsid w:val="75181898"/>
    <w:rsid w:val="75183646"/>
    <w:rsid w:val="751A60D1"/>
    <w:rsid w:val="751B4A1B"/>
    <w:rsid w:val="751D7EC3"/>
    <w:rsid w:val="751F3648"/>
    <w:rsid w:val="7522622B"/>
    <w:rsid w:val="75263FB5"/>
    <w:rsid w:val="75306BE1"/>
    <w:rsid w:val="75321A53"/>
    <w:rsid w:val="75331A50"/>
    <w:rsid w:val="753560A8"/>
    <w:rsid w:val="75357D54"/>
    <w:rsid w:val="7537598C"/>
    <w:rsid w:val="753B0164"/>
    <w:rsid w:val="753B10E2"/>
    <w:rsid w:val="753B7A29"/>
    <w:rsid w:val="753D2637"/>
    <w:rsid w:val="753D30AC"/>
    <w:rsid w:val="753E7806"/>
    <w:rsid w:val="75412B9C"/>
    <w:rsid w:val="754167EA"/>
    <w:rsid w:val="75470E99"/>
    <w:rsid w:val="754E350B"/>
    <w:rsid w:val="75504B8E"/>
    <w:rsid w:val="7553467E"/>
    <w:rsid w:val="755A5196"/>
    <w:rsid w:val="755F1275"/>
    <w:rsid w:val="75625727"/>
    <w:rsid w:val="7564688B"/>
    <w:rsid w:val="75662603"/>
    <w:rsid w:val="756643B1"/>
    <w:rsid w:val="756B7C19"/>
    <w:rsid w:val="756C336B"/>
    <w:rsid w:val="756E3266"/>
    <w:rsid w:val="75705230"/>
    <w:rsid w:val="75706FDE"/>
    <w:rsid w:val="75725AC6"/>
    <w:rsid w:val="75731778"/>
    <w:rsid w:val="75736ACE"/>
    <w:rsid w:val="75785276"/>
    <w:rsid w:val="757A60AE"/>
    <w:rsid w:val="7581743D"/>
    <w:rsid w:val="758229C0"/>
    <w:rsid w:val="7583694D"/>
    <w:rsid w:val="75842A89"/>
    <w:rsid w:val="75846F2D"/>
    <w:rsid w:val="75874327"/>
    <w:rsid w:val="7589009F"/>
    <w:rsid w:val="7589213B"/>
    <w:rsid w:val="758B689E"/>
    <w:rsid w:val="758E7EC1"/>
    <w:rsid w:val="7591618F"/>
    <w:rsid w:val="75930F1E"/>
    <w:rsid w:val="75986535"/>
    <w:rsid w:val="75986772"/>
    <w:rsid w:val="75994904"/>
    <w:rsid w:val="759A405B"/>
    <w:rsid w:val="75A03D67"/>
    <w:rsid w:val="75A13E56"/>
    <w:rsid w:val="75A3791A"/>
    <w:rsid w:val="75A82C1C"/>
    <w:rsid w:val="75B46F90"/>
    <w:rsid w:val="75B50E95"/>
    <w:rsid w:val="75BB6901"/>
    <w:rsid w:val="75BE243F"/>
    <w:rsid w:val="75BE2C13"/>
    <w:rsid w:val="75BE41ED"/>
    <w:rsid w:val="75C5557C"/>
    <w:rsid w:val="75C90F3B"/>
    <w:rsid w:val="75CF1DAB"/>
    <w:rsid w:val="75D4756D"/>
    <w:rsid w:val="75D66F6E"/>
    <w:rsid w:val="75DC4673"/>
    <w:rsid w:val="75DF2357"/>
    <w:rsid w:val="75E023B5"/>
    <w:rsid w:val="75E11C8A"/>
    <w:rsid w:val="75E37361"/>
    <w:rsid w:val="75E672A0"/>
    <w:rsid w:val="75E95BCF"/>
    <w:rsid w:val="75ED7121"/>
    <w:rsid w:val="75EE07A4"/>
    <w:rsid w:val="75F220E9"/>
    <w:rsid w:val="75F96FD3"/>
    <w:rsid w:val="75FA3A1A"/>
    <w:rsid w:val="75FC6AC3"/>
    <w:rsid w:val="76031347"/>
    <w:rsid w:val="760442A1"/>
    <w:rsid w:val="760D1E57"/>
    <w:rsid w:val="760E3B60"/>
    <w:rsid w:val="76100768"/>
    <w:rsid w:val="761420F5"/>
    <w:rsid w:val="76143E0D"/>
    <w:rsid w:val="76165DD7"/>
    <w:rsid w:val="76171CE3"/>
    <w:rsid w:val="761938F1"/>
    <w:rsid w:val="761E4C8C"/>
    <w:rsid w:val="761E6A3A"/>
    <w:rsid w:val="762848E9"/>
    <w:rsid w:val="762A1882"/>
    <w:rsid w:val="762C5AD2"/>
    <w:rsid w:val="762F11BB"/>
    <w:rsid w:val="76320737"/>
    <w:rsid w:val="763444AF"/>
    <w:rsid w:val="7635099D"/>
    <w:rsid w:val="76375D4D"/>
    <w:rsid w:val="763829FD"/>
    <w:rsid w:val="763B75EC"/>
    <w:rsid w:val="763D14D8"/>
    <w:rsid w:val="763D7C0A"/>
    <w:rsid w:val="763E70DC"/>
    <w:rsid w:val="763F2868"/>
    <w:rsid w:val="764C5FBF"/>
    <w:rsid w:val="76530DD9"/>
    <w:rsid w:val="76544B51"/>
    <w:rsid w:val="76562678"/>
    <w:rsid w:val="765D716B"/>
    <w:rsid w:val="765E152C"/>
    <w:rsid w:val="765E777E"/>
    <w:rsid w:val="765F3E98"/>
    <w:rsid w:val="766120F8"/>
    <w:rsid w:val="766C1E9B"/>
    <w:rsid w:val="766D7BD0"/>
    <w:rsid w:val="766E5C13"/>
    <w:rsid w:val="76742AFE"/>
    <w:rsid w:val="767D522A"/>
    <w:rsid w:val="767D7C04"/>
    <w:rsid w:val="76816FC9"/>
    <w:rsid w:val="768A72D8"/>
    <w:rsid w:val="768C6099"/>
    <w:rsid w:val="768D3BBF"/>
    <w:rsid w:val="768E6F08"/>
    <w:rsid w:val="769006E4"/>
    <w:rsid w:val="76941E85"/>
    <w:rsid w:val="769625A6"/>
    <w:rsid w:val="76962A74"/>
    <w:rsid w:val="76967C55"/>
    <w:rsid w:val="769767EC"/>
    <w:rsid w:val="76981B39"/>
    <w:rsid w:val="769826AB"/>
    <w:rsid w:val="76984A3E"/>
    <w:rsid w:val="769B62DC"/>
    <w:rsid w:val="769B6B48"/>
    <w:rsid w:val="76A07A2B"/>
    <w:rsid w:val="76A4325B"/>
    <w:rsid w:val="76AE3A09"/>
    <w:rsid w:val="76B033A8"/>
    <w:rsid w:val="76B24BBF"/>
    <w:rsid w:val="76B37ACA"/>
    <w:rsid w:val="76BB697E"/>
    <w:rsid w:val="76BD26F7"/>
    <w:rsid w:val="76CE304C"/>
    <w:rsid w:val="76CE7275"/>
    <w:rsid w:val="76D65566"/>
    <w:rsid w:val="76DC4CCE"/>
    <w:rsid w:val="76DE01EA"/>
    <w:rsid w:val="76DE5835"/>
    <w:rsid w:val="76DF266D"/>
    <w:rsid w:val="76E1631E"/>
    <w:rsid w:val="76E61C4D"/>
    <w:rsid w:val="76E863E9"/>
    <w:rsid w:val="76EB1A60"/>
    <w:rsid w:val="76ED2582"/>
    <w:rsid w:val="76EE5A6B"/>
    <w:rsid w:val="76F31C74"/>
    <w:rsid w:val="76F41B7D"/>
    <w:rsid w:val="76F459ED"/>
    <w:rsid w:val="76F52AFE"/>
    <w:rsid w:val="76F61765"/>
    <w:rsid w:val="77020109"/>
    <w:rsid w:val="770836B2"/>
    <w:rsid w:val="770E2F52"/>
    <w:rsid w:val="770F2B0C"/>
    <w:rsid w:val="771A5453"/>
    <w:rsid w:val="771C1E27"/>
    <w:rsid w:val="771D3195"/>
    <w:rsid w:val="77204A34"/>
    <w:rsid w:val="772067E2"/>
    <w:rsid w:val="77207080"/>
    <w:rsid w:val="772B58B2"/>
    <w:rsid w:val="772C10B5"/>
    <w:rsid w:val="772F0859"/>
    <w:rsid w:val="7731279D"/>
    <w:rsid w:val="773C0460"/>
    <w:rsid w:val="773C312D"/>
    <w:rsid w:val="773F310C"/>
    <w:rsid w:val="774369DA"/>
    <w:rsid w:val="774520DB"/>
    <w:rsid w:val="77471FC0"/>
    <w:rsid w:val="77543075"/>
    <w:rsid w:val="77544308"/>
    <w:rsid w:val="775A1D1E"/>
    <w:rsid w:val="775D3592"/>
    <w:rsid w:val="775D69E5"/>
    <w:rsid w:val="77602309"/>
    <w:rsid w:val="776112D4"/>
    <w:rsid w:val="77640DC4"/>
    <w:rsid w:val="7765592F"/>
    <w:rsid w:val="77674410"/>
    <w:rsid w:val="77685F9B"/>
    <w:rsid w:val="77687232"/>
    <w:rsid w:val="776C1A27"/>
    <w:rsid w:val="776C7C79"/>
    <w:rsid w:val="7770454E"/>
    <w:rsid w:val="77754D7F"/>
    <w:rsid w:val="77762421"/>
    <w:rsid w:val="77764653"/>
    <w:rsid w:val="777F7DBE"/>
    <w:rsid w:val="77822FF8"/>
    <w:rsid w:val="77846CDF"/>
    <w:rsid w:val="77884AB3"/>
    <w:rsid w:val="778B6351"/>
    <w:rsid w:val="778C2FC1"/>
    <w:rsid w:val="77931781"/>
    <w:rsid w:val="77935205"/>
    <w:rsid w:val="77980A6E"/>
    <w:rsid w:val="779870B5"/>
    <w:rsid w:val="779A47E6"/>
    <w:rsid w:val="779A4A87"/>
    <w:rsid w:val="77A70BCD"/>
    <w:rsid w:val="77A92C7B"/>
    <w:rsid w:val="77AE12A3"/>
    <w:rsid w:val="77B56B1F"/>
    <w:rsid w:val="77B866D3"/>
    <w:rsid w:val="77BC475C"/>
    <w:rsid w:val="77C1693E"/>
    <w:rsid w:val="77C52CF4"/>
    <w:rsid w:val="77C620FD"/>
    <w:rsid w:val="77D074F3"/>
    <w:rsid w:val="77D31AA6"/>
    <w:rsid w:val="77D6701F"/>
    <w:rsid w:val="77D870BC"/>
    <w:rsid w:val="77DE08BF"/>
    <w:rsid w:val="77DE2925"/>
    <w:rsid w:val="77DF59E5"/>
    <w:rsid w:val="77DF669D"/>
    <w:rsid w:val="77E141C3"/>
    <w:rsid w:val="77E36D4C"/>
    <w:rsid w:val="77E51F05"/>
    <w:rsid w:val="77EB3293"/>
    <w:rsid w:val="77EC1C4C"/>
    <w:rsid w:val="77ED0DBA"/>
    <w:rsid w:val="77EE2602"/>
    <w:rsid w:val="77F41A5D"/>
    <w:rsid w:val="77F75A5E"/>
    <w:rsid w:val="77F9150C"/>
    <w:rsid w:val="77F92EE3"/>
    <w:rsid w:val="77FA466F"/>
    <w:rsid w:val="77FC724F"/>
    <w:rsid w:val="77FF2E6B"/>
    <w:rsid w:val="78014865"/>
    <w:rsid w:val="78034139"/>
    <w:rsid w:val="780350F4"/>
    <w:rsid w:val="780363C2"/>
    <w:rsid w:val="780A196C"/>
    <w:rsid w:val="780F08F1"/>
    <w:rsid w:val="780F09F4"/>
    <w:rsid w:val="780F6F82"/>
    <w:rsid w:val="781152FC"/>
    <w:rsid w:val="78146346"/>
    <w:rsid w:val="78153E6C"/>
    <w:rsid w:val="78174088"/>
    <w:rsid w:val="781B5927"/>
    <w:rsid w:val="781C344D"/>
    <w:rsid w:val="781F3B6D"/>
    <w:rsid w:val="78210A63"/>
    <w:rsid w:val="78252B16"/>
    <w:rsid w:val="78260025"/>
    <w:rsid w:val="78285575"/>
    <w:rsid w:val="78286882"/>
    <w:rsid w:val="782E3564"/>
    <w:rsid w:val="783059B2"/>
    <w:rsid w:val="7834070E"/>
    <w:rsid w:val="7834370D"/>
    <w:rsid w:val="783955CE"/>
    <w:rsid w:val="783B524E"/>
    <w:rsid w:val="783C764B"/>
    <w:rsid w:val="783E7FCF"/>
    <w:rsid w:val="783F3C54"/>
    <w:rsid w:val="78436C2C"/>
    <w:rsid w:val="78484242"/>
    <w:rsid w:val="7849330B"/>
    <w:rsid w:val="784B54E8"/>
    <w:rsid w:val="78534766"/>
    <w:rsid w:val="78544995"/>
    <w:rsid w:val="785901FD"/>
    <w:rsid w:val="78597AB5"/>
    <w:rsid w:val="785C79B3"/>
    <w:rsid w:val="7860158C"/>
    <w:rsid w:val="786054E2"/>
    <w:rsid w:val="78647A24"/>
    <w:rsid w:val="786646C8"/>
    <w:rsid w:val="786956BA"/>
    <w:rsid w:val="786C7F30"/>
    <w:rsid w:val="786E2ED7"/>
    <w:rsid w:val="786F17CF"/>
    <w:rsid w:val="7872402B"/>
    <w:rsid w:val="7879089F"/>
    <w:rsid w:val="787B4617"/>
    <w:rsid w:val="787C3EEC"/>
    <w:rsid w:val="787E4A3E"/>
    <w:rsid w:val="787E5EB6"/>
    <w:rsid w:val="78801C2E"/>
    <w:rsid w:val="788259A6"/>
    <w:rsid w:val="788334CC"/>
    <w:rsid w:val="788567F8"/>
    <w:rsid w:val="788756E6"/>
    <w:rsid w:val="78882EF5"/>
    <w:rsid w:val="788A2AAC"/>
    <w:rsid w:val="788D434B"/>
    <w:rsid w:val="788F1E71"/>
    <w:rsid w:val="7897429F"/>
    <w:rsid w:val="7897528D"/>
    <w:rsid w:val="78994A9D"/>
    <w:rsid w:val="789B10C8"/>
    <w:rsid w:val="789D1ACE"/>
    <w:rsid w:val="789E0306"/>
    <w:rsid w:val="78A24456"/>
    <w:rsid w:val="78A43CB2"/>
    <w:rsid w:val="78A90480"/>
    <w:rsid w:val="78AB7B6D"/>
    <w:rsid w:val="78B611AB"/>
    <w:rsid w:val="78BB3C7E"/>
    <w:rsid w:val="78BB7294"/>
    <w:rsid w:val="78C45AF7"/>
    <w:rsid w:val="78CA4C57"/>
    <w:rsid w:val="78CF04BF"/>
    <w:rsid w:val="78D12489"/>
    <w:rsid w:val="78D83818"/>
    <w:rsid w:val="78DB7356"/>
    <w:rsid w:val="78DD498A"/>
    <w:rsid w:val="78DE6954"/>
    <w:rsid w:val="78E026CC"/>
    <w:rsid w:val="78E04F89"/>
    <w:rsid w:val="78E120E6"/>
    <w:rsid w:val="78E24696"/>
    <w:rsid w:val="78E421BD"/>
    <w:rsid w:val="78E8332F"/>
    <w:rsid w:val="78EE4DE9"/>
    <w:rsid w:val="78F32001"/>
    <w:rsid w:val="78F46178"/>
    <w:rsid w:val="78FB5758"/>
    <w:rsid w:val="79002D6F"/>
    <w:rsid w:val="7900306A"/>
    <w:rsid w:val="7902023B"/>
    <w:rsid w:val="7908111E"/>
    <w:rsid w:val="79094DB5"/>
    <w:rsid w:val="790C5A7A"/>
    <w:rsid w:val="790E7239"/>
    <w:rsid w:val="79110AD8"/>
    <w:rsid w:val="79181E66"/>
    <w:rsid w:val="791B3704"/>
    <w:rsid w:val="791D4A81"/>
    <w:rsid w:val="79202AC9"/>
    <w:rsid w:val="792720A9"/>
    <w:rsid w:val="79273E57"/>
    <w:rsid w:val="792918C8"/>
    <w:rsid w:val="792A3948"/>
    <w:rsid w:val="792B056D"/>
    <w:rsid w:val="79330A4E"/>
    <w:rsid w:val="793622EC"/>
    <w:rsid w:val="79393B8B"/>
    <w:rsid w:val="793F3897"/>
    <w:rsid w:val="794013BD"/>
    <w:rsid w:val="79404AFC"/>
    <w:rsid w:val="79404F19"/>
    <w:rsid w:val="79425135"/>
    <w:rsid w:val="794E03FE"/>
    <w:rsid w:val="794F33AE"/>
    <w:rsid w:val="795135CA"/>
    <w:rsid w:val="79525D3E"/>
    <w:rsid w:val="79582B1F"/>
    <w:rsid w:val="795B7FA5"/>
    <w:rsid w:val="795D6A9B"/>
    <w:rsid w:val="79654980"/>
    <w:rsid w:val="79674B9C"/>
    <w:rsid w:val="79694470"/>
    <w:rsid w:val="796E1A86"/>
    <w:rsid w:val="796E5F2A"/>
    <w:rsid w:val="797C1F00"/>
    <w:rsid w:val="797D676F"/>
    <w:rsid w:val="797F5E4E"/>
    <w:rsid w:val="797F7E64"/>
    <w:rsid w:val="79820071"/>
    <w:rsid w:val="79825532"/>
    <w:rsid w:val="79836945"/>
    <w:rsid w:val="79856C26"/>
    <w:rsid w:val="79872B48"/>
    <w:rsid w:val="798E2128"/>
    <w:rsid w:val="79955265"/>
    <w:rsid w:val="79960FDD"/>
    <w:rsid w:val="799D05BD"/>
    <w:rsid w:val="79A33E26"/>
    <w:rsid w:val="79A36ADB"/>
    <w:rsid w:val="79A436FA"/>
    <w:rsid w:val="79A713FE"/>
    <w:rsid w:val="79A722B9"/>
    <w:rsid w:val="79A951B4"/>
    <w:rsid w:val="79B0077C"/>
    <w:rsid w:val="79B24069"/>
    <w:rsid w:val="79B3393D"/>
    <w:rsid w:val="79B53B59"/>
    <w:rsid w:val="79B871A5"/>
    <w:rsid w:val="79BD47BC"/>
    <w:rsid w:val="79BD6FB1"/>
    <w:rsid w:val="79BE1A84"/>
    <w:rsid w:val="79C124FE"/>
    <w:rsid w:val="79C2422B"/>
    <w:rsid w:val="79C36BB6"/>
    <w:rsid w:val="79CB512B"/>
    <w:rsid w:val="79CE4C1B"/>
    <w:rsid w:val="79D02741"/>
    <w:rsid w:val="79D21E6C"/>
    <w:rsid w:val="79D31E17"/>
    <w:rsid w:val="79D616AE"/>
    <w:rsid w:val="79D833A4"/>
    <w:rsid w:val="79DA35C0"/>
    <w:rsid w:val="79DC2A4B"/>
    <w:rsid w:val="79DF10D7"/>
    <w:rsid w:val="79DF2984"/>
    <w:rsid w:val="79E05927"/>
    <w:rsid w:val="79E5308B"/>
    <w:rsid w:val="79E8327B"/>
    <w:rsid w:val="79E93803"/>
    <w:rsid w:val="79EB72CF"/>
    <w:rsid w:val="79F16D16"/>
    <w:rsid w:val="79F346B8"/>
    <w:rsid w:val="79F51E5A"/>
    <w:rsid w:val="79F57588"/>
    <w:rsid w:val="79F87616"/>
    <w:rsid w:val="79FC1788"/>
    <w:rsid w:val="79FE105C"/>
    <w:rsid w:val="7A040E58"/>
    <w:rsid w:val="7A0438CB"/>
    <w:rsid w:val="7A055CB7"/>
    <w:rsid w:val="7A066E53"/>
    <w:rsid w:val="7A0D74F1"/>
    <w:rsid w:val="7A0E5017"/>
    <w:rsid w:val="7A0F6B20"/>
    <w:rsid w:val="7A122D59"/>
    <w:rsid w:val="7A13262E"/>
    <w:rsid w:val="7A207E6B"/>
    <w:rsid w:val="7A2401C6"/>
    <w:rsid w:val="7A252032"/>
    <w:rsid w:val="7A253E75"/>
    <w:rsid w:val="7A2B7977"/>
    <w:rsid w:val="7A2C0AE0"/>
    <w:rsid w:val="7A315709"/>
    <w:rsid w:val="7A364017"/>
    <w:rsid w:val="7A3740A0"/>
    <w:rsid w:val="7A3C7DD6"/>
    <w:rsid w:val="7A432F13"/>
    <w:rsid w:val="7A444843"/>
    <w:rsid w:val="7A480529"/>
    <w:rsid w:val="7A486646"/>
    <w:rsid w:val="7A48677B"/>
    <w:rsid w:val="7A4A24F3"/>
    <w:rsid w:val="7A4B626B"/>
    <w:rsid w:val="7A4C3F0C"/>
    <w:rsid w:val="7A4D1FE3"/>
    <w:rsid w:val="7A4E4C46"/>
    <w:rsid w:val="7A5073DE"/>
    <w:rsid w:val="7A5213A8"/>
    <w:rsid w:val="7A543372"/>
    <w:rsid w:val="7A5A52BF"/>
    <w:rsid w:val="7A5C5D83"/>
    <w:rsid w:val="7A657EE4"/>
    <w:rsid w:val="7A682979"/>
    <w:rsid w:val="7A6940FF"/>
    <w:rsid w:val="7A6B4218"/>
    <w:rsid w:val="7A6D4434"/>
    <w:rsid w:val="7A6E6D8B"/>
    <w:rsid w:val="7A70182E"/>
    <w:rsid w:val="7A7358BD"/>
    <w:rsid w:val="7A765096"/>
    <w:rsid w:val="7A7B26AD"/>
    <w:rsid w:val="7A8265E1"/>
    <w:rsid w:val="7A851FF7"/>
    <w:rsid w:val="7A94376E"/>
    <w:rsid w:val="7A984589"/>
    <w:rsid w:val="7AA00B7E"/>
    <w:rsid w:val="7AA0116B"/>
    <w:rsid w:val="7AA02113"/>
    <w:rsid w:val="7AA15E8B"/>
    <w:rsid w:val="7AA8546C"/>
    <w:rsid w:val="7AAA11E4"/>
    <w:rsid w:val="7AAA2F92"/>
    <w:rsid w:val="7AAC6929"/>
    <w:rsid w:val="7AAD21FD"/>
    <w:rsid w:val="7AAD2AD4"/>
    <w:rsid w:val="7AAE63CA"/>
    <w:rsid w:val="7AB20529"/>
    <w:rsid w:val="7AB7745D"/>
    <w:rsid w:val="7AB91427"/>
    <w:rsid w:val="7ABB5669"/>
    <w:rsid w:val="7ABE07EB"/>
    <w:rsid w:val="7ABE6832"/>
    <w:rsid w:val="7AC21775"/>
    <w:rsid w:val="7AC23757"/>
    <w:rsid w:val="7AC34054"/>
    <w:rsid w:val="7AC73B44"/>
    <w:rsid w:val="7ACA42CA"/>
    <w:rsid w:val="7AD1051F"/>
    <w:rsid w:val="7AD6194F"/>
    <w:rsid w:val="7AD973D3"/>
    <w:rsid w:val="7ADB5B50"/>
    <w:rsid w:val="7ADE2C3C"/>
    <w:rsid w:val="7AE30252"/>
    <w:rsid w:val="7AE75F94"/>
    <w:rsid w:val="7AE77294"/>
    <w:rsid w:val="7AEF5911"/>
    <w:rsid w:val="7AEF7AA2"/>
    <w:rsid w:val="7AF1296F"/>
    <w:rsid w:val="7AF1471D"/>
    <w:rsid w:val="7AF55B2D"/>
    <w:rsid w:val="7AFA5CC1"/>
    <w:rsid w:val="7AFB559C"/>
    <w:rsid w:val="7AFC32E6"/>
    <w:rsid w:val="7AFC584B"/>
    <w:rsid w:val="7AFF15FB"/>
    <w:rsid w:val="7B006E3F"/>
    <w:rsid w:val="7B0501C8"/>
    <w:rsid w:val="7B0940E7"/>
    <w:rsid w:val="7B0A1C83"/>
    <w:rsid w:val="7B0A57DF"/>
    <w:rsid w:val="7B0C59FB"/>
    <w:rsid w:val="7B0E1773"/>
    <w:rsid w:val="7B1138F9"/>
    <w:rsid w:val="7B123865"/>
    <w:rsid w:val="7B14665D"/>
    <w:rsid w:val="7B160627"/>
    <w:rsid w:val="7B193C74"/>
    <w:rsid w:val="7B1D7C08"/>
    <w:rsid w:val="7B1F786F"/>
    <w:rsid w:val="7B226FCC"/>
    <w:rsid w:val="7B235A36"/>
    <w:rsid w:val="7B252305"/>
    <w:rsid w:val="7B272834"/>
    <w:rsid w:val="7B2A5502"/>
    <w:rsid w:val="7B2D4F37"/>
    <w:rsid w:val="7B2E5971"/>
    <w:rsid w:val="7B3F7B7E"/>
    <w:rsid w:val="7B476A33"/>
    <w:rsid w:val="7B4909FD"/>
    <w:rsid w:val="7B4927AB"/>
    <w:rsid w:val="7B534CA5"/>
    <w:rsid w:val="7B5A4E02"/>
    <w:rsid w:val="7B5B24DE"/>
    <w:rsid w:val="7B5F2A03"/>
    <w:rsid w:val="7B603E48"/>
    <w:rsid w:val="7B615D46"/>
    <w:rsid w:val="7B624F18"/>
    <w:rsid w:val="7B66335D"/>
    <w:rsid w:val="7B686D42"/>
    <w:rsid w:val="7B6969A9"/>
    <w:rsid w:val="7B6C0247"/>
    <w:rsid w:val="7B6F1AE6"/>
    <w:rsid w:val="7B762E74"/>
    <w:rsid w:val="7B79088B"/>
    <w:rsid w:val="7B7A2964"/>
    <w:rsid w:val="7B811F45"/>
    <w:rsid w:val="7B841746"/>
    <w:rsid w:val="7B8657AD"/>
    <w:rsid w:val="7B8C08E9"/>
    <w:rsid w:val="7B8F3F36"/>
    <w:rsid w:val="7B963B66"/>
    <w:rsid w:val="7B9654E8"/>
    <w:rsid w:val="7B9A3006"/>
    <w:rsid w:val="7B9C36E0"/>
    <w:rsid w:val="7B9C6D7F"/>
    <w:rsid w:val="7B9D6653"/>
    <w:rsid w:val="7BAD0F8C"/>
    <w:rsid w:val="7BB10350"/>
    <w:rsid w:val="7BB128AD"/>
    <w:rsid w:val="7BBF2A6D"/>
    <w:rsid w:val="7BC02341"/>
    <w:rsid w:val="7BC10593"/>
    <w:rsid w:val="7BC25EFD"/>
    <w:rsid w:val="7BC368A3"/>
    <w:rsid w:val="7BC462D5"/>
    <w:rsid w:val="7BCB1412"/>
    <w:rsid w:val="7BCB4BEA"/>
    <w:rsid w:val="7BCE2CB0"/>
    <w:rsid w:val="7BD1454E"/>
    <w:rsid w:val="7BD81D81"/>
    <w:rsid w:val="7BDA05EF"/>
    <w:rsid w:val="7BDE6900"/>
    <w:rsid w:val="7BEA0994"/>
    <w:rsid w:val="7BEC215B"/>
    <w:rsid w:val="7BEE4817"/>
    <w:rsid w:val="7BF1074D"/>
    <w:rsid w:val="7BF22E42"/>
    <w:rsid w:val="7BF87D2D"/>
    <w:rsid w:val="7BF97117"/>
    <w:rsid w:val="7BFA55A5"/>
    <w:rsid w:val="7BFD3595"/>
    <w:rsid w:val="7BFE17E7"/>
    <w:rsid w:val="7BFF04E2"/>
    <w:rsid w:val="7C01670F"/>
    <w:rsid w:val="7C036161"/>
    <w:rsid w:val="7C036657"/>
    <w:rsid w:val="7C0861C2"/>
    <w:rsid w:val="7C086208"/>
    <w:rsid w:val="7C0C7A5C"/>
    <w:rsid w:val="7C0E7550"/>
    <w:rsid w:val="7C0F5EC4"/>
    <w:rsid w:val="7C110CE7"/>
    <w:rsid w:val="7C156B31"/>
    <w:rsid w:val="7C196023"/>
    <w:rsid w:val="7C1C080B"/>
    <w:rsid w:val="7C1D76DF"/>
    <w:rsid w:val="7C1E7C42"/>
    <w:rsid w:val="7C224DAA"/>
    <w:rsid w:val="7C27574E"/>
    <w:rsid w:val="7C2D18C4"/>
    <w:rsid w:val="7C2E19A1"/>
    <w:rsid w:val="7C352D2F"/>
    <w:rsid w:val="7C376AA7"/>
    <w:rsid w:val="7C3F3BAE"/>
    <w:rsid w:val="7C4774B4"/>
    <w:rsid w:val="7C4C4919"/>
    <w:rsid w:val="7C51421E"/>
    <w:rsid w:val="7C532F51"/>
    <w:rsid w:val="7C55517F"/>
    <w:rsid w:val="7C5A2796"/>
    <w:rsid w:val="7C5A3E43"/>
    <w:rsid w:val="7C631993"/>
    <w:rsid w:val="7C6C5AC7"/>
    <w:rsid w:val="7C705B15"/>
    <w:rsid w:val="7C726100"/>
    <w:rsid w:val="7C745605"/>
    <w:rsid w:val="7C75137E"/>
    <w:rsid w:val="7C75766A"/>
    <w:rsid w:val="7C773348"/>
    <w:rsid w:val="7C7750F6"/>
    <w:rsid w:val="7C7970C0"/>
    <w:rsid w:val="7C831CEC"/>
    <w:rsid w:val="7C833A9B"/>
    <w:rsid w:val="7C8415C1"/>
    <w:rsid w:val="7C88789A"/>
    <w:rsid w:val="7C8B294F"/>
    <w:rsid w:val="7C8E41ED"/>
    <w:rsid w:val="7C8F0691"/>
    <w:rsid w:val="7C8F243F"/>
    <w:rsid w:val="7C9238D7"/>
    <w:rsid w:val="7C972A58"/>
    <w:rsid w:val="7C9C4B5C"/>
    <w:rsid w:val="7C9E08D4"/>
    <w:rsid w:val="7CA0289E"/>
    <w:rsid w:val="7CA22801"/>
    <w:rsid w:val="7CA37C99"/>
    <w:rsid w:val="7CA431AC"/>
    <w:rsid w:val="7CA80310"/>
    <w:rsid w:val="7CA8482B"/>
    <w:rsid w:val="7CA92B7C"/>
    <w:rsid w:val="7CAB4D9F"/>
    <w:rsid w:val="7CB00608"/>
    <w:rsid w:val="7CB63E70"/>
    <w:rsid w:val="7CBB1486"/>
    <w:rsid w:val="7CC145C3"/>
    <w:rsid w:val="7CC52305"/>
    <w:rsid w:val="7CC6544B"/>
    <w:rsid w:val="7CC66242"/>
    <w:rsid w:val="7CC76D59"/>
    <w:rsid w:val="7CD10CAA"/>
    <w:rsid w:val="7CD51E1C"/>
    <w:rsid w:val="7CD54C68"/>
    <w:rsid w:val="7CDB7433"/>
    <w:rsid w:val="7CDC2679"/>
    <w:rsid w:val="7CDD764F"/>
    <w:rsid w:val="7CE00658"/>
    <w:rsid w:val="7CE0713F"/>
    <w:rsid w:val="7CE1176F"/>
    <w:rsid w:val="7CE87DA1"/>
    <w:rsid w:val="7CE9175B"/>
    <w:rsid w:val="7CEA2CFB"/>
    <w:rsid w:val="7CEC5AE4"/>
    <w:rsid w:val="7CF91FAF"/>
    <w:rsid w:val="7CFB1EB0"/>
    <w:rsid w:val="7CFB5700"/>
    <w:rsid w:val="7CFB6585"/>
    <w:rsid w:val="7CFC4F7F"/>
    <w:rsid w:val="7D0239FF"/>
    <w:rsid w:val="7D056BA5"/>
    <w:rsid w:val="7D07647A"/>
    <w:rsid w:val="7D0A60E0"/>
    <w:rsid w:val="7D0B583E"/>
    <w:rsid w:val="7D0D15B6"/>
    <w:rsid w:val="7D0E5A5A"/>
    <w:rsid w:val="7D1257C1"/>
    <w:rsid w:val="7D1312C2"/>
    <w:rsid w:val="7D196620"/>
    <w:rsid w:val="7D197F5B"/>
    <w:rsid w:val="7D1E1A15"/>
    <w:rsid w:val="7D1E37C3"/>
    <w:rsid w:val="7D20753B"/>
    <w:rsid w:val="7D260BDE"/>
    <w:rsid w:val="7D2708CA"/>
    <w:rsid w:val="7D275691"/>
    <w:rsid w:val="7D2D3F3E"/>
    <w:rsid w:val="7D311748"/>
    <w:rsid w:val="7D3532E1"/>
    <w:rsid w:val="7D360E79"/>
    <w:rsid w:val="7D372101"/>
    <w:rsid w:val="7D382AD7"/>
    <w:rsid w:val="7D42050F"/>
    <w:rsid w:val="7D4551F4"/>
    <w:rsid w:val="7D455CFB"/>
    <w:rsid w:val="7D52346D"/>
    <w:rsid w:val="7D541AAE"/>
    <w:rsid w:val="7D547DF1"/>
    <w:rsid w:val="7D567401"/>
    <w:rsid w:val="7D5A634C"/>
    <w:rsid w:val="7D5B0573"/>
    <w:rsid w:val="7D5B4A17"/>
    <w:rsid w:val="7D5E40CD"/>
    <w:rsid w:val="7D5F62B6"/>
    <w:rsid w:val="7D616C9F"/>
    <w:rsid w:val="7D617D11"/>
    <w:rsid w:val="7D63567A"/>
    <w:rsid w:val="7D6531A0"/>
    <w:rsid w:val="7D657644"/>
    <w:rsid w:val="7D6B2EAC"/>
    <w:rsid w:val="7D6E474B"/>
    <w:rsid w:val="7D7539AD"/>
    <w:rsid w:val="7D761851"/>
    <w:rsid w:val="7D7F0706"/>
    <w:rsid w:val="7D815E27"/>
    <w:rsid w:val="7D821FA4"/>
    <w:rsid w:val="7D843DC0"/>
    <w:rsid w:val="7D87580C"/>
    <w:rsid w:val="7D8A0E59"/>
    <w:rsid w:val="7D965A4F"/>
    <w:rsid w:val="7D97644D"/>
    <w:rsid w:val="7D985324"/>
    <w:rsid w:val="7D987C19"/>
    <w:rsid w:val="7D9F4904"/>
    <w:rsid w:val="7DA0242A"/>
    <w:rsid w:val="7DA05DFA"/>
    <w:rsid w:val="7DA104EE"/>
    <w:rsid w:val="7DA22646"/>
    <w:rsid w:val="7DA4016C"/>
    <w:rsid w:val="7DA97531"/>
    <w:rsid w:val="7DAA1DF6"/>
    <w:rsid w:val="7DAB14FB"/>
    <w:rsid w:val="7DAC7021"/>
    <w:rsid w:val="7DAE28C5"/>
    <w:rsid w:val="7DB008BF"/>
    <w:rsid w:val="7DB61C4E"/>
    <w:rsid w:val="7DB64AB7"/>
    <w:rsid w:val="7DB746B9"/>
    <w:rsid w:val="7DB859C6"/>
    <w:rsid w:val="7DC72735"/>
    <w:rsid w:val="7DCA4A14"/>
    <w:rsid w:val="7DCC4E86"/>
    <w:rsid w:val="7DCC7E3B"/>
    <w:rsid w:val="7DCD00E6"/>
    <w:rsid w:val="7DCD56F2"/>
    <w:rsid w:val="7DCE343B"/>
    <w:rsid w:val="7DCF7E3D"/>
    <w:rsid w:val="7DD21B80"/>
    <w:rsid w:val="7DD41A0F"/>
    <w:rsid w:val="7DD50893"/>
    <w:rsid w:val="7DD8185D"/>
    <w:rsid w:val="7DDA305A"/>
    <w:rsid w:val="7DE14F1D"/>
    <w:rsid w:val="7DE44A0D"/>
    <w:rsid w:val="7DE70059"/>
    <w:rsid w:val="7DE844FD"/>
    <w:rsid w:val="7DE92023"/>
    <w:rsid w:val="7DEB4B90"/>
    <w:rsid w:val="7DEF2DD8"/>
    <w:rsid w:val="7DF06F0E"/>
    <w:rsid w:val="7DF1156D"/>
    <w:rsid w:val="7DF764EE"/>
    <w:rsid w:val="7DFC1C6E"/>
    <w:rsid w:val="7DFD5ACF"/>
    <w:rsid w:val="7E0155BF"/>
    <w:rsid w:val="7E0415BF"/>
    <w:rsid w:val="7E052CF8"/>
    <w:rsid w:val="7E094473"/>
    <w:rsid w:val="7E0D112E"/>
    <w:rsid w:val="7E0E55E6"/>
    <w:rsid w:val="7E105802"/>
    <w:rsid w:val="7E112955"/>
    <w:rsid w:val="7E132BFC"/>
    <w:rsid w:val="7E162A33"/>
    <w:rsid w:val="7E18156E"/>
    <w:rsid w:val="7E1846B6"/>
    <w:rsid w:val="7E194CEF"/>
    <w:rsid w:val="7E1A41A3"/>
    <w:rsid w:val="7E1B08D1"/>
    <w:rsid w:val="7E1B53DE"/>
    <w:rsid w:val="7E1D1694"/>
    <w:rsid w:val="7E215319"/>
    <w:rsid w:val="7E235E07"/>
    <w:rsid w:val="7E260B81"/>
    <w:rsid w:val="7E260C32"/>
    <w:rsid w:val="7E282B4B"/>
    <w:rsid w:val="7E2B263C"/>
    <w:rsid w:val="7E2E230E"/>
    <w:rsid w:val="7E2E7A36"/>
    <w:rsid w:val="7E301257"/>
    <w:rsid w:val="7E310CBB"/>
    <w:rsid w:val="7E327526"/>
    <w:rsid w:val="7E3314F0"/>
    <w:rsid w:val="7E396311"/>
    <w:rsid w:val="7E3C2153"/>
    <w:rsid w:val="7E3E0A1E"/>
    <w:rsid w:val="7E3F0B91"/>
    <w:rsid w:val="7E4126EB"/>
    <w:rsid w:val="7E42004F"/>
    <w:rsid w:val="7E4D4360"/>
    <w:rsid w:val="7E5175E4"/>
    <w:rsid w:val="7E564B54"/>
    <w:rsid w:val="7E5E47BF"/>
    <w:rsid w:val="7E5E7184"/>
    <w:rsid w:val="7E611BB9"/>
    <w:rsid w:val="7E61605D"/>
    <w:rsid w:val="7E682F48"/>
    <w:rsid w:val="7E6873EC"/>
    <w:rsid w:val="7E6D630B"/>
    <w:rsid w:val="7E7458EF"/>
    <w:rsid w:val="7E795155"/>
    <w:rsid w:val="7E797560"/>
    <w:rsid w:val="7E7C2111"/>
    <w:rsid w:val="7E7E0DAC"/>
    <w:rsid w:val="7E7E6C0F"/>
    <w:rsid w:val="7E7F1319"/>
    <w:rsid w:val="7E81400A"/>
    <w:rsid w:val="7E855D33"/>
    <w:rsid w:val="7E8B30DA"/>
    <w:rsid w:val="7E8C10F9"/>
    <w:rsid w:val="7E8D6E52"/>
    <w:rsid w:val="7E9006F1"/>
    <w:rsid w:val="7E926217"/>
    <w:rsid w:val="7E927FC5"/>
    <w:rsid w:val="7E930A57"/>
    <w:rsid w:val="7E957AB5"/>
    <w:rsid w:val="7E971A7F"/>
    <w:rsid w:val="7E9A1075"/>
    <w:rsid w:val="7E9B3088"/>
    <w:rsid w:val="7E9E3C4A"/>
    <w:rsid w:val="7E9F26E2"/>
    <w:rsid w:val="7EA40BA3"/>
    <w:rsid w:val="7EA47CF8"/>
    <w:rsid w:val="7EA624E3"/>
    <w:rsid w:val="7EA62974"/>
    <w:rsid w:val="7EAD236E"/>
    <w:rsid w:val="7EAD3051"/>
    <w:rsid w:val="7EAE4381"/>
    <w:rsid w:val="7EB048EF"/>
    <w:rsid w:val="7EB4618D"/>
    <w:rsid w:val="7EBB2189"/>
    <w:rsid w:val="7EBB39C0"/>
    <w:rsid w:val="7EBC3294"/>
    <w:rsid w:val="7EBC7738"/>
    <w:rsid w:val="7EC319FB"/>
    <w:rsid w:val="7EC363D0"/>
    <w:rsid w:val="7EC3789B"/>
    <w:rsid w:val="7EC860DC"/>
    <w:rsid w:val="7ECA4FDF"/>
    <w:rsid w:val="7ECD2214"/>
    <w:rsid w:val="7ED317FE"/>
    <w:rsid w:val="7ED76320"/>
    <w:rsid w:val="7ED906DF"/>
    <w:rsid w:val="7ED93E46"/>
    <w:rsid w:val="7EDC3936"/>
    <w:rsid w:val="7EDD358D"/>
    <w:rsid w:val="7EDD51F2"/>
    <w:rsid w:val="7EE60311"/>
    <w:rsid w:val="7EEB4EE1"/>
    <w:rsid w:val="7EEF71C5"/>
    <w:rsid w:val="7EF0118F"/>
    <w:rsid w:val="7EF23159"/>
    <w:rsid w:val="7EF743D8"/>
    <w:rsid w:val="7EFA43CF"/>
    <w:rsid w:val="7EFC18E2"/>
    <w:rsid w:val="7EFC7B34"/>
    <w:rsid w:val="7F001CE7"/>
    <w:rsid w:val="7F01339C"/>
    <w:rsid w:val="7F016EF9"/>
    <w:rsid w:val="7F017163"/>
    <w:rsid w:val="7F0C421B"/>
    <w:rsid w:val="7F0D1E4F"/>
    <w:rsid w:val="7F0D7F93"/>
    <w:rsid w:val="7F10576C"/>
    <w:rsid w:val="7F1716D0"/>
    <w:rsid w:val="7F192494"/>
    <w:rsid w:val="7F1A5B2E"/>
    <w:rsid w:val="7F1A7F5F"/>
    <w:rsid w:val="7F1B3A14"/>
    <w:rsid w:val="7F201A75"/>
    <w:rsid w:val="7F211349"/>
    <w:rsid w:val="7F2350C1"/>
    <w:rsid w:val="7F264BB1"/>
    <w:rsid w:val="7F297F21"/>
    <w:rsid w:val="7F2F7F0A"/>
    <w:rsid w:val="7F305D33"/>
    <w:rsid w:val="7F3855CE"/>
    <w:rsid w:val="7F3E639F"/>
    <w:rsid w:val="7F3E7050"/>
    <w:rsid w:val="7F482D79"/>
    <w:rsid w:val="7F4C0ABC"/>
    <w:rsid w:val="7F4C286A"/>
    <w:rsid w:val="7F51351C"/>
    <w:rsid w:val="7F542987"/>
    <w:rsid w:val="7F547970"/>
    <w:rsid w:val="7F572FBC"/>
    <w:rsid w:val="7F596D35"/>
    <w:rsid w:val="7F5F2FD3"/>
    <w:rsid w:val="7F606FAC"/>
    <w:rsid w:val="7F6243A9"/>
    <w:rsid w:val="7F631C62"/>
    <w:rsid w:val="7F645E05"/>
    <w:rsid w:val="7F65089D"/>
    <w:rsid w:val="7F65392B"/>
    <w:rsid w:val="7F69394E"/>
    <w:rsid w:val="7F6B5FAF"/>
    <w:rsid w:val="7F6F7368"/>
    <w:rsid w:val="7F7303DB"/>
    <w:rsid w:val="7F7508B8"/>
    <w:rsid w:val="7F761695"/>
    <w:rsid w:val="7F792F33"/>
    <w:rsid w:val="7F7A2B6A"/>
    <w:rsid w:val="7F7E679B"/>
    <w:rsid w:val="7F814F8B"/>
    <w:rsid w:val="7F821A2C"/>
    <w:rsid w:val="7F853FCE"/>
    <w:rsid w:val="7F871AF4"/>
    <w:rsid w:val="7F875650"/>
    <w:rsid w:val="7F8F7E3F"/>
    <w:rsid w:val="7F902C16"/>
    <w:rsid w:val="7F914720"/>
    <w:rsid w:val="7F932247"/>
    <w:rsid w:val="7F9B73E9"/>
    <w:rsid w:val="7F9D4E73"/>
    <w:rsid w:val="7F9E0BEB"/>
    <w:rsid w:val="7FA2248A"/>
    <w:rsid w:val="7FA75CF2"/>
    <w:rsid w:val="7FA944A0"/>
    <w:rsid w:val="7FAC3308"/>
    <w:rsid w:val="7FAE7080"/>
    <w:rsid w:val="7FAF2ABB"/>
    <w:rsid w:val="7FB23265"/>
    <w:rsid w:val="7FB65F35"/>
    <w:rsid w:val="7FB777D7"/>
    <w:rsid w:val="7FB84381"/>
    <w:rsid w:val="7FBA7941"/>
    <w:rsid w:val="7FBB354B"/>
    <w:rsid w:val="7FBD72C3"/>
    <w:rsid w:val="7FC06DB4"/>
    <w:rsid w:val="7FC14C4B"/>
    <w:rsid w:val="7FC405AE"/>
    <w:rsid w:val="7FC9210C"/>
    <w:rsid w:val="7FCF5B96"/>
    <w:rsid w:val="7FD01FE6"/>
    <w:rsid w:val="7FD10FC1"/>
    <w:rsid w:val="7FD12D6F"/>
    <w:rsid w:val="7FD40C0F"/>
    <w:rsid w:val="7FD53611"/>
    <w:rsid w:val="7FDF723A"/>
    <w:rsid w:val="7FE0299E"/>
    <w:rsid w:val="7FE26D2A"/>
    <w:rsid w:val="7FE47E50"/>
    <w:rsid w:val="7FE86890"/>
    <w:rsid w:val="7FEA14B3"/>
    <w:rsid w:val="7FEE64B5"/>
    <w:rsid w:val="7FF0329E"/>
    <w:rsid w:val="7FF179B1"/>
    <w:rsid w:val="7FF27DF8"/>
    <w:rsid w:val="7FF554F9"/>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ocked="1"/>
    <w:lsdException w:qFormat="1" w:uiPriority="0" w:semiHidden="0" w:name="heading 2" w:locked="1"/>
    <w:lsdException w:qFormat="1" w:uiPriority="0" w:semiHidden="0" w:name="heading 3" w:locked="1"/>
    <w:lsdException w:qFormat="1" w:uiPriority="0" w:semiHidden="0" w:name="heading 4" w:locked="1"/>
    <w:lsdException w:qFormat="1" w:uiPriority="0" w:semiHidden="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nhideWhenUsed="0" w:uiPriority="0" w:semiHidden="0" w:name="index 1" w:locked="1"/>
    <w:lsdException w:unhideWhenUsed="0" w:uiPriority="0" w:semiHidden="0" w:name="index 2" w:locked="1"/>
    <w:lsdException w:unhideWhenUsed="0" w:uiPriority="0" w:semiHidden="0" w:name="index 3" w:locked="1"/>
    <w:lsdException w:unhideWhenUsed="0" w:uiPriority="0" w:semiHidden="0" w:name="index 4" w:locked="1"/>
    <w:lsdException w:unhideWhenUsed="0" w:uiPriority="0" w:semiHidden="0" w:name="index 5" w:locked="1"/>
    <w:lsdException w:unhideWhenUsed="0" w:uiPriority="0" w:semiHidden="0" w:name="index 6" w:locked="1"/>
    <w:lsdException w:unhideWhenUsed="0" w:uiPriority="0" w:semiHidden="0" w:name="index 7" w:locked="1"/>
    <w:lsdException w:unhideWhenUsed="0" w:uiPriority="0" w:semiHidden="0" w:name="index 8" w:locked="1"/>
    <w:lsdException w:qFormat="1" w:unhideWhenUsed="0" w:uiPriority="99" w:name="index 9" w:locked="1"/>
    <w:lsdException w:unhideWhenUsed="0" w:uiPriority="0" w:semiHidden="0" w:name="toc 1" w:locked="1"/>
    <w:lsdException w:qFormat="1" w:unhideWhenUsed="0" w:uiPriority="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qFormat="1" w:unhideWhenUsed="0" w:uiPriority="0" w:semiHidden="0" w:name="Normal Indent" w:locked="1"/>
    <w:lsdException w:unhideWhenUsed="0" w:uiPriority="0" w:semiHidden="0" w:name="footnote text" w:locked="1"/>
    <w:lsdException w:qFormat="1" w:unhideWhenUsed="0" w:uiPriority="0" w:name="annotation text"/>
    <w:lsdException w:qFormat="1" w:unhideWhenUsed="0" w:uiPriority="0" w:semiHidden="0" w:name="header"/>
    <w:lsdException w:qFormat="1" w:unhideWhenUsed="0" w:uiPriority="99" w:semiHidden="0" w:name="footer"/>
    <w:lsdException w:unhideWhenUsed="0" w:uiPriority="0" w:semiHidden="0" w:name="index heading" w:locked="1"/>
    <w:lsdException w:qFormat="1" w:uiPriority="0" w:name="caption" w:locked="1"/>
    <w:lsdException w:unhideWhenUsed="0" w:uiPriority="0" w:semiHidden="0" w:name="table of figures" w:locked="1"/>
    <w:lsdException w:unhideWhenUsed="0" w:uiPriority="0" w:semiHidden="0" w:name="envelope address" w:locked="1"/>
    <w:lsdException w:unhideWhenUsed="0" w:uiPriority="0" w:semiHidden="0" w:name="envelope return" w:locked="1"/>
    <w:lsdException w:unhideWhenUsed="0" w:uiPriority="0" w:semiHidden="0" w:name="footnote reference" w:locked="1"/>
    <w:lsdException w:qFormat="1" w:unhideWhenUsed="0" w:uiPriority="0" w:name="annotation reference"/>
    <w:lsdException w:unhideWhenUsed="0" w:uiPriority="0" w:semiHidden="0" w:name="line number" w:locked="1"/>
    <w:lsdException w:qFormat="1" w:unhideWhenUsed="0" w:uiPriority="0" w:semiHidden="0" w:name="page number" w:locked="1"/>
    <w:lsdException w:unhideWhenUsed="0" w:uiPriority="0" w:semiHidden="0" w:name="endnote reference" w:locked="1"/>
    <w:lsdException w:unhideWhenUsed="0" w:uiPriority="0" w:semiHidden="0" w:name="endnote text" w:locked="1"/>
    <w:lsdException w:unhideWhenUsed="0" w:uiPriority="0" w:semiHidden="0" w:name="table of authorities" w:locked="1"/>
    <w:lsdException w:unhideWhenUsed="0" w:uiPriority="0" w:semiHidden="0" w:name="macro" w:locked="1"/>
    <w:lsdException w:qFormat="1" w:unhideWhenUsed="0" w:uiPriority="0" w:semiHidden="0" w:name="toa heading" w:locked="1"/>
    <w:lsdException w:qFormat="1" w:unhideWhenUsed="0" w:uiPriority="0" w:semiHidden="0" w:name="List" w:locked="1"/>
    <w:lsdException w:unhideWhenUsed="0" w:uiPriority="0" w:semiHidden="0" w:name="List Bullet" w:locked="1"/>
    <w:lsdException w:unhideWhenUsed="0" w:uiPriority="0" w:semiHidden="0" w:name="List Number" w:locked="1"/>
    <w:lsdException w:unhideWhenUsed="0" w:uiPriority="0" w:semiHidden="0" w:name="List 2" w:locked="1"/>
    <w:lsdException w:unhideWhenUsed="0" w:uiPriority="0" w:semiHidden="0" w:name="List 3" w:locked="1"/>
    <w:lsdException w:unhideWhenUsed="0" w:uiPriority="0" w:semiHidden="0" w:name="List 4" w:locked="1"/>
    <w:lsdException w:unhideWhenUsed="0" w:uiPriority="0" w:semiHidden="0" w:name="List 5" w:locked="1"/>
    <w:lsdException w:unhideWhenUsed="0" w:uiPriority="0" w:semiHidden="0" w:name="List Bullet 2" w:locked="1"/>
    <w:lsdException w:unhideWhenUsed="0" w:uiPriority="0" w:semiHidden="0" w:name="List Bullet 3" w:locked="1"/>
    <w:lsdException w:unhideWhenUsed="0" w:uiPriority="0" w:semiHidden="0" w:name="List Bullet 4" w:locked="1"/>
    <w:lsdException w:unhideWhenUsed="0" w:uiPriority="0" w:semiHidden="0" w:name="List Bullet 5" w:locked="1"/>
    <w:lsdException w:unhideWhenUsed="0" w:uiPriority="0" w:semiHidden="0" w:name="List Number 2" w:locked="1"/>
    <w:lsdException w:unhideWhenUsed="0" w:uiPriority="0" w:semiHidden="0" w:name="List Number 3" w:locked="1"/>
    <w:lsdException w:unhideWhenUsed="0" w:uiPriority="0" w:semiHidden="0" w:name="List Number 4" w:locked="1"/>
    <w:lsdException w:unhideWhenUsed="0" w:uiPriority="0" w:semiHidden="0" w:name="List Number 5" w:locked="1"/>
    <w:lsdException w:qFormat="1" w:unhideWhenUsed="0" w:uiPriority="0" w:semiHidden="0" w:name="Title" w:locked="1"/>
    <w:lsdException w:unhideWhenUsed="0" w:uiPriority="0" w:semiHidden="0" w:name="Closing" w:locked="1"/>
    <w:lsdException w:unhideWhenUsed="0" w:uiPriority="0" w:semiHidden="0" w:name="Signature" w:locked="1"/>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ocked="1"/>
    <w:lsdException w:unhideWhenUsed="0" w:uiPriority="0" w:semiHidden="0" w:name="List Continue 2" w:locked="1"/>
    <w:lsdException w:unhideWhenUsed="0" w:uiPriority="0" w:semiHidden="0" w:name="List Continue 3" w:locked="1"/>
    <w:lsdException w:unhideWhenUsed="0" w:uiPriority="0" w:semiHidden="0" w:name="List Continue 4" w:locked="1"/>
    <w:lsdException w:unhideWhenUsed="0" w:uiPriority="0" w:semiHidden="0" w:name="List Continue 5" w:locked="1"/>
    <w:lsdException w:unhideWhenUsed="0" w:uiPriority="0" w:semiHidden="0" w:name="Message Header" w:locked="1"/>
    <w:lsdException w:qFormat="1" w:unhideWhenUsed="0" w:uiPriority="0" w:semiHidden="0" w:name="Subtitle" w:locked="1"/>
    <w:lsdException w:unhideWhenUsed="0" w:uiPriority="0" w:semiHidden="0" w:name="Salutation" w:locked="1"/>
    <w:lsdException w:qFormat="1" w:unhideWhenUsed="0" w:uiPriority="0" w:semiHidden="0" w:name="Date"/>
    <w:lsdException w:qFormat="1" w:unhideWhenUsed="0" w:uiPriority="0" w:semiHidden="0" w:name="Body Text First Indent" w:locked="1"/>
    <w:lsdException w:qFormat="1" w:unhideWhenUsed="0" w:uiPriority="0" w:semiHidden="0" w:name="Body Text First Indent 2" w:locked="1"/>
    <w:lsdException w:unhideWhenUsed="0" w:uiPriority="0" w:semiHidden="0" w:name="Note Heading" w:locked="1"/>
    <w:lsdException w:qFormat="1" w:unhideWhenUsed="0" w:uiPriority="0" w:semiHidden="0" w:name="Body Text 2" w:locked="1"/>
    <w:lsdException w:unhideWhenUsed="0" w:uiPriority="0" w:semiHidden="0" w:name="Body Text 3" w:locked="1"/>
    <w:lsdException w:qFormat="1" w:unhideWhenUsed="0" w:uiPriority="0" w:semiHidden="0" w:name="Body Text Indent 2" w:locked="1"/>
    <w:lsdException w:unhideWhenUsed="0" w:uiPriority="0" w:semiHidden="0" w:name="Body Text Indent 3" w:locked="1"/>
    <w:lsdException w:unhideWhenUsed="0" w:uiPriority="0" w:semiHidden="0" w:name="Block Text" w:locked="1"/>
    <w:lsdException w:qFormat="1" w:uiPriority="99" w:semiHidden="0" w:name="Hyperlink" w:locked="1"/>
    <w:lsdException w:unhideWhenUsed="0" w:uiPriority="0" w:semiHidden="0" w:name="FollowedHyperlink" w:locked="1"/>
    <w:lsdException w:qFormat="1" w:unhideWhenUsed="0" w:uiPriority="0" w:semiHidden="0" w:name="Strong" w:locked="1"/>
    <w:lsdException w:qFormat="1" w:unhideWhenUsed="0" w:uiPriority="0" w:semiHidden="0" w:name="Emphasis" w:locked="1"/>
    <w:lsdException w:unhideWhenUsed="0" w:uiPriority="0" w:semiHidden="0" w:name="Document Map" w:locked="1"/>
    <w:lsdException w:qFormat="1" w:unhideWhenUsed="0" w:uiPriority="0" w:semiHidden="0" w:name="Plain Text" w:locked="1"/>
    <w:lsdException w:unhideWhenUsed="0" w:uiPriority="0" w:semiHidden="0" w:name="E-mail Signature" w:locked="1"/>
    <w:lsdException w:qFormat="1" w:unhideWhenUsed="0" w:uiPriority="0" w:semiHidden="0" w:name="Normal (Web)"/>
    <w:lsdException w:unhideWhenUsed="0" w:uiPriority="0" w:semiHidden="0" w:name="HTML Acronym" w:locked="1"/>
    <w:lsdException w:unhideWhenUsed="0" w:uiPriority="0" w:semiHidden="0" w:name="HTML Address" w:locked="1"/>
    <w:lsdException w:unhideWhenUsed="0" w:uiPriority="0" w:semiHidden="0" w:name="HTML Cite" w:locked="1"/>
    <w:lsdException w:unhideWhenUsed="0" w:uiPriority="0" w:semiHidden="0" w:name="HTML Code" w:locked="1"/>
    <w:lsdException w:unhideWhenUsed="0" w:uiPriority="0" w:semiHidden="0" w:name="HTML Definition" w:locked="1"/>
    <w:lsdException w:unhideWhenUsed="0" w:uiPriority="0" w:semiHidden="0" w:name="HTML Keyboard" w:locked="1"/>
    <w:lsdException w:unhideWhenUsed="0" w:uiPriority="0" w:semiHidden="0" w:name="HTML Preformatted" w:locked="1"/>
    <w:lsdException w:unhideWhenUsed="0" w:uiPriority="0" w:semiHidden="0" w:name="HTML Sample" w:locked="1"/>
    <w:lsdException w:unhideWhenUsed="0" w:uiPriority="0" w:semiHidden="0" w:name="HTML Typewriter" w:locked="1"/>
    <w:lsdException w:unhideWhenUsed="0" w:uiPriority="0" w:semiHidden="0" w:name="HTML Variable" w:locked="1"/>
    <w:lsdException w:qFormat="1" w:unhideWhenUsed="0" w:uiPriority="0" w:name="Normal Table"/>
    <w:lsdException w:qFormat="1" w:unhideWhenUsed="0" w:uiPriority="0" w:name="annotation subject"/>
    <w:lsdException w:unhideWhenUsed="0" w:uiPriority="0" w:semiHidden="0" w:name="Table Simple 1" w:locked="1"/>
    <w:lsdException w:unhideWhenUsed="0" w:uiPriority="0" w:semiHidden="0" w:name="Table Simple 2" w:locked="1"/>
    <w:lsdException w:unhideWhenUsed="0" w:uiPriority="0" w:semiHidden="0" w:name="Table Simple 3" w:locked="1"/>
    <w:lsdException w:unhideWhenUsed="0" w:uiPriority="0" w:semiHidden="0" w:name="Table Classic 1" w:locked="1"/>
    <w:lsdException w:unhideWhenUsed="0" w:uiPriority="0" w:semiHidden="0" w:name="Table Classic 2" w:locked="1"/>
    <w:lsdException w:unhideWhenUsed="0" w:uiPriority="0" w:semiHidden="0" w:name="Table Classic 3" w:locked="1"/>
    <w:lsdException w:unhideWhenUsed="0" w:uiPriority="0" w:semiHidden="0" w:name="Table Classic 4" w:locked="1"/>
    <w:lsdException w:unhideWhenUsed="0" w:uiPriority="0" w:semiHidden="0" w:name="Table Colorful 1" w:locked="1"/>
    <w:lsdException w:unhideWhenUsed="0" w:uiPriority="0" w:semiHidden="0" w:name="Table Colorful 2" w:locked="1"/>
    <w:lsdException w:unhideWhenUsed="0" w:uiPriority="0" w:semiHidden="0" w:name="Table Colorful 3" w:locked="1"/>
    <w:lsdException w:unhideWhenUsed="0" w:uiPriority="0" w:semiHidden="0" w:name="Table Columns 1" w:locked="1"/>
    <w:lsdException w:unhideWhenUsed="0" w:uiPriority="0" w:semiHidden="0" w:name="Table Columns 2" w:locked="1"/>
    <w:lsdException w:unhideWhenUsed="0" w:uiPriority="0" w:semiHidden="0" w:name="Table Columns 3" w:locked="1"/>
    <w:lsdException w:unhideWhenUsed="0" w:uiPriority="0" w:semiHidden="0" w:name="Table Columns 4" w:locked="1"/>
    <w:lsdException w:unhideWhenUsed="0" w:uiPriority="0" w:semiHidden="0" w:name="Table Columns 5" w:locked="1"/>
    <w:lsdException w:unhideWhenUsed="0" w:uiPriority="0" w:semiHidden="0" w:name="Table Grid 1" w:locked="1"/>
    <w:lsdException w:unhideWhenUsed="0" w:uiPriority="0" w:semiHidden="0" w:name="Table Grid 2" w:locked="1"/>
    <w:lsdException w:unhideWhenUsed="0" w:uiPriority="0" w:semiHidden="0" w:name="Table Grid 3" w:locked="1"/>
    <w:lsdException w:unhideWhenUsed="0" w:uiPriority="0" w:semiHidden="0" w:name="Table Grid 4" w:locked="1"/>
    <w:lsdException w:unhideWhenUsed="0" w:uiPriority="0" w:semiHidden="0" w:name="Table Grid 5" w:locked="1"/>
    <w:lsdException w:unhideWhenUsed="0" w:uiPriority="0" w:semiHidden="0" w:name="Table Grid 6" w:locked="1"/>
    <w:lsdException w:unhideWhenUsed="0" w:uiPriority="0" w:semiHidden="0" w:name="Table Grid 7" w:locked="1"/>
    <w:lsdException w:unhideWhenUsed="0" w:uiPriority="0" w:semiHidden="0" w:name="Table Grid 8" w:locked="1"/>
    <w:lsdException w:unhideWhenUsed="0" w:uiPriority="0" w:semiHidden="0" w:name="Table List 1" w:locked="1"/>
    <w:lsdException w:unhideWhenUsed="0" w:uiPriority="0" w:semiHidden="0" w:name="Table List 2" w:locked="1"/>
    <w:lsdException w:unhideWhenUsed="0" w:uiPriority="0" w:semiHidden="0" w:name="Table List 3" w:locked="1"/>
    <w:lsdException w:unhideWhenUsed="0" w:uiPriority="0" w:semiHidden="0" w:name="Table List 4" w:locked="1"/>
    <w:lsdException w:unhideWhenUsed="0" w:uiPriority="0" w:semiHidden="0" w:name="Table List 5" w:locked="1"/>
    <w:lsdException w:unhideWhenUsed="0" w:uiPriority="0" w:semiHidden="0" w:name="Table List 6" w:locked="1"/>
    <w:lsdException w:unhideWhenUsed="0" w:uiPriority="0" w:semiHidden="0" w:name="Table List 7" w:locked="1"/>
    <w:lsdException w:unhideWhenUsed="0" w:uiPriority="0" w:semiHidden="0" w:name="Table List 8" w:locked="1"/>
    <w:lsdException w:unhideWhenUsed="0" w:uiPriority="0" w:semiHidden="0" w:name="Table 3D effects 1" w:locked="1"/>
    <w:lsdException w:unhideWhenUsed="0" w:uiPriority="0" w:semiHidden="0" w:name="Table 3D effects 2" w:locked="1"/>
    <w:lsdException w:unhideWhenUsed="0" w:uiPriority="0" w:semiHidden="0" w:name="Table 3D effects 3" w:locked="1"/>
    <w:lsdException w:unhideWhenUsed="0" w:uiPriority="0" w:semiHidden="0" w:name="Table Contemporary" w:locked="1"/>
    <w:lsdException w:unhideWhenUsed="0" w:uiPriority="0" w:semiHidden="0" w:name="Table Elegant" w:locked="1"/>
    <w:lsdException w:unhideWhenUsed="0" w:uiPriority="0" w:semiHidden="0" w:name="Table Professional" w:locked="1"/>
    <w:lsdException w:unhideWhenUsed="0" w:uiPriority="0" w:semiHidden="0" w:name="Table Subtle 1" w:locked="1"/>
    <w:lsdException w:unhideWhenUsed="0" w:uiPriority="0" w:semiHidden="0" w:name="Table Subtle 2" w:locked="1"/>
    <w:lsdException w:unhideWhenUsed="0" w:uiPriority="0" w:semiHidden="0" w:name="Table Web 1" w:locked="1"/>
    <w:lsdException w:unhideWhenUsed="0" w:uiPriority="0" w:semiHidden="0" w:name="Table Web 2" w:locked="1"/>
    <w:lsdException w:unhideWhenUsed="0" w:uiPriority="0" w:semiHidden="0" w:name="Table Web 3" w:locked="1"/>
    <w:lsdException w:qFormat="1" w:unhideWhenUsed="0" w:uiPriority="0" w:name="Balloon Text"/>
    <w:lsdException w:qFormat="1" w:unhideWhenUsed="0" w:uiPriority="0" w:semiHidden="0" w:name="Table Grid"/>
    <w:lsdException w:unhideWhenUsed="0" w:uiPriority="0" w:semiHidden="0"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jc w:val="left"/>
    </w:pPr>
    <w:rPr>
      <w:rFonts w:ascii="Times New Roman" w:hAnsi="Times New Roman" w:eastAsia="宋体" w:cs="Times New Roman"/>
      <w:kern w:val="2"/>
      <w:sz w:val="24"/>
      <w:szCs w:val="24"/>
      <w:lang w:val="en-US" w:eastAsia="zh-CN" w:bidi="ar-SA"/>
    </w:rPr>
  </w:style>
  <w:style w:type="paragraph" w:styleId="10">
    <w:name w:val="heading 1"/>
    <w:basedOn w:val="1"/>
    <w:next w:val="1"/>
    <w:link w:val="62"/>
    <w:qFormat/>
    <w:locked/>
    <w:uiPriority w:val="99"/>
    <w:pPr>
      <w:keepNext/>
      <w:overflowPunct w:val="0"/>
      <w:snapToGrid w:val="0"/>
      <w:spacing w:line="360" w:lineRule="auto"/>
      <w:ind w:left="0" w:firstLine="0"/>
      <w:jc w:val="left"/>
      <w:outlineLvl w:val="0"/>
    </w:pPr>
    <w:rPr>
      <w:rFonts w:ascii="Times New Roman" w:hAnsi="Times New Roman" w:eastAsia="宋体"/>
      <w:b/>
      <w:bCs/>
      <w:color w:val="000000"/>
      <w:kern w:val="44"/>
      <w:sz w:val="28"/>
      <w:szCs w:val="30"/>
    </w:rPr>
  </w:style>
  <w:style w:type="paragraph" w:styleId="11">
    <w:name w:val="heading 2"/>
    <w:basedOn w:val="1"/>
    <w:next w:val="12"/>
    <w:link w:val="91"/>
    <w:unhideWhenUsed/>
    <w:qFormat/>
    <w:locked/>
    <w:uiPriority w:val="0"/>
    <w:pPr>
      <w:keepNext/>
      <w:keepLines/>
      <w:spacing w:beforeLines="0" w:beforeAutospacing="0" w:afterLines="0" w:afterAutospacing="0" w:line="360" w:lineRule="auto"/>
      <w:jc w:val="left"/>
      <w:outlineLvl w:val="1"/>
    </w:pPr>
    <w:rPr>
      <w:rFonts w:ascii="Times New Roman" w:hAnsi="Times New Roman" w:eastAsia="宋体"/>
      <w:b/>
      <w:szCs w:val="21"/>
    </w:rPr>
  </w:style>
  <w:style w:type="paragraph" w:styleId="14">
    <w:name w:val="heading 3"/>
    <w:basedOn w:val="1"/>
    <w:next w:val="1"/>
    <w:unhideWhenUsed/>
    <w:qFormat/>
    <w:locked/>
    <w:uiPriority w:val="0"/>
    <w:pPr>
      <w:keepNext/>
      <w:keepLines/>
      <w:spacing w:beforeLines="0" w:beforeAutospacing="0" w:afterLines="0" w:afterAutospacing="0" w:line="360" w:lineRule="auto"/>
      <w:ind w:firstLine="0" w:firstLineChars="0"/>
      <w:outlineLvl w:val="2"/>
    </w:pPr>
    <w:rPr>
      <w:rFonts w:ascii="Times New Roman" w:hAnsi="Times New Roman" w:eastAsia="宋体"/>
    </w:rPr>
  </w:style>
  <w:style w:type="paragraph" w:styleId="9">
    <w:name w:val="heading 4"/>
    <w:basedOn w:val="1"/>
    <w:next w:val="1"/>
    <w:unhideWhenUsed/>
    <w:qFormat/>
    <w:locked/>
    <w:uiPriority w:val="0"/>
    <w:pPr>
      <w:keepNext/>
      <w:keepLines/>
      <w:spacing w:beforeLines="0" w:beforeAutospacing="0" w:afterLines="0" w:afterAutospacing="0" w:line="360" w:lineRule="auto"/>
      <w:jc w:val="left"/>
      <w:outlineLvl w:val="3"/>
    </w:pPr>
    <w:rPr>
      <w:rFonts w:eastAsia="宋体"/>
      <w:b/>
      <w:sz w:val="24"/>
      <w:szCs w:val="21"/>
    </w:rPr>
  </w:style>
  <w:style w:type="paragraph" w:styleId="15">
    <w:name w:val="heading 5"/>
    <w:basedOn w:val="1"/>
    <w:next w:val="1"/>
    <w:unhideWhenUsed/>
    <w:qFormat/>
    <w:locked/>
    <w:uiPriority w:val="0"/>
    <w:pPr>
      <w:snapToGrid w:val="0"/>
      <w:spacing w:beforeAutospacing="0" w:afterAutospacing="0"/>
      <w:ind w:firstLine="0" w:firstLineChars="0"/>
      <w:jc w:val="left"/>
      <w:outlineLvl w:val="4"/>
    </w:pPr>
    <w:rPr>
      <w:rFonts w:hint="eastAsia" w:eastAsia="宋体"/>
      <w:sz w:val="24"/>
      <w:szCs w:val="21"/>
    </w:rPr>
  </w:style>
  <w:style w:type="character" w:default="1" w:styleId="34">
    <w:name w:val="Default Paragraph Font"/>
    <w:semiHidden/>
    <w:qFormat/>
    <w:uiPriority w:val="0"/>
  </w:style>
  <w:style w:type="table" w:default="1" w:styleId="32">
    <w:name w:val="Normal Table"/>
    <w:semiHidden/>
    <w:qFormat/>
    <w:uiPriority w:val="0"/>
    <w:tblPr>
      <w:tblCellMar>
        <w:top w:w="0" w:type="dxa"/>
        <w:left w:w="108" w:type="dxa"/>
        <w:bottom w:w="0" w:type="dxa"/>
        <w:right w:w="108" w:type="dxa"/>
      </w:tblCellMar>
    </w:tblPr>
  </w:style>
  <w:style w:type="paragraph" w:styleId="2">
    <w:name w:val="Body Text First Indent 2"/>
    <w:basedOn w:val="3"/>
    <w:next w:val="6"/>
    <w:qFormat/>
    <w:locked/>
    <w:uiPriority w:val="0"/>
    <w:pPr>
      <w:ind w:firstLine="420" w:firstLineChars="200"/>
    </w:pPr>
  </w:style>
  <w:style w:type="paragraph" w:styleId="3">
    <w:name w:val="Body Text Indent"/>
    <w:basedOn w:val="1"/>
    <w:next w:val="4"/>
    <w:link w:val="66"/>
    <w:qFormat/>
    <w:uiPriority w:val="0"/>
    <w:pPr>
      <w:spacing w:after="120"/>
      <w:ind w:left="420" w:leftChars="200"/>
    </w:pPr>
    <w:rPr>
      <w:kern w:val="0"/>
      <w:sz w:val="24"/>
      <w:szCs w:val="20"/>
    </w:rPr>
  </w:style>
  <w:style w:type="paragraph" w:styleId="4">
    <w:name w:val="Body Text Indent 2"/>
    <w:basedOn w:val="1"/>
    <w:next w:val="5"/>
    <w:qFormat/>
    <w:locked/>
    <w:uiPriority w:val="0"/>
    <w:pPr>
      <w:spacing w:after="120" w:line="480" w:lineRule="auto"/>
      <w:ind w:left="420" w:leftChars="200"/>
    </w:pPr>
  </w:style>
  <w:style w:type="paragraph" w:styleId="5">
    <w:name w:val="toa heading"/>
    <w:basedOn w:val="1"/>
    <w:next w:val="1"/>
    <w:qFormat/>
    <w:locked/>
    <w:uiPriority w:val="0"/>
    <w:pPr>
      <w:spacing w:before="120" w:after="120" w:line="360" w:lineRule="auto"/>
      <w:ind w:firstLine="200" w:firstLineChars="200"/>
      <w:jc w:val="left"/>
    </w:pPr>
    <w:rPr>
      <w:sz w:val="24"/>
      <w:u w:val="single"/>
    </w:rPr>
  </w:style>
  <w:style w:type="paragraph" w:styleId="6">
    <w:name w:val="Body Text First Indent"/>
    <w:basedOn w:val="7"/>
    <w:next w:val="9"/>
    <w:qFormat/>
    <w:locked/>
    <w:uiPriority w:val="0"/>
    <w:pPr>
      <w:spacing w:after="120"/>
      <w:ind w:firstLine="420" w:firstLineChars="100"/>
    </w:pPr>
    <w:rPr>
      <w:sz w:val="21"/>
      <w:szCs w:val="24"/>
    </w:rPr>
  </w:style>
  <w:style w:type="paragraph" w:styleId="7">
    <w:name w:val="Body Text"/>
    <w:basedOn w:val="1"/>
    <w:next w:val="8"/>
    <w:link w:val="64"/>
    <w:qFormat/>
    <w:uiPriority w:val="0"/>
    <w:pPr>
      <w:widowControl/>
      <w:snapToGrid w:val="0"/>
      <w:spacing w:before="60" w:after="160" w:line="259" w:lineRule="auto"/>
      <w:ind w:right="113"/>
    </w:pPr>
    <w:rPr>
      <w:kern w:val="0"/>
      <w:sz w:val="18"/>
      <w:szCs w:val="20"/>
    </w:rPr>
  </w:style>
  <w:style w:type="paragraph" w:customStyle="1" w:styleId="8">
    <w:name w:val="默认段落"/>
    <w:basedOn w:val="1"/>
    <w:qFormat/>
    <w:uiPriority w:val="0"/>
    <w:pPr>
      <w:topLinePunct w:val="0"/>
    </w:pPr>
  </w:style>
  <w:style w:type="paragraph" w:styleId="12">
    <w:name w:val="Normal Indent"/>
    <w:basedOn w:val="1"/>
    <w:next w:val="13"/>
    <w:qFormat/>
    <w:locked/>
    <w:uiPriority w:val="0"/>
    <w:pPr>
      <w:ind w:firstLine="420"/>
    </w:pPr>
  </w:style>
  <w:style w:type="paragraph" w:customStyle="1" w:styleId="13">
    <w:name w:val="样式 正文文本 + 首行缩进:  2 字符"/>
    <w:basedOn w:val="7"/>
    <w:qFormat/>
    <w:uiPriority w:val="99"/>
    <w:pPr>
      <w:spacing w:after="200" w:line="480" w:lineRule="exact"/>
      <w:ind w:firstLine="480" w:firstLineChars="200"/>
    </w:pPr>
    <w:rPr>
      <w:rFonts w:ascii="宋体" w:hAnsi="宋体"/>
      <w:sz w:val="24"/>
    </w:rPr>
  </w:style>
  <w:style w:type="paragraph" w:styleId="16">
    <w:name w:val="annotation text"/>
    <w:basedOn w:val="1"/>
    <w:link w:val="65"/>
    <w:semiHidden/>
    <w:qFormat/>
    <w:uiPriority w:val="0"/>
    <w:pPr>
      <w:jc w:val="left"/>
    </w:pPr>
    <w:rPr>
      <w:kern w:val="0"/>
      <w:sz w:val="24"/>
      <w:szCs w:val="20"/>
    </w:rPr>
  </w:style>
  <w:style w:type="paragraph" w:styleId="17">
    <w:name w:val="Plain Text"/>
    <w:basedOn w:val="1"/>
    <w:next w:val="18"/>
    <w:qFormat/>
    <w:locked/>
    <w:uiPriority w:val="0"/>
    <w:pPr>
      <w:adjustRightInd w:val="0"/>
      <w:spacing w:line="312" w:lineRule="atLeast"/>
      <w:textAlignment w:val="baseline"/>
    </w:pPr>
    <w:rPr>
      <w:rFonts w:ascii="宋体" w:hAnsi="Courier New"/>
      <w:kern w:val="0"/>
      <w:szCs w:val="20"/>
    </w:rPr>
  </w:style>
  <w:style w:type="paragraph" w:customStyle="1" w:styleId="18">
    <w:name w:val="表内文字"/>
    <w:basedOn w:val="1"/>
    <w:next w:val="19"/>
    <w:qFormat/>
    <w:uiPriority w:val="0"/>
    <w:pPr>
      <w:suppressAutoHyphens/>
      <w:wordWrap w:val="0"/>
      <w:spacing w:line="360" w:lineRule="atLeast"/>
      <w:jc w:val="center"/>
    </w:pPr>
    <w:rPr>
      <w:rFonts w:ascii="Calibri" w:hAnsi="Calibri"/>
      <w:spacing w:val="18"/>
      <w:kern w:val="0"/>
      <w:sz w:val="32"/>
      <w:szCs w:val="20"/>
    </w:rPr>
  </w:style>
  <w:style w:type="paragraph" w:customStyle="1" w:styleId="19">
    <w:name w:val="+正文"/>
    <w:basedOn w:val="1"/>
    <w:qFormat/>
    <w:uiPriority w:val="0"/>
    <w:pPr>
      <w:spacing w:line="360" w:lineRule="auto"/>
      <w:ind w:firstLine="560" w:firstLineChars="200"/>
      <w:outlineLvl w:val="0"/>
    </w:pPr>
    <w:rPr>
      <w:rFonts w:ascii="宋体"/>
      <w:sz w:val="28"/>
      <w:szCs w:val="28"/>
    </w:rPr>
  </w:style>
  <w:style w:type="paragraph" w:styleId="20">
    <w:name w:val="Date"/>
    <w:basedOn w:val="1"/>
    <w:next w:val="1"/>
    <w:link w:val="68"/>
    <w:qFormat/>
    <w:uiPriority w:val="0"/>
    <w:pPr>
      <w:ind w:left="100" w:leftChars="2500"/>
    </w:pPr>
    <w:rPr>
      <w:kern w:val="0"/>
      <w:sz w:val="24"/>
      <w:szCs w:val="20"/>
    </w:rPr>
  </w:style>
  <w:style w:type="paragraph" w:styleId="21">
    <w:name w:val="Balloon Text"/>
    <w:basedOn w:val="1"/>
    <w:link w:val="69"/>
    <w:semiHidden/>
    <w:qFormat/>
    <w:uiPriority w:val="0"/>
    <w:rPr>
      <w:kern w:val="0"/>
      <w:sz w:val="18"/>
      <w:szCs w:val="20"/>
    </w:rPr>
  </w:style>
  <w:style w:type="paragraph" w:styleId="22">
    <w:name w:val="footer"/>
    <w:basedOn w:val="1"/>
    <w:link w:val="70"/>
    <w:qFormat/>
    <w:uiPriority w:val="99"/>
    <w:pPr>
      <w:tabs>
        <w:tab w:val="center" w:pos="4153"/>
        <w:tab w:val="right" w:pos="8306"/>
      </w:tabs>
      <w:snapToGrid w:val="0"/>
      <w:jc w:val="left"/>
    </w:pPr>
    <w:rPr>
      <w:kern w:val="0"/>
      <w:sz w:val="18"/>
      <w:szCs w:val="20"/>
    </w:rPr>
  </w:style>
  <w:style w:type="paragraph" w:styleId="23">
    <w:name w:val="header"/>
    <w:basedOn w:val="1"/>
    <w:next w:val="24"/>
    <w:link w:val="67"/>
    <w:qFormat/>
    <w:uiPriority w:val="0"/>
    <w:pPr>
      <w:pBdr>
        <w:bottom w:val="single" w:color="auto" w:sz="6" w:space="1"/>
      </w:pBdr>
      <w:tabs>
        <w:tab w:val="center" w:pos="4153"/>
        <w:tab w:val="right" w:pos="8306"/>
      </w:tabs>
      <w:snapToGrid w:val="0"/>
      <w:jc w:val="center"/>
    </w:pPr>
    <w:rPr>
      <w:kern w:val="0"/>
      <w:sz w:val="18"/>
      <w:szCs w:val="20"/>
    </w:rPr>
  </w:style>
  <w:style w:type="paragraph" w:customStyle="1" w:styleId="24">
    <w:name w:val="样式5"/>
    <w:basedOn w:val="25"/>
    <w:qFormat/>
    <w:uiPriority w:val="0"/>
    <w:pPr>
      <w:spacing w:line="580" w:lineRule="exact"/>
      <w:ind w:firstLine="720" w:firstLineChars="300"/>
    </w:pPr>
    <w:rPr>
      <w:rFonts w:ascii="黑体" w:eastAsia="黑体"/>
      <w:kern w:val="2"/>
    </w:rPr>
  </w:style>
  <w:style w:type="paragraph" w:customStyle="1" w:styleId="25">
    <w:name w:val="正文1"/>
    <w:basedOn w:val="1"/>
    <w:next w:val="1"/>
    <w:qFormat/>
    <w:uiPriority w:val="0"/>
    <w:pPr>
      <w:textAlignment w:val="top"/>
    </w:pPr>
    <w:rPr>
      <w:rFonts w:ascii="Times New Roman"/>
      <w:kern w:val="0"/>
      <w:sz w:val="24"/>
    </w:rPr>
  </w:style>
  <w:style w:type="paragraph" w:styleId="26">
    <w:name w:val="List"/>
    <w:basedOn w:val="1"/>
    <w:qFormat/>
    <w:locked/>
    <w:uiPriority w:val="0"/>
    <w:pPr>
      <w:ind w:left="200" w:hanging="200" w:hangingChars="200"/>
    </w:pPr>
  </w:style>
  <w:style w:type="paragraph" w:styleId="27">
    <w:name w:val="index 9"/>
    <w:basedOn w:val="1"/>
    <w:next w:val="1"/>
    <w:semiHidden/>
    <w:qFormat/>
    <w:locked/>
    <w:uiPriority w:val="99"/>
    <w:pPr>
      <w:ind w:left="3360"/>
      <w:jc w:val="left"/>
    </w:pPr>
  </w:style>
  <w:style w:type="paragraph" w:styleId="28">
    <w:name w:val="toc 2"/>
    <w:basedOn w:val="1"/>
    <w:next w:val="1"/>
    <w:semiHidden/>
    <w:qFormat/>
    <w:locked/>
    <w:uiPriority w:val="0"/>
    <w:pPr>
      <w:ind w:left="420" w:leftChars="200"/>
    </w:pPr>
  </w:style>
  <w:style w:type="paragraph" w:styleId="29">
    <w:name w:val="Body Text 2"/>
    <w:basedOn w:val="1"/>
    <w:qFormat/>
    <w:locked/>
    <w:uiPriority w:val="0"/>
    <w:pPr>
      <w:jc w:val="center"/>
    </w:pPr>
  </w:style>
  <w:style w:type="paragraph" w:styleId="30">
    <w:name w:val="Normal (Web)"/>
    <w:basedOn w:val="1"/>
    <w:link w:val="71"/>
    <w:qFormat/>
    <w:uiPriority w:val="0"/>
    <w:pPr>
      <w:widowControl/>
      <w:spacing w:before="100" w:beforeAutospacing="1" w:after="100" w:afterAutospacing="1"/>
      <w:jc w:val="left"/>
    </w:pPr>
    <w:rPr>
      <w:rFonts w:ascii="宋体" w:hAnsi="宋体"/>
      <w:kern w:val="0"/>
      <w:sz w:val="24"/>
      <w:szCs w:val="20"/>
    </w:rPr>
  </w:style>
  <w:style w:type="paragraph" w:styleId="31">
    <w:name w:val="annotation subject"/>
    <w:basedOn w:val="16"/>
    <w:next w:val="16"/>
    <w:link w:val="72"/>
    <w:semiHidden/>
    <w:qFormat/>
    <w:uiPriority w:val="0"/>
    <w:rPr>
      <w:b/>
      <w:sz w:val="24"/>
      <w:szCs w:val="20"/>
    </w:rPr>
  </w:style>
  <w:style w:type="table" w:styleId="33">
    <w:name w:val="Table Grid"/>
    <w:basedOn w:val="32"/>
    <w:qFormat/>
    <w:uiPriority w:val="0"/>
    <w:rPr>
      <w:lang w:val="en-US" w:eastAsia="zh-CN" w:bidi="ar-SA"/>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5">
    <w:name w:val="Strong"/>
    <w:basedOn w:val="34"/>
    <w:qFormat/>
    <w:locked/>
    <w:uiPriority w:val="0"/>
    <w:rPr>
      <w:b/>
    </w:rPr>
  </w:style>
  <w:style w:type="character" w:styleId="36">
    <w:name w:val="page number"/>
    <w:basedOn w:val="34"/>
    <w:qFormat/>
    <w:locked/>
    <w:uiPriority w:val="0"/>
  </w:style>
  <w:style w:type="character" w:styleId="37">
    <w:name w:val="Emphasis"/>
    <w:basedOn w:val="34"/>
    <w:qFormat/>
    <w:locked/>
    <w:uiPriority w:val="0"/>
    <w:rPr>
      <w:i/>
    </w:rPr>
  </w:style>
  <w:style w:type="character" w:styleId="38">
    <w:name w:val="Hyperlink"/>
    <w:unhideWhenUsed/>
    <w:qFormat/>
    <w:locked/>
    <w:uiPriority w:val="99"/>
    <w:rPr>
      <w:rFonts w:ascii="Arial" w:hAnsi="Arial" w:cs="Arial"/>
      <w:color w:val="0331BC"/>
      <w:u w:val="single"/>
    </w:rPr>
  </w:style>
  <w:style w:type="character" w:styleId="39">
    <w:name w:val="annotation reference"/>
    <w:semiHidden/>
    <w:qFormat/>
    <w:uiPriority w:val="0"/>
    <w:rPr>
      <w:sz w:val="21"/>
    </w:rPr>
  </w:style>
  <w:style w:type="paragraph" w:customStyle="1" w:styleId="40">
    <w:name w:val="样式 样式 样式 四号 左侧:  1.53 厘米 + 首行缩进:  2 字符 + 居中 左侧:  2 字符 首行缩进:  2..."/>
    <w:basedOn w:val="41"/>
    <w:qFormat/>
    <w:uiPriority w:val="0"/>
    <w:pPr>
      <w:ind w:firstLine="0" w:firstLineChars="0"/>
      <w:jc w:val="center"/>
    </w:pPr>
  </w:style>
  <w:style w:type="paragraph" w:customStyle="1" w:styleId="41">
    <w:name w:val="样式 样式 四号 左侧:  1.53 厘米 + 首行缩进:  2 字符"/>
    <w:basedOn w:val="42"/>
    <w:qFormat/>
    <w:uiPriority w:val="0"/>
    <w:pPr>
      <w:ind w:left="200" w:leftChars="200"/>
    </w:pPr>
    <w:rPr>
      <w:szCs w:val="20"/>
    </w:rPr>
  </w:style>
  <w:style w:type="paragraph" w:customStyle="1" w:styleId="42">
    <w:name w:val="样式 四号 左侧:  1.53 厘米"/>
    <w:basedOn w:val="1"/>
    <w:qFormat/>
    <w:uiPriority w:val="0"/>
    <w:pPr>
      <w:adjustRightInd w:val="0"/>
    </w:pPr>
    <w:rPr>
      <w:w w:val="90"/>
      <w:sz w:val="28"/>
      <w:szCs w:val="28"/>
    </w:rPr>
  </w:style>
  <w:style w:type="paragraph" w:customStyle="1" w:styleId="43">
    <w:name w:val="xl27"/>
    <w:basedOn w:val="1"/>
    <w:qFormat/>
    <w:uiPriority w:val="0"/>
    <w:pPr>
      <w:widowControl/>
      <w:pBdr>
        <w:bottom w:val="single" w:color="auto" w:sz="4" w:space="0"/>
        <w:right w:val="single" w:color="auto" w:sz="4" w:space="0"/>
      </w:pBdr>
      <w:spacing w:before="100" w:beforeAutospacing="1" w:after="100" w:afterAutospacing="1"/>
      <w:jc w:val="center"/>
    </w:pPr>
    <w:rPr>
      <w:kern w:val="0"/>
      <w:sz w:val="24"/>
    </w:rPr>
  </w:style>
  <w:style w:type="character" w:customStyle="1" w:styleId="44">
    <w:name w:val="页脚 字符"/>
    <w:basedOn w:val="34"/>
    <w:qFormat/>
    <w:uiPriority w:val="99"/>
  </w:style>
  <w:style w:type="paragraph" w:customStyle="1" w:styleId="45">
    <w:name w:val="Default"/>
    <w:basedOn w:val="46"/>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46">
    <w:name w:val="纯文本1"/>
    <w:basedOn w:val="1"/>
    <w:qFormat/>
    <w:uiPriority w:val="99"/>
    <w:pPr>
      <w:autoSpaceDE w:val="0"/>
      <w:autoSpaceDN w:val="0"/>
      <w:adjustRightInd w:val="0"/>
      <w:textAlignment w:val="baseline"/>
    </w:pPr>
    <w:rPr>
      <w:rFonts w:ascii="宋体"/>
      <w:szCs w:val="20"/>
    </w:rPr>
  </w:style>
  <w:style w:type="paragraph" w:customStyle="1" w:styleId="47">
    <w:name w:val="策标题一"/>
    <w:basedOn w:val="10"/>
    <w:next w:val="1"/>
    <w:qFormat/>
    <w:uiPriority w:val="0"/>
    <w:pPr>
      <w:spacing w:line="360" w:lineRule="auto"/>
      <w:jc w:val="left"/>
    </w:pPr>
    <w:rPr>
      <w:rFonts w:eastAsia="宋体" w:asciiTheme="minorAscii" w:hAnsiTheme="minorAscii"/>
      <w:sz w:val="28"/>
      <w:szCs w:val="24"/>
      <w:lang w:eastAsia="en-US" w:bidi="en-US"/>
    </w:rPr>
  </w:style>
  <w:style w:type="paragraph" w:customStyle="1" w:styleId="48">
    <w:name w:val="策标题二"/>
    <w:basedOn w:val="11"/>
    <w:next w:val="1"/>
    <w:qFormat/>
    <w:uiPriority w:val="0"/>
    <w:pPr>
      <w:spacing w:line="360" w:lineRule="auto"/>
      <w:jc w:val="left"/>
    </w:pPr>
    <w:rPr>
      <w:rFonts w:eastAsia="宋体" w:cs="Times New Roman" w:asciiTheme="minorAscii" w:hAnsiTheme="minorAscii"/>
      <w:color w:val="000000"/>
      <w:lang w:eastAsia="en-US" w:bidi="en-US"/>
    </w:rPr>
  </w:style>
  <w:style w:type="paragraph" w:customStyle="1" w:styleId="49">
    <w:name w:val="策标题3"/>
    <w:basedOn w:val="14"/>
    <w:next w:val="1"/>
    <w:qFormat/>
    <w:uiPriority w:val="0"/>
    <w:pPr>
      <w:spacing w:line="360" w:lineRule="auto"/>
      <w:jc w:val="left"/>
    </w:pPr>
    <w:rPr>
      <w:rFonts w:eastAsia="宋体" w:cs="Times New Roman" w:asciiTheme="minorAscii" w:hAnsiTheme="minorAscii"/>
      <w:color w:val="000000"/>
      <w:sz w:val="24"/>
      <w:lang w:eastAsia="en-US" w:bidi="en-US"/>
    </w:rPr>
  </w:style>
  <w:style w:type="paragraph" w:customStyle="1" w:styleId="50">
    <w:name w:val="策正文"/>
    <w:basedOn w:val="1"/>
    <w:link w:val="93"/>
    <w:qFormat/>
    <w:uiPriority w:val="0"/>
    <w:pPr>
      <w:adjustRightInd w:val="0"/>
      <w:spacing w:line="360" w:lineRule="auto"/>
      <w:ind w:left="0" w:leftChars="0" w:firstLine="420" w:firstLineChars="200"/>
      <w:jc w:val="both"/>
    </w:pPr>
    <w:rPr>
      <w:rFonts w:eastAsia="宋体" w:asciiTheme="minorAscii" w:hAnsiTheme="minorAscii"/>
      <w:color w:val="000000"/>
      <w:lang w:eastAsia="en-US" w:bidi="en-US"/>
    </w:rPr>
  </w:style>
  <w:style w:type="paragraph" w:customStyle="1" w:styleId="51">
    <w:name w:val="表头"/>
    <w:basedOn w:val="26"/>
    <w:next w:val="1"/>
    <w:qFormat/>
    <w:uiPriority w:val="0"/>
    <w:pPr>
      <w:keepNext/>
      <w:keepLines/>
      <w:autoSpaceDE w:val="0"/>
      <w:autoSpaceDN w:val="0"/>
      <w:adjustRightInd w:val="0"/>
      <w:spacing w:line="240" w:lineRule="auto"/>
      <w:jc w:val="center"/>
    </w:pPr>
    <w:rPr>
      <w:rFonts w:eastAsia="宋体"/>
      <w:kern w:val="21"/>
      <w:szCs w:val="20"/>
    </w:rPr>
  </w:style>
  <w:style w:type="paragraph" w:customStyle="1" w:styleId="52">
    <w:name w:val="标题四"/>
    <w:basedOn w:val="53"/>
    <w:qFormat/>
    <w:uiPriority w:val="0"/>
  </w:style>
  <w:style w:type="paragraph" w:customStyle="1" w:styleId="53">
    <w:name w:val="标题3"/>
    <w:basedOn w:val="54"/>
    <w:next w:val="55"/>
    <w:qFormat/>
    <w:uiPriority w:val="0"/>
    <w:pPr>
      <w:suppressAutoHyphens/>
      <w:ind w:firstLine="482"/>
    </w:pPr>
    <w:rPr>
      <w:rFonts w:ascii="Times New Roman" w:hAnsi="Times New Roman"/>
      <w:b/>
      <w:bCs/>
      <w:spacing w:val="18"/>
      <w:kern w:val="0"/>
      <w:szCs w:val="20"/>
    </w:rPr>
  </w:style>
  <w:style w:type="paragraph" w:customStyle="1" w:styleId="54">
    <w:name w:val="正文2"/>
    <w:qFormat/>
    <w:uiPriority w:val="0"/>
    <w:pPr>
      <w:widowControl w:val="0"/>
      <w:suppressAutoHyphens/>
      <w:spacing w:line="520" w:lineRule="atLeast"/>
      <w:ind w:firstLine="680"/>
      <w:jc w:val="both"/>
    </w:pPr>
    <w:rPr>
      <w:rFonts w:ascii="Times New Roman" w:hAnsi="Times New Roman" w:eastAsia="宋体" w:cs="Times New Roman"/>
      <w:spacing w:val="18"/>
      <w:sz w:val="32"/>
      <w:lang w:val="en-US" w:eastAsia="zh-CN" w:bidi="ar-SA"/>
    </w:rPr>
  </w:style>
  <w:style w:type="paragraph" w:customStyle="1" w:styleId="55">
    <w:name w:val="正文文本1"/>
    <w:basedOn w:val="56"/>
    <w:qFormat/>
    <w:uiPriority w:val="0"/>
    <w:pPr>
      <w:suppressAutoHyphens w:val="0"/>
      <w:adjustRightInd w:val="0"/>
      <w:snapToGrid w:val="0"/>
      <w:ind w:firstLine="200" w:firstLineChars="200"/>
      <w:jc w:val="left"/>
    </w:pPr>
    <w:rPr>
      <w:rFonts w:cs="Times New Roman"/>
      <w:b w:val="0"/>
      <w:kern w:val="2"/>
      <w:sz w:val="24"/>
      <w:szCs w:val="21"/>
    </w:rPr>
  </w:style>
  <w:style w:type="paragraph" w:customStyle="1" w:styleId="56">
    <w:name w:val="标题2"/>
    <w:basedOn w:val="57"/>
    <w:qFormat/>
    <w:uiPriority w:val="0"/>
    <w:pPr>
      <w:spacing w:line="360" w:lineRule="auto"/>
    </w:pPr>
    <w:rPr>
      <w:rFonts w:cs="宋体"/>
      <w:spacing w:val="0"/>
      <w:sz w:val="30"/>
    </w:rPr>
  </w:style>
  <w:style w:type="paragraph" w:customStyle="1" w:styleId="57">
    <w:name w:val="样式1"/>
    <w:basedOn w:val="54"/>
    <w:qFormat/>
    <w:uiPriority w:val="0"/>
    <w:pPr>
      <w:snapToGrid w:val="0"/>
      <w:spacing w:line="240" w:lineRule="auto"/>
      <w:ind w:firstLine="0" w:firstLineChars="0"/>
      <w:jc w:val="center"/>
    </w:pPr>
    <w:rPr>
      <w:rFonts w:hint="eastAsia" w:ascii="Times New Roman" w:hAnsi="Times New Roman" w:eastAsia="宋体" w:cs="Times New Roman"/>
      <w:b/>
      <w:bCs/>
      <w:color w:val="000000"/>
      <w:sz w:val="24"/>
      <w:lang w:eastAsia="zh-CN" w:bidi="en-US"/>
    </w:rPr>
  </w:style>
  <w:style w:type="paragraph" w:customStyle="1" w:styleId="58">
    <w:name w:val="策表格"/>
    <w:qFormat/>
    <w:uiPriority w:val="0"/>
    <w:pPr>
      <w:spacing w:line="240" w:lineRule="auto"/>
      <w:jc w:val="center"/>
    </w:pPr>
    <w:rPr>
      <w:rFonts w:eastAsia="宋体" w:asciiTheme="minorAscii" w:hAnsiTheme="minorAscii" w:cstheme="minorBidi"/>
      <w:sz w:val="21"/>
    </w:rPr>
  </w:style>
  <w:style w:type="paragraph" w:customStyle="1" w:styleId="59">
    <w:name w:val="表头111"/>
    <w:basedOn w:val="1"/>
    <w:qFormat/>
    <w:uiPriority w:val="0"/>
    <w:pPr>
      <w:spacing w:line="240" w:lineRule="auto"/>
      <w:jc w:val="center"/>
    </w:pPr>
    <w:rPr>
      <w:rFonts w:hint="default" w:eastAsia="宋体" w:asciiTheme="minorAscii" w:hAnsiTheme="minorAscii" w:cstheme="minorBidi"/>
      <w:b/>
      <w:color w:val="000000"/>
      <w:sz w:val="24"/>
      <w:lang w:eastAsia="zh-CN" w:bidi="en-US"/>
    </w:rPr>
  </w:style>
  <w:style w:type="paragraph" w:customStyle="1" w:styleId="60">
    <w:name w:val="表格   环评"/>
    <w:basedOn w:val="1"/>
    <w:next w:val="1"/>
    <w:link w:val="92"/>
    <w:qFormat/>
    <w:uiPriority w:val="0"/>
    <w:pPr>
      <w:keepNext/>
      <w:keepLines/>
      <w:spacing w:beforeLines="0" w:afterLines="0" w:line="360" w:lineRule="auto"/>
      <w:ind w:firstLine="0" w:firstLineChars="0"/>
      <w:jc w:val="center"/>
      <w:outlineLvl w:val="3"/>
    </w:pPr>
    <w:rPr>
      <w:rFonts w:hint="eastAsia"/>
      <w:sz w:val="21"/>
      <w:szCs w:val="21"/>
    </w:rPr>
  </w:style>
  <w:style w:type="paragraph" w:customStyle="1" w:styleId="61">
    <w:name w:val="表格正文"/>
    <w:basedOn w:val="1"/>
    <w:qFormat/>
    <w:uiPriority w:val="0"/>
    <w:pPr>
      <w:spacing w:line="360" w:lineRule="exact"/>
      <w:jc w:val="center"/>
    </w:pPr>
  </w:style>
  <w:style w:type="character" w:customStyle="1" w:styleId="62">
    <w:name w:val="标题 1 Char"/>
    <w:link w:val="10"/>
    <w:qFormat/>
    <w:uiPriority w:val="99"/>
    <w:rPr>
      <w:rFonts w:ascii="Times New Roman" w:hAnsi="Times New Roman" w:eastAsia="宋体"/>
      <w:b/>
      <w:bCs/>
      <w:color w:val="000000"/>
      <w:kern w:val="44"/>
      <w:sz w:val="28"/>
      <w:szCs w:val="30"/>
    </w:rPr>
  </w:style>
  <w:style w:type="paragraph" w:customStyle="1" w:styleId="63">
    <w:name w:val="表中表"/>
    <w:basedOn w:val="1"/>
    <w:qFormat/>
    <w:uiPriority w:val="0"/>
    <w:pPr>
      <w:spacing w:line="360" w:lineRule="auto"/>
      <w:jc w:val="center"/>
    </w:pPr>
    <w:rPr>
      <w:rFonts w:hint="eastAsia" w:ascii="Times New Roman" w:hAnsi="Times New Roman"/>
      <w:sz w:val="21"/>
      <w:szCs w:val="21"/>
      <w:lang w:val="en-GB"/>
    </w:rPr>
  </w:style>
  <w:style w:type="character" w:customStyle="1" w:styleId="64">
    <w:name w:val="正文文本 Char"/>
    <w:link w:val="7"/>
    <w:qFormat/>
    <w:locked/>
    <w:uiPriority w:val="0"/>
    <w:rPr>
      <w:sz w:val="18"/>
    </w:rPr>
  </w:style>
  <w:style w:type="character" w:customStyle="1" w:styleId="65">
    <w:name w:val="批注文字 Char"/>
    <w:link w:val="16"/>
    <w:qFormat/>
    <w:locked/>
    <w:uiPriority w:val="0"/>
    <w:rPr>
      <w:rFonts w:ascii="Times New Roman" w:hAnsi="Times New Roman" w:eastAsia="宋体"/>
      <w:sz w:val="24"/>
    </w:rPr>
  </w:style>
  <w:style w:type="character" w:customStyle="1" w:styleId="66">
    <w:name w:val="正文文本缩进 Char"/>
    <w:link w:val="3"/>
    <w:semiHidden/>
    <w:qFormat/>
    <w:locked/>
    <w:uiPriority w:val="0"/>
    <w:rPr>
      <w:rFonts w:ascii="Times New Roman" w:hAnsi="Times New Roman" w:eastAsia="宋体"/>
      <w:sz w:val="24"/>
    </w:rPr>
  </w:style>
  <w:style w:type="character" w:customStyle="1" w:styleId="67">
    <w:name w:val="页眉 Char"/>
    <w:link w:val="23"/>
    <w:qFormat/>
    <w:locked/>
    <w:uiPriority w:val="0"/>
    <w:rPr>
      <w:sz w:val="18"/>
    </w:rPr>
  </w:style>
  <w:style w:type="character" w:customStyle="1" w:styleId="68">
    <w:name w:val="日期 Char"/>
    <w:link w:val="20"/>
    <w:qFormat/>
    <w:locked/>
    <w:uiPriority w:val="0"/>
    <w:rPr>
      <w:rFonts w:ascii="Times New Roman" w:hAnsi="Times New Roman" w:eastAsia="宋体"/>
      <w:sz w:val="24"/>
    </w:rPr>
  </w:style>
  <w:style w:type="character" w:customStyle="1" w:styleId="69">
    <w:name w:val="批注框文本 Char"/>
    <w:link w:val="21"/>
    <w:semiHidden/>
    <w:qFormat/>
    <w:locked/>
    <w:uiPriority w:val="0"/>
    <w:rPr>
      <w:rFonts w:ascii="Times New Roman" w:hAnsi="Times New Roman" w:eastAsia="宋体"/>
      <w:sz w:val="18"/>
    </w:rPr>
  </w:style>
  <w:style w:type="character" w:customStyle="1" w:styleId="70">
    <w:name w:val="页脚 Char"/>
    <w:link w:val="22"/>
    <w:qFormat/>
    <w:locked/>
    <w:uiPriority w:val="99"/>
    <w:rPr>
      <w:sz w:val="18"/>
    </w:rPr>
  </w:style>
  <w:style w:type="character" w:customStyle="1" w:styleId="71">
    <w:name w:val="普通(网站) Char"/>
    <w:link w:val="30"/>
    <w:qFormat/>
    <w:locked/>
    <w:uiPriority w:val="0"/>
    <w:rPr>
      <w:rFonts w:ascii="宋体" w:hAnsi="宋体" w:eastAsia="宋体"/>
      <w:sz w:val="24"/>
    </w:rPr>
  </w:style>
  <w:style w:type="character" w:customStyle="1" w:styleId="72">
    <w:name w:val="批注主题 Char"/>
    <w:link w:val="31"/>
    <w:semiHidden/>
    <w:qFormat/>
    <w:locked/>
    <w:uiPriority w:val="0"/>
    <w:rPr>
      <w:rFonts w:ascii="Times New Roman" w:hAnsi="Times New Roman" w:eastAsia="宋体"/>
      <w:b/>
      <w:kern w:val="2"/>
      <w:sz w:val="24"/>
    </w:rPr>
  </w:style>
  <w:style w:type="character" w:customStyle="1" w:styleId="73">
    <w:name w:val="批注文字 字符1"/>
    <w:semiHidden/>
    <w:qFormat/>
    <w:uiPriority w:val="0"/>
    <w:rPr>
      <w:rFonts w:ascii="Times New Roman" w:hAnsi="Times New Roman" w:eastAsia="宋体"/>
      <w:sz w:val="24"/>
    </w:rPr>
  </w:style>
  <w:style w:type="character" w:customStyle="1" w:styleId="74">
    <w:name w:val="font21"/>
    <w:basedOn w:val="34"/>
    <w:qFormat/>
    <w:uiPriority w:val="0"/>
    <w:rPr>
      <w:rFonts w:hint="eastAsia" w:ascii="宋体" w:hAnsi="宋体" w:eastAsia="宋体" w:cs="宋体"/>
      <w:color w:val="000000"/>
      <w:sz w:val="21"/>
      <w:szCs w:val="21"/>
      <w:u w:val="none"/>
    </w:rPr>
  </w:style>
  <w:style w:type="character" w:customStyle="1" w:styleId="75">
    <w:name w:val="font81"/>
    <w:basedOn w:val="34"/>
    <w:qFormat/>
    <w:uiPriority w:val="0"/>
    <w:rPr>
      <w:rFonts w:hint="eastAsia" w:ascii="宋体" w:hAnsi="宋体" w:eastAsia="宋体" w:cs="宋体"/>
      <w:color w:val="000000"/>
      <w:sz w:val="21"/>
      <w:szCs w:val="21"/>
      <w:u w:val="none"/>
    </w:rPr>
  </w:style>
  <w:style w:type="character" w:customStyle="1" w:styleId="76">
    <w:name w:val="font51"/>
    <w:basedOn w:val="34"/>
    <w:qFormat/>
    <w:uiPriority w:val="0"/>
    <w:rPr>
      <w:rFonts w:hint="eastAsia" w:ascii="宋体" w:hAnsi="宋体" w:eastAsia="宋体" w:cs="宋体"/>
      <w:color w:val="000000"/>
      <w:sz w:val="21"/>
      <w:szCs w:val="21"/>
      <w:u w:val="none"/>
    </w:rPr>
  </w:style>
  <w:style w:type="character" w:customStyle="1" w:styleId="77">
    <w:name w:val="font11"/>
    <w:basedOn w:val="34"/>
    <w:qFormat/>
    <w:uiPriority w:val="0"/>
    <w:rPr>
      <w:rFonts w:hint="default" w:ascii="Times New Roman" w:hAnsi="Times New Roman" w:cs="Times New Roman"/>
      <w:color w:val="000000"/>
      <w:sz w:val="21"/>
      <w:szCs w:val="21"/>
      <w:u w:val="none"/>
    </w:rPr>
  </w:style>
  <w:style w:type="character" w:customStyle="1" w:styleId="78">
    <w:name w:val="日期 字符"/>
    <w:semiHidden/>
    <w:qFormat/>
    <w:uiPriority w:val="0"/>
    <w:rPr>
      <w:rFonts w:ascii="Times New Roman" w:hAnsi="Times New Roman" w:eastAsia="宋体"/>
      <w:sz w:val="24"/>
    </w:rPr>
  </w:style>
  <w:style w:type="character" w:customStyle="1" w:styleId="79">
    <w:name w:val="font31"/>
    <w:basedOn w:val="34"/>
    <w:qFormat/>
    <w:uiPriority w:val="0"/>
    <w:rPr>
      <w:rFonts w:hint="default" w:ascii="Times New Roman" w:hAnsi="Times New Roman" w:cs="Times New Roman"/>
      <w:color w:val="000000"/>
      <w:sz w:val="21"/>
      <w:szCs w:val="21"/>
      <w:u w:val="none"/>
    </w:rPr>
  </w:style>
  <w:style w:type="character" w:customStyle="1" w:styleId="80">
    <w:name w:val="表格 Char"/>
    <w:link w:val="81"/>
    <w:qFormat/>
    <w:locked/>
    <w:uiPriority w:val="0"/>
    <w:rPr>
      <w:rFonts w:ascii="宋体" w:hAnsi="宋体" w:eastAsia="宋体"/>
      <w:sz w:val="21"/>
    </w:rPr>
  </w:style>
  <w:style w:type="paragraph" w:customStyle="1" w:styleId="81">
    <w:name w:val="表格"/>
    <w:basedOn w:val="1"/>
    <w:next w:val="1"/>
    <w:link w:val="80"/>
    <w:qFormat/>
    <w:uiPriority w:val="0"/>
    <w:pPr>
      <w:adjustRightInd w:val="0"/>
      <w:snapToGrid w:val="0"/>
      <w:spacing w:line="240" w:lineRule="auto"/>
      <w:jc w:val="center"/>
    </w:pPr>
    <w:rPr>
      <w:rFonts w:ascii="宋体" w:hAnsi="宋体" w:eastAsia="宋体"/>
      <w:kern w:val="0"/>
      <w:sz w:val="21"/>
      <w:szCs w:val="20"/>
    </w:rPr>
  </w:style>
  <w:style w:type="character" w:customStyle="1" w:styleId="82">
    <w:name w:val="正文文本 字符1"/>
    <w:semiHidden/>
    <w:qFormat/>
    <w:uiPriority w:val="0"/>
    <w:rPr>
      <w:rFonts w:ascii="Times New Roman" w:hAnsi="Times New Roman" w:eastAsia="宋体"/>
      <w:sz w:val="24"/>
    </w:rPr>
  </w:style>
  <w:style w:type="paragraph" w:customStyle="1" w:styleId="83">
    <w:name w:val="正文_25"/>
    <w:qFormat/>
    <w:uiPriority w:val="0"/>
    <w:pPr>
      <w:widowControl w:val="0"/>
      <w:jc w:val="both"/>
    </w:pPr>
    <w:rPr>
      <w:rFonts w:ascii="Calibri" w:hAnsi="Calibri" w:eastAsia="宋体" w:cs="Times New Roman"/>
      <w:kern w:val="2"/>
      <w:sz w:val="21"/>
      <w:lang w:val="en-US" w:eastAsia="zh-CN" w:bidi="ar-SA"/>
    </w:rPr>
  </w:style>
  <w:style w:type="paragraph" w:customStyle="1" w:styleId="84">
    <w:name w:val="正文 首行缩进:  2 字符"/>
    <w:basedOn w:val="1"/>
    <w:semiHidden/>
    <w:qFormat/>
    <w:uiPriority w:val="0"/>
    <w:pPr>
      <w:spacing w:line="520" w:lineRule="exact"/>
      <w:ind w:firstLine="480" w:firstLineChars="200"/>
    </w:pPr>
    <w:rPr>
      <w:kern w:val="44"/>
      <w:sz w:val="24"/>
    </w:rPr>
  </w:style>
  <w:style w:type="paragraph" w:customStyle="1" w:styleId="85">
    <w:name w:val="正文_28"/>
    <w:qFormat/>
    <w:uiPriority w:val="0"/>
    <w:pPr>
      <w:widowControl w:val="0"/>
      <w:jc w:val="both"/>
    </w:pPr>
    <w:rPr>
      <w:rFonts w:ascii="Calibri" w:hAnsi="Calibri" w:eastAsia="宋体" w:cs="Times New Roman"/>
      <w:kern w:val="2"/>
      <w:sz w:val="21"/>
      <w:lang w:val="en-US" w:eastAsia="zh-CN" w:bidi="ar-SA"/>
    </w:rPr>
  </w:style>
  <w:style w:type="paragraph" w:customStyle="1" w:styleId="86">
    <w:name w:val="普通(网站)2"/>
    <w:basedOn w:val="1"/>
    <w:qFormat/>
    <w:uiPriority w:val="0"/>
    <w:pPr>
      <w:widowControl/>
      <w:spacing w:before="100" w:beforeAutospacing="1" w:after="100" w:afterAutospacing="1"/>
      <w:jc w:val="left"/>
    </w:pPr>
    <w:rPr>
      <w:rFonts w:ascii="宋体" w:hAnsi="宋体"/>
      <w:sz w:val="24"/>
      <w:szCs w:val="20"/>
    </w:rPr>
  </w:style>
  <w:style w:type="paragraph" w:customStyle="1" w:styleId="87">
    <w:name w:val="正文_26"/>
    <w:qFormat/>
    <w:uiPriority w:val="0"/>
    <w:pPr>
      <w:widowControl w:val="0"/>
      <w:jc w:val="both"/>
    </w:pPr>
    <w:rPr>
      <w:rFonts w:ascii="Calibri" w:hAnsi="Calibri" w:eastAsia="宋体" w:cs="Times New Roman"/>
      <w:kern w:val="2"/>
      <w:sz w:val="21"/>
      <w:lang w:val="en-US" w:eastAsia="zh-CN" w:bidi="ar-SA"/>
    </w:rPr>
  </w:style>
  <w:style w:type="paragraph" w:customStyle="1" w:styleId="88">
    <w:name w:val="正文_10"/>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89">
    <w:name w:val="1.1.1.1"/>
    <w:basedOn w:val="1"/>
    <w:next w:val="1"/>
    <w:qFormat/>
    <w:uiPriority w:val="0"/>
    <w:pPr>
      <w:keepNext/>
      <w:keepLines/>
      <w:spacing w:beforeLines="0" w:afterLines="0"/>
      <w:outlineLvl w:val="2"/>
    </w:pPr>
    <w:rPr>
      <w:rFonts w:eastAsia="宋体" w:cs="Times New Roman"/>
      <w:sz w:val="24"/>
    </w:rPr>
  </w:style>
  <w:style w:type="paragraph" w:customStyle="1" w:styleId="90">
    <w:name w:val="A正文"/>
    <w:basedOn w:val="3"/>
    <w:qFormat/>
    <w:uiPriority w:val="0"/>
    <w:pPr>
      <w:spacing w:line="360" w:lineRule="auto"/>
      <w:ind w:firstLine="480"/>
    </w:pPr>
    <w:rPr>
      <w:rFonts w:ascii="Times New Roman" w:hAnsi="Times New Roman"/>
      <w:kern w:val="0"/>
      <w:sz w:val="24"/>
      <w:szCs w:val="24"/>
    </w:rPr>
  </w:style>
  <w:style w:type="character" w:customStyle="1" w:styleId="91">
    <w:name w:val="标题 2 Char"/>
    <w:link w:val="11"/>
    <w:qFormat/>
    <w:uiPriority w:val="0"/>
    <w:rPr>
      <w:rFonts w:ascii="Times New Roman" w:hAnsi="Times New Roman" w:eastAsia="宋体"/>
      <w:b/>
      <w:szCs w:val="21"/>
    </w:rPr>
  </w:style>
  <w:style w:type="character" w:customStyle="1" w:styleId="92">
    <w:name w:val="表格   环评 Char"/>
    <w:link w:val="60"/>
    <w:qFormat/>
    <w:uiPriority w:val="0"/>
    <w:rPr>
      <w:rFonts w:hint="eastAsia"/>
      <w:sz w:val="21"/>
      <w:szCs w:val="21"/>
    </w:rPr>
  </w:style>
  <w:style w:type="character" w:customStyle="1" w:styleId="93">
    <w:name w:val="策正文 Char1"/>
    <w:link w:val="50"/>
    <w:qFormat/>
    <w:uiPriority w:val="0"/>
    <w:rPr>
      <w:rFonts w:eastAsia="宋体" w:asciiTheme="minorAscii" w:hAnsiTheme="minorAscii"/>
      <w:color w:val="000000"/>
      <w:sz w:val="24"/>
      <w:lang w:eastAsia="en-US" w:bidi="en-US"/>
    </w:rPr>
  </w:style>
  <w:style w:type="paragraph" w:customStyle="1" w:styleId="94">
    <w:name w:val="Other|1"/>
    <w:basedOn w:val="1"/>
    <w:qFormat/>
    <w:uiPriority w:val="0"/>
    <w:pPr>
      <w:spacing w:after="40" w:line="430" w:lineRule="auto"/>
      <w:ind w:firstLine="400"/>
    </w:pPr>
    <w:rPr>
      <w:rFonts w:ascii="宋体" w:hAnsi="宋体" w:cs="宋体"/>
      <w:color w:val="526D84"/>
      <w:sz w:val="26"/>
      <w:szCs w:val="26"/>
      <w:lang w:val="zh-TW" w:eastAsia="zh-TW" w:bidi="zh-TW"/>
    </w:rPr>
  </w:style>
  <w:style w:type="paragraph" w:customStyle="1" w:styleId="95">
    <w:name w:val="表头  1"/>
    <w:basedOn w:val="1"/>
    <w:qFormat/>
    <w:uiPriority w:val="0"/>
    <w:pPr>
      <w:keepNext/>
      <w:keepLines/>
      <w:spacing w:line="240" w:lineRule="auto"/>
      <w:ind w:firstLine="0" w:firstLineChars="0"/>
      <w:jc w:val="center"/>
      <w:outlineLvl w:val="0"/>
    </w:pPr>
    <w:rPr>
      <w:rFonts w:eastAsia="宋体" w:cs="Times New Roman" w:asciiTheme="minorAscii" w:hAnsiTheme="minorAscii"/>
      <w:b/>
      <w:color w:val="000000"/>
      <w:kern w:val="44"/>
      <w:sz w:val="24"/>
      <w:lang w:eastAsia="en-US" w:bidi="en-US"/>
    </w:rPr>
  </w:style>
  <w:style w:type="paragraph" w:customStyle="1" w:styleId="96">
    <w:name w:val="表格文字"/>
    <w:basedOn w:val="1"/>
    <w:qFormat/>
    <w:uiPriority w:val="0"/>
    <w:pPr>
      <w:jc w:val="center"/>
    </w:pPr>
    <w:rPr>
      <w:rFonts w:ascii="FangSong_GB2312" w:hAnsi="Arial Black" w:eastAsia="FangSong_GB2312"/>
      <w:kern w:val="44"/>
      <w:sz w:val="24"/>
    </w:rPr>
  </w:style>
  <w:style w:type="paragraph" w:customStyle="1" w:styleId="97">
    <w:name w:val="Table Paragraph"/>
    <w:basedOn w:val="1"/>
    <w:qFormat/>
    <w:uiPriority w:val="1"/>
    <w:pPr>
      <w:autoSpaceDE w:val="0"/>
      <w:autoSpaceDN w:val="0"/>
      <w:jc w:val="left"/>
    </w:pPr>
    <w:rPr>
      <w:rFonts w:ascii="宋体" w:hAnsi="宋体" w:cs="宋体"/>
      <w:kern w:val="0"/>
      <w:sz w:val="22"/>
      <w:szCs w:val="22"/>
    </w:rPr>
  </w:style>
  <w:style w:type="paragraph" w:customStyle="1" w:styleId="98">
    <w:name w:val="表标题"/>
    <w:basedOn w:val="1"/>
    <w:qFormat/>
    <w:uiPriority w:val="0"/>
    <w:pPr>
      <w:spacing w:line="360" w:lineRule="auto"/>
      <w:ind w:firstLine="0" w:firstLineChars="0"/>
      <w:jc w:val="center"/>
    </w:pPr>
    <w:rPr>
      <w:b/>
    </w:rPr>
  </w:style>
  <w:style w:type="paragraph" w:customStyle="1" w:styleId="99">
    <w:name w:val="BodyText1I2"/>
    <w:basedOn w:val="100"/>
    <w:next w:val="1"/>
    <w:qFormat/>
    <w:uiPriority w:val="0"/>
    <w:pPr>
      <w:ind w:firstLine="420"/>
      <w:jc w:val="both"/>
    </w:pPr>
    <w:rPr>
      <w:sz w:val="21"/>
      <w:szCs w:val="22"/>
    </w:rPr>
  </w:style>
  <w:style w:type="paragraph" w:customStyle="1" w:styleId="100">
    <w:name w:val="BodyTextIndent"/>
    <w:basedOn w:val="1"/>
    <w:next w:val="101"/>
    <w:qFormat/>
    <w:uiPriority w:val="0"/>
    <w:pPr>
      <w:spacing w:after="120"/>
      <w:ind w:left="420" w:leftChars="200"/>
      <w:textAlignment w:val="baseline"/>
    </w:pPr>
  </w:style>
  <w:style w:type="paragraph" w:customStyle="1" w:styleId="101">
    <w:name w:val="BodyTextIndent2"/>
    <w:basedOn w:val="1"/>
    <w:next w:val="102"/>
    <w:qFormat/>
    <w:uiPriority w:val="0"/>
    <w:pPr>
      <w:spacing w:after="120" w:line="480" w:lineRule="auto"/>
      <w:ind w:left="420" w:leftChars="200"/>
      <w:textAlignment w:val="baseline"/>
    </w:pPr>
  </w:style>
  <w:style w:type="paragraph" w:customStyle="1" w:styleId="102">
    <w:name w:val="TOAHeading"/>
    <w:basedOn w:val="1"/>
    <w:next w:val="1"/>
    <w:qFormat/>
    <w:uiPriority w:val="0"/>
    <w:pPr>
      <w:spacing w:before="120" w:after="120"/>
      <w:ind w:firstLine="200"/>
      <w:textAlignment w:val="baseline"/>
    </w:pPr>
    <w:rPr>
      <w:u w:val="single"/>
    </w:rPr>
  </w:style>
  <w:style w:type="paragraph" w:customStyle="1" w:styleId="103">
    <w:name w:val="WPSOffice手动目录 1"/>
    <w:qFormat/>
    <w:uiPriority w:val="0"/>
    <w:pPr>
      <w:ind w:leftChars="0"/>
    </w:pPr>
    <w:rPr>
      <w:rFonts w:ascii="Times New Roman" w:hAnsi="Times New Roman" w:eastAsia="宋体" w:cs="Times New Roman"/>
      <w:sz w:val="20"/>
      <w:szCs w:val="20"/>
    </w:rPr>
  </w:style>
  <w:style w:type="paragraph" w:styleId="104">
    <w:name w:val="List Paragraph"/>
    <w:basedOn w:val="1"/>
    <w:qFormat/>
    <w:uiPriority w:val="99"/>
    <w:pPr>
      <w:widowControl w:val="0"/>
      <w:adjustRightInd/>
      <w:snapToGrid/>
      <w:spacing w:after="0" w:line="360" w:lineRule="auto"/>
      <w:ind w:left="357" w:firstLine="420" w:firstLineChars="200"/>
      <w:contextualSpacing/>
    </w:pPr>
    <w:rPr>
      <w:rFonts w:ascii="Calibri" w:hAnsi="Calibri" w:eastAsia="宋体"/>
      <w:kern w:val="2"/>
      <w:sz w:val="24"/>
    </w:rPr>
  </w:style>
  <w:style w:type="paragraph" w:customStyle="1" w:styleId="105">
    <w:name w:val="中文报告书样式"/>
    <w:basedOn w:val="1"/>
    <w:qFormat/>
    <w:uiPriority w:val="0"/>
    <w:pPr>
      <w:suppressAutoHyphens w:val="0"/>
      <w:wordWrap/>
      <w:adjustRightInd w:val="0"/>
      <w:spacing w:line="480" w:lineRule="atLeast"/>
      <w:ind w:firstLine="482" w:firstLineChars="0"/>
      <w:textAlignment w:val="baseline"/>
    </w:pPr>
    <w:rPr>
      <w:kern w:val="24"/>
      <w:szCs w:val="20"/>
    </w:rPr>
  </w:style>
  <w:style w:type="paragraph" w:customStyle="1" w:styleId="106">
    <w:name w:val="表格内容"/>
    <w:basedOn w:val="1"/>
    <w:qFormat/>
    <w:uiPriority w:val="0"/>
    <w:pPr>
      <w:jc w:val="center"/>
    </w:pPr>
    <w:rPr>
      <w:kern w:val="24"/>
      <w:szCs w:val="21"/>
    </w:rPr>
  </w:style>
  <w:style w:type="paragraph" w:customStyle="1" w:styleId="107">
    <w:name w:val="4正文 Char"/>
    <w:basedOn w:val="1"/>
    <w:qFormat/>
    <w:uiPriority w:val="0"/>
    <w:pPr>
      <w:spacing w:line="360" w:lineRule="auto"/>
      <w:ind w:firstLine="480" w:firstLineChars="200"/>
    </w:pPr>
    <w:rPr>
      <w:rFonts w:ascii="宋体" w:hAnsi="宋体" w:eastAsia="宋体" w:cs="宋体"/>
      <w:sz w:val="24"/>
      <w:szCs w:val="20"/>
    </w:rPr>
  </w:style>
  <w:style w:type="paragraph" w:customStyle="1" w:styleId="108">
    <w:name w:val="表头及表尾"/>
    <w:qFormat/>
    <w:uiPriority w:val="0"/>
    <w:pPr>
      <w:tabs>
        <w:tab w:val="center" w:pos="4200"/>
        <w:tab w:val="right" w:pos="8400"/>
      </w:tabs>
      <w:adjustRightInd w:val="0"/>
      <w:snapToGrid w:val="0"/>
      <w:spacing w:line="360" w:lineRule="auto"/>
      <w:jc w:val="center"/>
    </w:pPr>
    <w:rPr>
      <w:rFonts w:ascii="Times New Roman" w:hAnsi="Times New Roman" w:eastAsia="宋体" w:cs="Times New Roman"/>
      <w:b/>
      <w:snapToGrid w:val="0"/>
      <w:sz w:val="21"/>
      <w:szCs w:val="21"/>
      <w:lang w:val="en-US" w:eastAsia="zh-CN" w:bidi="ar-SA"/>
    </w:rPr>
  </w:style>
  <w:style w:type="paragraph" w:customStyle="1" w:styleId="109">
    <w:name w:val="标题1"/>
    <w:basedOn w:val="1"/>
    <w:qFormat/>
    <w:uiPriority w:val="0"/>
    <w:pPr>
      <w:adjustRightInd w:val="0"/>
      <w:snapToGrid w:val="0"/>
      <w:ind w:firstLine="0" w:firstLineChars="0"/>
      <w:jc w:val="left"/>
      <w:outlineLvl w:val="0"/>
    </w:pPr>
    <w:rPr>
      <w:b/>
      <w:bCs/>
      <w:sz w:val="28"/>
      <w:szCs w:val="72"/>
    </w:rPr>
  </w:style>
  <w:style w:type="paragraph" w:customStyle="1" w:styleId="110">
    <w:name w:val="环评正文"/>
    <w:basedOn w:val="1"/>
    <w:qFormat/>
    <w:uiPriority w:val="0"/>
    <w:pPr>
      <w:ind w:firstLine="200"/>
    </w:pPr>
  </w:style>
  <w:style w:type="paragraph" w:customStyle="1" w:styleId="111">
    <w:name w:val="7表格内容7"/>
    <w:basedOn w:val="1"/>
    <w:qFormat/>
    <w:uiPriority w:val="0"/>
    <w:pPr>
      <w:widowControl/>
      <w:spacing w:line="240" w:lineRule="auto"/>
      <w:ind w:firstLine="0" w:firstLineChars="0"/>
      <w:jc w:val="center"/>
    </w:pPr>
    <w:rPr>
      <w:rFonts w:ascii="宋体" w:hAnsi="宋体"/>
      <w:kern w:val="0"/>
      <w:sz w:val="21"/>
      <w:szCs w:val="21"/>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theme/theme1.xml" Type="http://schemas.openxmlformats.org/officeDocument/2006/relationships/theme"/><Relationship Id="rId100" Target="embeddings/oleObject45.bin" Type="http://schemas.openxmlformats.org/officeDocument/2006/relationships/oleObject"/><Relationship Id="rId101" Target="media/image46.wmf" Type="http://schemas.openxmlformats.org/officeDocument/2006/relationships/image"/><Relationship Id="rId102" Target="embeddings/oleObject46.bin" Type="http://schemas.openxmlformats.org/officeDocument/2006/relationships/oleObject"/><Relationship Id="rId103" Target="media/image47.wmf" Type="http://schemas.openxmlformats.org/officeDocument/2006/relationships/image"/><Relationship Id="rId104" Target="embeddings/oleObject47.bin" Type="http://schemas.openxmlformats.org/officeDocument/2006/relationships/oleObject"/><Relationship Id="rId105" Target="media/image48.wmf" Type="http://schemas.openxmlformats.org/officeDocument/2006/relationships/image"/><Relationship Id="rId106" Target="embeddings/oleObject48.bin" Type="http://schemas.openxmlformats.org/officeDocument/2006/relationships/oleObject"/><Relationship Id="rId107" Target="media/image49.wmf" Type="http://schemas.openxmlformats.org/officeDocument/2006/relationships/image"/><Relationship Id="rId108" Target="media/image50.wmf" Type="http://schemas.openxmlformats.org/officeDocument/2006/relationships/image"/><Relationship Id="rId109" Target="embeddings/oleObject49.bin" Type="http://schemas.openxmlformats.org/officeDocument/2006/relationships/oleObject"/><Relationship Id="rId11" Target="media/image1.png" Type="http://schemas.openxmlformats.org/officeDocument/2006/relationships/image"/><Relationship Id="rId110" Target="media/image51.wmf" Type="http://schemas.openxmlformats.org/officeDocument/2006/relationships/image"/><Relationship Id="rId111" Target="embeddings/oleObject50.bin" Type="http://schemas.openxmlformats.org/officeDocument/2006/relationships/oleObject"/><Relationship Id="rId112" Target="media/image52.wmf" Type="http://schemas.openxmlformats.org/officeDocument/2006/relationships/image"/><Relationship Id="rId113" Target="embeddings/oleObject51.bin" Type="http://schemas.openxmlformats.org/officeDocument/2006/relationships/oleObject"/><Relationship Id="rId114" Target="media/image53.wmf" Type="http://schemas.openxmlformats.org/officeDocument/2006/relationships/image"/><Relationship Id="rId115" Target="media/image54.png" Type="http://schemas.openxmlformats.org/officeDocument/2006/relationships/image"/><Relationship Id="rId116" Target="media/image55.jpeg" Type="http://schemas.openxmlformats.org/officeDocument/2006/relationships/image"/><Relationship Id="rId117" Target="media/image56.png" Type="http://schemas.openxmlformats.org/officeDocument/2006/relationships/image"/><Relationship Id="rId118" Target="media/image57.jpeg" Type="http://schemas.openxmlformats.org/officeDocument/2006/relationships/image"/><Relationship Id="rId119" Target="media/image58.png" Type="http://schemas.openxmlformats.org/officeDocument/2006/relationships/image"/><Relationship Id="rId12" Target="media/image2.png" Type="http://schemas.openxmlformats.org/officeDocument/2006/relationships/image"/><Relationship Id="rId120" Target="../customXml/item1.xml" Type="http://schemas.openxmlformats.org/officeDocument/2006/relationships/customXml"/><Relationship Id="rId121" Target="numbering.xml" Type="http://schemas.openxmlformats.org/officeDocument/2006/relationships/numbering"/><Relationship Id="rId122" Target="fontTable.xml" Type="http://schemas.openxmlformats.org/officeDocument/2006/relationships/fontTable"/><Relationship Id="rId13" Target="media/image3.jpeg" Type="http://schemas.openxmlformats.org/officeDocument/2006/relationships/image"/><Relationship Id="rId14" Target="media/image4.png" Type="http://schemas.openxmlformats.org/officeDocument/2006/relationships/image"/><Relationship Id="rId15" Target="media/image5.png" Type="http://schemas.openxmlformats.org/officeDocument/2006/relationships/image"/><Relationship Id="rId16" Target="embeddings/oleObject1.bin" Type="http://schemas.openxmlformats.org/officeDocument/2006/relationships/oleObject"/><Relationship Id="rId17" Target="media/image6.wmf" Type="http://schemas.openxmlformats.org/officeDocument/2006/relationships/image"/><Relationship Id="rId18" Target="embeddings/oleObject2.bin" Type="http://schemas.openxmlformats.org/officeDocument/2006/relationships/oleObject"/><Relationship Id="rId19" Target="media/image7.wmf" Type="http://schemas.openxmlformats.org/officeDocument/2006/relationships/image"/><Relationship Id="rId2" Target="settings.xml" Type="http://schemas.openxmlformats.org/officeDocument/2006/relationships/settings"/><Relationship Id="rId20" Target="embeddings/oleObject3.bin" Type="http://schemas.openxmlformats.org/officeDocument/2006/relationships/oleObject"/><Relationship Id="rId21" Target="media/image8.wmf" Type="http://schemas.openxmlformats.org/officeDocument/2006/relationships/image"/><Relationship Id="rId22" Target="embeddings/oleObject4.bin" Type="http://schemas.openxmlformats.org/officeDocument/2006/relationships/oleObject"/><Relationship Id="rId23" Target="media/image9.wmf" Type="http://schemas.openxmlformats.org/officeDocument/2006/relationships/image"/><Relationship Id="rId24" Target="embeddings/oleObject5.bin" Type="http://schemas.openxmlformats.org/officeDocument/2006/relationships/oleObject"/><Relationship Id="rId25" Target="media/image10.wmf" Type="http://schemas.openxmlformats.org/officeDocument/2006/relationships/image"/><Relationship Id="rId26" Target="embeddings/oleObject6.bin" Type="http://schemas.openxmlformats.org/officeDocument/2006/relationships/oleObject"/><Relationship Id="rId27" Target="media/image11.wmf" Type="http://schemas.openxmlformats.org/officeDocument/2006/relationships/image"/><Relationship Id="rId28" Target="embeddings/oleObject7.bin" Type="http://schemas.openxmlformats.org/officeDocument/2006/relationships/oleObject"/><Relationship Id="rId29" Target="media/image12.wmf" Type="http://schemas.openxmlformats.org/officeDocument/2006/relationships/image"/><Relationship Id="rId3" Target="footnotes.xml" Type="http://schemas.openxmlformats.org/officeDocument/2006/relationships/footnotes"/><Relationship Id="rId30" Target="embeddings/oleObject8.bin" Type="http://schemas.openxmlformats.org/officeDocument/2006/relationships/oleObject"/><Relationship Id="rId31" Target="media/image13.wmf" Type="http://schemas.openxmlformats.org/officeDocument/2006/relationships/image"/><Relationship Id="rId32" Target="embeddings/oleObject9.bin" Type="http://schemas.openxmlformats.org/officeDocument/2006/relationships/oleObject"/><Relationship Id="rId33" Target="media/image14.wmf" Type="http://schemas.openxmlformats.org/officeDocument/2006/relationships/image"/><Relationship Id="rId34" Target="embeddings/oleObject10.bin" Type="http://schemas.openxmlformats.org/officeDocument/2006/relationships/oleObject"/><Relationship Id="rId35" Target="media/image15.wmf" Type="http://schemas.openxmlformats.org/officeDocument/2006/relationships/image"/><Relationship Id="rId36" Target="embeddings/oleObject11.bin" Type="http://schemas.openxmlformats.org/officeDocument/2006/relationships/oleObject"/><Relationship Id="rId37" Target="media/image16.wmf" Type="http://schemas.openxmlformats.org/officeDocument/2006/relationships/image"/><Relationship Id="rId38" Target="embeddings/oleObject12.bin" Type="http://schemas.openxmlformats.org/officeDocument/2006/relationships/oleObject"/><Relationship Id="rId39" Target="media/image17.wmf" Type="http://schemas.openxmlformats.org/officeDocument/2006/relationships/image"/><Relationship Id="rId4" Target="endnotes.xml" Type="http://schemas.openxmlformats.org/officeDocument/2006/relationships/endnotes"/><Relationship Id="rId40" Target="embeddings/oleObject13.bin" Type="http://schemas.openxmlformats.org/officeDocument/2006/relationships/oleObject"/><Relationship Id="rId41" Target="media/image18.wmf" Type="http://schemas.openxmlformats.org/officeDocument/2006/relationships/image"/><Relationship Id="rId42" Target="embeddings/oleObject14.bin" Type="http://schemas.openxmlformats.org/officeDocument/2006/relationships/oleObject"/><Relationship Id="rId43" Target="media/image19.wmf" Type="http://schemas.openxmlformats.org/officeDocument/2006/relationships/image"/><Relationship Id="rId44" Target="embeddings/oleObject15.bin" Type="http://schemas.openxmlformats.org/officeDocument/2006/relationships/oleObject"/><Relationship Id="rId45" Target="media/image20.wmf" Type="http://schemas.openxmlformats.org/officeDocument/2006/relationships/image"/><Relationship Id="rId46" Target="embeddings/oleObject16.bin" Type="http://schemas.openxmlformats.org/officeDocument/2006/relationships/oleObject"/><Relationship Id="rId47" Target="media/image21.wmf" Type="http://schemas.openxmlformats.org/officeDocument/2006/relationships/image"/><Relationship Id="rId48" Target="embeddings/oleObject17.bin" Type="http://schemas.openxmlformats.org/officeDocument/2006/relationships/oleObject"/><Relationship Id="rId49" Target="media/image22.wmf" Type="http://schemas.openxmlformats.org/officeDocument/2006/relationships/image"/><Relationship Id="rId5" Target="footer1.xml" Type="http://schemas.openxmlformats.org/officeDocument/2006/relationships/footer"/><Relationship Id="rId50" Target="embeddings/oleObject18.bin" Type="http://schemas.openxmlformats.org/officeDocument/2006/relationships/oleObject"/><Relationship Id="rId51" Target="media/image23.wmf" Type="http://schemas.openxmlformats.org/officeDocument/2006/relationships/image"/><Relationship Id="rId52" Target="embeddings/oleObject19.bin" Type="http://schemas.openxmlformats.org/officeDocument/2006/relationships/oleObject"/><Relationship Id="rId53" Target="media/image24.wmf" Type="http://schemas.openxmlformats.org/officeDocument/2006/relationships/image"/><Relationship Id="rId54" Target="embeddings/oleObject20.bin" Type="http://schemas.openxmlformats.org/officeDocument/2006/relationships/oleObject"/><Relationship Id="rId55" Target="media/image25.wmf" Type="http://schemas.openxmlformats.org/officeDocument/2006/relationships/image"/><Relationship Id="rId56" Target="embeddings/oleObject21.bin" Type="http://schemas.openxmlformats.org/officeDocument/2006/relationships/oleObject"/><Relationship Id="rId57" Target="media/image26.wmf" Type="http://schemas.openxmlformats.org/officeDocument/2006/relationships/image"/><Relationship Id="rId58" Target="embeddings/oleObject22.bin" Type="http://schemas.openxmlformats.org/officeDocument/2006/relationships/oleObject"/><Relationship Id="rId59" Target="media/image27.wmf" Type="http://schemas.openxmlformats.org/officeDocument/2006/relationships/image"/><Relationship Id="rId6" Target="footer2.xml" Type="http://schemas.openxmlformats.org/officeDocument/2006/relationships/footer"/><Relationship Id="rId60" Target="embeddings/oleObject23.bin" Type="http://schemas.openxmlformats.org/officeDocument/2006/relationships/oleObject"/><Relationship Id="rId61" Target="media/image28.wmf" Type="http://schemas.openxmlformats.org/officeDocument/2006/relationships/image"/><Relationship Id="rId62" Target="embeddings/oleObject24.bin" Type="http://schemas.openxmlformats.org/officeDocument/2006/relationships/oleObject"/><Relationship Id="rId63" Target="media/image29.wmf" Type="http://schemas.openxmlformats.org/officeDocument/2006/relationships/image"/><Relationship Id="rId64" Target="embeddings/oleObject25.bin" Type="http://schemas.openxmlformats.org/officeDocument/2006/relationships/oleObject"/><Relationship Id="rId65" Target="media/image30.wmf" Type="http://schemas.openxmlformats.org/officeDocument/2006/relationships/image"/><Relationship Id="rId66" Target="embeddings/oleObject26.bin" Type="http://schemas.openxmlformats.org/officeDocument/2006/relationships/oleObject"/><Relationship Id="rId67" Target="embeddings/oleObject27.bin" Type="http://schemas.openxmlformats.org/officeDocument/2006/relationships/oleObject"/><Relationship Id="rId68" Target="media/image31.wmf" Type="http://schemas.openxmlformats.org/officeDocument/2006/relationships/image"/><Relationship Id="rId69" Target="embeddings/oleObject28.bin" Type="http://schemas.openxmlformats.org/officeDocument/2006/relationships/oleObject"/><Relationship Id="rId7" Target="footer3.xml" Type="http://schemas.openxmlformats.org/officeDocument/2006/relationships/footer"/><Relationship Id="rId70" Target="media/image32.wmf" Type="http://schemas.openxmlformats.org/officeDocument/2006/relationships/image"/><Relationship Id="rId71" Target="embeddings/oleObject29.bin" Type="http://schemas.openxmlformats.org/officeDocument/2006/relationships/oleObject"/><Relationship Id="rId72" Target="media/image33.wmf" Type="http://schemas.openxmlformats.org/officeDocument/2006/relationships/image"/><Relationship Id="rId73" Target="embeddings/oleObject30.bin" Type="http://schemas.openxmlformats.org/officeDocument/2006/relationships/oleObject"/><Relationship Id="rId74" Target="embeddings/oleObject31.bin" Type="http://schemas.openxmlformats.org/officeDocument/2006/relationships/oleObject"/><Relationship Id="rId75" Target="media/image34.wmf" Type="http://schemas.openxmlformats.org/officeDocument/2006/relationships/image"/><Relationship Id="rId76" Target="embeddings/oleObject32.bin" Type="http://schemas.openxmlformats.org/officeDocument/2006/relationships/oleObject"/><Relationship Id="rId77" Target="embeddings/oleObject33.bin" Type="http://schemas.openxmlformats.org/officeDocument/2006/relationships/oleObject"/><Relationship Id="rId78" Target="media/image35.wmf" Type="http://schemas.openxmlformats.org/officeDocument/2006/relationships/image"/><Relationship Id="rId79" Target="embeddings/oleObject34.bin" Type="http://schemas.openxmlformats.org/officeDocument/2006/relationships/oleObject"/><Relationship Id="rId8" Target="footer4.xml" Type="http://schemas.openxmlformats.org/officeDocument/2006/relationships/footer"/><Relationship Id="rId80" Target="media/image36.wmf" Type="http://schemas.openxmlformats.org/officeDocument/2006/relationships/image"/><Relationship Id="rId81" Target="embeddings/oleObject35.bin" Type="http://schemas.openxmlformats.org/officeDocument/2006/relationships/oleObject"/><Relationship Id="rId82" Target="media/image37.wmf" Type="http://schemas.openxmlformats.org/officeDocument/2006/relationships/image"/><Relationship Id="rId83" Target="embeddings/oleObject36.bin" Type="http://schemas.openxmlformats.org/officeDocument/2006/relationships/oleObject"/><Relationship Id="rId84" Target="media/image38.wmf" Type="http://schemas.openxmlformats.org/officeDocument/2006/relationships/image"/><Relationship Id="rId85" Target="embeddings/oleObject37.bin" Type="http://schemas.openxmlformats.org/officeDocument/2006/relationships/oleObject"/><Relationship Id="rId86" Target="media/image39.wmf" Type="http://schemas.openxmlformats.org/officeDocument/2006/relationships/image"/><Relationship Id="rId87" Target="embeddings/oleObject38.bin" Type="http://schemas.openxmlformats.org/officeDocument/2006/relationships/oleObject"/><Relationship Id="rId88" Target="media/image40.wmf" Type="http://schemas.openxmlformats.org/officeDocument/2006/relationships/image"/><Relationship Id="rId89" Target="embeddings/oleObject39.bin" Type="http://schemas.openxmlformats.org/officeDocument/2006/relationships/oleObject"/><Relationship Id="rId9" Target="footer5.xml" Type="http://schemas.openxmlformats.org/officeDocument/2006/relationships/footer"/><Relationship Id="rId90" Target="media/image41.wmf" Type="http://schemas.openxmlformats.org/officeDocument/2006/relationships/image"/><Relationship Id="rId91" Target="embeddings/oleObject40.bin" Type="http://schemas.openxmlformats.org/officeDocument/2006/relationships/oleObject"/><Relationship Id="rId92" Target="media/image42.wmf" Type="http://schemas.openxmlformats.org/officeDocument/2006/relationships/image"/><Relationship Id="rId93" Target="embeddings/oleObject41.bin" Type="http://schemas.openxmlformats.org/officeDocument/2006/relationships/oleObject"/><Relationship Id="rId94" Target="media/image43.wmf" Type="http://schemas.openxmlformats.org/officeDocument/2006/relationships/image"/><Relationship Id="rId95" Target="embeddings/oleObject42.bin" Type="http://schemas.openxmlformats.org/officeDocument/2006/relationships/oleObject"/><Relationship Id="rId96" Target="embeddings/oleObject43.bin" Type="http://schemas.openxmlformats.org/officeDocument/2006/relationships/oleObject"/><Relationship Id="rId97" Target="media/image44.wmf" Type="http://schemas.openxmlformats.org/officeDocument/2006/relationships/image"/><Relationship Id="rId98" Target="embeddings/oleObject44.bin" Type="http://schemas.openxmlformats.org/officeDocument/2006/relationships/oleObject"/><Relationship Id="rId99" Target="media/image45.wmf" Type="http://schemas.openxmlformats.org/officeDocument/2006/relationships/image"/></Relationships>
</file>

<file path=word/_rels/settings.xml.rels><?xml version="1.0" encoding="UTF-8" standalone="no"?><Relationships xmlns="http://schemas.openxmlformats.org/package/2006/relationships"><Relationship Id="rId1" Target="file:///C:/dsoa/wdzx97.dot" TargetMode="External" Type="http://schemas.openxmlformats.org/officeDocument/2006/relationships/attachedTemplate"/></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textRotate="1"/>
    <customShpInfo spid="_x0000_s2050"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wdzx97</Template>
  <Company>微软中国</Company>
  <Pages>61</Pages>
  <Words>36258</Words>
  <Characters>41688</Characters>
  <Lines>13</Lines>
  <Paragraphs>3</Paragraphs>
  <TotalTime>3</TotalTime>
  <ScaleCrop>false</ScaleCrop>
  <LinksUpToDate>false</LinksUpToDate>
  <CharactersWithSpaces>42071</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2020-12-24T01:29:00Z</dcterms:created>
  <dc:creator>lhj</dc:creator>
  <cp:lastModifiedBy>邵静</cp:lastModifiedBy>
  <cp:lastPrinted>2021-11-12T05:52:00Z</cp:lastPrinted>
  <dcterms:modified xsi:type="dcterms:W3CDTF">2023-03-23T09:15:37Z</dcterms:modified>
  <cp:revision>37</cp:revision>
  <dc:title>附件2</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1A412C5A6AB6480AAC41BC30D84CAB7A</vt:lpwstr>
  </property>
</Properties>
</file>