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val="en-US" w:eastAsia="zh-CN"/>
        </w:rPr>
        <w:t>抚宁区</w:t>
      </w:r>
      <w:r>
        <w:rPr>
          <w:rFonts w:hint="eastAsia"/>
          <w:sz w:val="44"/>
          <w:szCs w:val="44"/>
          <w:lang w:eastAsia="zh-CN"/>
        </w:rPr>
        <w:t>市场监督管理局</w:t>
      </w:r>
    </w:p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重大行政执法决定法制审核事项清单</w:t>
      </w:r>
    </w:p>
    <w:p>
      <w:pPr>
        <w:jc w:val="left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填报单位：（盖章）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"/>
        <w:gridCol w:w="810"/>
        <w:gridCol w:w="3195"/>
        <w:gridCol w:w="38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1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序</w:t>
            </w:r>
          </w:p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号</w:t>
            </w:r>
          </w:p>
        </w:tc>
        <w:tc>
          <w:tcPr>
            <w:tcW w:w="810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执法类别</w:t>
            </w:r>
          </w:p>
        </w:tc>
        <w:tc>
          <w:tcPr>
            <w:tcW w:w="3195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事项清单</w:t>
            </w:r>
          </w:p>
        </w:tc>
        <w:tc>
          <w:tcPr>
            <w:tcW w:w="3886" w:type="dxa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法制审查内容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1" w:type="dxa"/>
          </w:tcPr>
          <w:p>
            <w:pPr>
              <w:jc w:val="left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</w:tcPr>
          <w:p>
            <w:pPr>
              <w:jc w:val="left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行政处罚</w:t>
            </w:r>
          </w:p>
        </w:tc>
        <w:tc>
          <w:tcPr>
            <w:tcW w:w="31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吊销许可证或者执照；责令停产停业；罚款在5万元及以上；超越裁量权基准范围，给予减轻（加重）行政处罚或不予行政处罚的案件；办案机构在定性处罚时有疑虑的疑难案件；法律、法规规定的其他重大行政处罚事项</w:t>
            </w:r>
          </w:p>
        </w:tc>
        <w:tc>
          <w:tcPr>
            <w:tcW w:w="38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法主体是否合法，执法人员是否具备执法资格；主要事实是否清楚，证据是否确凿、充分；适用法律、法规、规章是否准确；行政处罚执行裁量基准是否适当；程序是否合法；是否有超越本机关职权范围或滥用职权的情形；执法文书是否规范、齐备；违法行为是否涉嫌犯罪需要移送司法机关；其他应当审核的内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1" w:type="dxa"/>
          </w:tcPr>
          <w:p>
            <w:pPr>
              <w:jc w:val="left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</w:tcPr>
          <w:p>
            <w:pPr>
              <w:jc w:val="left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行政强制</w:t>
            </w:r>
          </w:p>
        </w:tc>
        <w:tc>
          <w:tcPr>
            <w:tcW w:w="31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封经营场所使法人或者其他组织的生产经营活动、工作难以正常进行的行政强制措施；扣押许可证或者执照使法人或者其他组织的生产经营活动、工作难以正常进行的行政强制措施；封闭场所、封存物品使法人或者其他组织的生产经营活动、工作难以正常进行的行政强制执行；法律、法规规定的其他重大行政强制事项。</w:t>
            </w:r>
          </w:p>
        </w:tc>
        <w:tc>
          <w:tcPr>
            <w:tcW w:w="38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否事先催告当事人履行义务；是否听取当事人陈述和申辩；当事人提出的事实、理由或者证据成立的，承办部门是否采纳;采取强制执行措施是否符合法定条件；采取措施是否按规定审批。</w:t>
            </w:r>
            <w:bookmarkStart w:id="0" w:name="_GoBack"/>
            <w:bookmarkEnd w:id="0"/>
          </w:p>
        </w:tc>
      </w:tr>
    </w:tbl>
    <w:p>
      <w:pPr>
        <w:jc w:val="left"/>
        <w:rPr>
          <w:rFonts w:hint="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ZiOWRjNWVkYWRiY2M2MTUzMWY2MThmYmZmNmFkMzEifQ=="/>
  </w:docVars>
  <w:rsids>
    <w:rsidRoot w:val="464A34D3"/>
    <w:rsid w:val="0C1E6BCC"/>
    <w:rsid w:val="464A34D3"/>
    <w:rsid w:val="7A7E6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524</Words>
  <Characters>524</Characters>
  <Lines>0</Lines>
  <Paragraphs>0</Paragraphs>
  <TotalTime>14</TotalTime>
  <ScaleCrop>false</ScaleCrop>
  <LinksUpToDate>false</LinksUpToDate>
  <CharactersWithSpaces>524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2019-12-06T01:02:00Z</dcterms:created>
  <dc:creator>lx69320</dc:creator>
  <cp:lastModifiedBy>vanya</cp:lastModifiedBy>
  <dcterms:modified xsi:type="dcterms:W3CDTF">2023-10-31T02:33:16Z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FFDD9730925E44468DB58DD7E23D29E2_12</vt:lpwstr>
  </property>
</Properties>
</file>