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秦皇岛市抚宁区</w:t>
      </w:r>
    </w:p>
    <w:p>
      <w:pPr>
        <w:adjustRightInd w:val="0"/>
        <w:snapToGrid w:val="0"/>
        <w:spacing w:line="360" w:lineRule="auto"/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asciiTheme="majorEastAsia" w:hAnsiTheme="majorEastAsia" w:eastAsiaTheme="majorEastAsia"/>
          <w:b/>
          <w:sz w:val="44"/>
          <w:szCs w:val="44"/>
        </w:rPr>
        <w:t>2015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年财政总决算情况的报告</w:t>
      </w:r>
    </w:p>
    <w:p>
      <w:pPr>
        <w:spacing w:line="360" w:lineRule="auto"/>
        <w:contextualSpacing/>
        <w:jc w:val="center"/>
        <w:rPr>
          <w:rFonts w:ascii="仿宋_GB2312" w:hAnsi="仿宋" w:eastAsia="仿宋_GB2312"/>
          <w:kern w:val="32"/>
          <w:sz w:val="32"/>
          <w:szCs w:val="32"/>
        </w:rPr>
      </w:pPr>
      <w:r>
        <w:rPr>
          <w:rFonts w:hint="eastAsia" w:ascii="仿宋_GB2312" w:hAnsi="仿宋" w:eastAsia="仿宋_GB2312"/>
          <w:kern w:val="32"/>
          <w:sz w:val="32"/>
          <w:szCs w:val="32"/>
        </w:rPr>
        <w:t>抚</w:t>
      </w:r>
      <w:r>
        <w:rPr>
          <w:rFonts w:ascii="仿宋_GB2312" w:hAnsi="仿宋" w:eastAsia="仿宋_GB2312"/>
          <w:kern w:val="32"/>
          <w:sz w:val="32"/>
          <w:szCs w:val="32"/>
        </w:rPr>
        <w:t>宁</w:t>
      </w:r>
      <w:r>
        <w:rPr>
          <w:rFonts w:hint="eastAsia" w:ascii="仿宋_GB2312" w:hAnsi="仿宋" w:eastAsia="仿宋_GB2312"/>
          <w:kern w:val="32"/>
          <w:sz w:val="32"/>
          <w:szCs w:val="32"/>
        </w:rPr>
        <w:t>区</w:t>
      </w:r>
      <w:r>
        <w:rPr>
          <w:rFonts w:ascii="仿宋_GB2312" w:hAnsi="仿宋" w:eastAsia="仿宋_GB2312"/>
          <w:kern w:val="32"/>
          <w:sz w:val="32"/>
          <w:szCs w:val="32"/>
        </w:rPr>
        <w:t>财政局局长</w:t>
      </w:r>
      <w:r>
        <w:rPr>
          <w:rFonts w:hint="eastAsia" w:ascii="仿宋_GB2312" w:hAnsi="仿宋" w:eastAsia="仿宋_GB2312"/>
          <w:kern w:val="32"/>
          <w:sz w:val="32"/>
          <w:szCs w:val="32"/>
        </w:rPr>
        <w:t xml:space="preserve"> 陈慧卿</w:t>
      </w:r>
    </w:p>
    <w:p>
      <w:pPr>
        <w:spacing w:line="360" w:lineRule="auto"/>
        <w:contextualSpacing/>
        <w:jc w:val="center"/>
        <w:rPr>
          <w:rFonts w:ascii="仿宋_GB2312" w:hAnsi="仿宋" w:eastAsia="仿宋_GB2312"/>
          <w:kern w:val="32"/>
          <w:sz w:val="32"/>
          <w:szCs w:val="32"/>
        </w:rPr>
      </w:pPr>
      <w:r>
        <w:rPr>
          <w:rFonts w:hint="eastAsia" w:ascii="仿宋_GB2312" w:hAnsi="仿宋" w:eastAsia="仿宋_GB2312"/>
          <w:kern w:val="32"/>
          <w:sz w:val="32"/>
          <w:szCs w:val="32"/>
        </w:rPr>
        <w:t>（201</w:t>
      </w:r>
      <w:r>
        <w:rPr>
          <w:rFonts w:ascii="仿宋_GB2312" w:hAnsi="仿宋" w:eastAsia="仿宋_GB2312"/>
          <w:kern w:val="32"/>
          <w:sz w:val="32"/>
          <w:szCs w:val="32"/>
        </w:rPr>
        <w:t>6</w:t>
      </w:r>
      <w:r>
        <w:rPr>
          <w:rFonts w:hint="eastAsia" w:ascii="仿宋_GB2312" w:hAnsi="仿宋" w:eastAsia="仿宋_GB2312"/>
          <w:kern w:val="32"/>
          <w:sz w:val="32"/>
          <w:szCs w:val="32"/>
        </w:rPr>
        <w:t>年</w:t>
      </w:r>
      <w:r>
        <w:rPr>
          <w:rFonts w:ascii="仿宋_GB2312" w:hAnsi="仿宋" w:eastAsia="仿宋_GB2312"/>
          <w:kern w:val="32"/>
          <w:sz w:val="32"/>
          <w:szCs w:val="32"/>
        </w:rPr>
        <w:t>8</w:t>
      </w:r>
      <w:r>
        <w:rPr>
          <w:rFonts w:hint="eastAsia" w:ascii="仿宋_GB2312" w:hAnsi="仿宋" w:eastAsia="仿宋_GB2312"/>
          <w:kern w:val="32"/>
          <w:sz w:val="32"/>
          <w:szCs w:val="32"/>
        </w:rPr>
        <w:t>月</w:t>
      </w:r>
      <w:r>
        <w:rPr>
          <w:rFonts w:ascii="仿宋_GB2312" w:hAnsi="仿宋" w:eastAsia="仿宋_GB2312"/>
          <w:kern w:val="32"/>
          <w:sz w:val="32"/>
          <w:szCs w:val="32"/>
        </w:rPr>
        <w:t>25</w:t>
      </w:r>
      <w:r>
        <w:rPr>
          <w:rFonts w:hint="eastAsia" w:ascii="仿宋_GB2312" w:hAnsi="仿宋" w:eastAsia="仿宋_GB2312"/>
          <w:kern w:val="32"/>
          <w:sz w:val="32"/>
          <w:szCs w:val="32"/>
        </w:rPr>
        <w:t>日）</w:t>
      </w:r>
    </w:p>
    <w:p>
      <w:pPr>
        <w:spacing w:line="396" w:lineRule="auto"/>
        <w:contextualSpacing/>
        <w:rPr>
          <w:rFonts w:ascii="仿宋_GB2312" w:hAnsi="仿宋" w:eastAsia="仿宋_GB2312"/>
          <w:kern w:val="32"/>
          <w:sz w:val="32"/>
          <w:szCs w:val="32"/>
        </w:rPr>
      </w:pPr>
    </w:p>
    <w:p>
      <w:pPr>
        <w:adjustRightInd w:val="0"/>
        <w:snapToGrid w:val="0"/>
        <w:spacing w:line="396" w:lineRule="auto"/>
        <w:rPr>
          <w:rFonts w:ascii="仿宋_GB2312" w:hAnsi="仿宋" w:eastAsia="仿宋_GB2312"/>
          <w:kern w:val="32"/>
          <w:sz w:val="32"/>
          <w:szCs w:val="32"/>
        </w:rPr>
      </w:pPr>
      <w:r>
        <w:rPr>
          <w:rFonts w:hint="eastAsia" w:ascii="仿宋_GB2312" w:hAnsi="仿宋" w:eastAsia="仿宋_GB2312"/>
          <w:kern w:val="32"/>
          <w:sz w:val="32"/>
          <w:szCs w:val="32"/>
        </w:rPr>
        <w:t>主任</w:t>
      </w:r>
      <w:r>
        <w:rPr>
          <w:rFonts w:ascii="仿宋_GB2312" w:hAnsi="仿宋" w:eastAsia="仿宋_GB2312"/>
          <w:kern w:val="32"/>
          <w:sz w:val="32"/>
          <w:szCs w:val="32"/>
        </w:rPr>
        <w:t>、</w:t>
      </w:r>
      <w:r>
        <w:rPr>
          <w:rFonts w:hint="eastAsia" w:ascii="仿宋_GB2312" w:hAnsi="仿宋" w:eastAsia="仿宋_GB2312"/>
          <w:kern w:val="32"/>
          <w:sz w:val="32"/>
          <w:szCs w:val="32"/>
        </w:rPr>
        <w:t>各位副</w:t>
      </w:r>
      <w:r>
        <w:rPr>
          <w:rFonts w:ascii="仿宋_GB2312" w:hAnsi="仿宋" w:eastAsia="仿宋_GB2312"/>
          <w:kern w:val="32"/>
          <w:sz w:val="32"/>
          <w:szCs w:val="32"/>
        </w:rPr>
        <w:t>主任、各位委员</w:t>
      </w:r>
      <w:r>
        <w:rPr>
          <w:rFonts w:hint="eastAsia" w:ascii="仿宋_GB2312" w:hAnsi="仿宋" w:eastAsia="仿宋_GB2312"/>
          <w:kern w:val="32"/>
          <w:sz w:val="32"/>
          <w:szCs w:val="32"/>
        </w:rPr>
        <w:t>：</w:t>
      </w:r>
    </w:p>
    <w:p>
      <w:pPr>
        <w:adjustRightInd w:val="0"/>
        <w:snapToGrid w:val="0"/>
        <w:spacing w:line="396" w:lineRule="auto"/>
        <w:ind w:firstLine="640" w:firstLineChars="200"/>
        <w:rPr>
          <w:rFonts w:ascii="仿宋_GB2312" w:hAnsi="仿宋" w:eastAsia="仿宋_GB2312"/>
          <w:kern w:val="32"/>
          <w:sz w:val="32"/>
          <w:szCs w:val="32"/>
        </w:rPr>
      </w:pPr>
      <w:r>
        <w:rPr>
          <w:rFonts w:hint="eastAsia" w:ascii="仿宋_GB2312" w:hAnsi="仿宋" w:eastAsia="仿宋_GB2312"/>
          <w:kern w:val="32"/>
          <w:sz w:val="32"/>
          <w:szCs w:val="32"/>
        </w:rPr>
        <w:t>我受区政府委托，向区</w:t>
      </w:r>
      <w:r>
        <w:rPr>
          <w:rFonts w:ascii="仿宋_GB2312" w:hAnsi="仿宋" w:eastAsia="仿宋_GB2312"/>
          <w:kern w:val="32"/>
          <w:sz w:val="32"/>
          <w:szCs w:val="32"/>
        </w:rPr>
        <w:t>人大常委会</w:t>
      </w:r>
      <w:r>
        <w:rPr>
          <w:rFonts w:hint="eastAsia" w:ascii="仿宋_GB2312" w:hAnsi="仿宋" w:eastAsia="仿宋_GB2312"/>
          <w:kern w:val="32"/>
          <w:sz w:val="32"/>
          <w:szCs w:val="32"/>
        </w:rPr>
        <w:t>作2015年财政总决算情况的报告，请予审议。</w:t>
      </w:r>
    </w:p>
    <w:p>
      <w:pPr>
        <w:adjustRightInd w:val="0"/>
        <w:snapToGrid w:val="0"/>
        <w:spacing w:line="396" w:lineRule="auto"/>
        <w:ind w:firstLine="640" w:firstLineChars="20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kern w:val="32"/>
          <w:sz w:val="32"/>
          <w:szCs w:val="32"/>
        </w:rPr>
        <w:t>一、2015年</w:t>
      </w:r>
      <w:r>
        <w:rPr>
          <w:rFonts w:hint="eastAsia" w:ascii="黑体" w:hAnsi="黑体" w:eastAsia="黑体"/>
          <w:color w:val="000000"/>
          <w:sz w:val="32"/>
          <w:szCs w:val="32"/>
        </w:rPr>
        <w:t>公共预算收支情况</w:t>
      </w:r>
    </w:p>
    <w:p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napToGrid w:val="0"/>
        <w:spacing w:line="396" w:lineRule="auto"/>
        <w:ind w:firstLine="640" w:firstLineChars="200"/>
        <w:rPr>
          <w:rFonts w:ascii="仿宋_GB2312" w:hAnsi="宋体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仿宋_GB2312"/>
          <w:kern w:val="0"/>
          <w:sz w:val="32"/>
          <w:szCs w:val="32"/>
        </w:rPr>
        <w:t>2015年，全区全部财政收入完成131,517万元，占年初预算的89.8%，比上年下降3.2%，减收4,292万元。其中：区本级公共财政预算收入完成81,506万元，完成年初预算的102.8%，比上年增长8.6%，增收6,456万元。执行中，由于上级税收返还及转移支付增加等因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素，支出预算调整为21</w:t>
      </w:r>
      <w:r>
        <w:rPr>
          <w:rFonts w:ascii="仿宋_GB2312" w:hAnsi="宋体" w:eastAsia="仿宋_GB2312" w:cs="仿宋_GB2312"/>
          <w:color w:val="000000"/>
          <w:kern w:val="0"/>
          <w:sz w:val="32"/>
          <w:szCs w:val="32"/>
        </w:rPr>
        <w:t>3,114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万元。全</w:t>
      </w:r>
      <w:r>
        <w:rPr>
          <w:rFonts w:hint="eastAsia" w:ascii="仿宋_GB2312" w:hAnsi="宋体" w:eastAsia="仿宋_GB2312" w:cs="仿宋_GB2312"/>
          <w:kern w:val="0"/>
          <w:sz w:val="32"/>
          <w:szCs w:val="32"/>
        </w:rPr>
        <w:t>区公共财政预算支出完成203,111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万元，占调整预算的95.</w:t>
      </w:r>
      <w:r>
        <w:rPr>
          <w:rFonts w:ascii="仿宋_GB2312" w:hAnsi="宋体" w:eastAsia="仿宋_GB2312" w:cs="仿宋_GB2312"/>
          <w:color w:val="000000"/>
          <w:kern w:val="0"/>
          <w:sz w:val="32"/>
          <w:szCs w:val="32"/>
        </w:rPr>
        <w:t>3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%，比上年增长11.5%，增支20,927万元，结转下年</w:t>
      </w:r>
      <w:r>
        <w:rPr>
          <w:rFonts w:ascii="仿宋_GB2312" w:hAnsi="宋体" w:eastAsia="仿宋_GB2312" w:cs="仿宋_GB2312"/>
          <w:color w:val="000000"/>
          <w:kern w:val="0"/>
          <w:sz w:val="32"/>
          <w:szCs w:val="32"/>
        </w:rPr>
        <w:t>10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,</w:t>
      </w:r>
      <w:r>
        <w:rPr>
          <w:rFonts w:ascii="仿宋_GB2312" w:hAnsi="宋体" w:eastAsia="仿宋_GB2312" w:cs="仿宋_GB2312"/>
          <w:color w:val="000000"/>
          <w:kern w:val="0"/>
          <w:sz w:val="32"/>
          <w:szCs w:val="32"/>
        </w:rPr>
        <w:t>003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万元，当年实现财政收支平衡。</w:t>
      </w:r>
    </w:p>
    <w:p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napToGrid w:val="0"/>
        <w:spacing w:line="396" w:lineRule="auto"/>
        <w:ind w:firstLine="640" w:firstLineChars="200"/>
        <w:rPr>
          <w:rFonts w:ascii="仿宋_GB2312" w:hAnsi="宋体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为支持地方优化债务结构，降低债务成本，省政府批准下达我区2015年地方政府债券30,805万元，其中，新增地方政府债券912万元，地方政府置换债券资金29,893万元。按照《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lang w:eastAsia="zh-CN"/>
        </w:rPr>
        <w:t>中华人民共和国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预算法》的有关规定，已报经区人大常委会审议通过。</w:t>
      </w:r>
    </w:p>
    <w:p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napToGrid w:val="0"/>
        <w:spacing w:line="396" w:lineRule="auto"/>
        <w:ind w:firstLine="640" w:firstLineChars="200"/>
        <w:rPr>
          <w:rFonts w:ascii="仿宋_GB2312" w:hAnsi="宋体" w:eastAsia="仿宋_GB2312" w:cs="仿宋_GB2312"/>
          <w:kern w:val="0"/>
          <w:sz w:val="32"/>
          <w:szCs w:val="32"/>
        </w:rPr>
      </w:pPr>
      <w:r>
        <w:rPr>
          <w:rFonts w:ascii="仿宋_GB2312" w:hAnsi="宋体" w:eastAsia="仿宋_GB2312" w:cs="仿宋_GB2312"/>
          <w:color w:val="000000"/>
          <w:kern w:val="0"/>
          <w:sz w:val="32"/>
          <w:szCs w:val="32"/>
        </w:rPr>
        <w:t>按照《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lang w:eastAsia="zh-CN"/>
        </w:rPr>
        <w:t>中华人民共和国</w:t>
      </w:r>
      <w:bookmarkStart w:id="0" w:name="_GoBack"/>
      <w:bookmarkEnd w:id="0"/>
      <w:r>
        <w:rPr>
          <w:rFonts w:ascii="仿宋_GB2312" w:hAnsi="宋体" w:eastAsia="仿宋_GB2312" w:cs="仿宋_GB2312"/>
          <w:color w:val="000000"/>
          <w:kern w:val="0"/>
          <w:sz w:val="32"/>
          <w:szCs w:val="32"/>
        </w:rPr>
        <w:t>预算法》关于超收收入的规定，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区人大常委会审议通过将区级公共财政预算收入预计超收0.21亿元用于补充预算调节基金。到年末本级收入实际超收2,206万元，全部用于补充预算稳定调节基</w:t>
      </w:r>
      <w:r>
        <w:rPr>
          <w:rFonts w:hint="eastAsia" w:ascii="仿宋_GB2312" w:hAnsi="宋体" w:eastAsia="仿宋_GB2312" w:cs="仿宋_GB2312"/>
          <w:kern w:val="0"/>
          <w:sz w:val="32"/>
          <w:szCs w:val="32"/>
        </w:rPr>
        <w:t>金，用于弥补以后年度预算资金的不足。</w:t>
      </w:r>
    </w:p>
    <w:p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napToGrid w:val="0"/>
        <w:spacing w:line="396" w:lineRule="auto"/>
        <w:ind w:firstLine="640" w:firstLineChars="20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二、政府性基金预算收支情况</w:t>
      </w:r>
    </w:p>
    <w:p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napToGrid w:val="0"/>
        <w:spacing w:line="396" w:lineRule="auto"/>
        <w:ind w:firstLine="640" w:firstLineChars="200"/>
        <w:rPr>
          <w:rFonts w:ascii="仿宋_GB2312" w:hAnsi="宋体" w:eastAsia="仿宋_GB2312" w:cs="仿宋_GB2312"/>
          <w:kern w:val="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2015年，受房地产市场低迷、建筑市场疲软等因素影响，我区实现的土地招牌挂项目明显减少，土地出让金收入下降。经区第一届人大常委会第二次会议批准，2015年我区政府性基金收入由年初31,770万元调整为24,100万元。到年底，基金收入完成24,184万元，完成调整后预算的100.3%，</w:t>
      </w:r>
      <w:r>
        <w:rPr>
          <w:rFonts w:hint="eastAsia" w:ascii="仿宋_GB2312" w:hAnsi="宋体" w:eastAsia="仿宋_GB2312" w:cs="仿宋_GB2312"/>
          <w:kern w:val="0"/>
          <w:sz w:val="32"/>
          <w:szCs w:val="32"/>
        </w:rPr>
        <w:t>比上年下降55.8%，减收30,481万元</w:t>
      </w:r>
      <w:r>
        <w:rPr>
          <w:rFonts w:hint="eastAsia" w:ascii="仿宋_GB2312" w:eastAsia="仿宋_GB2312"/>
          <w:color w:val="000000"/>
          <w:sz w:val="32"/>
          <w:szCs w:val="32"/>
        </w:rPr>
        <w:t>。执行中由于上级专项转移支付资金增加等因素，当年基金支出预算调整为2</w:t>
      </w:r>
      <w:r>
        <w:rPr>
          <w:rFonts w:ascii="仿宋_GB2312" w:eastAsia="仿宋_GB2312"/>
          <w:color w:val="000000"/>
          <w:sz w:val="32"/>
          <w:szCs w:val="32"/>
        </w:rPr>
        <w:t>7,979</w:t>
      </w:r>
      <w:r>
        <w:rPr>
          <w:rFonts w:hint="eastAsia" w:ascii="仿宋_GB2312" w:eastAsia="仿宋_GB2312"/>
          <w:color w:val="000000"/>
          <w:sz w:val="32"/>
          <w:szCs w:val="32"/>
        </w:rPr>
        <w:t>万元。全年政府性基金支出26</w:t>
      </w:r>
      <w:r>
        <w:rPr>
          <w:rFonts w:ascii="仿宋_GB2312" w:eastAsia="仿宋_GB2312"/>
          <w:color w:val="000000"/>
          <w:sz w:val="32"/>
          <w:szCs w:val="32"/>
        </w:rPr>
        <w:t>,763</w:t>
      </w:r>
      <w:r>
        <w:rPr>
          <w:rFonts w:hint="eastAsia" w:ascii="仿宋_GB2312" w:eastAsia="仿宋_GB2312"/>
          <w:color w:val="000000"/>
          <w:sz w:val="32"/>
          <w:szCs w:val="32"/>
        </w:rPr>
        <w:t>万元，</w:t>
      </w:r>
      <w:r>
        <w:rPr>
          <w:rFonts w:hint="eastAsia" w:ascii="仿宋_GB2312" w:hAnsi="宋体" w:eastAsia="仿宋_GB2312" w:cs="仿宋_GB2312"/>
          <w:kern w:val="0"/>
          <w:sz w:val="32"/>
          <w:szCs w:val="32"/>
        </w:rPr>
        <w:t>占调整预算的95.7%，比上年下降55.1%，减支32,852万元，结转下年1,216万元，实现当年基金收支平衡。</w:t>
      </w:r>
    </w:p>
    <w:p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napToGrid w:val="0"/>
        <w:spacing w:line="396" w:lineRule="auto"/>
        <w:ind w:firstLine="640" w:firstLineChars="20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三、社会保险基金预算收支情况</w:t>
      </w:r>
    </w:p>
    <w:p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napToGrid w:val="0"/>
        <w:spacing w:line="396" w:lineRule="auto"/>
        <w:ind w:firstLine="640" w:firstLineChars="200"/>
        <w:rPr>
          <w:rFonts w:ascii="仿宋_GB2312" w:hAnsi="宋体" w:eastAsia="仿宋_GB2312" w:cs="仿宋_GB2312"/>
          <w:kern w:val="0"/>
          <w:sz w:val="32"/>
          <w:szCs w:val="32"/>
        </w:rPr>
      </w:pPr>
      <w:r>
        <w:rPr>
          <w:rFonts w:hint="eastAsia" w:ascii="仿宋_GB2312" w:hAnsi="宋体" w:eastAsia="仿宋_GB2312" w:cs="仿宋_GB2312"/>
          <w:kern w:val="0"/>
          <w:sz w:val="32"/>
          <w:szCs w:val="32"/>
        </w:rPr>
        <w:t>社保基金收入</w:t>
      </w:r>
      <w:r>
        <w:rPr>
          <w:rFonts w:ascii="仿宋_GB2312" w:hAnsi="宋体" w:eastAsia="仿宋_GB2312" w:cs="仿宋_GB2312"/>
          <w:kern w:val="0"/>
          <w:sz w:val="32"/>
          <w:szCs w:val="32"/>
        </w:rPr>
        <w:t>43,006</w:t>
      </w:r>
      <w:r>
        <w:rPr>
          <w:rFonts w:hint="eastAsia" w:ascii="仿宋_GB2312" w:hAnsi="宋体" w:eastAsia="仿宋_GB2312" w:cs="仿宋_GB2312"/>
          <w:kern w:val="0"/>
          <w:sz w:val="32"/>
          <w:szCs w:val="32"/>
        </w:rPr>
        <w:t>万元，完成预算的</w:t>
      </w:r>
      <w:r>
        <w:rPr>
          <w:rFonts w:ascii="仿宋_GB2312" w:hAnsi="宋体" w:eastAsia="仿宋_GB2312" w:cs="仿宋_GB2312"/>
          <w:kern w:val="0"/>
          <w:sz w:val="32"/>
          <w:szCs w:val="32"/>
        </w:rPr>
        <w:t>108.5</w:t>
      </w:r>
      <w:r>
        <w:rPr>
          <w:rFonts w:hint="eastAsia" w:ascii="仿宋_GB2312" w:hAnsi="宋体" w:eastAsia="仿宋_GB2312" w:cs="仿宋_GB2312"/>
          <w:kern w:val="0"/>
          <w:sz w:val="32"/>
          <w:szCs w:val="32"/>
        </w:rPr>
        <w:t>%，比上年增长32.6%，增收10,566万元；社保基金支出</w:t>
      </w:r>
      <w:r>
        <w:rPr>
          <w:rFonts w:ascii="仿宋_GB2312" w:hAnsi="宋体" w:eastAsia="仿宋_GB2312" w:cs="仿宋_GB2312"/>
          <w:kern w:val="0"/>
          <w:sz w:val="32"/>
          <w:szCs w:val="32"/>
        </w:rPr>
        <w:t>35,256</w:t>
      </w:r>
      <w:r>
        <w:rPr>
          <w:rFonts w:hint="eastAsia" w:ascii="仿宋_GB2312" w:hAnsi="宋体" w:eastAsia="仿宋_GB2312" w:cs="仿宋_GB2312"/>
          <w:kern w:val="0"/>
          <w:sz w:val="32"/>
          <w:szCs w:val="32"/>
        </w:rPr>
        <w:t>万元，完成预算的100.1%，比上年增长17%，增支5,121万元。社保基金收支增长的原因主要是2015年缴费基数和缴费标准提高造成的。基金收支相抵后，当年结余7,780万元，累计滚存结余36,178万元。</w:t>
      </w:r>
    </w:p>
    <w:p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napToGrid w:val="0"/>
        <w:spacing w:line="396" w:lineRule="auto"/>
        <w:ind w:firstLine="640" w:firstLineChars="200"/>
        <w:rPr>
          <w:rFonts w:ascii="仿宋_GB2312" w:hAnsi="宋体" w:eastAsia="仿宋_GB2312" w:cs="仿宋_GB2312"/>
          <w:kern w:val="0"/>
          <w:sz w:val="32"/>
          <w:szCs w:val="32"/>
        </w:rPr>
      </w:pPr>
      <w:r>
        <w:rPr>
          <w:rFonts w:hint="eastAsia" w:ascii="仿宋_GB2312" w:hAnsi="宋体" w:eastAsia="仿宋_GB2312" w:cs="仿宋_GB2312"/>
          <w:kern w:val="0"/>
          <w:sz w:val="32"/>
          <w:szCs w:val="32"/>
        </w:rPr>
        <w:t>上述为2015年决算数字，已于年初逐级上报，目前省、市尚未批复。待上级正式批复后，决算数字如有变化，再向区人大常委会报告。</w:t>
      </w:r>
    </w:p>
    <w:sectPr>
      <w:footerReference r:id="rId3" w:type="default"/>
      <w:pgSz w:w="11906" w:h="16838"/>
      <w:pgMar w:top="1440" w:right="1588" w:bottom="1440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tabs>
        <w:tab w:val="left" w:pos="2535"/>
        <w:tab w:val="center" w:pos="4725"/>
      </w:tabs>
      <w:jc w:val="center"/>
      <w:rPr>
        <w:rFonts w:asciiTheme="minorEastAsia" w:hAnsiTheme="minorEastAsia"/>
        <w:sz w:val="28"/>
        <w:szCs w:val="28"/>
      </w:rPr>
    </w:pPr>
    <w:r>
      <w:rPr>
        <w:rFonts w:asciiTheme="minorEastAsia" w:hAnsiTheme="minorEastAsia"/>
        <w:sz w:val="28"/>
        <w:szCs w:val="28"/>
      </w:rPr>
      <w:t>-</w:t>
    </w:r>
    <w:sdt>
      <w:sdtPr>
        <w:rPr>
          <w:rFonts w:asciiTheme="minorEastAsia" w:hAnsiTheme="minorEastAsia"/>
          <w:sz w:val="28"/>
          <w:szCs w:val="28"/>
        </w:rPr>
        <w:id w:val="986284555"/>
        <w:docPartObj>
          <w:docPartGallery w:val="AutoText"/>
        </w:docPartObj>
      </w:sdtPr>
      <w:sdtEndPr>
        <w:rPr>
          <w:rFonts w:asciiTheme="minorEastAsia" w:hAnsiTheme="minorEastAsia"/>
          <w:sz w:val="28"/>
          <w:szCs w:val="28"/>
        </w:rPr>
      </w:sdtEndPr>
      <w:sdtContent>
        <w:r>
          <w:rPr>
            <w:rFonts w:asciiTheme="minorEastAsia" w:hAnsiTheme="minorEastAsia"/>
            <w:sz w:val="28"/>
            <w:szCs w:val="28"/>
          </w:rPr>
          <w:t xml:space="preserve"> </w:t>
        </w: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 xml:space="preserve"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/>
            <w:sz w:val="28"/>
            <w:szCs w:val="28"/>
            <w:lang w:val="zh-CN"/>
          </w:rPr>
          <w:t>2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  <w:r>
          <w:rPr>
            <w:rFonts w:asciiTheme="minorEastAsia" w:hAnsiTheme="minorEastAsia"/>
            <w:sz w:val="28"/>
            <w:szCs w:val="28"/>
          </w:rPr>
          <w:t xml:space="preserve"> -</w:t>
        </w:r>
      </w:sdtContent>
    </w:sdt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02C9"/>
    <w:rsid w:val="000060BD"/>
    <w:rsid w:val="00014CF9"/>
    <w:rsid w:val="00022541"/>
    <w:rsid w:val="0003713C"/>
    <w:rsid w:val="00075DE7"/>
    <w:rsid w:val="00083B1D"/>
    <w:rsid w:val="000B156F"/>
    <w:rsid w:val="000B262B"/>
    <w:rsid w:val="000C5E16"/>
    <w:rsid w:val="000D4A3B"/>
    <w:rsid w:val="000E2C95"/>
    <w:rsid w:val="000E7386"/>
    <w:rsid w:val="000F51C9"/>
    <w:rsid w:val="0010663C"/>
    <w:rsid w:val="001132B3"/>
    <w:rsid w:val="00113BEC"/>
    <w:rsid w:val="00120410"/>
    <w:rsid w:val="001327B7"/>
    <w:rsid w:val="001508BB"/>
    <w:rsid w:val="00150F33"/>
    <w:rsid w:val="001645A5"/>
    <w:rsid w:val="00175E25"/>
    <w:rsid w:val="001A42CF"/>
    <w:rsid w:val="001B2CDD"/>
    <w:rsid w:val="001B7E77"/>
    <w:rsid w:val="001C5CCF"/>
    <w:rsid w:val="001C7D55"/>
    <w:rsid w:val="00201DF0"/>
    <w:rsid w:val="00201E0F"/>
    <w:rsid w:val="00203811"/>
    <w:rsid w:val="00206D0C"/>
    <w:rsid w:val="0021018F"/>
    <w:rsid w:val="00222373"/>
    <w:rsid w:val="00235959"/>
    <w:rsid w:val="002365FD"/>
    <w:rsid w:val="002407FA"/>
    <w:rsid w:val="00241EF1"/>
    <w:rsid w:val="002440CF"/>
    <w:rsid w:val="0026190D"/>
    <w:rsid w:val="00262838"/>
    <w:rsid w:val="00271F8C"/>
    <w:rsid w:val="00273431"/>
    <w:rsid w:val="00273732"/>
    <w:rsid w:val="00274266"/>
    <w:rsid w:val="00275F37"/>
    <w:rsid w:val="00280CB4"/>
    <w:rsid w:val="00283271"/>
    <w:rsid w:val="00290E1F"/>
    <w:rsid w:val="00291E2B"/>
    <w:rsid w:val="00292916"/>
    <w:rsid w:val="002A5550"/>
    <w:rsid w:val="002B3254"/>
    <w:rsid w:val="002C2CCA"/>
    <w:rsid w:val="002C30E2"/>
    <w:rsid w:val="002D223D"/>
    <w:rsid w:val="002D366A"/>
    <w:rsid w:val="002E6645"/>
    <w:rsid w:val="002F5506"/>
    <w:rsid w:val="003014C2"/>
    <w:rsid w:val="00311F38"/>
    <w:rsid w:val="003223DC"/>
    <w:rsid w:val="00323278"/>
    <w:rsid w:val="00335D15"/>
    <w:rsid w:val="00346221"/>
    <w:rsid w:val="0035653B"/>
    <w:rsid w:val="003661E9"/>
    <w:rsid w:val="00375304"/>
    <w:rsid w:val="003A1F4E"/>
    <w:rsid w:val="003A29C2"/>
    <w:rsid w:val="003A47A7"/>
    <w:rsid w:val="003B5D5D"/>
    <w:rsid w:val="003B5FF3"/>
    <w:rsid w:val="003B791D"/>
    <w:rsid w:val="003C03D8"/>
    <w:rsid w:val="003C3E27"/>
    <w:rsid w:val="003C47FC"/>
    <w:rsid w:val="003D442D"/>
    <w:rsid w:val="003E4DFF"/>
    <w:rsid w:val="003F061B"/>
    <w:rsid w:val="003F0D2D"/>
    <w:rsid w:val="004055D1"/>
    <w:rsid w:val="00412207"/>
    <w:rsid w:val="00420E79"/>
    <w:rsid w:val="004214BF"/>
    <w:rsid w:val="00427DBE"/>
    <w:rsid w:val="004319E7"/>
    <w:rsid w:val="00434AA9"/>
    <w:rsid w:val="00440924"/>
    <w:rsid w:val="00441DAD"/>
    <w:rsid w:val="00451185"/>
    <w:rsid w:val="004534DC"/>
    <w:rsid w:val="004540FB"/>
    <w:rsid w:val="004554E7"/>
    <w:rsid w:val="00460A83"/>
    <w:rsid w:val="00474B39"/>
    <w:rsid w:val="004936A1"/>
    <w:rsid w:val="004D1832"/>
    <w:rsid w:val="004F5138"/>
    <w:rsid w:val="004F75CD"/>
    <w:rsid w:val="0050263A"/>
    <w:rsid w:val="0050587A"/>
    <w:rsid w:val="00522116"/>
    <w:rsid w:val="00522718"/>
    <w:rsid w:val="0052287B"/>
    <w:rsid w:val="00524A3A"/>
    <w:rsid w:val="00532704"/>
    <w:rsid w:val="00536E1D"/>
    <w:rsid w:val="0054388A"/>
    <w:rsid w:val="00547142"/>
    <w:rsid w:val="00550B18"/>
    <w:rsid w:val="0056004A"/>
    <w:rsid w:val="00562379"/>
    <w:rsid w:val="00570A8A"/>
    <w:rsid w:val="00590D92"/>
    <w:rsid w:val="00590DAE"/>
    <w:rsid w:val="00595549"/>
    <w:rsid w:val="005A0CDA"/>
    <w:rsid w:val="005B0838"/>
    <w:rsid w:val="005B2144"/>
    <w:rsid w:val="005C2D53"/>
    <w:rsid w:val="005C79A8"/>
    <w:rsid w:val="005D14AC"/>
    <w:rsid w:val="005E4C75"/>
    <w:rsid w:val="006071B5"/>
    <w:rsid w:val="00610439"/>
    <w:rsid w:val="006203E8"/>
    <w:rsid w:val="00624822"/>
    <w:rsid w:val="00626C25"/>
    <w:rsid w:val="00627F55"/>
    <w:rsid w:val="00641DAB"/>
    <w:rsid w:val="00645B47"/>
    <w:rsid w:val="00646B55"/>
    <w:rsid w:val="00652449"/>
    <w:rsid w:val="00653D1F"/>
    <w:rsid w:val="006557C1"/>
    <w:rsid w:val="00667B70"/>
    <w:rsid w:val="00681F10"/>
    <w:rsid w:val="006A4E97"/>
    <w:rsid w:val="006B5CE8"/>
    <w:rsid w:val="006E4FFD"/>
    <w:rsid w:val="006E601B"/>
    <w:rsid w:val="006F1FE1"/>
    <w:rsid w:val="00702AF0"/>
    <w:rsid w:val="00712A4F"/>
    <w:rsid w:val="00723D15"/>
    <w:rsid w:val="007347DF"/>
    <w:rsid w:val="007376C0"/>
    <w:rsid w:val="007514FE"/>
    <w:rsid w:val="007548EA"/>
    <w:rsid w:val="00761257"/>
    <w:rsid w:val="00766A2E"/>
    <w:rsid w:val="007676F0"/>
    <w:rsid w:val="00772843"/>
    <w:rsid w:val="00790605"/>
    <w:rsid w:val="007A4879"/>
    <w:rsid w:val="007A4F4B"/>
    <w:rsid w:val="007B1668"/>
    <w:rsid w:val="007B609A"/>
    <w:rsid w:val="007C1A6E"/>
    <w:rsid w:val="007C2575"/>
    <w:rsid w:val="007F00B5"/>
    <w:rsid w:val="007F3CE9"/>
    <w:rsid w:val="00803B7E"/>
    <w:rsid w:val="0081394D"/>
    <w:rsid w:val="00813F9E"/>
    <w:rsid w:val="008140E6"/>
    <w:rsid w:val="008276B4"/>
    <w:rsid w:val="00837BA0"/>
    <w:rsid w:val="008402F0"/>
    <w:rsid w:val="00840529"/>
    <w:rsid w:val="0084062F"/>
    <w:rsid w:val="00840EA1"/>
    <w:rsid w:val="008554D6"/>
    <w:rsid w:val="00857726"/>
    <w:rsid w:val="0086472F"/>
    <w:rsid w:val="008A6ABE"/>
    <w:rsid w:val="008C2D3A"/>
    <w:rsid w:val="008D78E8"/>
    <w:rsid w:val="008E0CC9"/>
    <w:rsid w:val="008F1412"/>
    <w:rsid w:val="00901091"/>
    <w:rsid w:val="00904D13"/>
    <w:rsid w:val="009175A7"/>
    <w:rsid w:val="00924C1C"/>
    <w:rsid w:val="0092538C"/>
    <w:rsid w:val="00927602"/>
    <w:rsid w:val="00937C31"/>
    <w:rsid w:val="009402C9"/>
    <w:rsid w:val="00942DDD"/>
    <w:rsid w:val="00946059"/>
    <w:rsid w:val="00957588"/>
    <w:rsid w:val="00976CE7"/>
    <w:rsid w:val="00996440"/>
    <w:rsid w:val="009B4359"/>
    <w:rsid w:val="009B592B"/>
    <w:rsid w:val="009D5B4D"/>
    <w:rsid w:val="009E6BD1"/>
    <w:rsid w:val="009F04B9"/>
    <w:rsid w:val="009F1F94"/>
    <w:rsid w:val="00A046CE"/>
    <w:rsid w:val="00A24730"/>
    <w:rsid w:val="00A37263"/>
    <w:rsid w:val="00A40C6D"/>
    <w:rsid w:val="00A45635"/>
    <w:rsid w:val="00A50567"/>
    <w:rsid w:val="00A6630F"/>
    <w:rsid w:val="00A6782D"/>
    <w:rsid w:val="00A71337"/>
    <w:rsid w:val="00A71811"/>
    <w:rsid w:val="00A72DC0"/>
    <w:rsid w:val="00A849F5"/>
    <w:rsid w:val="00A96872"/>
    <w:rsid w:val="00AB5058"/>
    <w:rsid w:val="00AC7B34"/>
    <w:rsid w:val="00AD522F"/>
    <w:rsid w:val="00AE780A"/>
    <w:rsid w:val="00B0348F"/>
    <w:rsid w:val="00B10A71"/>
    <w:rsid w:val="00B1590D"/>
    <w:rsid w:val="00B3532E"/>
    <w:rsid w:val="00B353E1"/>
    <w:rsid w:val="00B368F4"/>
    <w:rsid w:val="00B4046B"/>
    <w:rsid w:val="00B4178A"/>
    <w:rsid w:val="00B73EDA"/>
    <w:rsid w:val="00B92F70"/>
    <w:rsid w:val="00B949D8"/>
    <w:rsid w:val="00B95E3A"/>
    <w:rsid w:val="00B96E90"/>
    <w:rsid w:val="00BA0EDB"/>
    <w:rsid w:val="00BA3A03"/>
    <w:rsid w:val="00BA75AC"/>
    <w:rsid w:val="00BD4225"/>
    <w:rsid w:val="00BD5149"/>
    <w:rsid w:val="00BE0CA8"/>
    <w:rsid w:val="00BE1060"/>
    <w:rsid w:val="00BE17B7"/>
    <w:rsid w:val="00BE2B58"/>
    <w:rsid w:val="00BF7004"/>
    <w:rsid w:val="00C02553"/>
    <w:rsid w:val="00C02C00"/>
    <w:rsid w:val="00C05016"/>
    <w:rsid w:val="00C10636"/>
    <w:rsid w:val="00C31D5A"/>
    <w:rsid w:val="00C343C1"/>
    <w:rsid w:val="00C5306C"/>
    <w:rsid w:val="00C558E0"/>
    <w:rsid w:val="00C55DD6"/>
    <w:rsid w:val="00C627DA"/>
    <w:rsid w:val="00C91FB7"/>
    <w:rsid w:val="00C96869"/>
    <w:rsid w:val="00CA6B59"/>
    <w:rsid w:val="00CA75BF"/>
    <w:rsid w:val="00CB506B"/>
    <w:rsid w:val="00CB5B06"/>
    <w:rsid w:val="00CB6781"/>
    <w:rsid w:val="00CD797F"/>
    <w:rsid w:val="00CF5BB1"/>
    <w:rsid w:val="00D03407"/>
    <w:rsid w:val="00D14ADE"/>
    <w:rsid w:val="00D34316"/>
    <w:rsid w:val="00D37E5D"/>
    <w:rsid w:val="00D576C1"/>
    <w:rsid w:val="00D60C33"/>
    <w:rsid w:val="00D73034"/>
    <w:rsid w:val="00D804AA"/>
    <w:rsid w:val="00D810AA"/>
    <w:rsid w:val="00D83E62"/>
    <w:rsid w:val="00D85FC6"/>
    <w:rsid w:val="00DA5579"/>
    <w:rsid w:val="00DD41C5"/>
    <w:rsid w:val="00DD4759"/>
    <w:rsid w:val="00DD5757"/>
    <w:rsid w:val="00DD728F"/>
    <w:rsid w:val="00DE3A99"/>
    <w:rsid w:val="00E03CD6"/>
    <w:rsid w:val="00E11A59"/>
    <w:rsid w:val="00E369AB"/>
    <w:rsid w:val="00E5135F"/>
    <w:rsid w:val="00E52327"/>
    <w:rsid w:val="00E52AFE"/>
    <w:rsid w:val="00E60758"/>
    <w:rsid w:val="00E65375"/>
    <w:rsid w:val="00E70B65"/>
    <w:rsid w:val="00E735B8"/>
    <w:rsid w:val="00E7380F"/>
    <w:rsid w:val="00E94A4C"/>
    <w:rsid w:val="00E95BDE"/>
    <w:rsid w:val="00EA1568"/>
    <w:rsid w:val="00EA3180"/>
    <w:rsid w:val="00EB357E"/>
    <w:rsid w:val="00EB4C29"/>
    <w:rsid w:val="00EC103C"/>
    <w:rsid w:val="00EC75EE"/>
    <w:rsid w:val="00EC7C19"/>
    <w:rsid w:val="00ED592E"/>
    <w:rsid w:val="00EE32A7"/>
    <w:rsid w:val="00EF3B8F"/>
    <w:rsid w:val="00EF4670"/>
    <w:rsid w:val="00F02B89"/>
    <w:rsid w:val="00F12F5E"/>
    <w:rsid w:val="00F130BD"/>
    <w:rsid w:val="00F203E9"/>
    <w:rsid w:val="00F30816"/>
    <w:rsid w:val="00F37A12"/>
    <w:rsid w:val="00F41C5E"/>
    <w:rsid w:val="00F45BE3"/>
    <w:rsid w:val="00F50586"/>
    <w:rsid w:val="00F612EB"/>
    <w:rsid w:val="00F672A8"/>
    <w:rsid w:val="00F71F3B"/>
    <w:rsid w:val="00F71F78"/>
    <w:rsid w:val="00F75F90"/>
    <w:rsid w:val="00F8345C"/>
    <w:rsid w:val="00F83F3F"/>
    <w:rsid w:val="00F90DB4"/>
    <w:rsid w:val="00FA1FC6"/>
    <w:rsid w:val="00FC239A"/>
    <w:rsid w:val="00FC4C8F"/>
    <w:rsid w:val="00FD2A39"/>
    <w:rsid w:val="00FE24FF"/>
    <w:rsid w:val="2D8A321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uiPriority w:val="99"/>
    <w:rPr>
      <w:sz w:val="18"/>
      <w:szCs w:val="18"/>
    </w:rPr>
  </w:style>
  <w:style w:type="character" w:customStyle="1" w:styleId="9">
    <w:name w:val="批注框文本 字符"/>
    <w:basedOn w:val="6"/>
    <w:link w:val="2"/>
    <w:semiHidden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70D24AA-08A8-4115-B8BF-4A7C3525C71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166</Words>
  <Characters>952</Characters>
  <Lines>7</Lines>
  <Paragraphs>2</Paragraphs>
  <TotalTime>0</TotalTime>
  <ScaleCrop>false</ScaleCrop>
  <LinksUpToDate>false</LinksUpToDate>
  <CharactersWithSpaces>1116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2016-08-15T02:36:00Z</dcterms:created>
  <dc:creator>张盘利</dc:creator>
  <cp:lastModifiedBy>Administrator</cp:lastModifiedBy>
  <cp:lastPrinted>2016-08-22T02:40:00Z</cp:lastPrinted>
  <dcterms:modified xsi:type="dcterms:W3CDTF">2023-11-03T07:20:02Z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