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 xml:space="preserve"> 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2023年度）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抚宁区2023年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项目管理费项目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王帅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投入区级资金4.5万元作为项目管理费，用于项目前期设计，评审，招标，监理及项目验收等项目相关费用的支出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涉及项目数量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both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资金用于项目费用的比例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项目及时完成率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项目投入金额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=4.5万元</w:t>
            </w:r>
          </w:p>
        </w:tc>
      </w:tr>
    </w:tbl>
    <w:p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/>
          <w:sz w:val="24"/>
          <w:u w:val="single"/>
        </w:rPr>
        <w:t>上报时间：2023年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8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28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jc w:val="center"/>
        <w:rPr>
          <w:rFonts w:ascii="宋体" w:hAnsi="宋体"/>
          <w:b/>
          <w:sz w:val="44"/>
          <w:szCs w:val="44"/>
        </w:rPr>
      </w:pPr>
    </w:p>
    <w:p/>
    <w:p/>
    <w:p/>
    <w:p/>
    <w:p/>
    <w:p/>
    <w:p/>
    <w:p/>
    <w:p/>
    <w:p/>
    <w:p/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2023年度）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一次性交通补助项目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王帅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乡村振兴局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乡村振兴</w:t>
            </w:r>
            <w:r>
              <w:rPr>
                <w:rFonts w:hint="eastAsia" w:ascii="仿宋" w:hAnsi="仿宋" w:eastAsia="仿宋"/>
                <w:sz w:val="24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为符合标准的防贫监测户发放一次性交通补贴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享受交通补贴人数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务工补贴补贴发放准确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补贴资金再规定时间内支付到位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交通补贴人均标准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=800元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=0.08万元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经济效益指标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发放交通补贴金额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=0.08万元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both"/>
              <w:rPr>
                <w:rFonts w:hint="default" w:ascii="仿宋" w:hAnsi="仿宋" w:eastAsia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受益防贫监测人口数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ind w:firstLine="960" w:firstLineChars="400"/>
              <w:jc w:val="both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</w:tbl>
    <w:p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</w:rPr>
        <w:t xml:space="preserve">     上报时间：2023年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8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28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jc w:val="center"/>
        <w:rPr>
          <w:rFonts w:ascii="宋体" w:hAnsi="宋体"/>
          <w:b/>
          <w:sz w:val="44"/>
          <w:szCs w:val="44"/>
        </w:rPr>
      </w:pPr>
    </w:p>
    <w:p/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7EF65781"/>
    <w:rsid w:val="7EF65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2023-11-21T03:12:00Z</dcterms:created>
  <dc:creator>Administrator</dc:creator>
  <cp:lastModifiedBy>Administrator</cp:lastModifiedBy>
  <dcterms:modified xsi:type="dcterms:W3CDTF">2023-11-21T03:13:45Z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818F33A1487845D88806F889C829F6A8_11</vt:lpwstr>
  </property>
</Properties>
</file>