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hint="eastAsia" w:ascii="黑体" w:hAnsi="黑体" w:eastAsia="黑体" w:cs="黑体"/>
          <w:color w:val="auto"/>
          <w:sz w:val="32"/>
          <w:szCs w:val="32"/>
        </w:rPr>
      </w:pPr>
      <w:r>
        <w:rPr>
          <w:rFonts w:hint="eastAsia" w:ascii="黑体" w:hAnsi="黑体" w:eastAsia="黑体" w:cs="黑体"/>
          <w:color w:val="auto"/>
          <w:sz w:val="32"/>
          <w:szCs w:val="32"/>
        </w:rPr>
        <w:t>附件1</w:t>
      </w:r>
    </w:p>
    <w:p>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秦皇岛市抚宁区发改局</w:t>
      </w:r>
    </w:p>
    <w:p>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202</w:t>
      </w:r>
      <w:r>
        <w:rPr>
          <w:rFonts w:ascii="方正小标宋简体" w:hAnsi="方正小标宋简体" w:eastAsia="方正小标宋简体" w:cs="方正小标宋简体"/>
          <w:color w:val="auto"/>
          <w:sz w:val="44"/>
          <w:szCs w:val="44"/>
        </w:rPr>
        <w:t>3</w:t>
      </w:r>
      <w:r>
        <w:rPr>
          <w:rFonts w:hint="eastAsia" w:ascii="方正小标宋简体" w:hAnsi="方正小标宋简体" w:eastAsia="方正小标宋简体" w:cs="方正小标宋简体"/>
          <w:color w:val="auto"/>
          <w:sz w:val="44"/>
          <w:szCs w:val="44"/>
        </w:rPr>
        <w:t>年“双随机</w:t>
      </w:r>
      <w:r>
        <w:rPr>
          <w:rFonts w:hint="eastAsia" w:ascii="方正小标宋简体" w:hAnsi="方正小标宋简体" w:eastAsia="方正小标宋简体" w:cs="方正小标宋简体"/>
          <w:color w:val="auto"/>
          <w:sz w:val="44"/>
          <w:szCs w:val="44"/>
          <w:lang w:eastAsia="zh-CN"/>
        </w:rPr>
        <w:t>、</w:t>
      </w:r>
      <w:r>
        <w:rPr>
          <w:rFonts w:hint="eastAsia" w:ascii="方正小标宋简体" w:hAnsi="方正小标宋简体" w:eastAsia="方正小标宋简体" w:cs="方正小标宋简体"/>
          <w:color w:val="auto"/>
          <w:sz w:val="44"/>
          <w:szCs w:val="44"/>
        </w:rPr>
        <w:t>一公开”节能监察计划</w:t>
      </w:r>
    </w:p>
    <w:p>
      <w:pPr>
        <w:spacing w:line="560" w:lineRule="exact"/>
        <w:jc w:val="center"/>
        <w:rPr>
          <w:rFonts w:ascii="方正小标宋简体" w:hAnsi="方正小标宋简体" w:eastAsia="方正小标宋简体" w:cs="方正小标宋简体"/>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为贯彻落实省、市、区政府关于“双随机</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一公开”节能监管工作部署要求，深入推进我区节能监察领域随机抽查工作，按照上级要求，结合全区用能企业实际和我局工作职能，制定202</w:t>
      </w:r>
      <w:r>
        <w:rPr>
          <w:rFonts w:ascii="仿宋_GB2312" w:hAnsi="仿宋_GB2312" w:eastAsia="仿宋_GB2312" w:cs="仿宋_GB2312"/>
          <w:color w:val="auto"/>
          <w:sz w:val="32"/>
          <w:szCs w:val="32"/>
        </w:rPr>
        <w:t>3</w:t>
      </w:r>
      <w:r>
        <w:rPr>
          <w:rFonts w:hint="eastAsia" w:ascii="仿宋_GB2312" w:hAnsi="仿宋_GB2312" w:eastAsia="仿宋_GB2312" w:cs="仿宋_GB2312"/>
          <w:color w:val="auto"/>
          <w:sz w:val="32"/>
          <w:szCs w:val="32"/>
        </w:rPr>
        <w:t>年“双随机一公开”抽查计划如下：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黑体" w:hAnsi="黑体" w:eastAsia="黑体" w:cs="黑体"/>
          <w:color w:val="auto"/>
          <w:sz w:val="32"/>
          <w:szCs w:val="32"/>
        </w:rPr>
      </w:pPr>
      <w:r>
        <w:rPr>
          <w:rFonts w:hint="eastAsia" w:ascii="黑体" w:hAnsi="黑体" w:eastAsia="黑体" w:cs="黑体"/>
          <w:color w:val="auto"/>
          <w:sz w:val="32"/>
          <w:szCs w:val="32"/>
        </w:rPr>
        <w:t>一、抽查计划名称、编号、类型、时间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202</w:t>
      </w:r>
      <w:r>
        <w:rPr>
          <w:rFonts w:ascii="仿宋_GB2312" w:hAnsi="仿宋_GB2312" w:eastAsia="仿宋_GB2312" w:cs="仿宋_GB2312"/>
          <w:color w:val="auto"/>
          <w:sz w:val="32"/>
          <w:szCs w:val="32"/>
        </w:rPr>
        <w:t>3</w:t>
      </w:r>
      <w:r>
        <w:rPr>
          <w:rFonts w:hint="eastAsia" w:ascii="仿宋_GB2312" w:hAnsi="仿宋_GB2312" w:eastAsia="仿宋_GB2312" w:cs="仿宋_GB2312"/>
          <w:color w:val="auto"/>
          <w:sz w:val="32"/>
          <w:szCs w:val="32"/>
        </w:rPr>
        <w:t>年秦皇岛市抚宁区发改局节能监察随机抽查1次，计划编号202</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001号，抽查类型为定向抽查，抽查时间为202</w:t>
      </w:r>
      <w:r>
        <w:rPr>
          <w:rFonts w:ascii="仿宋_GB2312" w:hAnsi="仿宋_GB2312" w:eastAsia="仿宋_GB2312" w:cs="仿宋_GB2312"/>
          <w:color w:val="auto"/>
          <w:sz w:val="32"/>
          <w:szCs w:val="32"/>
        </w:rPr>
        <w:t>3</w:t>
      </w:r>
      <w:r>
        <w:rPr>
          <w:rFonts w:hint="eastAsia" w:ascii="仿宋_GB2312" w:hAnsi="仿宋_GB2312" w:eastAsia="仿宋_GB2312" w:cs="仿宋_GB2312"/>
          <w:color w:val="auto"/>
          <w:sz w:val="32"/>
          <w:szCs w:val="32"/>
        </w:rPr>
        <w:t>年4月5日至2022年11月30日。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黑体" w:hAnsi="黑体" w:eastAsia="黑体" w:cs="黑体"/>
          <w:color w:val="auto"/>
          <w:sz w:val="32"/>
          <w:szCs w:val="32"/>
        </w:rPr>
      </w:pPr>
      <w:r>
        <w:rPr>
          <w:rFonts w:hint="eastAsia" w:ascii="黑体" w:hAnsi="黑体" w:eastAsia="黑体" w:cs="黑体"/>
          <w:color w:val="auto"/>
          <w:sz w:val="32"/>
          <w:szCs w:val="32"/>
        </w:rPr>
        <w:t>二、抽查内容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依据《重点用能单位节能管理办法》、《固定资产投资项目节能审查办法》、《中华人民共和国节约能源法》、《河北省节约能源条例》、《河北省固定资产投资项目节能审查办法》等对重点用能企业能源消费及用能设备节能运行情况进行抽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黑体" w:hAnsi="黑体" w:eastAsia="黑体" w:cs="黑体"/>
          <w:color w:val="auto"/>
          <w:sz w:val="32"/>
          <w:szCs w:val="32"/>
        </w:rPr>
      </w:pPr>
      <w:r>
        <w:rPr>
          <w:rFonts w:hint="eastAsia" w:ascii="黑体" w:hAnsi="黑体" w:eastAsia="黑体" w:cs="黑体"/>
          <w:color w:val="auto"/>
          <w:sz w:val="32"/>
          <w:szCs w:val="32"/>
        </w:rPr>
        <w:t>三、监察对象和执法检查人员的抽取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1.监察对象通过双随机双告知系统抽取，比例大于等于</w:t>
      </w:r>
      <w:r>
        <w:rPr>
          <w:rFonts w:ascii="仿宋_GB2312" w:hAnsi="仿宋_GB2312" w:eastAsia="仿宋_GB2312" w:cs="仿宋_GB2312"/>
          <w:color w:val="auto"/>
          <w:sz w:val="32"/>
          <w:szCs w:val="32"/>
        </w:rPr>
        <w:t>3</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2.为推进“双随机</w:t>
      </w:r>
      <w:r>
        <w:rPr>
          <w:rFonts w:hint="eastAsia" w:ascii="仿宋_GB2312" w:hAnsi="仿宋_GB2312" w:eastAsia="仿宋_GB2312" w:cs="仿宋_GB2312"/>
          <w:color w:val="auto"/>
          <w:sz w:val="32"/>
          <w:szCs w:val="32"/>
          <w:lang w:eastAsia="zh-CN"/>
        </w:rPr>
        <w:t>、</w:t>
      </w:r>
      <w:bookmarkStart w:id="0" w:name="_GoBack"/>
      <w:bookmarkEnd w:id="0"/>
      <w:r>
        <w:rPr>
          <w:rFonts w:hint="eastAsia" w:ascii="仿宋_GB2312" w:hAnsi="仿宋_GB2312" w:eastAsia="仿宋_GB2312" w:cs="仿宋_GB2312"/>
          <w:color w:val="auto"/>
          <w:sz w:val="32"/>
          <w:szCs w:val="32"/>
        </w:rPr>
        <w:t>一公开”监管与企业信用风险分类监管相结合，提高“双随机”抽查的精准性和靶向性，本年度“双随机”抽查先从企业信用分类较高风险等级中抽取检查对象，若数量不能满足比例要求，再从企业信用分类较低风险等级中抽取，直到满足比例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3.执法检查人员通过双随机双告知系统随机抽取，不少于两人。执法检查人员与监察对象有利害关系的，按相关要求依法回避。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黑体" w:hAnsi="黑体" w:eastAsia="黑体" w:cs="黑体"/>
          <w:color w:val="auto"/>
          <w:sz w:val="32"/>
          <w:szCs w:val="32"/>
        </w:rPr>
      </w:pPr>
      <w:r>
        <w:rPr>
          <w:rFonts w:hint="eastAsia" w:ascii="黑体" w:hAnsi="黑体" w:eastAsia="黑体" w:cs="黑体"/>
          <w:color w:val="auto"/>
          <w:sz w:val="32"/>
          <w:szCs w:val="32"/>
        </w:rPr>
        <w:t>四、检查工作流程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1.通过双随机双告知系统随机抽取监察对象和执法检查人员。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2.名单确定后，执法检查人员应在规定时间内采取实地核查的方式开展工作。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3.对监察对象进行实地核查时，执法检查人员不得少于2人，执法检查人员填写《综合检查随机抽查记录表》，并由被检查主体法定代表人(负责人)签字盖章确认。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4.对监察对象实施检查时，被抽查单位与执法检查人员要积极配合，对确定的检查事项和内容，一次性完成检查。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黑体" w:hAnsi="黑体" w:eastAsia="黑体" w:cs="黑体"/>
          <w:color w:val="auto"/>
          <w:sz w:val="32"/>
          <w:szCs w:val="32"/>
        </w:rPr>
      </w:pPr>
      <w:r>
        <w:rPr>
          <w:rFonts w:hint="eastAsia" w:ascii="黑体" w:hAnsi="黑体" w:eastAsia="黑体" w:cs="黑体"/>
          <w:color w:val="auto"/>
          <w:sz w:val="32"/>
          <w:szCs w:val="32"/>
        </w:rPr>
        <w:t>五、抽查结果公示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抽查结束后，要将被抽查单位相关情况的检查结果通过双随机双告知系统或政府门户网站向社会公示。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检查结果正常的，自检查结束之日起20个工作日内通过双随机双告知系统或政府门户网站向社会公示“正常”。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检查中发现存在问题的，应及时核查，查实后及时公示。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检查中发现存在违法行为的，应当按照有关程序移交案件线索,办案机关依法进行查处；同时，将行政处罚信息“抽查检查结果”通过双随机双告知系统或政府门户网站向社会公示。</w:t>
      </w:r>
    </w:p>
    <w:p>
      <w:pPr>
        <w:keepNext w:val="0"/>
        <w:keepLines w:val="0"/>
        <w:pageBreakBefore w:val="0"/>
        <w:widowControl w:val="0"/>
        <w:tabs>
          <w:tab w:val="left" w:pos="928"/>
        </w:tabs>
        <w:kinsoku/>
        <w:wordWrap/>
        <w:overflowPunct/>
        <w:topLinePunct w:val="0"/>
        <w:autoSpaceDE/>
        <w:autoSpaceDN/>
        <w:bidi w:val="0"/>
        <w:adjustRightInd/>
        <w:snapToGrid/>
        <w:spacing w:line="560" w:lineRule="exact"/>
        <w:jc w:val="left"/>
        <w:textAlignment w:val="auto"/>
        <w:rPr>
          <w:rFonts w:ascii="仿宋_GB2312" w:hAnsi="仿宋_GB2312" w:eastAsia="仿宋_GB2312" w:cs="仿宋_GB2312"/>
          <w:color w:val="auto"/>
          <w:sz w:val="32"/>
          <w:szCs w:val="32"/>
        </w:rPr>
      </w:pPr>
    </w:p>
    <w:p>
      <w:pPr>
        <w:keepNext w:val="0"/>
        <w:keepLines w:val="0"/>
        <w:pageBreakBefore w:val="0"/>
        <w:widowControl w:val="0"/>
        <w:tabs>
          <w:tab w:val="left" w:pos="928"/>
        </w:tabs>
        <w:kinsoku/>
        <w:wordWrap/>
        <w:overflowPunct/>
        <w:topLinePunct w:val="0"/>
        <w:autoSpaceDE/>
        <w:autoSpaceDN/>
        <w:bidi w:val="0"/>
        <w:adjustRightInd/>
        <w:snapToGrid/>
        <w:spacing w:line="560" w:lineRule="exact"/>
        <w:jc w:val="left"/>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960" w:firstLineChars="155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秦皇岛市抚宁区发改局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202</w:t>
      </w:r>
      <w:r>
        <w:rPr>
          <w:rFonts w:ascii="仿宋_GB2312" w:hAnsi="仿宋_GB2312" w:eastAsia="仿宋_GB2312" w:cs="仿宋_GB2312"/>
          <w:color w:val="auto"/>
          <w:sz w:val="32"/>
          <w:szCs w:val="32"/>
        </w:rPr>
        <w:t>3</w:t>
      </w:r>
      <w:r>
        <w:rPr>
          <w:rFonts w:hint="eastAsia" w:ascii="仿宋_GB2312" w:hAnsi="仿宋_GB2312" w:eastAsia="仿宋_GB2312" w:cs="仿宋_GB2312"/>
          <w:color w:val="auto"/>
          <w:sz w:val="32"/>
          <w:szCs w:val="32"/>
        </w:rPr>
        <w:t>年1月</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日</w:t>
      </w:r>
    </w:p>
    <w:sectPr>
      <w:pgSz w:w="11906" w:h="16838"/>
      <w:pgMar w:top="2098" w:right="1474" w:bottom="1984"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6039"/>
    <w:rsid w:val="00130770"/>
    <w:rsid w:val="00153DD8"/>
    <w:rsid w:val="00556039"/>
    <w:rsid w:val="007261C3"/>
    <w:rsid w:val="00755F83"/>
    <w:rsid w:val="00845491"/>
    <w:rsid w:val="00B04F96"/>
    <w:rsid w:val="00BE0EE9"/>
    <w:rsid w:val="00D13DC5"/>
    <w:rsid w:val="00E574E6"/>
    <w:rsid w:val="0AE24493"/>
    <w:rsid w:val="1B322E97"/>
    <w:rsid w:val="1DE3746A"/>
    <w:rsid w:val="1E9D1E31"/>
    <w:rsid w:val="231F16BA"/>
    <w:rsid w:val="24865DF3"/>
    <w:rsid w:val="30920894"/>
    <w:rsid w:val="33965709"/>
    <w:rsid w:val="35C839B3"/>
    <w:rsid w:val="368760FA"/>
    <w:rsid w:val="394E4536"/>
    <w:rsid w:val="40E53CB5"/>
    <w:rsid w:val="42A335B9"/>
    <w:rsid w:val="47171891"/>
    <w:rsid w:val="47774C3B"/>
    <w:rsid w:val="48301205"/>
    <w:rsid w:val="48EB4044"/>
    <w:rsid w:val="4E7F7579"/>
    <w:rsid w:val="547D55B9"/>
    <w:rsid w:val="57FA5596"/>
    <w:rsid w:val="659C4F86"/>
    <w:rsid w:val="6FA3164D"/>
    <w:rsid w:val="705314AB"/>
    <w:rsid w:val="757C136F"/>
    <w:rsid w:val="794A6345"/>
    <w:rsid w:val="798A220E"/>
    <w:rsid w:val="7EC314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paragraph" w:customStyle="1" w:styleId="6">
    <w:name w:val="cjk"/>
    <w:basedOn w:val="1"/>
    <w:qFormat/>
    <w:uiPriority w:val="0"/>
    <w:pPr>
      <w:widowControl/>
      <w:spacing w:before="100" w:beforeAutospacing="1" w:after="100" w:afterAutospacing="1"/>
      <w:jc w:val="left"/>
    </w:pPr>
    <w:rPr>
      <w:rFonts w:ascii="宋体" w:hAnsi="宋体" w:cs="宋体"/>
      <w:kern w:val="0"/>
      <w:sz w:val="24"/>
    </w:rPr>
  </w:style>
  <w:style w:type="character" w:customStyle="1" w:styleId="7">
    <w:name w:val="页眉 字符"/>
    <w:basedOn w:val="5"/>
    <w:link w:val="3"/>
    <w:qFormat/>
    <w:uiPriority w:val="0"/>
    <w:rPr>
      <w:rFonts w:ascii="Calibri" w:hAnsi="Calibri" w:eastAsia="宋体" w:cs="Times New Roman"/>
      <w:kern w:val="2"/>
      <w:sz w:val="18"/>
      <w:szCs w:val="18"/>
    </w:rPr>
  </w:style>
  <w:style w:type="character" w:customStyle="1" w:styleId="8">
    <w:name w:val="页脚 字符"/>
    <w:basedOn w:val="5"/>
    <w:link w:val="2"/>
    <w:qFormat/>
    <w:uiPriority w:val="0"/>
    <w:rPr>
      <w:rFonts w:ascii="Calibri" w:hAnsi="Calibri" w:eastAsia="宋体" w:cs="Times New Roman"/>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155</Words>
  <Characters>887</Characters>
  <Lines>7</Lines>
  <Paragraphs>2</Paragraphs>
  <TotalTime>25</TotalTime>
  <ScaleCrop>false</ScaleCrop>
  <LinksUpToDate>false</LinksUpToDate>
  <CharactersWithSpaces>1040</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2022-01-11T07:33:00Z</dcterms:created>
  <dc:creator>lenovo</dc:creator>
  <cp:lastModifiedBy>user</cp:lastModifiedBy>
  <cp:lastPrinted>2022-01-14T02:12:00Z</cp:lastPrinted>
  <dcterms:modified xsi:type="dcterms:W3CDTF">2024-01-03T01:54:38Z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1CBE064842FC424297ADF997EAFF44BD</vt:lpwstr>
  </property>
</Properties>
</file>