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/>
    <w:p>
      <w:pPr>
        <w:spacing w:line="660" w:lineRule="exact"/>
        <w:jc w:val="center"/>
        <w:rPr>
          <w:rFonts w:ascii="宋体" w:hAnsi="宋体"/>
          <w:b/>
          <w:sz w:val="44"/>
          <w:szCs w:val="44"/>
        </w:rPr>
      </w:pPr>
    </w:p>
    <w:p>
      <w:pPr>
        <w:spacing w:line="640" w:lineRule="exact"/>
        <w:jc w:val="center"/>
        <w:rPr>
          <w:rFonts w:ascii="宋体" w:hAnsi="宋体"/>
          <w:b/>
          <w:sz w:val="44"/>
          <w:szCs w:val="44"/>
        </w:rPr>
      </w:pPr>
    </w:p>
    <w:p>
      <w:pPr>
        <w:spacing w:line="640" w:lineRule="exact"/>
        <w:jc w:val="center"/>
        <w:rPr>
          <w:rFonts w:ascii="宋体" w:hAnsi="宋体"/>
          <w:b/>
          <w:sz w:val="44"/>
          <w:szCs w:val="44"/>
        </w:rPr>
      </w:pPr>
    </w:p>
    <w:p>
      <w:pPr>
        <w:spacing w:line="700" w:lineRule="exact"/>
        <w:jc w:val="center"/>
        <w:rPr>
          <w:rFonts w:ascii="宋体" w:hAnsi="宋体"/>
          <w:b/>
          <w:sz w:val="44"/>
          <w:szCs w:val="44"/>
        </w:rPr>
      </w:pPr>
    </w:p>
    <w:p>
      <w:pPr>
        <w:spacing w:line="700" w:lineRule="exact"/>
        <w:jc w:val="center"/>
        <w:rPr>
          <w:rFonts w:ascii="宋体" w:hAnsi="宋体"/>
          <w:b/>
          <w:sz w:val="44"/>
          <w:szCs w:val="44"/>
        </w:rPr>
      </w:pPr>
    </w:p>
    <w:p>
      <w:pPr>
        <w:spacing w:line="660" w:lineRule="exact"/>
        <w:rPr>
          <w:rFonts w:ascii="宋体" w:hAnsi="宋体"/>
          <w:b/>
          <w:sz w:val="44"/>
          <w:szCs w:val="44"/>
        </w:rPr>
      </w:pPr>
    </w:p>
    <w:p>
      <w:pPr>
        <w:snapToGrid w:val="0"/>
        <w:spacing w:line="500" w:lineRule="exact"/>
        <w:jc w:val="center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抚卫健〔2023〕3号</w:t>
      </w:r>
    </w:p>
    <w:p>
      <w:pPr>
        <w:spacing w:line="660" w:lineRule="exact"/>
        <w:rPr>
          <w:rFonts w:ascii="宋体" w:hAnsi="宋体"/>
          <w:b/>
          <w:sz w:val="44"/>
          <w:szCs w:val="44"/>
        </w:rPr>
      </w:pPr>
    </w:p>
    <w:p>
      <w:pPr>
        <w:spacing w:line="660" w:lineRule="exact"/>
        <w:jc w:val="center"/>
        <w:rPr>
          <w:rFonts w:ascii="方正小标宋_GBK" w:eastAsia="方正小标宋_GBK" w:hAnsiTheme="majorEastAsia"/>
          <w:color w:val="000000"/>
          <w:sz w:val="44"/>
          <w:szCs w:val="44"/>
        </w:rPr>
      </w:pPr>
      <w:r>
        <w:rPr>
          <w:rFonts w:hint="eastAsia" w:ascii="方正小标宋_GBK" w:eastAsia="方正小标宋_GBK" w:hAnsiTheme="majorEastAsia"/>
          <w:color w:val="000000"/>
          <w:sz w:val="44"/>
          <w:szCs w:val="44"/>
        </w:rPr>
        <w:t>秦皇岛市抚宁区卫生健康局</w:t>
      </w:r>
    </w:p>
    <w:p>
      <w:pPr>
        <w:spacing w:line="660" w:lineRule="exact"/>
        <w:jc w:val="center"/>
        <w:rPr>
          <w:rFonts w:ascii="方正小标宋_GBK" w:eastAsia="方正小标宋_GBK" w:cs="宋体" w:hAnsiTheme="majorEastAsia"/>
          <w:bCs/>
          <w:sz w:val="44"/>
          <w:szCs w:val="44"/>
        </w:rPr>
      </w:pPr>
      <w:r>
        <w:rPr>
          <w:rFonts w:hint="eastAsia" w:ascii="方正小标宋_GBK" w:eastAsia="方正小标宋_GBK" w:cs="方正小标宋简体" w:hAnsiTheme="majorEastAsia"/>
          <w:sz w:val="44"/>
          <w:szCs w:val="44"/>
        </w:rPr>
        <w:t>关于印发“</w:t>
      </w:r>
      <w:r>
        <w:rPr>
          <w:rFonts w:hint="eastAsia" w:ascii="方正小标宋_GBK" w:eastAsia="方正小标宋_GBK" w:cs="宋体" w:hAnsiTheme="majorEastAsia"/>
          <w:bCs/>
          <w:sz w:val="44"/>
          <w:szCs w:val="44"/>
        </w:rPr>
        <w:t>双随机</w:t>
      </w:r>
      <w:r>
        <w:rPr>
          <w:rFonts w:hint="eastAsia" w:ascii="方正小标宋_GBK" w:eastAsia="方正小标宋_GBK" w:cs="宋体" w:hAnsiTheme="majorEastAsia"/>
          <w:bCs/>
          <w:sz w:val="44"/>
          <w:szCs w:val="44"/>
          <w:lang w:eastAsia="zh-CN"/>
        </w:rPr>
        <w:t>、</w:t>
      </w:r>
      <w:r>
        <w:rPr>
          <w:rFonts w:hint="eastAsia" w:ascii="方正小标宋_GBK" w:eastAsia="方正小标宋_GBK" w:cs="宋体" w:hAnsiTheme="majorEastAsia"/>
          <w:bCs/>
          <w:sz w:val="44"/>
          <w:szCs w:val="44"/>
        </w:rPr>
        <w:t>一公开”监管工作实施方案</w:t>
      </w:r>
    </w:p>
    <w:p>
      <w:pPr>
        <w:spacing w:line="660" w:lineRule="exact"/>
        <w:jc w:val="center"/>
        <w:rPr>
          <w:rFonts w:ascii="方正小标宋_GBK" w:eastAsia="方正小标宋_GBK" w:cs="方正小标宋简体" w:hAnsiTheme="majorEastAsia"/>
          <w:sz w:val="44"/>
          <w:szCs w:val="44"/>
        </w:rPr>
      </w:pPr>
      <w:r>
        <w:rPr>
          <w:rFonts w:hint="eastAsia" w:ascii="方正小标宋_GBK" w:eastAsia="方正小标宋_GBK" w:cs="方正小标宋简体" w:hAnsiTheme="majorEastAsia"/>
          <w:sz w:val="44"/>
          <w:szCs w:val="44"/>
        </w:rPr>
        <w:t>的通知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spacing w:line="560" w:lineRule="exact"/>
        <w:rPr>
          <w:rFonts w:ascii="仿宋_GB2312" w:hAnsi="Arial" w:eastAsia="仿宋_GB2312" w:cs="Arial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区卫生计生综合监督执法局、局机关各股室：</w:t>
      </w:r>
    </w:p>
    <w:p>
      <w:pPr>
        <w:spacing w:line="560" w:lineRule="exact"/>
        <w:ind w:firstLine="640" w:firstLineChars="200"/>
        <w:rPr>
          <w:rFonts w:ascii="仿宋_GB2312" w:hAnsi="方正小标宋简体" w:eastAsia="仿宋_GB2312" w:cs="方正小标宋简体"/>
          <w:sz w:val="32"/>
          <w:szCs w:val="32"/>
        </w:rPr>
      </w:pPr>
      <w:r>
        <w:rPr>
          <w:rFonts w:hint="eastAsia" w:ascii="仿宋_GB2312" w:hAnsi="方正小标宋简体" w:eastAsia="仿宋_GB2312" w:cs="方正小标宋简体"/>
          <w:sz w:val="32"/>
          <w:szCs w:val="32"/>
        </w:rPr>
        <w:t>现将《秦皇岛市</w:t>
      </w:r>
      <w:r>
        <w:rPr>
          <w:rFonts w:hint="eastAsia" w:ascii="仿宋_GB2312" w:hAnsi="宋体" w:eastAsia="仿宋_GB2312" w:cs="宋体"/>
          <w:bCs/>
          <w:sz w:val="32"/>
          <w:szCs w:val="32"/>
        </w:rPr>
        <w:t>抚宁区卫生健康局“双随机</w:t>
      </w:r>
      <w:r>
        <w:rPr>
          <w:rFonts w:hint="eastAsia" w:ascii="仿宋_GB2312" w:hAnsi="宋体" w:eastAsia="仿宋_GB2312" w:cs="宋体"/>
          <w:bCs/>
          <w:sz w:val="32"/>
          <w:szCs w:val="32"/>
          <w:lang w:eastAsia="zh-CN"/>
        </w:rPr>
        <w:t>、</w:t>
      </w:r>
      <w:r>
        <w:rPr>
          <w:rFonts w:hint="eastAsia" w:ascii="仿宋_GB2312" w:hAnsi="宋体" w:eastAsia="仿宋_GB2312" w:cs="宋体"/>
          <w:bCs/>
          <w:sz w:val="32"/>
          <w:szCs w:val="32"/>
        </w:rPr>
        <w:t>一公开”监管工作实施方案</w:t>
      </w:r>
      <w:r>
        <w:rPr>
          <w:rFonts w:hint="eastAsia" w:ascii="仿宋_GB2312" w:hAnsi="方正小标宋简体" w:eastAsia="仿宋_GB2312" w:cs="方正小标宋简体"/>
          <w:sz w:val="32"/>
          <w:szCs w:val="32"/>
        </w:rPr>
        <w:t>》印发给你们，请认真抓好落实。</w:t>
      </w:r>
    </w:p>
    <w:p>
      <w:pPr>
        <w:spacing w:line="560" w:lineRule="exact"/>
        <w:ind w:right="640"/>
        <w:rPr>
          <w:rFonts w:ascii="仿宋_GB2312" w:hAnsi="方正小标宋简体" w:eastAsia="仿宋_GB2312" w:cs="方正小标宋简体"/>
          <w:sz w:val="32"/>
          <w:szCs w:val="32"/>
        </w:rPr>
      </w:pPr>
      <w:r>
        <w:rPr>
          <w:rFonts w:hint="eastAsia" w:ascii="仿宋_GB2312" w:hAnsi="方正小标宋简体" w:eastAsia="仿宋_GB2312" w:cs="方正小标宋简体"/>
          <w:sz w:val="32"/>
          <w:szCs w:val="32"/>
        </w:rPr>
        <w:t xml:space="preserve">            </w:t>
      </w:r>
    </w:p>
    <w:p>
      <w:pPr>
        <w:spacing w:line="560" w:lineRule="exact"/>
        <w:ind w:right="320"/>
        <w:jc w:val="right"/>
        <w:rPr>
          <w:rFonts w:ascii="仿宋" w:hAnsi="仿宋" w:eastAsia="仿宋" w:cs="方正仿宋_GBK"/>
          <w:sz w:val="32"/>
          <w:szCs w:val="32"/>
        </w:rPr>
      </w:pPr>
      <w:r>
        <w:rPr>
          <w:rFonts w:hint="eastAsia" w:ascii="仿宋_GB2312" w:hAnsi="仿宋" w:eastAsia="仿宋_GB2312" w:cs="方正仿宋_GBK"/>
          <w:sz w:val="32"/>
          <w:szCs w:val="32"/>
        </w:rPr>
        <w:t>秦皇岛市抚宁区卫生健康局</w:t>
      </w:r>
    </w:p>
    <w:p>
      <w:pPr>
        <w:spacing w:line="560" w:lineRule="exact"/>
        <w:jc w:val="center"/>
        <w:rPr>
          <w:rFonts w:asciiTheme="majorEastAsia" w:hAnsiTheme="majorEastAsia" w:eastAsiaTheme="majorEastAsia"/>
          <w:kern w:val="0"/>
          <w:sz w:val="44"/>
          <w:szCs w:val="44"/>
        </w:rPr>
      </w:pPr>
      <w:r>
        <w:rPr>
          <w:rFonts w:hint="eastAsia" w:ascii="仿宋" w:hAnsi="仿宋" w:eastAsia="仿宋" w:cs="方正仿宋_GBK"/>
          <w:sz w:val="32"/>
          <w:szCs w:val="32"/>
        </w:rPr>
        <w:t xml:space="preserve">                           2023年1月11日  </w:t>
      </w:r>
    </w:p>
    <w:p>
      <w:pPr>
        <w:widowControl/>
        <w:snapToGrid w:val="0"/>
        <w:spacing w:line="560" w:lineRule="exact"/>
        <w:jc w:val="center"/>
        <w:rPr>
          <w:rFonts w:hint="eastAsia" w:ascii="方正小标宋_GBK" w:hAnsi="宋体" w:eastAsia="方正小标宋_GBK" w:cs="宋体"/>
          <w:sz w:val="44"/>
          <w:szCs w:val="44"/>
        </w:rPr>
      </w:pPr>
    </w:p>
    <w:p>
      <w:pPr>
        <w:widowControl/>
        <w:snapToGrid w:val="0"/>
        <w:spacing w:line="560" w:lineRule="exact"/>
        <w:jc w:val="center"/>
        <w:rPr>
          <w:rFonts w:ascii="方正小标宋_GBK" w:hAnsi="宋体" w:eastAsia="方正小标宋_GBK" w:cs="宋体"/>
          <w:sz w:val="44"/>
          <w:szCs w:val="44"/>
        </w:rPr>
      </w:pPr>
    </w:p>
    <w:p>
      <w:pPr>
        <w:widowControl/>
        <w:snapToGrid w:val="0"/>
        <w:spacing w:line="560" w:lineRule="exact"/>
        <w:jc w:val="center"/>
        <w:rPr>
          <w:rFonts w:ascii="方正小标宋_GBK" w:hAnsi="宋体" w:eastAsia="方正小标宋_GBK" w:cs="宋体"/>
          <w:sz w:val="44"/>
          <w:szCs w:val="44"/>
        </w:rPr>
      </w:pPr>
      <w:r>
        <w:rPr>
          <w:rFonts w:hint="eastAsia" w:ascii="方正小标宋_GBK" w:hAnsi="宋体" w:eastAsia="方正小标宋_GBK" w:cs="宋体"/>
          <w:sz w:val="44"/>
          <w:szCs w:val="44"/>
        </w:rPr>
        <w:t>秦皇岛市抚宁区卫生健康局</w:t>
      </w:r>
    </w:p>
    <w:p>
      <w:pPr>
        <w:widowControl/>
        <w:snapToGrid w:val="0"/>
        <w:spacing w:line="560" w:lineRule="exact"/>
        <w:jc w:val="center"/>
        <w:rPr>
          <w:rFonts w:ascii="方正小标宋_GBK" w:hAnsi="宋体" w:eastAsia="方正小标宋_GBK" w:cs="宋体"/>
          <w:sz w:val="44"/>
          <w:szCs w:val="44"/>
        </w:rPr>
      </w:pPr>
      <w:r>
        <w:rPr>
          <w:rFonts w:hint="eastAsia" w:ascii="方正小标宋_GBK" w:hAnsi="宋体" w:eastAsia="方正小标宋_GBK" w:cs="宋体"/>
          <w:sz w:val="44"/>
          <w:szCs w:val="44"/>
        </w:rPr>
        <w:t>“双随机</w:t>
      </w:r>
      <w:r>
        <w:rPr>
          <w:rFonts w:hint="eastAsia" w:ascii="方正小标宋_GBK" w:hAnsi="宋体" w:eastAsia="方正小标宋_GBK" w:cs="宋体"/>
          <w:sz w:val="44"/>
          <w:szCs w:val="44"/>
          <w:lang w:eastAsia="zh-CN"/>
        </w:rPr>
        <w:t>、</w:t>
      </w:r>
      <w:r>
        <w:rPr>
          <w:rFonts w:hint="eastAsia" w:ascii="方正小标宋_GBK" w:hAnsi="宋体" w:eastAsia="方正小标宋_GBK" w:cs="宋体"/>
          <w:sz w:val="44"/>
          <w:szCs w:val="44"/>
        </w:rPr>
        <w:t>一公开”监管工作实施方案</w:t>
      </w:r>
    </w:p>
    <w:p>
      <w:pPr>
        <w:widowControl/>
        <w:snapToGrid w:val="0"/>
        <w:spacing w:line="560" w:lineRule="exact"/>
        <w:jc w:val="center"/>
        <w:rPr>
          <w:rFonts w:ascii="方正小标宋_GBK" w:hAnsi="宋体" w:eastAsia="方正小标宋_GBK" w:cs="宋体"/>
          <w:sz w:val="44"/>
          <w:szCs w:val="44"/>
        </w:rPr>
      </w:pPr>
    </w:p>
    <w:p>
      <w:pPr>
        <w:widowControl/>
        <w:ind w:firstLine="640" w:firstLineChars="200"/>
        <w:jc w:val="left"/>
        <w:rPr>
          <w:rFonts w:ascii="仿宋" w:hAnsi="仿宋" w:eastAsia="仿宋" w:cs="仿宋_GB2312"/>
          <w:kern w:val="60"/>
          <w:sz w:val="32"/>
          <w:szCs w:val="32"/>
        </w:rPr>
      </w:pPr>
      <w:r>
        <w:rPr>
          <w:rFonts w:hint="eastAsia" w:ascii="仿宋" w:hAnsi="仿宋" w:eastAsia="仿宋" w:cs="仿宋_GB2312"/>
          <w:color w:val="000000"/>
          <w:kern w:val="60"/>
          <w:sz w:val="32"/>
          <w:szCs w:val="32"/>
        </w:rPr>
        <w:t>为认真贯彻落实国务院、省、市、区政府关于“双随机、一公开”监管工作决策部署，</w:t>
      </w:r>
      <w:r>
        <w:rPr>
          <w:rFonts w:hint="eastAsia" w:ascii="仿宋" w:hAnsi="仿宋" w:eastAsia="仿宋" w:cs="仿宋_GB2312"/>
          <w:kern w:val="60"/>
          <w:sz w:val="32"/>
          <w:szCs w:val="32"/>
        </w:rPr>
        <w:t>进一步推进企业信用风险差异化随机抽查，加强公共卫生、医疗卫生等监督执法工作,提升部门内部联合和跨部门联合“双随机、一公开”监管效能，结合我区实际，制定本方案。</w:t>
      </w:r>
    </w:p>
    <w:p>
      <w:pPr>
        <w:widowControl/>
        <w:snapToGrid w:val="0"/>
        <w:spacing w:line="560" w:lineRule="exact"/>
        <w:ind w:firstLine="640" w:firstLineChars="200"/>
        <w:jc w:val="left"/>
        <w:rPr>
          <w:rFonts w:ascii="黑体" w:hAnsi="黑体" w:eastAsia="黑体" w:cs="宋体"/>
          <w:sz w:val="44"/>
          <w:szCs w:val="44"/>
        </w:rPr>
      </w:pPr>
      <w:r>
        <w:rPr>
          <w:rFonts w:hint="eastAsia" w:ascii="黑体" w:hAnsi="黑体" w:eastAsia="黑体"/>
          <w:sz w:val="32"/>
          <w:szCs w:val="32"/>
        </w:rPr>
        <w:t>一、指导思想</w:t>
      </w:r>
    </w:p>
    <w:p>
      <w:pPr>
        <w:widowControl/>
        <w:snapToGrid w:val="0"/>
        <w:spacing w:line="560" w:lineRule="exact"/>
        <w:ind w:firstLine="640" w:firstLineChars="200"/>
        <w:jc w:val="left"/>
        <w:rPr>
          <w:rFonts w:ascii="方正小标宋_GBK" w:hAnsi="宋体" w:eastAsia="方正小标宋_GBK" w:cs="宋体"/>
          <w:sz w:val="44"/>
          <w:szCs w:val="44"/>
        </w:rPr>
      </w:pPr>
      <w:r>
        <w:rPr>
          <w:rFonts w:hint="eastAsia" w:ascii="仿宋" w:hAnsi="仿宋" w:eastAsia="仿宋"/>
          <w:sz w:val="32"/>
          <w:szCs w:val="32"/>
        </w:rPr>
        <w:t>以党的二十大精神为指导，深入贯彻落实国务院关于深化行政体制改革，加快转变政府职能工作要求，努力提高监管效能，规范卫生健康行政执法行为，创新监督执法方式，加快建立公平、有序、诚信的经济社会发展环境，着力解决群众反映强烈的突出问题，激发市场活力，促进全区经济社会持续健康发展。</w:t>
      </w:r>
    </w:p>
    <w:p>
      <w:pPr>
        <w:snapToGrid w:val="0"/>
        <w:spacing w:line="560" w:lineRule="exact"/>
        <w:ind w:firstLine="640" w:firstLineChars="200"/>
        <w:jc w:val="left"/>
        <w:rPr>
          <w:rFonts w:ascii="黑体" w:hAnsi="黑体" w:eastAsia="黑体" w:cs="宋体"/>
          <w:kern w:val="0"/>
          <w:sz w:val="24"/>
        </w:rPr>
      </w:pPr>
      <w:r>
        <w:rPr>
          <w:rFonts w:hint="eastAsia" w:ascii="黑体" w:hAnsi="黑体" w:eastAsia="黑体" w:cs="宋体"/>
          <w:sz w:val="32"/>
          <w:szCs w:val="32"/>
        </w:rPr>
        <w:t>二、工作原则</w:t>
      </w:r>
    </w:p>
    <w:p>
      <w:pPr>
        <w:snapToGrid w:val="0"/>
        <w:spacing w:line="560" w:lineRule="exact"/>
        <w:ind w:firstLine="640" w:firstLineChars="200"/>
        <w:jc w:val="left"/>
        <w:rPr>
          <w:rFonts w:ascii="仿宋" w:hAnsi="仿宋" w:eastAsia="仿宋" w:cs="宋体"/>
          <w:kern w:val="0"/>
          <w:sz w:val="24"/>
        </w:rPr>
      </w:pPr>
      <w:r>
        <w:rPr>
          <w:rFonts w:hint="eastAsia" w:ascii="楷体_GB2312" w:hAnsi="仿宋" w:eastAsia="楷体_GB2312" w:cs="宋体"/>
          <w:b/>
          <w:sz w:val="32"/>
          <w:szCs w:val="32"/>
        </w:rPr>
        <w:t>（一）坚持依法监管原则。</w:t>
      </w:r>
      <w:r>
        <w:rPr>
          <w:rFonts w:hint="eastAsia" w:ascii="仿宋" w:hAnsi="仿宋" w:eastAsia="仿宋" w:cs="宋体"/>
          <w:sz w:val="32"/>
          <w:szCs w:val="32"/>
        </w:rPr>
        <w:t>严格执行卫生健康有关法律、法规和规章，规范执法行为，落实监管责任，确保事前、事中、事后监管依法有序公开进行，推进随机抽查制度化、规范化。</w:t>
      </w:r>
    </w:p>
    <w:p>
      <w:pPr>
        <w:snapToGrid w:val="0"/>
        <w:spacing w:line="560" w:lineRule="exact"/>
        <w:ind w:firstLine="640" w:firstLineChars="200"/>
        <w:jc w:val="left"/>
        <w:rPr>
          <w:rFonts w:ascii="仿宋" w:hAnsi="仿宋" w:eastAsia="仿宋" w:cs="宋体"/>
          <w:kern w:val="0"/>
          <w:sz w:val="24"/>
        </w:rPr>
      </w:pPr>
      <w:r>
        <w:rPr>
          <w:rFonts w:hint="eastAsia" w:ascii="楷体_GB2312" w:hAnsi="仿宋" w:eastAsia="楷体_GB2312" w:cs="宋体"/>
          <w:b/>
          <w:sz w:val="32"/>
          <w:szCs w:val="32"/>
        </w:rPr>
        <w:t>（二）坚持公正高效原则。</w:t>
      </w:r>
      <w:r>
        <w:rPr>
          <w:rFonts w:hint="eastAsia" w:ascii="仿宋" w:hAnsi="仿宋" w:eastAsia="仿宋" w:cs="宋体"/>
          <w:sz w:val="32"/>
          <w:szCs w:val="32"/>
        </w:rPr>
        <w:t>切实做到严格规范公正文明执法，注重公平，兼顾效率，减轻市场主体负担，优化市场环境。</w:t>
      </w:r>
    </w:p>
    <w:p>
      <w:pPr>
        <w:widowControl/>
        <w:snapToGrid w:val="0"/>
        <w:spacing w:line="560" w:lineRule="exact"/>
        <w:ind w:firstLine="640" w:firstLineChars="200"/>
        <w:jc w:val="left"/>
        <w:rPr>
          <w:rFonts w:ascii="仿宋" w:hAnsi="仿宋" w:eastAsia="仿宋" w:cs="宋体"/>
          <w:kern w:val="0"/>
          <w:sz w:val="24"/>
        </w:rPr>
      </w:pPr>
      <w:r>
        <w:rPr>
          <w:rFonts w:hint="eastAsia" w:ascii="楷体_GB2312" w:hAnsi="仿宋" w:eastAsia="楷体_GB2312" w:cs="宋体"/>
          <w:b/>
          <w:sz w:val="32"/>
          <w:szCs w:val="32"/>
        </w:rPr>
        <w:t>（三）坚持公开透明原则。</w:t>
      </w:r>
      <w:r>
        <w:rPr>
          <w:rFonts w:hint="eastAsia" w:ascii="仿宋" w:hAnsi="仿宋" w:eastAsia="仿宋" w:cs="宋体"/>
          <w:sz w:val="32"/>
          <w:szCs w:val="32"/>
        </w:rPr>
        <w:t>实行阳光执法，公开随机抽查事项、程序和结果，强化社会监督，保障市场主体权利平等、机会平等、规则平等。</w:t>
      </w:r>
    </w:p>
    <w:p>
      <w:pPr>
        <w:widowControl/>
        <w:snapToGrid w:val="0"/>
        <w:spacing w:line="560" w:lineRule="exact"/>
        <w:ind w:firstLine="640" w:firstLineChars="200"/>
        <w:jc w:val="left"/>
        <w:rPr>
          <w:rFonts w:ascii="黑体" w:hAnsi="黑体" w:eastAsia="黑体" w:cs="宋体"/>
          <w:kern w:val="0"/>
          <w:sz w:val="24"/>
        </w:rPr>
      </w:pPr>
      <w:r>
        <w:rPr>
          <w:rFonts w:hint="eastAsia" w:ascii="黑体" w:hAnsi="黑体" w:eastAsia="黑体" w:cs="宋体"/>
          <w:sz w:val="32"/>
          <w:szCs w:val="32"/>
        </w:rPr>
        <w:t>三、工作措施</w:t>
      </w:r>
    </w:p>
    <w:p>
      <w:pPr>
        <w:widowControl/>
        <w:snapToGrid w:val="0"/>
        <w:spacing w:line="560" w:lineRule="exact"/>
        <w:ind w:firstLine="640" w:firstLineChars="200"/>
        <w:jc w:val="left"/>
        <w:rPr>
          <w:rFonts w:ascii="仿宋" w:hAnsi="仿宋" w:eastAsia="仿宋" w:cs="宋体"/>
          <w:kern w:val="0"/>
          <w:sz w:val="24"/>
        </w:rPr>
      </w:pPr>
      <w:r>
        <w:rPr>
          <w:rFonts w:hint="eastAsia" w:ascii="楷体_GB2312" w:hAnsi="仿宋" w:eastAsia="楷体_GB2312" w:cs="宋体"/>
          <w:sz w:val="32"/>
          <w:szCs w:val="32"/>
        </w:rPr>
        <w:t>（一）</w:t>
      </w:r>
      <w:r>
        <w:rPr>
          <w:rFonts w:hint="eastAsia" w:ascii="仿宋_GB2312" w:hAnsi="仿宋" w:eastAsia="仿宋_GB2312" w:cs="宋体"/>
          <w:sz w:val="32"/>
          <w:szCs w:val="32"/>
        </w:rPr>
        <w:t>制定</w:t>
      </w:r>
      <w:r>
        <w:rPr>
          <w:rFonts w:hint="eastAsia" w:ascii="仿宋_GB2312" w:hAnsi="仿宋" w:eastAsia="仿宋_GB2312"/>
          <w:sz w:val="32"/>
          <w:szCs w:val="32"/>
        </w:rPr>
        <w:t>“双随机”</w:t>
      </w:r>
      <w:r>
        <w:rPr>
          <w:rFonts w:hint="eastAsia" w:ascii="仿宋_GB2312" w:hAnsi="仿宋" w:eastAsia="仿宋_GB2312" w:cs="宋体"/>
          <w:sz w:val="32"/>
          <w:szCs w:val="32"/>
        </w:rPr>
        <w:t>抽查事项清单。</w:t>
      </w:r>
      <w:r>
        <w:rPr>
          <w:rFonts w:hint="eastAsia" w:ascii="仿宋" w:hAnsi="仿宋" w:eastAsia="仿宋" w:cs="宋体"/>
          <w:sz w:val="32"/>
          <w:szCs w:val="32"/>
        </w:rPr>
        <w:t>以卫生健康法律、法规、规章为依据，以监督执法职责为主要内容，制定随机抽查事项清单，明确抽查依据、抽查主体、抽查内容、抽查方式、抽查频次等。随机抽查事项清单适时进行动态调整，及时向社会公布。</w:t>
      </w:r>
    </w:p>
    <w:p>
      <w:pPr>
        <w:widowControl/>
        <w:snapToGrid w:val="0"/>
        <w:spacing w:line="560" w:lineRule="exact"/>
        <w:ind w:firstLine="640" w:firstLineChars="200"/>
        <w:jc w:val="left"/>
        <w:rPr>
          <w:rFonts w:ascii="仿宋" w:hAnsi="仿宋" w:eastAsia="仿宋" w:cs="宋体"/>
          <w:sz w:val="32"/>
          <w:szCs w:val="32"/>
        </w:rPr>
      </w:pPr>
      <w:r>
        <w:rPr>
          <w:rFonts w:hint="eastAsia" w:ascii="楷体_GB2312" w:hAnsi="仿宋" w:eastAsia="楷体_GB2312" w:cs="宋体"/>
          <w:sz w:val="32"/>
          <w:szCs w:val="32"/>
        </w:rPr>
        <w:t>（二）</w:t>
      </w:r>
      <w:r>
        <w:rPr>
          <w:rFonts w:hint="eastAsia" w:ascii="仿宋" w:hAnsi="仿宋" w:eastAsia="仿宋" w:cs="宋体"/>
          <w:sz w:val="32"/>
          <w:szCs w:val="32"/>
        </w:rPr>
        <w:t>动态调整卫生健康执法检查人员名录库、卫生健康监管对象名录库。</w:t>
      </w:r>
    </w:p>
    <w:p>
      <w:pPr>
        <w:widowControl/>
        <w:snapToGrid w:val="0"/>
        <w:spacing w:line="560" w:lineRule="exact"/>
        <w:ind w:firstLine="640" w:firstLineChars="200"/>
        <w:jc w:val="left"/>
        <w:rPr>
          <w:rFonts w:ascii="仿宋" w:hAnsi="仿宋" w:eastAsia="仿宋" w:cs="宋体"/>
          <w:sz w:val="32"/>
          <w:szCs w:val="32"/>
        </w:rPr>
      </w:pPr>
      <w:r>
        <w:rPr>
          <w:rFonts w:hint="eastAsia" w:ascii="楷体_GB2312" w:hAnsi="仿宋" w:eastAsia="楷体_GB2312" w:cs="宋体"/>
          <w:sz w:val="32"/>
          <w:szCs w:val="32"/>
        </w:rPr>
        <w:t>（三）</w:t>
      </w:r>
      <w:r>
        <w:rPr>
          <w:rFonts w:hint="eastAsia" w:ascii="仿宋" w:hAnsi="仿宋" w:eastAsia="仿宋" w:cs="宋体"/>
          <w:sz w:val="32"/>
          <w:szCs w:val="32"/>
        </w:rPr>
        <w:t>摇号抽取执法检查人员、监管对象，</w:t>
      </w:r>
      <w:r>
        <w:rPr>
          <w:rFonts w:hint="eastAsia" w:ascii="仿宋" w:hAnsi="仿宋" w:eastAsia="仿宋"/>
          <w:sz w:val="32"/>
          <w:szCs w:val="32"/>
        </w:rPr>
        <w:t>随机抽查采用实地检查、书面检查方式进行，运用执法终端、记录仪如实记录</w:t>
      </w:r>
      <w:r>
        <w:rPr>
          <w:rFonts w:hint="eastAsia" w:ascii="仿宋" w:hAnsi="仿宋" w:eastAsia="仿宋" w:cs="宋体"/>
          <w:sz w:val="32"/>
          <w:szCs w:val="32"/>
        </w:rPr>
        <w:t>“双随机”抽查</w:t>
      </w:r>
      <w:r>
        <w:rPr>
          <w:rFonts w:hint="eastAsia" w:ascii="仿宋" w:hAnsi="仿宋" w:eastAsia="仿宋"/>
          <w:sz w:val="32"/>
          <w:szCs w:val="32"/>
        </w:rPr>
        <w:t>情况，做到执法全过程记录，实现责任可追溯。</w:t>
      </w:r>
    </w:p>
    <w:p>
      <w:pPr>
        <w:widowControl/>
        <w:snapToGrid w:val="0"/>
        <w:spacing w:line="560" w:lineRule="exact"/>
        <w:ind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楷体_GB2312" w:hAnsi="仿宋" w:eastAsia="楷体_GB2312"/>
          <w:sz w:val="32"/>
          <w:szCs w:val="32"/>
        </w:rPr>
        <w:t>（四）</w:t>
      </w:r>
      <w:r>
        <w:rPr>
          <w:rFonts w:hint="eastAsia" w:ascii="仿宋" w:hAnsi="仿宋" w:eastAsia="仿宋"/>
          <w:sz w:val="32"/>
          <w:szCs w:val="32"/>
        </w:rPr>
        <w:t>合理确定“双随机”抽查的比例和频次。制定随机抽查计划，抽查比例不低于6%，实现随机抽查事项全覆盖。</w:t>
      </w:r>
    </w:p>
    <w:p>
      <w:pPr>
        <w:widowControl/>
        <w:snapToGrid w:val="0"/>
        <w:spacing w:line="560" w:lineRule="exact"/>
        <w:ind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楷体_GB2312" w:hAnsi="仿宋" w:eastAsia="楷体_GB2312"/>
          <w:sz w:val="32"/>
          <w:szCs w:val="32"/>
        </w:rPr>
        <w:t>（五）</w:t>
      </w:r>
      <w:r>
        <w:rPr>
          <w:rFonts w:hint="eastAsia" w:ascii="仿宋" w:hAnsi="仿宋" w:eastAsia="仿宋"/>
          <w:sz w:val="32"/>
          <w:szCs w:val="32"/>
        </w:rPr>
        <w:t>开展</w:t>
      </w:r>
      <w:r>
        <w:rPr>
          <w:rFonts w:hint="eastAsia" w:ascii="仿宋_GB2312" w:eastAsia="仿宋_GB2312"/>
          <w:sz w:val="32"/>
          <w:szCs w:val="32"/>
        </w:rPr>
        <w:t>部门联合“双随机</w:t>
      </w:r>
      <w:r>
        <w:rPr>
          <w:rFonts w:hint="eastAsia" w:ascii="仿宋_GB2312" w:eastAsia="仿宋_GB2312"/>
          <w:sz w:val="32"/>
          <w:szCs w:val="32"/>
          <w:lang w:eastAsia="zh-CN"/>
        </w:rPr>
        <w:t>、</w:t>
      </w:r>
      <w:r>
        <w:rPr>
          <w:rFonts w:hint="eastAsia" w:ascii="仿宋_GB2312" w:eastAsia="仿宋_GB2312"/>
          <w:sz w:val="32"/>
          <w:szCs w:val="32"/>
        </w:rPr>
        <w:t>一公开”抽查。明确抽查事项，在学校卫生专业</w:t>
      </w:r>
      <w:r>
        <w:rPr>
          <w:rFonts w:hint="eastAsia" w:ascii="仿宋_GB2312" w:eastAsia="仿宋_GB2312"/>
          <w:b/>
          <w:sz w:val="32"/>
          <w:szCs w:val="32"/>
        </w:rPr>
        <w:t>，</w:t>
      </w:r>
      <w:r>
        <w:rPr>
          <w:rFonts w:hint="eastAsia" w:ascii="仿宋_GB2312" w:eastAsia="仿宋_GB2312"/>
          <w:sz w:val="32"/>
          <w:szCs w:val="32"/>
        </w:rPr>
        <w:t>与教体局联合，开展部门联合“双随机</w:t>
      </w:r>
      <w:r>
        <w:rPr>
          <w:rFonts w:hint="eastAsia" w:ascii="仿宋_GB2312" w:eastAsia="仿宋_GB2312"/>
          <w:sz w:val="32"/>
          <w:szCs w:val="32"/>
          <w:lang w:eastAsia="zh-CN"/>
        </w:rPr>
        <w:t>、</w:t>
      </w:r>
      <w:r>
        <w:rPr>
          <w:rFonts w:hint="eastAsia" w:ascii="仿宋_GB2312" w:eastAsia="仿宋_GB2312"/>
          <w:sz w:val="32"/>
          <w:szCs w:val="32"/>
        </w:rPr>
        <w:t>一公开”抽查。</w:t>
      </w:r>
    </w:p>
    <w:p>
      <w:pPr>
        <w:snapToGrid w:val="0"/>
        <w:spacing w:line="560" w:lineRule="exact"/>
        <w:ind w:firstLine="640" w:firstLineChars="200"/>
        <w:jc w:val="left"/>
        <w:rPr>
          <w:rFonts w:ascii="仿宋" w:hAnsi="仿宋" w:eastAsia="仿宋" w:cs="宋体"/>
          <w:sz w:val="32"/>
          <w:szCs w:val="32"/>
        </w:rPr>
      </w:pPr>
      <w:r>
        <w:rPr>
          <w:rFonts w:hint="eastAsia" w:ascii="楷体_GB2312" w:hAnsi="仿宋" w:eastAsia="楷体_GB2312"/>
          <w:sz w:val="32"/>
          <w:szCs w:val="32"/>
        </w:rPr>
        <w:t>（六）</w:t>
      </w:r>
      <w:r>
        <w:rPr>
          <w:rFonts w:hint="eastAsia" w:ascii="仿宋" w:hAnsi="仿宋" w:eastAsia="仿宋"/>
          <w:sz w:val="32"/>
          <w:szCs w:val="32"/>
        </w:rPr>
        <w:t>加强“双随机”抽查结果运用。对抽查发现的违法行为，依法依规严格惩处，并按照信息公开的要求，及时公开行政处罚案件信息。随机抽查结果纳入监管对象的社会信用记录，与相关部门实现信息共享，实施联合惩戒，让失信者一处违法、处处受限，形成有效震慑，增强监管对象守法的自觉性。</w:t>
      </w:r>
    </w:p>
    <w:p>
      <w:pPr>
        <w:snapToGrid w:val="0"/>
        <w:spacing w:line="560" w:lineRule="exact"/>
        <w:ind w:firstLine="640" w:firstLineChars="200"/>
        <w:jc w:val="left"/>
        <w:rPr>
          <w:rFonts w:ascii="黑体" w:hAnsi="黑体" w:eastAsia="黑体" w:cs="宋体"/>
          <w:sz w:val="32"/>
          <w:szCs w:val="32"/>
        </w:rPr>
      </w:pPr>
      <w:r>
        <w:rPr>
          <w:rFonts w:hint="eastAsia" w:ascii="黑体" w:hAnsi="黑体" w:eastAsia="黑体" w:cs="宋体"/>
          <w:sz w:val="32"/>
          <w:szCs w:val="32"/>
        </w:rPr>
        <w:t>四、工作要求</w:t>
      </w:r>
    </w:p>
    <w:p>
      <w:pPr>
        <w:snapToGrid w:val="0"/>
        <w:spacing w:line="560" w:lineRule="exact"/>
        <w:ind w:firstLine="640" w:firstLineChars="200"/>
        <w:jc w:val="left"/>
        <w:rPr>
          <w:rFonts w:ascii="仿宋" w:hAnsi="仿宋" w:eastAsia="仿宋" w:cs="宋体"/>
          <w:sz w:val="32"/>
          <w:szCs w:val="32"/>
        </w:rPr>
      </w:pPr>
      <w:r>
        <w:rPr>
          <w:rFonts w:hint="eastAsia" w:ascii="楷体_GB2312" w:hAnsi="仿宋" w:eastAsia="楷体_GB2312"/>
          <w:b/>
          <w:sz w:val="32"/>
          <w:szCs w:val="32"/>
        </w:rPr>
        <w:t>（一）提高认识，加强领导。</w:t>
      </w:r>
      <w:r>
        <w:rPr>
          <w:rFonts w:hint="eastAsia" w:ascii="仿宋" w:hAnsi="仿宋" w:eastAsia="仿宋"/>
          <w:sz w:val="32"/>
          <w:szCs w:val="32"/>
        </w:rPr>
        <w:t>全面推开“双随机</w:t>
      </w:r>
      <w:r>
        <w:rPr>
          <w:rFonts w:hint="eastAsia" w:ascii="仿宋" w:hAnsi="仿宋" w:eastAsia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/>
          <w:sz w:val="32"/>
          <w:szCs w:val="32"/>
        </w:rPr>
        <w:t>一公开”是国务院和省政府简政放权、放管结合、优化服务的重要举措。主要领导亲自抓，分阶段召开工作推进会，合理调配执法检查力量，不断提高监管水平，切实把“双随机”抽查监管落到实处。</w:t>
      </w:r>
    </w:p>
    <w:p>
      <w:pPr>
        <w:widowControl/>
        <w:snapToGrid w:val="0"/>
        <w:spacing w:line="560" w:lineRule="exact"/>
        <w:ind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为加强对“双随机”抽查工作的统筹协调和督促指导，局成立“双随机</w:t>
      </w:r>
      <w:r>
        <w:rPr>
          <w:rFonts w:hint="eastAsia" w:ascii="仿宋" w:hAnsi="仿宋" w:eastAsia="仿宋"/>
          <w:sz w:val="32"/>
          <w:szCs w:val="32"/>
          <w:lang w:eastAsia="zh-CN"/>
        </w:rPr>
        <w:t>、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</w:rPr>
        <w:t>一公开”工作领导小组。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组  长：高宏生  区卫生健康局   局长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副组长：孙怀广  区卫生健康局   副局长</w:t>
      </w:r>
    </w:p>
    <w:p>
      <w:pPr>
        <w:adjustRightInd w:val="0"/>
        <w:snapToGrid w:val="0"/>
        <w:spacing w:line="560" w:lineRule="exact"/>
        <w:ind w:firstLine="1920" w:firstLineChars="6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周  明  区卫生计生综合监督执法局   局  长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成  员：王俊伟  区卫生健康局法制监督股     科  员</w:t>
      </w:r>
    </w:p>
    <w:p>
      <w:pPr>
        <w:widowControl/>
        <w:snapToGrid w:val="0"/>
        <w:spacing w:line="560" w:lineRule="exact"/>
        <w:ind w:firstLine="640" w:firstLineChars="200"/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 徐  刚  区卫生计生综合监督执法局   副局长</w:t>
      </w:r>
    </w:p>
    <w:p>
      <w:pPr>
        <w:widowControl/>
        <w:snapToGrid w:val="0"/>
        <w:spacing w:line="560" w:lineRule="exact"/>
        <w:ind w:firstLine="640" w:firstLineChars="200"/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 周建茹  区卫生计生综合监督执法局   副局长</w:t>
      </w:r>
    </w:p>
    <w:p>
      <w:pPr>
        <w:widowControl/>
        <w:snapToGrid w:val="0"/>
        <w:spacing w:line="560" w:lineRule="exact"/>
        <w:ind w:firstLine="640" w:firstLineChars="200"/>
        <w:jc w:val="left"/>
        <w:rPr>
          <w:rFonts w:ascii="仿宋_GB2312" w:eastAsia="仿宋_GB2312"/>
          <w:color w:val="FF0000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 杨国颖  区卫生计生综合监督执法局   副书记</w:t>
      </w:r>
    </w:p>
    <w:p>
      <w:pPr>
        <w:widowControl/>
        <w:snapToGrid w:val="0"/>
        <w:spacing w:line="560" w:lineRule="exact"/>
        <w:ind w:firstLine="640" w:firstLineChars="200"/>
        <w:jc w:val="left"/>
        <w:rPr>
          <w:rFonts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领导小组在综合监督执法局下设办公室，负责日常工作。办公室主任周明、副主任杨国颖。</w:t>
      </w:r>
    </w:p>
    <w:p>
      <w:pPr>
        <w:spacing w:line="560" w:lineRule="exact"/>
        <w:ind w:firstLine="640" w:firstLineChars="200"/>
        <w:jc w:val="left"/>
        <w:rPr>
          <w:rFonts w:ascii="仿宋" w:hAnsi="仿宋" w:eastAsia="仿宋" w:cs="宋体"/>
          <w:kern w:val="0"/>
          <w:sz w:val="32"/>
          <w:szCs w:val="32"/>
        </w:rPr>
      </w:pPr>
      <w:r>
        <w:rPr>
          <w:rFonts w:hint="eastAsia" w:ascii="楷体_GB2312" w:hAnsi="仿宋" w:eastAsia="楷体_GB2312" w:cs="宋体"/>
          <w:b/>
          <w:kern w:val="0"/>
          <w:sz w:val="32"/>
          <w:szCs w:val="32"/>
        </w:rPr>
        <w:t>（二）严格抽查纪律。</w:t>
      </w:r>
      <w:r>
        <w:rPr>
          <w:rFonts w:hint="eastAsia" w:ascii="仿宋" w:hAnsi="仿宋" w:eastAsia="仿宋" w:cs="宋体"/>
          <w:kern w:val="0"/>
          <w:sz w:val="32"/>
          <w:szCs w:val="32"/>
        </w:rPr>
        <w:t>执法人员对被抽取的监管对象实施检查时，不得妨碍监管对象正常的生产经营活动，不得索取或收受监管对象财物，不得谋取其他利益。对抽查监管工作中失职渎职和违纪的，要依法依纪严肃处理。</w:t>
      </w:r>
    </w:p>
    <w:p>
      <w:pPr>
        <w:spacing w:line="560" w:lineRule="exact"/>
        <w:ind w:firstLine="640" w:firstLineChars="200"/>
        <w:jc w:val="left"/>
        <w:rPr>
          <w:rFonts w:ascii="仿宋" w:hAnsi="仿宋" w:eastAsia="仿宋" w:cs="宋体"/>
          <w:kern w:val="0"/>
          <w:sz w:val="32"/>
          <w:szCs w:val="32"/>
        </w:rPr>
      </w:pPr>
      <w:r>
        <w:rPr>
          <w:rFonts w:hint="eastAsia" w:ascii="楷体_GB2312" w:hAnsi="仿宋" w:eastAsia="楷体_GB2312" w:cs="宋体"/>
          <w:b/>
          <w:kern w:val="0"/>
          <w:sz w:val="32"/>
          <w:szCs w:val="32"/>
        </w:rPr>
        <w:t>（三）加强宣传培训。</w:t>
      </w:r>
      <w:r>
        <w:rPr>
          <w:rFonts w:hint="eastAsia" w:ascii="仿宋" w:hAnsi="仿宋" w:eastAsia="仿宋" w:cs="宋体"/>
          <w:kern w:val="0"/>
          <w:sz w:val="32"/>
          <w:szCs w:val="32"/>
        </w:rPr>
        <w:t>继续探索、创新“双随机”抽查机制，积极与上级部门沟通，加大宣传力度，加强执法人员培训，转变执法理念，不断提升执法能力。</w:t>
      </w:r>
    </w:p>
    <w:p>
      <w:pPr>
        <w:widowControl/>
        <w:spacing w:line="560" w:lineRule="exact"/>
        <w:ind w:firstLine="640" w:firstLineChars="200"/>
        <w:jc w:val="left"/>
        <w:rPr>
          <w:rFonts w:ascii="仿宋" w:hAnsi="仿宋" w:eastAsia="仿宋" w:cs="宋体"/>
          <w:kern w:val="0"/>
          <w:sz w:val="32"/>
          <w:szCs w:val="32"/>
        </w:rPr>
      </w:pPr>
    </w:p>
    <w:p>
      <w:pPr>
        <w:widowControl/>
        <w:spacing w:line="560" w:lineRule="exact"/>
        <w:ind w:left="1910" w:leftChars="300" w:hanging="1280" w:hangingChars="400"/>
        <w:jc w:val="left"/>
        <w:rPr>
          <w:rFonts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附件：1.秦皇岛市抚宁区卫生健康局2022年“双随机”内部抽查计划</w:t>
      </w:r>
    </w:p>
    <w:p>
      <w:pPr>
        <w:widowControl/>
        <w:spacing w:line="560" w:lineRule="exact"/>
        <w:ind w:left="2000" w:leftChars="800" w:hanging="320" w:hangingChars="100"/>
        <w:jc w:val="left"/>
        <w:rPr>
          <w:rFonts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2.秦皇岛市抚宁区卫生健康局2022年“双随机”跨部门联合抽查计划</w:t>
      </w:r>
    </w:p>
    <w:p>
      <w:pPr>
        <w:widowControl/>
        <w:spacing w:line="560" w:lineRule="exact"/>
        <w:ind w:left="1260" w:leftChars="600" w:firstLine="320" w:firstLineChars="100"/>
        <w:jc w:val="left"/>
        <w:rPr>
          <w:rFonts w:ascii="仿宋" w:hAnsi="仿宋" w:eastAsia="仿宋" w:cs="宋体"/>
          <w:kern w:val="0"/>
          <w:sz w:val="32"/>
          <w:szCs w:val="32"/>
        </w:rPr>
      </w:pPr>
    </w:p>
    <w:p>
      <w:pPr>
        <w:widowControl/>
        <w:spacing w:line="560" w:lineRule="exact"/>
        <w:ind w:left="1590" w:leftChars="300" w:hanging="960" w:hangingChars="300"/>
        <w:jc w:val="left"/>
        <w:rPr>
          <w:rFonts w:ascii="仿宋" w:hAnsi="仿宋" w:eastAsia="仿宋" w:cs="宋体"/>
          <w:kern w:val="0"/>
          <w:sz w:val="32"/>
          <w:szCs w:val="32"/>
        </w:rPr>
      </w:pPr>
    </w:p>
    <w:p>
      <w:pPr>
        <w:widowControl/>
        <w:spacing w:line="560" w:lineRule="exact"/>
        <w:ind w:left="1590" w:leftChars="300" w:hanging="960" w:hangingChars="300"/>
        <w:jc w:val="left"/>
        <w:rPr>
          <w:rFonts w:ascii="仿宋" w:hAnsi="仿宋" w:eastAsia="仿宋" w:cs="宋体"/>
          <w:kern w:val="0"/>
          <w:sz w:val="32"/>
          <w:szCs w:val="32"/>
        </w:rPr>
      </w:pPr>
    </w:p>
    <w:p>
      <w:pPr>
        <w:widowControl/>
        <w:spacing w:line="560" w:lineRule="exact"/>
        <w:ind w:left="1590" w:leftChars="300" w:hanging="960" w:hangingChars="300"/>
        <w:jc w:val="left"/>
        <w:rPr>
          <w:rFonts w:ascii="仿宋" w:hAnsi="仿宋" w:eastAsia="仿宋" w:cs="宋体"/>
          <w:kern w:val="0"/>
          <w:sz w:val="32"/>
          <w:szCs w:val="32"/>
        </w:rPr>
      </w:pPr>
    </w:p>
    <w:p>
      <w:pPr>
        <w:widowControl/>
        <w:spacing w:line="560" w:lineRule="exact"/>
        <w:ind w:left="1590" w:leftChars="300" w:hanging="960" w:hangingChars="300"/>
        <w:jc w:val="left"/>
        <w:rPr>
          <w:rFonts w:ascii="仿宋" w:hAnsi="仿宋" w:eastAsia="仿宋" w:cs="宋体"/>
          <w:kern w:val="0"/>
          <w:sz w:val="32"/>
          <w:szCs w:val="32"/>
        </w:rPr>
      </w:pPr>
    </w:p>
    <w:p>
      <w:pPr>
        <w:widowControl/>
        <w:spacing w:line="560" w:lineRule="exact"/>
        <w:ind w:left="1590" w:leftChars="300" w:hanging="960" w:hangingChars="300"/>
        <w:jc w:val="left"/>
        <w:rPr>
          <w:rFonts w:ascii="仿宋" w:hAnsi="仿宋" w:eastAsia="仿宋" w:cs="宋体"/>
          <w:kern w:val="0"/>
          <w:sz w:val="32"/>
          <w:szCs w:val="32"/>
        </w:rPr>
      </w:pPr>
    </w:p>
    <w:p>
      <w:pPr>
        <w:widowControl/>
        <w:spacing w:line="560" w:lineRule="exact"/>
        <w:ind w:left="1590" w:leftChars="300" w:hanging="960" w:hangingChars="300"/>
        <w:jc w:val="left"/>
        <w:rPr>
          <w:rFonts w:ascii="仿宋" w:hAnsi="仿宋" w:eastAsia="仿宋" w:cs="宋体"/>
          <w:kern w:val="0"/>
          <w:sz w:val="32"/>
          <w:szCs w:val="32"/>
        </w:rPr>
      </w:pPr>
    </w:p>
    <w:p>
      <w:pPr>
        <w:widowControl/>
        <w:spacing w:line="560" w:lineRule="exact"/>
        <w:ind w:left="1590" w:leftChars="300" w:hanging="960" w:hangingChars="300"/>
        <w:jc w:val="left"/>
        <w:rPr>
          <w:rFonts w:ascii="仿宋" w:hAnsi="仿宋" w:eastAsia="仿宋" w:cs="宋体"/>
          <w:kern w:val="0"/>
          <w:sz w:val="32"/>
          <w:szCs w:val="32"/>
        </w:rPr>
      </w:pPr>
    </w:p>
    <w:p>
      <w:pPr>
        <w:widowControl/>
        <w:spacing w:line="560" w:lineRule="exact"/>
        <w:ind w:left="1590" w:leftChars="300" w:hanging="960" w:hangingChars="300"/>
        <w:jc w:val="left"/>
        <w:rPr>
          <w:rFonts w:ascii="仿宋" w:hAnsi="仿宋" w:eastAsia="仿宋" w:cs="宋体"/>
          <w:kern w:val="0"/>
          <w:sz w:val="32"/>
          <w:szCs w:val="32"/>
        </w:rPr>
      </w:pPr>
    </w:p>
    <w:p>
      <w:pPr>
        <w:widowControl/>
        <w:spacing w:line="560" w:lineRule="exact"/>
        <w:ind w:left="1590" w:leftChars="300" w:hanging="960" w:hangingChars="300"/>
        <w:jc w:val="left"/>
        <w:rPr>
          <w:rFonts w:ascii="仿宋" w:hAnsi="仿宋" w:eastAsia="仿宋" w:cs="宋体"/>
          <w:kern w:val="0"/>
          <w:sz w:val="32"/>
          <w:szCs w:val="32"/>
        </w:rPr>
      </w:pPr>
    </w:p>
    <w:p>
      <w:pPr>
        <w:widowControl/>
        <w:spacing w:line="560" w:lineRule="exact"/>
        <w:ind w:left="1590" w:leftChars="300" w:hanging="960" w:hangingChars="300"/>
        <w:jc w:val="left"/>
        <w:rPr>
          <w:rFonts w:ascii="仿宋" w:hAnsi="仿宋" w:eastAsia="仿宋" w:cs="宋体"/>
          <w:kern w:val="0"/>
          <w:sz w:val="32"/>
          <w:szCs w:val="32"/>
        </w:rPr>
      </w:pPr>
    </w:p>
    <w:p>
      <w:pPr>
        <w:widowControl/>
        <w:spacing w:line="560" w:lineRule="exact"/>
        <w:ind w:left="1590" w:leftChars="300" w:hanging="960" w:hangingChars="300"/>
        <w:jc w:val="left"/>
        <w:rPr>
          <w:rFonts w:ascii="仿宋" w:hAnsi="仿宋" w:eastAsia="仿宋" w:cs="宋体"/>
          <w:kern w:val="0"/>
          <w:sz w:val="32"/>
          <w:szCs w:val="32"/>
        </w:rPr>
      </w:pPr>
    </w:p>
    <w:p>
      <w:pPr>
        <w:widowControl/>
        <w:spacing w:line="560" w:lineRule="exact"/>
        <w:ind w:left="1590" w:leftChars="300" w:hanging="960" w:hangingChars="300"/>
        <w:jc w:val="left"/>
        <w:rPr>
          <w:rFonts w:ascii="仿宋" w:hAnsi="仿宋" w:eastAsia="仿宋" w:cs="宋体"/>
          <w:kern w:val="0"/>
          <w:sz w:val="32"/>
          <w:szCs w:val="32"/>
        </w:rPr>
      </w:pPr>
    </w:p>
    <w:p>
      <w:pPr>
        <w:widowControl/>
        <w:spacing w:line="560" w:lineRule="exact"/>
        <w:ind w:left="1590" w:leftChars="300" w:hanging="960" w:hangingChars="300"/>
        <w:jc w:val="left"/>
        <w:rPr>
          <w:rFonts w:ascii="仿宋" w:hAnsi="仿宋" w:eastAsia="仿宋" w:cs="宋体"/>
          <w:kern w:val="0"/>
          <w:sz w:val="32"/>
          <w:szCs w:val="32"/>
        </w:rPr>
      </w:pPr>
    </w:p>
    <w:p>
      <w:pPr>
        <w:widowControl/>
        <w:jc w:val="left"/>
        <w:rPr>
          <w:rFonts w:ascii="仿宋" w:hAnsi="仿宋" w:eastAsia="仿宋" w:cs="宋体"/>
          <w:kern w:val="0"/>
          <w:sz w:val="32"/>
          <w:szCs w:val="32"/>
        </w:rPr>
        <w:sectPr>
          <w:footerReference r:id="rId6" w:type="first"/>
          <w:headerReference r:id="rId3" w:type="default"/>
          <w:footerReference r:id="rId4" w:type="default"/>
          <w:footerReference r:id="rId5" w:type="even"/>
          <w:pgSz w:w="11906" w:h="16838"/>
          <w:pgMar w:top="2098" w:right="1474" w:bottom="1985" w:left="1588" w:header="851" w:footer="992" w:gutter="0"/>
          <w:pgNumType w:fmt="numberInDash"/>
          <w:cols w:space="720" w:num="1"/>
          <w:titlePg/>
          <w:docGrid w:type="linesAndChars" w:linePitch="315" w:charSpace="0"/>
        </w:sectPr>
      </w:pPr>
    </w:p>
    <w:p>
      <w:pPr>
        <w:adjustRightInd w:val="0"/>
        <w:snapToGrid w:val="0"/>
        <w:jc w:val="left"/>
        <w:rPr>
          <w:rFonts w:ascii="方正小标宋_GBK" w:hAnsi="黑体" w:eastAsia="方正小标宋_GBK" w:cs="宋体"/>
          <w:kern w:val="0"/>
          <w:sz w:val="44"/>
          <w:szCs w:val="44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附件1</w:t>
      </w:r>
    </w:p>
    <w:p>
      <w:pPr>
        <w:adjustRightInd w:val="0"/>
        <w:snapToGrid w:val="0"/>
        <w:spacing w:afterLines="50"/>
        <w:jc w:val="center"/>
        <w:rPr>
          <w:rFonts w:ascii="方正小标宋_GBK" w:hAnsi="宋体" w:eastAsia="方正小标宋_GBK" w:cs="宋体"/>
          <w:color w:val="000000"/>
          <w:kern w:val="0"/>
          <w:sz w:val="44"/>
          <w:szCs w:val="44"/>
        </w:rPr>
      </w:pP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</w:rPr>
        <w:t>抚宁区卫健局2023年度内部联合随机抽查工作计划</w:t>
      </w:r>
    </w:p>
    <w:tbl>
      <w:tblPr>
        <w:tblStyle w:val="6"/>
        <w:tblW w:w="1455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04"/>
        <w:gridCol w:w="1584"/>
        <w:gridCol w:w="1004"/>
        <w:gridCol w:w="1566"/>
        <w:gridCol w:w="744"/>
        <w:gridCol w:w="1800"/>
        <w:gridCol w:w="1392"/>
        <w:gridCol w:w="2245"/>
        <w:gridCol w:w="816"/>
        <w:gridCol w:w="792"/>
        <w:gridCol w:w="120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  <w:jc w:val="center"/>
        </w:trPr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抽查计划编号</w:t>
            </w:r>
          </w:p>
        </w:tc>
        <w:tc>
          <w:tcPr>
            <w:tcW w:w="15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抽查计划名称</w:t>
            </w:r>
          </w:p>
        </w:tc>
        <w:tc>
          <w:tcPr>
            <w:tcW w:w="10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抽查任务编号</w:t>
            </w:r>
          </w:p>
        </w:tc>
        <w:tc>
          <w:tcPr>
            <w:tcW w:w="15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抽查任务名称</w:t>
            </w:r>
          </w:p>
        </w:tc>
        <w:tc>
          <w:tcPr>
            <w:tcW w:w="7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抽查</w:t>
            </w:r>
          </w:p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类型</w:t>
            </w:r>
          </w:p>
        </w:tc>
        <w:tc>
          <w:tcPr>
            <w:tcW w:w="18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抽查</w:t>
            </w:r>
          </w:p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比例</w:t>
            </w:r>
          </w:p>
        </w:tc>
        <w:tc>
          <w:tcPr>
            <w:tcW w:w="13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抽查事项</w:t>
            </w:r>
          </w:p>
        </w:tc>
        <w:tc>
          <w:tcPr>
            <w:tcW w:w="22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抽查对象</w:t>
            </w:r>
          </w:p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范围</w:t>
            </w:r>
          </w:p>
        </w:tc>
        <w:tc>
          <w:tcPr>
            <w:tcW w:w="8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发起处室</w:t>
            </w:r>
          </w:p>
        </w:tc>
        <w:tc>
          <w:tcPr>
            <w:tcW w:w="7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联合处室</w:t>
            </w:r>
          </w:p>
        </w:tc>
        <w:tc>
          <w:tcPr>
            <w:tcW w:w="12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抽查时间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5" w:hRule="atLeast"/>
          <w:jc w:val="center"/>
        </w:trPr>
        <w:tc>
          <w:tcPr>
            <w:tcW w:w="140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2023001-1</w:t>
            </w:r>
          </w:p>
        </w:tc>
        <w:tc>
          <w:tcPr>
            <w:tcW w:w="15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2023年抚宁区卫生健康局内部联合随机抽查001-1</w:t>
            </w:r>
          </w:p>
        </w:tc>
        <w:tc>
          <w:tcPr>
            <w:tcW w:w="10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001-1号</w:t>
            </w:r>
          </w:p>
        </w:tc>
        <w:tc>
          <w:tcPr>
            <w:tcW w:w="15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2023年抚宁区卫生健康局内部联合随机抽查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定向抽查</w:t>
            </w:r>
          </w:p>
        </w:tc>
        <w:tc>
          <w:tcPr>
            <w:tcW w:w="18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根据信用风险等级，按照1-50%的比例差异抽取，平均比例不低于3%</w:t>
            </w:r>
          </w:p>
          <w:p>
            <w:pPr>
              <w:widowControl/>
              <w:jc w:val="center"/>
              <w:rPr>
                <w:rFonts w:ascii="仿宋" w:hAnsi="仿宋" w:eastAsia="仿宋" w:cs="仿宋"/>
                <w:color w:val="000000"/>
                <w:kern w:val="0"/>
                <w:sz w:val="24"/>
              </w:rPr>
            </w:pPr>
          </w:p>
        </w:tc>
        <w:tc>
          <w:tcPr>
            <w:tcW w:w="13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公共场所卫生</w:t>
            </w:r>
          </w:p>
        </w:tc>
        <w:tc>
          <w:tcPr>
            <w:tcW w:w="22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widowControl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2023年3月31日前取得卫生许可的公共场所</w:t>
            </w:r>
          </w:p>
        </w:tc>
        <w:tc>
          <w:tcPr>
            <w:tcW w:w="8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监督二科</w:t>
            </w:r>
          </w:p>
        </w:tc>
        <w:tc>
          <w:tcPr>
            <w:tcW w:w="7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监督三科</w:t>
            </w:r>
          </w:p>
        </w:tc>
        <w:tc>
          <w:tcPr>
            <w:tcW w:w="12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2023年4月至11月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5" w:hRule="atLeast"/>
          <w:jc w:val="center"/>
        </w:trPr>
        <w:tc>
          <w:tcPr>
            <w:tcW w:w="140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2023001-2</w:t>
            </w:r>
          </w:p>
        </w:tc>
        <w:tc>
          <w:tcPr>
            <w:tcW w:w="15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2023年抚宁区卫生健康局内部联合随机抽查001-2</w:t>
            </w:r>
          </w:p>
        </w:tc>
        <w:tc>
          <w:tcPr>
            <w:tcW w:w="10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001-2号</w:t>
            </w:r>
          </w:p>
        </w:tc>
        <w:tc>
          <w:tcPr>
            <w:tcW w:w="15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2023年抚宁区卫生健康局内部联合随机抽查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spacing w:val="-10"/>
                <w:kern w:val="0"/>
                <w:sz w:val="24"/>
              </w:rPr>
              <w:t>定向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抽查</w:t>
            </w:r>
          </w:p>
        </w:tc>
        <w:tc>
          <w:tcPr>
            <w:tcW w:w="18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6%</w:t>
            </w:r>
          </w:p>
          <w:p>
            <w:pPr>
              <w:widowControl/>
              <w:jc w:val="center"/>
              <w:rPr>
                <w:rFonts w:ascii="仿宋" w:hAnsi="仿宋" w:eastAsia="仿宋" w:cs="仿宋"/>
                <w:color w:val="000000"/>
                <w:kern w:val="0"/>
                <w:sz w:val="24"/>
              </w:rPr>
            </w:pPr>
          </w:p>
        </w:tc>
        <w:tc>
          <w:tcPr>
            <w:tcW w:w="13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学校卫生、生活饮用水</w:t>
            </w:r>
          </w:p>
        </w:tc>
        <w:tc>
          <w:tcPr>
            <w:tcW w:w="22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</w:tcPr>
          <w:p>
            <w:pPr>
              <w:widowControl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2023年3月31日前批准举办的学校机构、2023年3月31日前取得卫生许可的生活饮用水供水机构</w:t>
            </w:r>
          </w:p>
        </w:tc>
        <w:tc>
          <w:tcPr>
            <w:tcW w:w="8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监督三科</w:t>
            </w:r>
          </w:p>
        </w:tc>
        <w:tc>
          <w:tcPr>
            <w:tcW w:w="7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稽查科</w:t>
            </w:r>
          </w:p>
        </w:tc>
        <w:tc>
          <w:tcPr>
            <w:tcW w:w="12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2023年4月至11月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  <w:jc w:val="center"/>
        </w:trPr>
        <w:tc>
          <w:tcPr>
            <w:tcW w:w="140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2023002</w:t>
            </w:r>
          </w:p>
        </w:tc>
        <w:tc>
          <w:tcPr>
            <w:tcW w:w="15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2023年抚宁区卫生健康局内部联合随机抽查002</w:t>
            </w:r>
          </w:p>
        </w:tc>
        <w:tc>
          <w:tcPr>
            <w:tcW w:w="10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002号</w:t>
            </w:r>
          </w:p>
        </w:tc>
        <w:tc>
          <w:tcPr>
            <w:tcW w:w="15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2023年抚宁区卫生健康局内部联合随机抽查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spacing w:val="-10"/>
                <w:kern w:val="0"/>
                <w:sz w:val="24"/>
              </w:rPr>
              <w:t>定向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抽查</w:t>
            </w:r>
          </w:p>
        </w:tc>
        <w:tc>
          <w:tcPr>
            <w:tcW w:w="18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根据信用风险等级，按照1-50%的比例差异抽取，平均比例不低于3%</w:t>
            </w:r>
          </w:p>
          <w:p>
            <w:pPr>
              <w:widowControl/>
              <w:jc w:val="center"/>
              <w:rPr>
                <w:rFonts w:ascii="仿宋" w:hAnsi="仿宋" w:eastAsia="仿宋" w:cs="仿宋"/>
                <w:color w:val="000000"/>
                <w:kern w:val="0"/>
                <w:sz w:val="24"/>
              </w:rPr>
            </w:pPr>
          </w:p>
        </w:tc>
        <w:tc>
          <w:tcPr>
            <w:tcW w:w="13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医疗卫生、传染病防治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、计划生育、放射卫生、消毒产品</w:t>
            </w:r>
          </w:p>
        </w:tc>
        <w:tc>
          <w:tcPr>
            <w:tcW w:w="22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</w:tcPr>
          <w:p>
            <w:pPr>
              <w:widowControl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2023年3月31日前取得执业许可的医疗机构、计划生育技术服务机构、消毒产品生产企业</w:t>
            </w:r>
          </w:p>
        </w:tc>
        <w:tc>
          <w:tcPr>
            <w:tcW w:w="8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监督一科</w:t>
            </w:r>
          </w:p>
        </w:tc>
        <w:tc>
          <w:tcPr>
            <w:tcW w:w="7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监督四科</w:t>
            </w:r>
          </w:p>
        </w:tc>
        <w:tc>
          <w:tcPr>
            <w:tcW w:w="12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2023年4月至11月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  <w:jc w:val="center"/>
        </w:trPr>
        <w:tc>
          <w:tcPr>
            <w:tcW w:w="14546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备注：1.抽查计划名称为：年度+部门+随机抽查+序号。抽查任务名称以实施方案为准。</w:t>
            </w:r>
          </w:p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 xml:space="preserve">      2.抽查时间必须填写到月份。</w:t>
            </w:r>
          </w:p>
        </w:tc>
      </w:tr>
    </w:tbl>
    <w:p>
      <w:pPr>
        <w:jc w:val="left"/>
        <w:rPr>
          <w:rFonts w:ascii="黑体" w:hAnsi="宋体" w:eastAsia="黑体" w:cs="黑体"/>
          <w:color w:val="000000"/>
          <w:sz w:val="32"/>
          <w:szCs w:val="32"/>
        </w:rPr>
      </w:pPr>
    </w:p>
    <w:p>
      <w:pPr>
        <w:jc w:val="left"/>
        <w:rPr>
          <w:rFonts w:ascii="黑体" w:hAnsi="宋体" w:eastAsia="黑体" w:cs="黑体"/>
          <w:color w:val="000000"/>
          <w:sz w:val="32"/>
          <w:szCs w:val="32"/>
        </w:rPr>
      </w:pPr>
      <w:r>
        <w:rPr>
          <w:rFonts w:hint="eastAsia" w:ascii="黑体" w:hAnsi="宋体" w:eastAsia="黑体" w:cs="黑体"/>
          <w:color w:val="000000"/>
          <w:sz w:val="32"/>
          <w:szCs w:val="32"/>
        </w:rPr>
        <w:t>附件2</w:t>
      </w:r>
    </w:p>
    <w:p>
      <w:pPr>
        <w:adjustRightInd w:val="0"/>
        <w:snapToGrid w:val="0"/>
        <w:spacing w:afterLines="50"/>
        <w:jc w:val="center"/>
        <w:rPr>
          <w:rFonts w:ascii="方正小标宋_GBK" w:hAnsi="宋体" w:eastAsia="方正小标宋_GBK" w:cs="方正小标宋_GBK"/>
          <w:color w:val="000000"/>
          <w:sz w:val="44"/>
          <w:szCs w:val="44"/>
        </w:rPr>
      </w:pP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</w:rPr>
        <w:t>抚宁区2023年度部门联合随机抽查工作计划</w:t>
      </w:r>
    </w:p>
    <w:tbl>
      <w:tblPr>
        <w:tblStyle w:val="6"/>
        <w:tblW w:w="14475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65"/>
        <w:gridCol w:w="1029"/>
        <w:gridCol w:w="1367"/>
        <w:gridCol w:w="1367"/>
        <w:gridCol w:w="1003"/>
        <w:gridCol w:w="1003"/>
        <w:gridCol w:w="1288"/>
        <w:gridCol w:w="1276"/>
        <w:gridCol w:w="1275"/>
        <w:gridCol w:w="1418"/>
        <w:gridCol w:w="1417"/>
        <w:gridCol w:w="96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  <w:jc w:val="center"/>
        </w:trPr>
        <w:tc>
          <w:tcPr>
            <w:tcW w:w="1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黑体" w:hAnsi="宋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宋体" w:eastAsia="黑体" w:cs="黑体"/>
                <w:bCs/>
                <w:color w:val="000000"/>
                <w:kern w:val="0"/>
                <w:sz w:val="24"/>
              </w:rPr>
              <w:t>抽查计划编号</w:t>
            </w:r>
          </w:p>
        </w:tc>
        <w:tc>
          <w:tcPr>
            <w:tcW w:w="102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黑体" w:hAnsi="宋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宋体" w:eastAsia="黑体" w:cs="黑体"/>
                <w:bCs/>
                <w:color w:val="000000"/>
                <w:kern w:val="0"/>
                <w:sz w:val="24"/>
              </w:rPr>
              <w:t>抽查计划名称</w:t>
            </w:r>
          </w:p>
        </w:tc>
        <w:tc>
          <w:tcPr>
            <w:tcW w:w="13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黑体" w:hAnsi="宋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宋体" w:eastAsia="黑体" w:cs="黑体"/>
                <w:bCs/>
                <w:color w:val="000000"/>
                <w:kern w:val="0"/>
                <w:sz w:val="24"/>
              </w:rPr>
              <w:t>抽查任务编号</w:t>
            </w:r>
          </w:p>
        </w:tc>
        <w:tc>
          <w:tcPr>
            <w:tcW w:w="13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黑体" w:hAnsi="宋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宋体" w:eastAsia="黑体" w:cs="黑体"/>
                <w:bCs/>
                <w:color w:val="000000"/>
                <w:kern w:val="0"/>
                <w:sz w:val="24"/>
              </w:rPr>
              <w:t>抽查任务名称</w:t>
            </w:r>
          </w:p>
        </w:tc>
        <w:tc>
          <w:tcPr>
            <w:tcW w:w="10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黑体" w:hAnsi="宋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宋体" w:eastAsia="黑体" w:cs="黑体"/>
                <w:bCs/>
                <w:color w:val="000000"/>
                <w:kern w:val="0"/>
                <w:sz w:val="24"/>
              </w:rPr>
              <w:t>抽查</w:t>
            </w:r>
          </w:p>
          <w:p>
            <w:pPr>
              <w:jc w:val="center"/>
              <w:rPr>
                <w:rFonts w:ascii="黑体" w:hAnsi="宋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宋体" w:eastAsia="黑体" w:cs="黑体"/>
                <w:bCs/>
                <w:color w:val="000000"/>
                <w:kern w:val="0"/>
                <w:sz w:val="24"/>
              </w:rPr>
              <w:t>类型</w:t>
            </w:r>
          </w:p>
        </w:tc>
        <w:tc>
          <w:tcPr>
            <w:tcW w:w="10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黑体" w:hAnsi="宋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宋体" w:eastAsia="黑体" w:cs="黑体"/>
                <w:bCs/>
                <w:color w:val="000000"/>
                <w:kern w:val="0"/>
                <w:sz w:val="24"/>
              </w:rPr>
              <w:t>抽查</w:t>
            </w:r>
          </w:p>
          <w:p>
            <w:pPr>
              <w:jc w:val="center"/>
              <w:rPr>
                <w:rFonts w:ascii="黑体" w:hAnsi="宋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宋体" w:eastAsia="黑体" w:cs="黑体"/>
                <w:bCs/>
                <w:color w:val="000000"/>
                <w:kern w:val="0"/>
                <w:sz w:val="24"/>
              </w:rPr>
              <w:t>比例</w:t>
            </w:r>
          </w:p>
        </w:tc>
        <w:tc>
          <w:tcPr>
            <w:tcW w:w="1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黑体" w:hAnsi="宋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宋体" w:eastAsia="黑体" w:cs="黑体"/>
                <w:bCs/>
                <w:color w:val="000000"/>
                <w:kern w:val="0"/>
                <w:sz w:val="24"/>
              </w:rPr>
              <w:t>抽查</w:t>
            </w:r>
          </w:p>
          <w:p>
            <w:pPr>
              <w:jc w:val="center"/>
              <w:rPr>
                <w:rFonts w:ascii="黑体" w:hAnsi="宋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宋体" w:eastAsia="黑体" w:cs="黑体"/>
                <w:bCs/>
                <w:color w:val="000000"/>
                <w:kern w:val="0"/>
                <w:sz w:val="24"/>
              </w:rPr>
              <w:t>事项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黑体" w:hAnsi="宋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宋体" w:eastAsia="黑体" w:cs="黑体"/>
                <w:bCs/>
                <w:color w:val="000000"/>
                <w:kern w:val="0"/>
                <w:sz w:val="24"/>
              </w:rPr>
              <w:t>抽查对象范围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黑体" w:hAnsi="宋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宋体" w:eastAsia="黑体" w:cs="黑体"/>
                <w:bCs/>
                <w:color w:val="000000"/>
                <w:kern w:val="0"/>
                <w:sz w:val="24"/>
              </w:rPr>
              <w:t>发起部门</w:t>
            </w:r>
          </w:p>
        </w:tc>
        <w:tc>
          <w:tcPr>
            <w:tcW w:w="14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黑体" w:hAnsi="宋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宋体" w:eastAsia="黑体" w:cs="黑体"/>
                <w:bCs/>
                <w:color w:val="000000"/>
                <w:kern w:val="0"/>
                <w:sz w:val="24"/>
              </w:rPr>
              <w:t>联合</w:t>
            </w:r>
          </w:p>
          <w:p>
            <w:pPr>
              <w:jc w:val="center"/>
              <w:rPr>
                <w:rFonts w:ascii="黑体" w:hAnsi="宋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宋体" w:eastAsia="黑体" w:cs="黑体"/>
                <w:bCs/>
                <w:color w:val="000000"/>
                <w:kern w:val="0"/>
                <w:sz w:val="24"/>
              </w:rPr>
              <w:t>部门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黑体" w:hAnsi="宋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宋体" w:eastAsia="黑体" w:cs="黑体"/>
                <w:bCs/>
                <w:color w:val="000000"/>
                <w:kern w:val="0"/>
                <w:sz w:val="24"/>
              </w:rPr>
              <w:t>抽查</w:t>
            </w:r>
          </w:p>
          <w:p>
            <w:pPr>
              <w:jc w:val="center"/>
              <w:rPr>
                <w:rFonts w:ascii="黑体" w:hAnsi="宋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宋体" w:eastAsia="黑体" w:cs="黑体"/>
                <w:bCs/>
                <w:color w:val="000000"/>
                <w:kern w:val="0"/>
                <w:sz w:val="24"/>
              </w:rPr>
              <w:t>时间</w:t>
            </w:r>
          </w:p>
        </w:tc>
        <w:tc>
          <w:tcPr>
            <w:tcW w:w="9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黑体" w:hAnsi="宋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宋体" w:eastAsia="黑体" w:cs="黑体"/>
                <w:bCs/>
                <w:color w:val="000000"/>
                <w:kern w:val="0"/>
                <w:sz w:val="24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0" w:hRule="atLeast"/>
          <w:jc w:val="center"/>
        </w:trPr>
        <w:tc>
          <w:tcPr>
            <w:tcW w:w="106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抚联2023001</w:t>
            </w:r>
          </w:p>
        </w:tc>
        <w:tc>
          <w:tcPr>
            <w:tcW w:w="10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2023年抚宁区部门联合抽查001</w:t>
            </w:r>
          </w:p>
        </w:tc>
        <w:tc>
          <w:tcPr>
            <w:tcW w:w="13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抚联0001</w:t>
            </w:r>
          </w:p>
        </w:tc>
        <w:tc>
          <w:tcPr>
            <w:tcW w:w="13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文化市场、娱乐场所</w:t>
            </w:r>
          </w:p>
        </w:tc>
        <w:tc>
          <w:tcPr>
            <w:tcW w:w="10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定向</w:t>
            </w:r>
          </w:p>
        </w:tc>
        <w:tc>
          <w:tcPr>
            <w:tcW w:w="10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FF000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结合企业信用风险等级，6%以上</w:t>
            </w:r>
          </w:p>
        </w:tc>
        <w:tc>
          <w:tcPr>
            <w:tcW w:w="12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本次抽查确定的联合抽查事项清单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依各参与部门需求确定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区公安局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区消防大队、人社局、卫健局等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2023年6月至8月</w:t>
            </w:r>
          </w:p>
        </w:tc>
        <w:tc>
          <w:tcPr>
            <w:tcW w:w="9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8" w:hRule="atLeast"/>
          <w:jc w:val="center"/>
        </w:trPr>
        <w:tc>
          <w:tcPr>
            <w:tcW w:w="14475" w:type="dxa"/>
            <w:gridSpan w:val="1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备注：抽查计划名称为：年度+市级+部门联合抽查+序号。</w:t>
            </w:r>
          </w:p>
        </w:tc>
      </w:tr>
    </w:tbl>
    <w:p>
      <w:pPr>
        <w:widowControl/>
        <w:jc w:val="left"/>
        <w:rPr>
          <w:rFonts w:ascii="方正小标宋_GBK" w:hAnsi="黑体" w:eastAsia="方正小标宋_GBK" w:cs="宋体"/>
          <w:kern w:val="0"/>
          <w:sz w:val="44"/>
          <w:szCs w:val="44"/>
        </w:rPr>
        <w:sectPr>
          <w:pgSz w:w="16838" w:h="11906" w:orient="landscape"/>
          <w:pgMar w:top="1588" w:right="2098" w:bottom="1474" w:left="1985" w:header="851" w:footer="992" w:gutter="0"/>
          <w:pgNumType w:fmt="numberInDash"/>
          <w:cols w:space="720" w:num="1"/>
          <w:docGrid w:type="linesAndChars" w:linePitch="315" w:charSpace="0"/>
        </w:sectPr>
      </w:pPr>
    </w:p>
    <w:p>
      <w:pPr>
        <w:widowControl/>
        <w:jc w:val="left"/>
        <w:rPr>
          <w:rFonts w:ascii="方正小标宋_GBK" w:hAnsi="黑体" w:eastAsia="方正小标宋_GBK" w:cs="宋体"/>
          <w:kern w:val="0"/>
          <w:sz w:val="44"/>
          <w:szCs w:val="44"/>
        </w:rPr>
      </w:pPr>
    </w:p>
    <w:p>
      <w:pPr>
        <w:widowControl/>
        <w:jc w:val="left"/>
        <w:rPr>
          <w:rFonts w:ascii="方正小标宋_GBK" w:hAnsi="黑体" w:eastAsia="方正小标宋_GBK" w:cs="宋体"/>
          <w:kern w:val="0"/>
          <w:sz w:val="44"/>
          <w:szCs w:val="44"/>
        </w:rPr>
      </w:pPr>
    </w:p>
    <w:p>
      <w:pPr>
        <w:widowControl/>
        <w:jc w:val="left"/>
        <w:rPr>
          <w:rFonts w:ascii="方正小标宋_GBK" w:hAnsi="黑体" w:eastAsia="方正小标宋_GBK" w:cs="宋体"/>
          <w:kern w:val="0"/>
          <w:sz w:val="44"/>
          <w:szCs w:val="44"/>
        </w:rPr>
      </w:pPr>
    </w:p>
    <w:p>
      <w:pPr>
        <w:widowControl/>
        <w:jc w:val="left"/>
        <w:rPr>
          <w:rFonts w:ascii="方正小标宋_GBK" w:hAnsi="黑体" w:eastAsia="方正小标宋_GBK" w:cs="宋体"/>
          <w:kern w:val="0"/>
          <w:sz w:val="44"/>
          <w:szCs w:val="44"/>
        </w:rPr>
      </w:pPr>
    </w:p>
    <w:p>
      <w:pPr>
        <w:widowControl/>
        <w:jc w:val="left"/>
        <w:rPr>
          <w:rFonts w:ascii="方正小标宋_GBK" w:hAnsi="黑体" w:eastAsia="方正小标宋_GBK" w:cs="宋体"/>
          <w:kern w:val="0"/>
          <w:sz w:val="44"/>
          <w:szCs w:val="44"/>
        </w:rPr>
      </w:pPr>
    </w:p>
    <w:p>
      <w:pPr>
        <w:widowControl/>
        <w:jc w:val="left"/>
        <w:rPr>
          <w:rFonts w:ascii="方正小标宋_GBK" w:hAnsi="黑体" w:eastAsia="方正小标宋_GBK" w:cs="宋体"/>
          <w:kern w:val="0"/>
          <w:sz w:val="44"/>
          <w:szCs w:val="44"/>
        </w:rPr>
      </w:pPr>
    </w:p>
    <w:p>
      <w:pPr>
        <w:widowControl/>
        <w:jc w:val="left"/>
        <w:rPr>
          <w:rFonts w:ascii="方正小标宋_GBK" w:hAnsi="黑体" w:eastAsia="方正小标宋_GBK" w:cs="宋体"/>
          <w:kern w:val="0"/>
          <w:sz w:val="44"/>
          <w:szCs w:val="44"/>
        </w:rPr>
      </w:pPr>
      <w:r>
        <w:rPr>
          <w:rFonts w:hint="eastAsia" w:ascii="方正小标宋_GBK" w:hAnsi="黑体" w:eastAsia="方正小标宋_GBK" w:cs="宋体"/>
          <w:kern w:val="0"/>
          <w:sz w:val="44"/>
          <w:szCs w:val="44"/>
        </w:rPr>
        <w:t xml:space="preserve"> </w:t>
      </w:r>
    </w:p>
    <w:p>
      <w:pPr>
        <w:widowControl/>
        <w:jc w:val="left"/>
        <w:rPr>
          <w:rFonts w:ascii="方正小标宋_GBK" w:hAnsi="黑体" w:eastAsia="方正小标宋_GBK" w:cs="宋体"/>
          <w:kern w:val="0"/>
          <w:sz w:val="44"/>
          <w:szCs w:val="44"/>
        </w:rPr>
      </w:pPr>
    </w:p>
    <w:p>
      <w:pPr>
        <w:widowControl/>
        <w:jc w:val="left"/>
        <w:rPr>
          <w:rFonts w:ascii="仿宋_GB2312" w:hAnsi="黑体" w:eastAsia="仿宋_GB2312" w:cs="宋体"/>
          <w:kern w:val="0"/>
          <w:sz w:val="32"/>
          <w:szCs w:val="32"/>
        </w:rPr>
      </w:pPr>
    </w:p>
    <w:p>
      <w:pPr>
        <w:widowControl/>
        <w:jc w:val="left"/>
        <w:rPr>
          <w:rFonts w:ascii="仿宋_GB2312" w:hAnsi="黑体" w:eastAsia="仿宋_GB2312" w:cs="宋体"/>
          <w:kern w:val="0"/>
          <w:sz w:val="32"/>
          <w:szCs w:val="32"/>
        </w:rPr>
      </w:pPr>
    </w:p>
    <w:p>
      <w:pPr>
        <w:widowControl/>
        <w:jc w:val="left"/>
        <w:rPr>
          <w:rFonts w:ascii="仿宋_GB2312" w:hAnsi="黑体" w:eastAsia="仿宋_GB2312" w:cs="宋体"/>
          <w:kern w:val="0"/>
          <w:sz w:val="32"/>
          <w:szCs w:val="32"/>
        </w:rPr>
      </w:pPr>
    </w:p>
    <w:p>
      <w:pPr>
        <w:widowControl/>
        <w:jc w:val="left"/>
        <w:rPr>
          <w:rFonts w:ascii="仿宋_GB2312" w:hAnsi="黑体" w:eastAsia="仿宋_GB2312" w:cs="宋体"/>
          <w:kern w:val="0"/>
          <w:sz w:val="32"/>
          <w:szCs w:val="32"/>
        </w:rPr>
      </w:pPr>
    </w:p>
    <w:p>
      <w:pPr>
        <w:widowControl/>
        <w:jc w:val="left"/>
        <w:rPr>
          <w:rFonts w:ascii="仿宋_GB2312" w:hAnsi="黑体" w:eastAsia="仿宋_GB2312" w:cs="宋体"/>
          <w:kern w:val="0"/>
          <w:sz w:val="32"/>
          <w:szCs w:val="32"/>
        </w:rPr>
      </w:pPr>
    </w:p>
    <w:p>
      <w:pPr>
        <w:widowControl/>
        <w:jc w:val="left"/>
        <w:rPr>
          <w:rFonts w:ascii="仿宋_GB2312" w:hAnsi="黑体" w:eastAsia="仿宋_GB2312" w:cs="宋体"/>
          <w:kern w:val="0"/>
          <w:sz w:val="32"/>
          <w:szCs w:val="32"/>
        </w:rPr>
      </w:pPr>
    </w:p>
    <w:p>
      <w:pPr>
        <w:widowControl/>
        <w:jc w:val="left"/>
        <w:rPr>
          <w:rFonts w:ascii="仿宋_GB2312" w:hAnsi="黑体" w:eastAsia="仿宋_GB2312" w:cs="宋体"/>
          <w:kern w:val="0"/>
          <w:sz w:val="32"/>
          <w:szCs w:val="32"/>
        </w:rPr>
      </w:pPr>
    </w:p>
    <w:p>
      <w:pPr>
        <w:pBdr>
          <w:top w:val="single" w:color="auto" w:sz="12" w:space="1"/>
          <w:bottom w:val="single" w:color="auto" w:sz="12" w:space="1"/>
        </w:pBdr>
        <w:spacing w:line="560" w:lineRule="exact"/>
        <w:ind w:right="23" w:rightChars="11" w:firstLine="280" w:firstLineChars="100"/>
        <w:rPr>
          <w:rFonts w:ascii="仿宋_GB2312" w:eastAsia="仿宋_GB2312" w:hAnsiTheme="minorEastAsia"/>
          <w:sz w:val="28"/>
          <w:szCs w:val="28"/>
        </w:rPr>
      </w:pPr>
      <w:r>
        <w:rPr>
          <w:rFonts w:hint="eastAsia" w:ascii="仿宋_GB2312" w:eastAsia="仿宋_GB2312" w:hAnsiTheme="minorEastAsia"/>
          <w:color w:val="000000"/>
          <w:sz w:val="28"/>
          <w:szCs w:val="28"/>
        </w:rPr>
        <w:t xml:space="preserve">秦皇岛市抚宁区卫生健康局             </w:t>
      </w:r>
      <w:r>
        <w:rPr>
          <w:rFonts w:hint="eastAsia" w:ascii="仿宋_GB2312" w:eastAsia="仿宋_GB2312" w:hAnsiTheme="minorEastAsia"/>
          <w:color w:val="FF0000"/>
          <w:sz w:val="28"/>
          <w:szCs w:val="28"/>
        </w:rPr>
        <w:t xml:space="preserve">  </w:t>
      </w:r>
      <w:r>
        <w:rPr>
          <w:rFonts w:hint="eastAsia" w:ascii="仿宋_GB2312" w:eastAsia="仿宋_GB2312" w:hAnsiTheme="minorEastAsia"/>
          <w:sz w:val="28"/>
          <w:szCs w:val="28"/>
        </w:rPr>
        <w:t xml:space="preserve"> 2023年1月11日印发</w:t>
      </w:r>
    </w:p>
    <w:sectPr>
      <w:pgSz w:w="11906" w:h="16838"/>
      <w:pgMar w:top="2098" w:right="1474" w:bottom="1985" w:left="1588" w:header="851" w:footer="992" w:gutter="0"/>
      <w:pgNumType w:fmt="numberInDash"/>
      <w:cols w:space="720" w:num="1"/>
      <w:docGrid w:type="linesAndChars" w:linePitch="31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673298593"/>
      <w:docPartObj>
        <w:docPartGallery w:val="AutoText"/>
      </w:docPartObj>
    </w:sdtPr>
    <w:sdtEndPr>
      <w:rPr>
        <w:rFonts w:ascii="宋体" w:hAnsi="宋体"/>
        <w:sz w:val="28"/>
        <w:szCs w:val="28"/>
      </w:rPr>
    </w:sdtEndPr>
    <w:sdtContent>
      <w:p>
        <w:pPr>
          <w:pStyle w:val="4"/>
          <w:ind w:right="338" w:rightChars="161"/>
          <w:jc w:val="right"/>
          <w:rPr>
            <w:rFonts w:ascii="宋体" w:hAnsi="宋体"/>
            <w:sz w:val="28"/>
            <w:szCs w:val="28"/>
          </w:rPr>
        </w:pPr>
        <w:r>
          <w:rPr>
            <w:rFonts w:ascii="宋体" w:hAnsi="宋体"/>
            <w:sz w:val="28"/>
            <w:szCs w:val="28"/>
          </w:rPr>
          <w:fldChar w:fldCharType="begin"/>
        </w:r>
        <w:r>
          <w:rPr>
            <w:rFonts w:ascii="宋体" w:hAnsi="宋体"/>
            <w:sz w:val="28"/>
            <w:szCs w:val="28"/>
          </w:rPr>
          <w:instrText xml:space="preserve"> PAGE   \* MERGEFORMAT </w:instrText>
        </w:r>
        <w:r>
          <w:rPr>
            <w:rFonts w:ascii="宋体" w:hAnsi="宋体"/>
            <w:sz w:val="28"/>
            <w:szCs w:val="28"/>
          </w:rPr>
          <w:fldChar w:fldCharType="separate"/>
        </w:r>
        <w:r>
          <w:rPr>
            <w:rFonts w:ascii="宋体" w:hAnsi="宋体"/>
            <w:sz w:val="28"/>
            <w:szCs w:val="28"/>
            <w:lang w:val="zh-CN"/>
          </w:rPr>
          <w:t>-</w:t>
        </w:r>
        <w:r>
          <w:rPr>
            <w:rFonts w:ascii="宋体" w:hAnsi="宋体"/>
            <w:sz w:val="28"/>
            <w:szCs w:val="28"/>
          </w:rPr>
          <w:t xml:space="preserve"> 7 -</w:t>
        </w:r>
        <w:r>
          <w:rPr>
            <w:rFonts w:ascii="宋体" w:hAnsi="宋体"/>
            <w:sz w:val="28"/>
            <w:szCs w:val="28"/>
          </w:rPr>
          <w:fldChar w:fldCharType="end"/>
        </w:r>
      </w:p>
    </w:sdtContent>
  </w:sdt>
  <w:p>
    <w:pPr>
      <w:pStyle w:val="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673298589"/>
      <w:docPartObj>
        <w:docPartGallery w:val="AutoText"/>
      </w:docPartObj>
    </w:sdtPr>
    <w:sdtContent>
      <w:p>
        <w:pPr>
          <w:pStyle w:val="4"/>
          <w:ind w:firstLine="424" w:firstLineChars="236"/>
        </w:pPr>
        <w:r>
          <w:rPr>
            <w:rFonts w:ascii="宋体" w:hAnsi="宋体"/>
            <w:sz w:val="28"/>
            <w:szCs w:val="28"/>
          </w:rPr>
          <w:fldChar w:fldCharType="begin"/>
        </w:r>
        <w:r>
          <w:rPr>
            <w:rFonts w:ascii="宋体" w:hAnsi="宋体"/>
            <w:sz w:val="28"/>
            <w:szCs w:val="28"/>
          </w:rPr>
          <w:instrText xml:space="preserve"> PAGE   \* MERGEFORMAT </w:instrText>
        </w:r>
        <w:r>
          <w:rPr>
            <w:rFonts w:ascii="宋体" w:hAnsi="宋体"/>
            <w:sz w:val="28"/>
            <w:szCs w:val="28"/>
          </w:rPr>
          <w:fldChar w:fldCharType="separate"/>
        </w:r>
        <w:r>
          <w:rPr>
            <w:rFonts w:ascii="宋体" w:hAnsi="宋体"/>
            <w:sz w:val="28"/>
            <w:szCs w:val="28"/>
            <w:lang w:val="zh-CN"/>
          </w:rPr>
          <w:t>-</w:t>
        </w:r>
        <w:r>
          <w:rPr>
            <w:rFonts w:ascii="宋体" w:hAnsi="宋体"/>
            <w:sz w:val="28"/>
            <w:szCs w:val="28"/>
          </w:rPr>
          <w:t xml:space="preserve"> 6 -</w:t>
        </w:r>
        <w:r>
          <w:rPr>
            <w:rFonts w:ascii="宋体" w:hAnsi="宋体"/>
            <w:sz w:val="28"/>
            <w:szCs w:val="28"/>
          </w:rPr>
          <w:fldChar w:fldCharType="end"/>
        </w:r>
      </w:p>
    </w:sdtContent>
  </w:sdt>
  <w:p>
    <w:pPr>
      <w:pStyle w:val="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center"/>
    </w:pPr>
  </w:p>
  <w:p>
    <w:pPr>
      <w:pStyle w:val="4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evenAndOddHeaders w:val="1"/>
  <w:drawingGridHorizontalSpacing w:val="105"/>
  <w:drawingGridVerticalSpacing w:val="315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BkYmIyMzJiMThlYjg5YmNiZTI5M2ZiYjM5ZDBhNmYifQ=="/>
  </w:docVars>
  <w:rsids>
    <w:rsidRoot w:val="009A006A"/>
    <w:rsid w:val="00010675"/>
    <w:rsid w:val="000138DD"/>
    <w:rsid w:val="00013AA5"/>
    <w:rsid w:val="00020C6C"/>
    <w:rsid w:val="00030A8F"/>
    <w:rsid w:val="0003787D"/>
    <w:rsid w:val="000409DA"/>
    <w:rsid w:val="00045238"/>
    <w:rsid w:val="000463B8"/>
    <w:rsid w:val="000507FA"/>
    <w:rsid w:val="000802B0"/>
    <w:rsid w:val="000C0A3E"/>
    <w:rsid w:val="000C15F1"/>
    <w:rsid w:val="000F1BAF"/>
    <w:rsid w:val="000F7D53"/>
    <w:rsid w:val="00155B41"/>
    <w:rsid w:val="00156E19"/>
    <w:rsid w:val="001600CC"/>
    <w:rsid w:val="001650D0"/>
    <w:rsid w:val="00166C97"/>
    <w:rsid w:val="001858E3"/>
    <w:rsid w:val="001A62A0"/>
    <w:rsid w:val="001B6367"/>
    <w:rsid w:val="001B6BA2"/>
    <w:rsid w:val="001C52BA"/>
    <w:rsid w:val="001C7F9E"/>
    <w:rsid w:val="001D51AA"/>
    <w:rsid w:val="001D71A4"/>
    <w:rsid w:val="00202AA3"/>
    <w:rsid w:val="0021499A"/>
    <w:rsid w:val="00236F8F"/>
    <w:rsid w:val="002457DE"/>
    <w:rsid w:val="00252A15"/>
    <w:rsid w:val="002769F5"/>
    <w:rsid w:val="00283704"/>
    <w:rsid w:val="00283D69"/>
    <w:rsid w:val="002939A1"/>
    <w:rsid w:val="002A2C16"/>
    <w:rsid w:val="002A418F"/>
    <w:rsid w:val="002D0AB1"/>
    <w:rsid w:val="002D70F7"/>
    <w:rsid w:val="002E2A8F"/>
    <w:rsid w:val="00321818"/>
    <w:rsid w:val="00323E36"/>
    <w:rsid w:val="0032670C"/>
    <w:rsid w:val="00334FE6"/>
    <w:rsid w:val="0033739B"/>
    <w:rsid w:val="00340DE4"/>
    <w:rsid w:val="00346E3F"/>
    <w:rsid w:val="00351A82"/>
    <w:rsid w:val="00361AF0"/>
    <w:rsid w:val="003663B7"/>
    <w:rsid w:val="0036678F"/>
    <w:rsid w:val="00385789"/>
    <w:rsid w:val="003861FB"/>
    <w:rsid w:val="003872D9"/>
    <w:rsid w:val="003C569A"/>
    <w:rsid w:val="003F021B"/>
    <w:rsid w:val="003F0E60"/>
    <w:rsid w:val="003F5CAA"/>
    <w:rsid w:val="004014F4"/>
    <w:rsid w:val="00403208"/>
    <w:rsid w:val="004057A2"/>
    <w:rsid w:val="0040753A"/>
    <w:rsid w:val="00412661"/>
    <w:rsid w:val="004215D5"/>
    <w:rsid w:val="00423A80"/>
    <w:rsid w:val="004574EB"/>
    <w:rsid w:val="00475AD8"/>
    <w:rsid w:val="00477414"/>
    <w:rsid w:val="004C002E"/>
    <w:rsid w:val="004C08EC"/>
    <w:rsid w:val="004C54E8"/>
    <w:rsid w:val="004D22D4"/>
    <w:rsid w:val="004D2BE1"/>
    <w:rsid w:val="004E396C"/>
    <w:rsid w:val="004E57A4"/>
    <w:rsid w:val="004F7375"/>
    <w:rsid w:val="00532CB4"/>
    <w:rsid w:val="005423DA"/>
    <w:rsid w:val="00555F2C"/>
    <w:rsid w:val="005650F9"/>
    <w:rsid w:val="00571932"/>
    <w:rsid w:val="00571ECF"/>
    <w:rsid w:val="00572239"/>
    <w:rsid w:val="005731E0"/>
    <w:rsid w:val="00581F55"/>
    <w:rsid w:val="005879E9"/>
    <w:rsid w:val="00587C0C"/>
    <w:rsid w:val="00590772"/>
    <w:rsid w:val="0059451D"/>
    <w:rsid w:val="005A6DE0"/>
    <w:rsid w:val="005C241A"/>
    <w:rsid w:val="005C4BCE"/>
    <w:rsid w:val="005F245F"/>
    <w:rsid w:val="005F2FB3"/>
    <w:rsid w:val="0060148D"/>
    <w:rsid w:val="00604A3C"/>
    <w:rsid w:val="006155EB"/>
    <w:rsid w:val="00616CF2"/>
    <w:rsid w:val="00617A8A"/>
    <w:rsid w:val="006303D8"/>
    <w:rsid w:val="00667AAE"/>
    <w:rsid w:val="006740C5"/>
    <w:rsid w:val="00680305"/>
    <w:rsid w:val="00683DE9"/>
    <w:rsid w:val="00693EE7"/>
    <w:rsid w:val="006970E6"/>
    <w:rsid w:val="006A4E98"/>
    <w:rsid w:val="006D2B0B"/>
    <w:rsid w:val="006D2BAA"/>
    <w:rsid w:val="006D5D56"/>
    <w:rsid w:val="006E5D39"/>
    <w:rsid w:val="006E6243"/>
    <w:rsid w:val="006F083E"/>
    <w:rsid w:val="00703D6D"/>
    <w:rsid w:val="00706A45"/>
    <w:rsid w:val="0072086C"/>
    <w:rsid w:val="00722642"/>
    <w:rsid w:val="00724991"/>
    <w:rsid w:val="007317EA"/>
    <w:rsid w:val="0075695F"/>
    <w:rsid w:val="00773ED2"/>
    <w:rsid w:val="007A2F0F"/>
    <w:rsid w:val="007C19C4"/>
    <w:rsid w:val="007E373B"/>
    <w:rsid w:val="007E4426"/>
    <w:rsid w:val="007E5187"/>
    <w:rsid w:val="00803D49"/>
    <w:rsid w:val="008174C3"/>
    <w:rsid w:val="00826C8A"/>
    <w:rsid w:val="008337BB"/>
    <w:rsid w:val="00834D94"/>
    <w:rsid w:val="00836F01"/>
    <w:rsid w:val="00863EA7"/>
    <w:rsid w:val="00864803"/>
    <w:rsid w:val="00875132"/>
    <w:rsid w:val="00880D32"/>
    <w:rsid w:val="008824AC"/>
    <w:rsid w:val="008832C2"/>
    <w:rsid w:val="00893E90"/>
    <w:rsid w:val="008A6A18"/>
    <w:rsid w:val="008A75E6"/>
    <w:rsid w:val="008B20E0"/>
    <w:rsid w:val="008B4C7C"/>
    <w:rsid w:val="008C08F9"/>
    <w:rsid w:val="008D0F30"/>
    <w:rsid w:val="008D6265"/>
    <w:rsid w:val="008F13DF"/>
    <w:rsid w:val="008F627B"/>
    <w:rsid w:val="00900DA7"/>
    <w:rsid w:val="00903EF8"/>
    <w:rsid w:val="00926C78"/>
    <w:rsid w:val="00930F35"/>
    <w:rsid w:val="009457E8"/>
    <w:rsid w:val="009573B3"/>
    <w:rsid w:val="00960534"/>
    <w:rsid w:val="00962859"/>
    <w:rsid w:val="00964419"/>
    <w:rsid w:val="00966652"/>
    <w:rsid w:val="00970343"/>
    <w:rsid w:val="009742E6"/>
    <w:rsid w:val="00981842"/>
    <w:rsid w:val="0098194A"/>
    <w:rsid w:val="009A006A"/>
    <w:rsid w:val="009B6FB0"/>
    <w:rsid w:val="009C4C76"/>
    <w:rsid w:val="009C6D2F"/>
    <w:rsid w:val="009D63E1"/>
    <w:rsid w:val="009E0E00"/>
    <w:rsid w:val="009F682E"/>
    <w:rsid w:val="00A05D45"/>
    <w:rsid w:val="00A14392"/>
    <w:rsid w:val="00A3190C"/>
    <w:rsid w:val="00A35394"/>
    <w:rsid w:val="00A42D30"/>
    <w:rsid w:val="00A450DA"/>
    <w:rsid w:val="00A552D9"/>
    <w:rsid w:val="00A64696"/>
    <w:rsid w:val="00A72A1E"/>
    <w:rsid w:val="00A90FED"/>
    <w:rsid w:val="00AA65C4"/>
    <w:rsid w:val="00AB225A"/>
    <w:rsid w:val="00AC3107"/>
    <w:rsid w:val="00AC4A94"/>
    <w:rsid w:val="00AC4E8F"/>
    <w:rsid w:val="00AF7B24"/>
    <w:rsid w:val="00B00246"/>
    <w:rsid w:val="00B20800"/>
    <w:rsid w:val="00B245A3"/>
    <w:rsid w:val="00B24F9A"/>
    <w:rsid w:val="00B2708E"/>
    <w:rsid w:val="00B3765A"/>
    <w:rsid w:val="00B556FE"/>
    <w:rsid w:val="00B842DA"/>
    <w:rsid w:val="00B8537E"/>
    <w:rsid w:val="00B871A0"/>
    <w:rsid w:val="00BA0303"/>
    <w:rsid w:val="00BB076D"/>
    <w:rsid w:val="00BF24F2"/>
    <w:rsid w:val="00C006A3"/>
    <w:rsid w:val="00C04C2D"/>
    <w:rsid w:val="00C16403"/>
    <w:rsid w:val="00C22FEB"/>
    <w:rsid w:val="00C27499"/>
    <w:rsid w:val="00C2750C"/>
    <w:rsid w:val="00C30933"/>
    <w:rsid w:val="00C310CE"/>
    <w:rsid w:val="00C42A8C"/>
    <w:rsid w:val="00C51EED"/>
    <w:rsid w:val="00C77267"/>
    <w:rsid w:val="00C95C2D"/>
    <w:rsid w:val="00C96087"/>
    <w:rsid w:val="00CA4B9C"/>
    <w:rsid w:val="00CB1BC3"/>
    <w:rsid w:val="00CC42C8"/>
    <w:rsid w:val="00CC43F8"/>
    <w:rsid w:val="00CD0940"/>
    <w:rsid w:val="00CD1B5D"/>
    <w:rsid w:val="00CD6788"/>
    <w:rsid w:val="00CD6B74"/>
    <w:rsid w:val="00CE2B60"/>
    <w:rsid w:val="00CF0057"/>
    <w:rsid w:val="00CF1609"/>
    <w:rsid w:val="00CF2467"/>
    <w:rsid w:val="00CF6182"/>
    <w:rsid w:val="00D02BBF"/>
    <w:rsid w:val="00D21830"/>
    <w:rsid w:val="00D42483"/>
    <w:rsid w:val="00D8366C"/>
    <w:rsid w:val="00D841ED"/>
    <w:rsid w:val="00D87308"/>
    <w:rsid w:val="00DA4DE9"/>
    <w:rsid w:val="00DC18DA"/>
    <w:rsid w:val="00DC4689"/>
    <w:rsid w:val="00DE37CA"/>
    <w:rsid w:val="00DF1590"/>
    <w:rsid w:val="00E12121"/>
    <w:rsid w:val="00E125CA"/>
    <w:rsid w:val="00E12C43"/>
    <w:rsid w:val="00E145FB"/>
    <w:rsid w:val="00E26315"/>
    <w:rsid w:val="00E276B0"/>
    <w:rsid w:val="00E27E10"/>
    <w:rsid w:val="00E45E66"/>
    <w:rsid w:val="00E50E95"/>
    <w:rsid w:val="00E60D65"/>
    <w:rsid w:val="00E63165"/>
    <w:rsid w:val="00E658A9"/>
    <w:rsid w:val="00E6789C"/>
    <w:rsid w:val="00E959F7"/>
    <w:rsid w:val="00E97CCC"/>
    <w:rsid w:val="00EA4F87"/>
    <w:rsid w:val="00EA6676"/>
    <w:rsid w:val="00EB3A04"/>
    <w:rsid w:val="00EB51A8"/>
    <w:rsid w:val="00EB5A07"/>
    <w:rsid w:val="00EC038C"/>
    <w:rsid w:val="00EF7777"/>
    <w:rsid w:val="00F02AC7"/>
    <w:rsid w:val="00F27449"/>
    <w:rsid w:val="00F37461"/>
    <w:rsid w:val="00F60FCF"/>
    <w:rsid w:val="00F84BF6"/>
    <w:rsid w:val="00F8782F"/>
    <w:rsid w:val="00F90A8D"/>
    <w:rsid w:val="00FA028F"/>
    <w:rsid w:val="00FC49DC"/>
    <w:rsid w:val="00FD23F9"/>
    <w:rsid w:val="00FD6DBF"/>
    <w:rsid w:val="00FE162D"/>
    <w:rsid w:val="00FE59EF"/>
    <w:rsid w:val="00FF0900"/>
    <w:rsid w:val="00FF54F8"/>
    <w:rsid w:val="05897CCE"/>
    <w:rsid w:val="09A663F7"/>
    <w:rsid w:val="0A560FE8"/>
    <w:rsid w:val="0A946582"/>
    <w:rsid w:val="11C77A1A"/>
    <w:rsid w:val="1BE85DCD"/>
    <w:rsid w:val="1E377F83"/>
    <w:rsid w:val="208212B4"/>
    <w:rsid w:val="2B3A6CEB"/>
    <w:rsid w:val="2CA215DB"/>
    <w:rsid w:val="310F29E7"/>
    <w:rsid w:val="39EB1AD5"/>
    <w:rsid w:val="3B162B0E"/>
    <w:rsid w:val="3C654ABD"/>
    <w:rsid w:val="3EA81A8C"/>
    <w:rsid w:val="4C213B2E"/>
    <w:rsid w:val="51F27A4D"/>
    <w:rsid w:val="715E79F6"/>
    <w:rsid w:val="72EB33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3"/>
    <w:qFormat/>
    <w:uiPriority w:val="0"/>
    <w:pPr>
      <w:ind w:left="100" w:leftChars="2500"/>
    </w:pPr>
  </w:style>
  <w:style w:type="paragraph" w:styleId="3">
    <w:name w:val="Balloon Text"/>
    <w:basedOn w:val="1"/>
    <w:link w:val="11"/>
    <w:qFormat/>
    <w:uiPriority w:val="0"/>
    <w:rPr>
      <w:sz w:val="18"/>
      <w:szCs w:val="18"/>
    </w:rPr>
  </w:style>
  <w:style w:type="paragraph" w:styleId="4">
    <w:name w:val="footer"/>
    <w:basedOn w:val="1"/>
    <w:link w:val="12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page number"/>
    <w:basedOn w:val="8"/>
    <w:qFormat/>
    <w:uiPriority w:val="0"/>
  </w:style>
  <w:style w:type="paragraph" w:styleId="10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11">
    <w:name w:val="批注框文本 Char"/>
    <w:basedOn w:val="8"/>
    <w:link w:val="3"/>
    <w:qFormat/>
    <w:uiPriority w:val="0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12">
    <w:name w:val="页脚 Char"/>
    <w:basedOn w:val="8"/>
    <w:link w:val="4"/>
    <w:qFormat/>
    <w:uiPriority w:val="99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13">
    <w:name w:val="日期 Char"/>
    <w:basedOn w:val="8"/>
    <w:link w:val="2"/>
    <w:qFormat/>
    <w:uiPriority w:val="0"/>
    <w:rPr>
      <w:rFonts w:ascii="Times New Roman" w:hAnsi="Times New Roman" w:eastAsia="宋体" w:cs="Times New Roman"/>
      <w:kern w:val="2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715A557D-BC25-42AC-B6AF-47D2F8C446F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419</Words>
  <Characters>2390</Characters>
  <Lines>19</Lines>
  <Paragraphs>5</Paragraphs>
  <TotalTime>11711</TotalTime>
  <ScaleCrop>false</ScaleCrop>
  <LinksUpToDate>false</LinksUpToDate>
  <CharactersWithSpaces>2804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2021-12-23T01:58:00Z</dcterms:created>
  <dc:creator>CKB</dc:creator>
  <cp:lastModifiedBy>mongod</cp:lastModifiedBy>
  <cp:lastPrinted>2023-01-12T08:31:00Z</cp:lastPrinted>
  <dcterms:modified xsi:type="dcterms:W3CDTF">2023-11-22T01:23:49Z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915E9120DDAC4A9DA9F320812302240B_13</vt:lpwstr>
  </property>
</Properties>
</file>