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jc w:val="center"/>
        <w:outlineLvl w:val="0"/>
        <w:rPr>
          <w:rFonts w:ascii="黑体" w:hAnsi="黑体" w:eastAsia="黑体"/>
          <w:snapToGrid w:val="0"/>
          <w:sz w:val="30"/>
          <w:szCs w:val="30"/>
        </w:rPr>
      </w:pPr>
      <w:r>
        <w:rPr>
          <w:rFonts w:hint="eastAsia" w:ascii="黑体" w:hAnsi="黑体" w:eastAsia="黑体"/>
          <w:snapToGrid w:val="0"/>
          <w:sz w:val="30"/>
          <w:szCs w:val="30"/>
        </w:rPr>
        <w:t>一、建设项目基本情况</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975"/>
        <w:gridCol w:w="1701"/>
        <w:gridCol w:w="1843"/>
        <w:gridCol w:w="330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建设项目名称</w:t>
            </w:r>
          </w:p>
        </w:tc>
        <w:tc>
          <w:tcPr>
            <w:tcW w:w="6849" w:type="dxa"/>
            <w:gridSpan w:val="3"/>
            <w:vAlign w:val="center"/>
          </w:tcPr>
          <w:p>
            <w:pPr>
              <w:adjustRightInd w:val="0"/>
              <w:snapToGrid w:val="0"/>
              <w:jc w:val="center"/>
              <w:rPr>
                <w:szCs w:val="21"/>
              </w:rPr>
            </w:pPr>
            <w:r>
              <w:rPr>
                <w:rFonts w:hint="eastAsia"/>
                <w:szCs w:val="21"/>
              </w:rPr>
              <w:t>秦皇岛兴渤塑料制品有限责任公司塑料包装箱及容器制造生产线项目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项目代码</w:t>
            </w:r>
          </w:p>
        </w:tc>
        <w:tc>
          <w:tcPr>
            <w:tcW w:w="6849" w:type="dxa"/>
            <w:gridSpan w:val="3"/>
            <w:vAlign w:val="center"/>
          </w:tcPr>
          <w:p>
            <w:pPr>
              <w:adjustRightInd w:val="0"/>
              <w:snapToGrid w:val="0"/>
              <w:jc w:val="center"/>
              <w:rPr>
                <w:szCs w:val="21"/>
              </w:rPr>
            </w:pPr>
            <w:r>
              <w:rPr>
                <w:szCs w:val="21"/>
              </w:rPr>
              <w:t>2306-130306-89-05-193220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建设单位联系人</w:t>
            </w:r>
          </w:p>
        </w:tc>
        <w:tc>
          <w:tcPr>
            <w:tcW w:w="1701" w:type="dxa"/>
            <w:vAlign w:val="center"/>
          </w:tcPr>
          <w:p>
            <w:pPr>
              <w:adjustRightInd w:val="0"/>
              <w:snapToGrid w:val="0"/>
              <w:jc w:val="center"/>
              <w:rPr>
                <w:szCs w:val="21"/>
              </w:rPr>
            </w:pPr>
            <w:r>
              <w:rPr>
                <w:rFonts w:hint="eastAsia"/>
                <w:szCs w:val="21"/>
              </w:rPr>
              <w:t>黄立群</w:t>
            </w:r>
          </w:p>
        </w:tc>
        <w:tc>
          <w:tcPr>
            <w:tcW w:w="1843" w:type="dxa"/>
            <w:vAlign w:val="center"/>
          </w:tcPr>
          <w:p>
            <w:pPr>
              <w:adjustRightInd w:val="0"/>
              <w:snapToGrid w:val="0"/>
              <w:jc w:val="center"/>
              <w:rPr>
                <w:szCs w:val="21"/>
              </w:rPr>
            </w:pPr>
            <w:r>
              <w:rPr>
                <w:szCs w:val="21"/>
              </w:rPr>
              <w:t>联系方式</w:t>
            </w:r>
          </w:p>
        </w:tc>
        <w:tc>
          <w:tcPr>
            <w:tcW w:w="3305" w:type="dxa"/>
            <w:vAlign w:val="center"/>
          </w:tcPr>
          <w:p>
            <w:pPr>
              <w:adjustRightInd w:val="0"/>
              <w:snapToGrid w:val="0"/>
              <w:jc w:val="center"/>
              <w:rPr>
                <w:szCs w:val="21"/>
              </w:rPr>
            </w:pPr>
            <w:r>
              <w:rPr>
                <w:szCs w:val="21"/>
              </w:rPr>
              <w:t>138 3352 2228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建设地点</w:t>
            </w:r>
          </w:p>
        </w:tc>
        <w:tc>
          <w:tcPr>
            <w:tcW w:w="6849" w:type="dxa"/>
            <w:gridSpan w:val="3"/>
            <w:vAlign w:val="center"/>
          </w:tcPr>
          <w:p>
            <w:pPr>
              <w:adjustRightInd w:val="0"/>
              <w:snapToGrid w:val="0"/>
              <w:jc w:val="center"/>
              <w:rPr>
                <w:szCs w:val="21"/>
              </w:rPr>
            </w:pPr>
            <w:r>
              <w:rPr>
                <w:rFonts w:hint="eastAsia"/>
                <w:szCs w:val="21"/>
              </w:rPr>
              <w:t>秦皇岛市抚宁区抚宁镇东城贯村西，富强路与骊骅大街交叉口北行500m</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地理坐标</w:t>
            </w:r>
          </w:p>
        </w:tc>
        <w:tc>
          <w:tcPr>
            <w:tcW w:w="6849" w:type="dxa"/>
            <w:gridSpan w:val="3"/>
            <w:vAlign w:val="center"/>
          </w:tcPr>
          <w:p>
            <w:pPr>
              <w:adjustRightInd w:val="0"/>
              <w:snapToGrid w:val="0"/>
              <w:jc w:val="center"/>
              <w:rPr>
                <w:szCs w:val="21"/>
              </w:rPr>
            </w:pPr>
            <w:r>
              <w:rPr>
                <w:rFonts w:hint="eastAsia"/>
                <w:szCs w:val="21"/>
              </w:rPr>
              <w:t>东经 119 度14 分 55.766秒，北纬 39 度 53 分44.754 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国民经济</w:t>
            </w:r>
          </w:p>
          <w:p>
            <w:pPr>
              <w:adjustRightInd w:val="0"/>
              <w:snapToGrid w:val="0"/>
              <w:jc w:val="center"/>
              <w:rPr>
                <w:rFonts w:ascii="宋体" w:hAnsi="宋体" w:cs="宋体"/>
                <w:szCs w:val="21"/>
              </w:rPr>
            </w:pPr>
            <w:r>
              <w:rPr>
                <w:rFonts w:hint="eastAsia" w:ascii="宋体" w:hAnsi="宋体" w:cs="宋体"/>
                <w:szCs w:val="21"/>
              </w:rPr>
              <w:t>行业类别</w:t>
            </w:r>
          </w:p>
        </w:tc>
        <w:tc>
          <w:tcPr>
            <w:tcW w:w="1701" w:type="dxa"/>
            <w:vAlign w:val="center"/>
          </w:tcPr>
          <w:p>
            <w:pPr>
              <w:adjustRightInd w:val="0"/>
              <w:snapToGrid w:val="0"/>
              <w:jc w:val="center"/>
              <w:rPr>
                <w:rFonts w:ascii="宋体" w:hAnsi="宋体" w:cs="宋体"/>
                <w:szCs w:val="21"/>
              </w:rPr>
            </w:pPr>
            <w:r>
              <w:rPr>
                <w:rFonts w:hint="eastAsia"/>
                <w:szCs w:val="21"/>
              </w:rPr>
              <w:t>C</w:t>
            </w:r>
            <w:r>
              <w:rPr>
                <w:szCs w:val="21"/>
              </w:rPr>
              <w:t>2926</w:t>
            </w:r>
            <w:r>
              <w:rPr>
                <w:rFonts w:hint="eastAsia"/>
                <w:szCs w:val="21"/>
              </w:rPr>
              <w:t>塑料包装箱及容器制造</w:t>
            </w:r>
          </w:p>
        </w:tc>
        <w:tc>
          <w:tcPr>
            <w:tcW w:w="1843" w:type="dxa"/>
            <w:vAlign w:val="center"/>
          </w:tcPr>
          <w:p>
            <w:pPr>
              <w:adjustRightInd w:val="0"/>
              <w:snapToGrid w:val="0"/>
              <w:jc w:val="center"/>
              <w:rPr>
                <w:rFonts w:ascii="宋体" w:hAnsi="宋体" w:cs="宋体"/>
                <w:szCs w:val="21"/>
              </w:rPr>
            </w:pPr>
            <w:bookmarkStart w:id="0" w:name="_Hlk49843745"/>
            <w:r>
              <w:rPr>
                <w:rFonts w:hint="eastAsia" w:ascii="宋体" w:hAnsi="宋体" w:cs="宋体"/>
                <w:szCs w:val="21"/>
              </w:rPr>
              <w:t>建设项目</w:t>
            </w:r>
          </w:p>
          <w:p>
            <w:pPr>
              <w:adjustRightInd w:val="0"/>
              <w:snapToGrid w:val="0"/>
              <w:jc w:val="center"/>
              <w:rPr>
                <w:rFonts w:ascii="宋体" w:hAnsi="宋体" w:cs="宋体"/>
                <w:szCs w:val="21"/>
              </w:rPr>
            </w:pPr>
            <w:r>
              <w:rPr>
                <w:rFonts w:hint="eastAsia" w:ascii="宋体" w:hAnsi="宋体" w:cs="宋体"/>
                <w:szCs w:val="21"/>
              </w:rPr>
              <w:t>行业类别</w:t>
            </w:r>
            <w:bookmarkEnd w:id="0"/>
          </w:p>
        </w:tc>
        <w:tc>
          <w:tcPr>
            <w:tcW w:w="3305" w:type="dxa"/>
            <w:vAlign w:val="center"/>
          </w:tcPr>
          <w:p>
            <w:pPr>
              <w:adjustRightInd w:val="0"/>
              <w:snapToGrid w:val="0"/>
              <w:jc w:val="center"/>
              <w:rPr>
                <w:szCs w:val="21"/>
              </w:rPr>
            </w:pPr>
            <w:r>
              <w:rPr>
                <w:rFonts w:hint="eastAsia"/>
                <w:szCs w:val="21"/>
              </w:rPr>
              <w:t>二十六、橡胶和塑料制品业2</w:t>
            </w:r>
            <w:r>
              <w:rPr>
                <w:szCs w:val="21"/>
              </w:rPr>
              <w:t>9</w:t>
            </w:r>
            <w:r>
              <w:rPr>
                <w:rFonts w:hint="eastAsia"/>
                <w:szCs w:val="21"/>
              </w:rPr>
              <w:t>-塑料制品业2</w:t>
            </w:r>
            <w:r>
              <w:rPr>
                <w:szCs w:val="21"/>
              </w:rPr>
              <w:t>92-</w:t>
            </w:r>
            <w:r>
              <w:rPr>
                <w:rFonts w:hint="eastAsia"/>
                <w:szCs w:val="21"/>
              </w:rPr>
              <w:t>其他（年用非溶剂型低V</w:t>
            </w:r>
            <w:r>
              <w:rPr>
                <w:szCs w:val="21"/>
              </w:rPr>
              <w:t>OCs</w:t>
            </w:r>
            <w:r>
              <w:rPr>
                <w:rFonts w:hint="eastAsia"/>
                <w:szCs w:val="21"/>
              </w:rPr>
              <w:t>含量涂料1</w:t>
            </w:r>
            <w:r>
              <w:rPr>
                <w:szCs w:val="21"/>
              </w:rPr>
              <w:t>0</w:t>
            </w:r>
            <w:r>
              <w:rPr>
                <w:rFonts w:hint="eastAsia"/>
                <w:szCs w:val="21"/>
              </w:rPr>
              <w:t>吨以下的除外）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建设性质</w:t>
            </w:r>
          </w:p>
        </w:tc>
        <w:tc>
          <w:tcPr>
            <w:tcW w:w="1701" w:type="dxa"/>
            <w:vAlign w:val="center"/>
          </w:tcPr>
          <w:p>
            <w:pPr>
              <w:jc w:val="left"/>
              <w:rPr>
                <w:rFonts w:ascii="宋体" w:hAnsi="宋体" w:cs="宋体"/>
                <w:szCs w:val="21"/>
              </w:rPr>
            </w:pPr>
            <w:r>
              <w:rPr>
                <w:szCs w:val="21"/>
              </w:rPr>
              <w:sym w:font="Wingdings 2" w:char="0052"/>
            </w:r>
            <w:r>
              <w:rPr>
                <w:rFonts w:hint="eastAsia" w:ascii="宋体" w:hAnsi="宋体" w:cs="宋体"/>
                <w:szCs w:val="21"/>
              </w:rPr>
              <w:t>新建（迁建）</w:t>
            </w:r>
          </w:p>
          <w:p>
            <w:pPr>
              <w:jc w:val="left"/>
              <w:rPr>
                <w:rFonts w:ascii="宋体" w:hAnsi="宋体" w:cs="宋体"/>
                <w:szCs w:val="21"/>
              </w:rPr>
            </w:pPr>
            <w:r>
              <w:rPr>
                <w:rFonts w:hint="eastAsia" w:ascii="宋体" w:hAnsi="宋体" w:cs="宋体"/>
                <w:szCs w:val="21"/>
              </w:rPr>
              <w:t>□改建</w:t>
            </w:r>
          </w:p>
          <w:p>
            <w:pPr>
              <w:jc w:val="left"/>
              <w:rPr>
                <w:rFonts w:ascii="宋体" w:hAnsi="宋体" w:cs="宋体"/>
                <w:szCs w:val="21"/>
              </w:rPr>
            </w:pPr>
            <w:r>
              <w:rPr>
                <w:rFonts w:hint="eastAsia" w:ascii="宋体" w:hAnsi="宋体" w:cs="宋体"/>
                <w:szCs w:val="21"/>
              </w:rPr>
              <w:t>□扩建</w:t>
            </w:r>
          </w:p>
          <w:p>
            <w:pPr>
              <w:jc w:val="left"/>
              <w:rPr>
                <w:rFonts w:ascii="宋体" w:hAnsi="宋体" w:cs="宋体"/>
                <w:szCs w:val="21"/>
              </w:rPr>
            </w:pPr>
            <w:r>
              <w:rPr>
                <w:rFonts w:hint="eastAsia" w:ascii="宋体" w:hAnsi="宋体" w:cs="宋体"/>
                <w:szCs w:val="21"/>
              </w:rPr>
              <w:t>□技术改造</w:t>
            </w:r>
          </w:p>
        </w:tc>
        <w:tc>
          <w:tcPr>
            <w:tcW w:w="1843" w:type="dxa"/>
            <w:vAlign w:val="center"/>
          </w:tcPr>
          <w:p>
            <w:pPr>
              <w:adjustRightInd w:val="0"/>
              <w:snapToGrid w:val="0"/>
              <w:jc w:val="center"/>
              <w:rPr>
                <w:rFonts w:ascii="宋体" w:hAnsi="宋体" w:cs="宋体"/>
                <w:szCs w:val="21"/>
              </w:rPr>
            </w:pPr>
            <w:r>
              <w:rPr>
                <w:rFonts w:hint="eastAsia" w:ascii="宋体" w:hAnsi="宋体" w:cs="宋体"/>
                <w:szCs w:val="21"/>
              </w:rPr>
              <w:t>建设项目</w:t>
            </w:r>
          </w:p>
          <w:p>
            <w:pPr>
              <w:adjustRightInd w:val="0"/>
              <w:snapToGrid w:val="0"/>
              <w:jc w:val="center"/>
              <w:rPr>
                <w:rFonts w:ascii="宋体" w:hAnsi="宋体" w:cs="宋体"/>
                <w:szCs w:val="21"/>
              </w:rPr>
            </w:pPr>
            <w:r>
              <w:rPr>
                <w:rFonts w:hint="eastAsia" w:ascii="宋体" w:hAnsi="宋体" w:cs="宋体"/>
                <w:szCs w:val="21"/>
              </w:rPr>
              <w:t>申报情形</w:t>
            </w:r>
          </w:p>
        </w:tc>
        <w:tc>
          <w:tcPr>
            <w:tcW w:w="3305" w:type="dxa"/>
            <w:vAlign w:val="center"/>
          </w:tcPr>
          <w:p>
            <w:pPr>
              <w:jc w:val="left"/>
              <w:rPr>
                <w:rFonts w:ascii="宋体" w:hAnsi="宋体" w:cs="宋体"/>
                <w:szCs w:val="21"/>
              </w:rPr>
            </w:pPr>
            <w:r>
              <w:rPr>
                <w:szCs w:val="21"/>
              </w:rPr>
              <w:sym w:font="Wingdings 2" w:char="0052"/>
            </w:r>
            <w:r>
              <w:rPr>
                <w:rFonts w:hint="eastAsia" w:ascii="宋体" w:hAnsi="宋体" w:cs="宋体"/>
                <w:szCs w:val="21"/>
              </w:rPr>
              <w:t>首次申报项目</w:t>
            </w:r>
            <w:r>
              <w:rPr>
                <w:rFonts w:ascii="宋体" w:hAnsi="宋体" w:cs="宋体"/>
                <w:szCs w:val="21"/>
              </w:rPr>
              <w:t xml:space="preserve">             </w:t>
            </w:r>
          </w:p>
          <w:p>
            <w:pPr>
              <w:jc w:val="left"/>
              <w:rPr>
                <w:rFonts w:ascii="宋体" w:hAnsi="宋体" w:cs="宋体"/>
                <w:szCs w:val="21"/>
              </w:rPr>
            </w:pPr>
            <w:r>
              <w:rPr>
                <w:rFonts w:hint="eastAsia" w:ascii="宋体" w:hAnsi="宋体" w:cs="宋体"/>
                <w:szCs w:val="21"/>
              </w:rPr>
              <w:t>□不予批准后再次申报项目</w:t>
            </w:r>
          </w:p>
          <w:p>
            <w:pPr>
              <w:jc w:val="left"/>
              <w:rPr>
                <w:rFonts w:ascii="宋体" w:hAnsi="宋体" w:cs="宋体"/>
                <w:szCs w:val="21"/>
              </w:rPr>
            </w:pPr>
            <w:r>
              <w:rPr>
                <w:rFonts w:hint="eastAsia" w:ascii="宋体" w:hAnsi="宋体" w:cs="宋体"/>
                <w:szCs w:val="21"/>
              </w:rPr>
              <w:t>□超五年重新审核项目</w:t>
            </w:r>
            <w:r>
              <w:rPr>
                <w:rFonts w:ascii="宋体" w:hAnsi="宋体" w:cs="宋体"/>
                <w:szCs w:val="21"/>
              </w:rPr>
              <w:t xml:space="preserve">     </w:t>
            </w:r>
          </w:p>
          <w:p>
            <w:pPr>
              <w:jc w:val="left"/>
              <w:rPr>
                <w:rFonts w:ascii="宋体" w:hAnsi="宋体" w:cs="宋体"/>
                <w:szCs w:val="21"/>
              </w:rPr>
            </w:pPr>
            <w:r>
              <w:rPr>
                <w:rFonts w:hint="eastAsia" w:ascii="宋体" w:hAnsi="宋体" w:cs="宋体"/>
                <w:szCs w:val="21"/>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项目审批（核准</w:t>
            </w:r>
            <w:r>
              <w:rPr>
                <w:rFonts w:ascii="宋体" w:hAnsi="宋体" w:cs="宋体"/>
                <w:szCs w:val="21"/>
              </w:rPr>
              <w:t>/</w:t>
            </w:r>
          </w:p>
          <w:p>
            <w:pPr>
              <w:adjustRightInd w:val="0"/>
              <w:snapToGrid w:val="0"/>
              <w:jc w:val="center"/>
              <w:rPr>
                <w:rFonts w:ascii="宋体" w:hAnsi="宋体" w:cs="宋体"/>
                <w:szCs w:val="21"/>
              </w:rPr>
            </w:pPr>
            <w:r>
              <w:rPr>
                <w:rFonts w:hint="eastAsia" w:ascii="宋体" w:hAnsi="宋体" w:cs="宋体"/>
                <w:szCs w:val="21"/>
              </w:rPr>
              <w:t>备案）部门（选填）</w:t>
            </w:r>
          </w:p>
        </w:tc>
        <w:tc>
          <w:tcPr>
            <w:tcW w:w="1701" w:type="dxa"/>
            <w:vAlign w:val="center"/>
          </w:tcPr>
          <w:p>
            <w:pPr>
              <w:adjustRightInd w:val="0"/>
              <w:snapToGrid w:val="0"/>
              <w:jc w:val="center"/>
              <w:rPr>
                <w:rFonts w:ascii="宋体" w:hAnsi="宋体" w:cs="宋体"/>
                <w:szCs w:val="21"/>
              </w:rPr>
            </w:pPr>
            <w:r>
              <w:rPr>
                <w:rFonts w:hint="eastAsia" w:ascii="宋体" w:hAnsi="宋体" w:cs="宋体"/>
                <w:szCs w:val="21"/>
              </w:rPr>
              <w:t>秦皇岛市抚宁区行政审批局</w:t>
            </w:r>
          </w:p>
        </w:tc>
        <w:tc>
          <w:tcPr>
            <w:tcW w:w="1843" w:type="dxa"/>
            <w:vAlign w:val="center"/>
          </w:tcPr>
          <w:p>
            <w:pPr>
              <w:adjustRightInd w:val="0"/>
              <w:snapToGrid w:val="0"/>
              <w:jc w:val="center"/>
              <w:rPr>
                <w:rFonts w:ascii="宋体" w:hAnsi="宋体" w:cs="宋体"/>
                <w:szCs w:val="21"/>
              </w:rPr>
            </w:pPr>
            <w:r>
              <w:rPr>
                <w:rFonts w:hint="eastAsia" w:ascii="宋体" w:hAnsi="宋体" w:cs="宋体"/>
                <w:szCs w:val="21"/>
              </w:rPr>
              <w:t>项目审批（核准</w:t>
            </w:r>
            <w:r>
              <w:rPr>
                <w:rFonts w:ascii="宋体" w:hAnsi="宋体" w:cs="宋体"/>
                <w:szCs w:val="21"/>
              </w:rPr>
              <w:t>/</w:t>
            </w:r>
          </w:p>
          <w:p>
            <w:pPr>
              <w:adjustRightInd w:val="0"/>
              <w:snapToGrid w:val="0"/>
              <w:jc w:val="center"/>
              <w:rPr>
                <w:rFonts w:ascii="宋体" w:hAnsi="宋体" w:cs="宋体"/>
                <w:szCs w:val="21"/>
              </w:rPr>
            </w:pPr>
            <w:r>
              <w:rPr>
                <w:rFonts w:hint="eastAsia" w:ascii="宋体" w:hAnsi="宋体" w:cs="宋体"/>
                <w:szCs w:val="21"/>
              </w:rPr>
              <w:t>备案）文号（选填）</w:t>
            </w:r>
          </w:p>
        </w:tc>
        <w:tc>
          <w:tcPr>
            <w:tcW w:w="3305" w:type="dxa"/>
            <w:vAlign w:val="center"/>
          </w:tcPr>
          <w:p>
            <w:pPr>
              <w:adjustRightInd w:val="0"/>
              <w:snapToGrid w:val="0"/>
              <w:jc w:val="center"/>
              <w:rPr>
                <w:rFonts w:ascii="宋体" w:hAnsi="宋体" w:cs="宋体"/>
                <w:szCs w:val="21"/>
              </w:rPr>
            </w:pPr>
            <w:r>
              <w:rPr>
                <w:rFonts w:hint="eastAsia" w:ascii="宋体" w:hAnsi="宋体" w:cs="宋体"/>
                <w:szCs w:val="21"/>
              </w:rPr>
              <w:t>抚行审备</w:t>
            </w:r>
            <w:r>
              <w:rPr>
                <w:szCs w:val="21"/>
              </w:rPr>
              <w:t>〔2023〕39号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utoSpaceDE w:val="0"/>
              <w:autoSpaceDN w:val="0"/>
              <w:adjustRightInd w:val="0"/>
              <w:snapToGrid w:val="0"/>
              <w:jc w:val="center"/>
              <w:rPr>
                <w:rFonts w:ascii="宋体" w:hAnsi="宋体" w:cs="宋体"/>
                <w:szCs w:val="21"/>
              </w:rPr>
            </w:pPr>
            <w:r>
              <w:rPr>
                <w:rFonts w:hint="eastAsia" w:ascii="宋体" w:hAnsi="宋体" w:cs="宋体"/>
                <w:szCs w:val="21"/>
              </w:rPr>
              <w:t>总投资（万元）</w:t>
            </w:r>
          </w:p>
        </w:tc>
        <w:tc>
          <w:tcPr>
            <w:tcW w:w="1701" w:type="dxa"/>
            <w:vAlign w:val="center"/>
          </w:tcPr>
          <w:p>
            <w:pPr>
              <w:adjustRightInd w:val="0"/>
              <w:snapToGrid w:val="0"/>
              <w:jc w:val="center"/>
              <w:rPr>
                <w:rFonts w:ascii="宋体" w:hAnsi="宋体" w:cs="宋体"/>
                <w:szCs w:val="21"/>
              </w:rPr>
            </w:pPr>
            <w:r>
              <w:rPr>
                <w:szCs w:val="21"/>
              </w:rPr>
              <w:t>450</w:t>
            </w:r>
          </w:p>
        </w:tc>
        <w:tc>
          <w:tcPr>
            <w:tcW w:w="184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环保投资（万元）</w:t>
            </w:r>
          </w:p>
        </w:tc>
        <w:tc>
          <w:tcPr>
            <w:tcW w:w="3305" w:type="dxa"/>
            <w:vAlign w:val="center"/>
          </w:tcPr>
          <w:p>
            <w:pPr>
              <w:adjustRightInd w:val="0"/>
              <w:snapToGrid w:val="0"/>
              <w:jc w:val="center"/>
              <w:rPr>
                <w:szCs w:val="21"/>
              </w:rPr>
            </w:pPr>
            <w:r>
              <w:rPr>
                <w:szCs w:val="21"/>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utoSpaceDE w:val="0"/>
              <w:autoSpaceDN w:val="0"/>
              <w:adjustRightInd w:val="0"/>
              <w:snapToGrid w:val="0"/>
              <w:jc w:val="center"/>
              <w:rPr>
                <w:szCs w:val="21"/>
              </w:rPr>
            </w:pPr>
            <w:r>
              <w:rPr>
                <w:szCs w:val="21"/>
              </w:rPr>
              <w:t>环保投资占比（%）</w:t>
            </w:r>
          </w:p>
        </w:tc>
        <w:tc>
          <w:tcPr>
            <w:tcW w:w="1701" w:type="dxa"/>
            <w:vAlign w:val="center"/>
          </w:tcPr>
          <w:p>
            <w:pPr>
              <w:adjustRightInd w:val="0"/>
              <w:snapToGrid w:val="0"/>
              <w:jc w:val="center"/>
              <w:rPr>
                <w:rFonts w:ascii="宋体" w:hAnsi="宋体" w:cs="宋体"/>
                <w:szCs w:val="21"/>
              </w:rPr>
            </w:pPr>
            <w:r>
              <w:rPr>
                <w:szCs w:val="21"/>
              </w:rPr>
              <w:t>0.44</w:t>
            </w:r>
          </w:p>
        </w:tc>
        <w:tc>
          <w:tcPr>
            <w:tcW w:w="184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施工工期</w:t>
            </w:r>
          </w:p>
        </w:tc>
        <w:tc>
          <w:tcPr>
            <w:tcW w:w="3305" w:type="dxa"/>
            <w:vAlign w:val="center"/>
          </w:tcPr>
          <w:p>
            <w:pPr>
              <w:adjustRightInd w:val="0"/>
              <w:snapToGrid w:val="0"/>
              <w:jc w:val="center"/>
              <w:rPr>
                <w:szCs w:val="21"/>
              </w:rPr>
            </w:pPr>
            <w:r>
              <w:rPr>
                <w:szCs w:val="21"/>
              </w:rPr>
              <w:t>1个月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utoSpaceDE w:val="0"/>
              <w:autoSpaceDN w:val="0"/>
              <w:adjustRightInd w:val="0"/>
              <w:snapToGrid w:val="0"/>
              <w:jc w:val="center"/>
              <w:rPr>
                <w:szCs w:val="21"/>
              </w:rPr>
            </w:pPr>
            <w:r>
              <w:rPr>
                <w:szCs w:val="21"/>
              </w:rPr>
              <w:t>是否开工建设</w:t>
            </w:r>
          </w:p>
        </w:tc>
        <w:tc>
          <w:tcPr>
            <w:tcW w:w="1701" w:type="dxa"/>
            <w:vAlign w:val="center"/>
          </w:tcPr>
          <w:p>
            <w:pPr>
              <w:adjustRightInd w:val="0"/>
              <w:snapToGrid w:val="0"/>
              <w:rPr>
                <w:rFonts w:ascii="宋体" w:hAnsi="宋体" w:cs="宋体"/>
                <w:szCs w:val="21"/>
              </w:rPr>
            </w:pPr>
            <w:r>
              <w:rPr>
                <w:sz w:val="18"/>
                <w:szCs w:val="18"/>
              </w:rPr>
              <w:sym w:font="Wingdings 2" w:char="0052"/>
            </w:r>
            <w:r>
              <w:rPr>
                <w:rFonts w:hint="eastAsia" w:ascii="宋体" w:hAnsi="宋体" w:cs="宋体"/>
                <w:szCs w:val="21"/>
              </w:rPr>
              <w:t>否</w:t>
            </w:r>
          </w:p>
          <w:p>
            <w:pPr>
              <w:adjustRightInd w:val="0"/>
              <w:snapToGrid w:val="0"/>
              <w:rPr>
                <w:rFonts w:ascii="宋体" w:hAnsi="宋体" w:cs="宋体"/>
                <w:szCs w:val="21"/>
              </w:rPr>
            </w:pPr>
            <w:r>
              <w:rPr>
                <w:rFonts w:hint="eastAsia" w:ascii="宋体" w:hAnsi="宋体" w:cs="宋体"/>
                <w:szCs w:val="21"/>
              </w:rPr>
              <w:sym w:font="Wingdings 2" w:char="00A3"/>
            </w:r>
            <w:r>
              <w:rPr>
                <w:rFonts w:hint="eastAsia" w:ascii="宋体" w:hAnsi="宋体" w:cs="宋体"/>
                <w:szCs w:val="21"/>
              </w:rPr>
              <w:t>是：</w:t>
            </w:r>
            <w:r>
              <w:rPr>
                <w:rFonts w:hint="eastAsia" w:ascii="宋体" w:hAnsi="宋体" w:cs="宋体"/>
                <w:szCs w:val="21"/>
                <w:u w:val="single"/>
              </w:rPr>
              <w:t xml:space="preserve">             </w:t>
            </w:r>
          </w:p>
        </w:tc>
        <w:tc>
          <w:tcPr>
            <w:tcW w:w="1843" w:type="dxa"/>
            <w:tcMar>
              <w:top w:w="16" w:type="dxa"/>
              <w:left w:w="16" w:type="dxa"/>
              <w:right w:w="16" w:type="dxa"/>
            </w:tcMar>
            <w:vAlign w:val="center"/>
          </w:tcPr>
          <w:p>
            <w:pPr>
              <w:adjustRightInd w:val="0"/>
              <w:snapToGrid w:val="0"/>
              <w:jc w:val="center"/>
              <w:rPr>
                <w:rFonts w:ascii="宋体" w:hAnsi="宋体" w:cs="宋体"/>
                <w:spacing w:val="-6"/>
                <w:szCs w:val="21"/>
              </w:rPr>
            </w:pPr>
            <w:r>
              <w:rPr>
                <w:rFonts w:hint="eastAsia" w:ascii="宋体" w:hAnsi="宋体" w:cs="宋体"/>
                <w:spacing w:val="-6"/>
                <w:szCs w:val="21"/>
              </w:rPr>
              <w:t>用地（用海）</w:t>
            </w:r>
          </w:p>
          <w:p>
            <w:pPr>
              <w:adjustRightInd w:val="0"/>
              <w:snapToGrid w:val="0"/>
              <w:jc w:val="center"/>
              <w:rPr>
                <w:rFonts w:ascii="宋体" w:hAnsi="宋体" w:cs="宋体"/>
                <w:szCs w:val="21"/>
              </w:rPr>
            </w:pPr>
            <w:r>
              <w:rPr>
                <w:rFonts w:hint="eastAsia" w:ascii="宋体" w:hAnsi="宋体" w:cs="宋体"/>
                <w:spacing w:val="-6"/>
                <w:szCs w:val="21"/>
              </w:rPr>
              <w:t>面积（</w:t>
            </w:r>
            <w:r>
              <w:rPr>
                <w:spacing w:val="-6"/>
                <w:szCs w:val="21"/>
              </w:rPr>
              <w:t>m</w:t>
            </w:r>
            <w:r>
              <w:rPr>
                <w:spacing w:val="-6"/>
                <w:szCs w:val="21"/>
                <w:vertAlign w:val="superscript"/>
              </w:rPr>
              <w:t>2</w:t>
            </w:r>
            <w:r>
              <w:rPr>
                <w:rFonts w:hint="eastAsia" w:ascii="宋体" w:hAnsi="宋体" w:cs="宋体"/>
                <w:spacing w:val="-6"/>
                <w:szCs w:val="21"/>
              </w:rPr>
              <w:t>）</w:t>
            </w:r>
          </w:p>
        </w:tc>
        <w:tc>
          <w:tcPr>
            <w:tcW w:w="3305" w:type="dxa"/>
            <w:vAlign w:val="center"/>
          </w:tcPr>
          <w:p>
            <w:pPr>
              <w:adjustRightInd w:val="0"/>
              <w:snapToGrid w:val="0"/>
              <w:jc w:val="center"/>
              <w:rPr>
                <w:szCs w:val="21"/>
              </w:rPr>
            </w:pPr>
            <w:r>
              <w:rPr>
                <w:rFonts w:hint="eastAsia"/>
                <w:szCs w:val="21"/>
              </w:rPr>
              <w:t>用地</w:t>
            </w:r>
            <w:r>
              <w:rPr>
                <w:szCs w:val="21"/>
              </w:rPr>
              <w:t>1666.68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5" w:hRule="atLeast"/>
          <w:jc w:val="center"/>
        </w:trPr>
        <w:tc>
          <w:tcPr>
            <w:tcW w:w="1975"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专项评价设置情况</w:t>
            </w:r>
          </w:p>
        </w:tc>
        <w:tc>
          <w:tcPr>
            <w:tcW w:w="6849" w:type="dxa"/>
            <w:gridSpan w:val="3"/>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1975"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szCs w:val="21"/>
              </w:rPr>
              <w:t>规划情况</w:t>
            </w:r>
          </w:p>
        </w:tc>
        <w:tc>
          <w:tcPr>
            <w:tcW w:w="6849" w:type="dxa"/>
            <w:gridSpan w:val="3"/>
            <w:shd w:val="clear" w:color="auto" w:fill="auto"/>
            <w:vAlign w:val="center"/>
          </w:tcPr>
          <w:p>
            <w:pPr>
              <w:adjustRightInd w:val="0"/>
              <w:snapToGrid w:val="0"/>
              <w:jc w:val="left"/>
              <w:rPr>
                <w:bCs/>
                <w:szCs w:val="21"/>
              </w:rPr>
            </w:pPr>
            <w:r>
              <w:rPr>
                <w:rFonts w:hint="eastAsia"/>
                <w:bCs/>
                <w:szCs w:val="21"/>
              </w:rPr>
              <w:t>规划名称：《河北抚宁经济开发区总体规划（2016-2030年）》</w:t>
            </w:r>
          </w:p>
          <w:p>
            <w:pPr>
              <w:adjustRightInd w:val="0"/>
              <w:snapToGrid w:val="0"/>
              <w:jc w:val="left"/>
              <w:rPr>
                <w:bCs/>
                <w:szCs w:val="21"/>
              </w:rPr>
            </w:pPr>
            <w:r>
              <w:rPr>
                <w:rFonts w:hint="eastAsia"/>
                <w:bCs/>
                <w:szCs w:val="21"/>
              </w:rPr>
              <w:t>审批机关：秦皇岛市城乡规划局</w:t>
            </w:r>
          </w:p>
          <w:p>
            <w:pPr>
              <w:adjustRightInd w:val="0"/>
              <w:snapToGrid w:val="0"/>
              <w:jc w:val="left"/>
              <w:rPr>
                <w:rFonts w:ascii="宋体" w:hAnsi="宋体" w:cs="宋体"/>
                <w:kern w:val="0"/>
                <w:szCs w:val="21"/>
              </w:rPr>
            </w:pPr>
            <w:r>
              <w:rPr>
                <w:rFonts w:hint="eastAsia"/>
                <w:bCs/>
                <w:szCs w:val="21"/>
              </w:rPr>
              <w:t>审批文件名称：《秦皇岛市城乡规划局关于对抚宁经济开发区总体规划的意见》，文号：秦规函[2018]130号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3" w:hRule="atLeast"/>
          <w:jc w:val="center"/>
        </w:trPr>
        <w:tc>
          <w:tcPr>
            <w:tcW w:w="1975" w:type="dxa"/>
            <w:vAlign w:val="center"/>
          </w:tcPr>
          <w:p>
            <w:pPr>
              <w:adjustRightInd w:val="0"/>
              <w:snapToGrid w:val="0"/>
              <w:jc w:val="center"/>
              <w:rPr>
                <w:rFonts w:ascii="宋体" w:hAnsi="宋体" w:cs="宋体"/>
                <w:szCs w:val="21"/>
              </w:rPr>
            </w:pPr>
            <w:r>
              <w:rPr>
                <w:rFonts w:hint="eastAsia" w:ascii="宋体" w:hAnsi="宋体" w:cs="宋体"/>
                <w:szCs w:val="21"/>
              </w:rPr>
              <w:t>规划环境影响</w:t>
            </w:r>
          </w:p>
          <w:p>
            <w:pPr>
              <w:adjustRightInd w:val="0"/>
              <w:snapToGrid w:val="0"/>
              <w:jc w:val="center"/>
              <w:rPr>
                <w:rFonts w:ascii="宋体" w:hAnsi="宋体" w:cs="宋体"/>
                <w:kern w:val="0"/>
                <w:szCs w:val="21"/>
              </w:rPr>
            </w:pPr>
            <w:r>
              <w:rPr>
                <w:rFonts w:hint="eastAsia" w:ascii="宋体" w:hAnsi="宋体" w:cs="宋体"/>
                <w:szCs w:val="21"/>
              </w:rPr>
              <w:t>评价情况</w:t>
            </w:r>
          </w:p>
        </w:tc>
        <w:tc>
          <w:tcPr>
            <w:tcW w:w="6849" w:type="dxa"/>
            <w:gridSpan w:val="3"/>
            <w:shd w:val="clear" w:color="auto" w:fill="auto"/>
            <w:vAlign w:val="center"/>
          </w:tcPr>
          <w:p>
            <w:pPr>
              <w:adjustRightInd w:val="0"/>
              <w:snapToGrid w:val="0"/>
              <w:jc w:val="left"/>
              <w:rPr>
                <w:bCs/>
                <w:szCs w:val="21"/>
              </w:rPr>
            </w:pPr>
            <w:r>
              <w:rPr>
                <w:rFonts w:hint="eastAsia"/>
                <w:bCs/>
                <w:szCs w:val="21"/>
              </w:rPr>
              <w:t>规划环评名称：《河北抚宁经济开发区总体规划(2016~2030年)环境影响报告书》，审查机关：河北省生态环境厅</w:t>
            </w:r>
          </w:p>
          <w:p>
            <w:pPr>
              <w:adjustRightInd w:val="0"/>
              <w:snapToGrid w:val="0"/>
              <w:jc w:val="left"/>
              <w:rPr>
                <w:bCs/>
                <w:szCs w:val="21"/>
              </w:rPr>
            </w:pPr>
            <w:r>
              <w:rPr>
                <w:rFonts w:hint="eastAsia"/>
                <w:bCs/>
                <w:szCs w:val="21"/>
              </w:rPr>
              <w:t>审查文件：《关于转送河北抚宁经济开发区总体规划（2016～2030年）环境影响报告书审查意见的函》，文号：冀环评函[2018]1188号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44" w:hRule="atLeast"/>
          <w:jc w:val="center"/>
        </w:trPr>
        <w:tc>
          <w:tcPr>
            <w:tcW w:w="1975"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规划及规划环境</w:t>
            </w:r>
          </w:p>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影响评价符合性分析</w:t>
            </w:r>
          </w:p>
        </w:tc>
        <w:tc>
          <w:tcPr>
            <w:tcW w:w="6849" w:type="dxa"/>
            <w:gridSpan w:val="3"/>
            <w:vAlign w:val="center"/>
          </w:tcPr>
          <w:p>
            <w:pPr>
              <w:adjustRightInd w:val="0"/>
              <w:snapToGrid w:val="0"/>
              <w:spacing w:line="400" w:lineRule="exact"/>
              <w:ind w:firstLine="420" w:firstLineChars="200"/>
              <w:rPr>
                <w:bCs/>
                <w:szCs w:val="21"/>
              </w:rPr>
            </w:pPr>
            <w:r>
              <w:rPr>
                <w:rFonts w:hint="eastAsia"/>
                <w:bCs/>
                <w:szCs w:val="21"/>
              </w:rPr>
              <w:t>本项目选址处位于《</w:t>
            </w:r>
            <w:r>
              <w:rPr>
                <w:bCs/>
                <w:szCs w:val="21"/>
              </w:rPr>
              <w:t>河北抚宁经济开发区总体规划（2016~2030年）</w:t>
            </w:r>
            <w:r>
              <w:rPr>
                <w:rFonts w:hint="eastAsia"/>
                <w:bCs/>
                <w:szCs w:val="21"/>
              </w:rPr>
              <w:t>》中的“先进制造园”，与园区符合性分析如下：</w:t>
            </w:r>
          </w:p>
          <w:p>
            <w:pPr>
              <w:spacing w:line="400" w:lineRule="exact"/>
              <w:jc w:val="center"/>
              <w:rPr>
                <w:b/>
                <w:szCs w:val="21"/>
              </w:rPr>
            </w:pPr>
            <w:r>
              <w:rPr>
                <w:rFonts w:hint="eastAsia"/>
                <w:b/>
                <w:szCs w:val="21"/>
              </w:rPr>
              <w:t>表1</w:t>
            </w:r>
            <w:r>
              <w:rPr>
                <w:b/>
                <w:szCs w:val="21"/>
              </w:rPr>
              <w:t xml:space="preserve">-1 </w:t>
            </w:r>
            <w:r>
              <w:rPr>
                <w:rFonts w:hint="eastAsia"/>
                <w:b/>
                <w:szCs w:val="21"/>
              </w:rPr>
              <w:t>园区产业定位符合性分析</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2"/>
              <w:gridCol w:w="2185"/>
              <w:gridCol w:w="3396"/>
              <w:gridCol w:w="4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tabs>
                      <w:tab w:val="left" w:pos="3255"/>
                    </w:tabs>
                    <w:jc w:val="center"/>
                    <w:rPr>
                      <w:szCs w:val="21"/>
                    </w:rPr>
                  </w:pPr>
                  <w:r>
                    <w:rPr>
                      <w:rFonts w:hint="eastAsia"/>
                      <w:szCs w:val="21"/>
                    </w:rPr>
                    <w:t>项目位置</w:t>
                  </w:r>
                </w:p>
              </w:tc>
              <w:tc>
                <w:tcPr>
                  <w:tcW w:w="0" w:type="auto"/>
                  <w:vAlign w:val="center"/>
                </w:tcPr>
                <w:p>
                  <w:pPr>
                    <w:tabs>
                      <w:tab w:val="left" w:pos="3255"/>
                    </w:tabs>
                    <w:jc w:val="center"/>
                    <w:rPr>
                      <w:szCs w:val="21"/>
                    </w:rPr>
                  </w:pPr>
                  <w:r>
                    <w:rPr>
                      <w:rFonts w:hint="eastAsia"/>
                      <w:szCs w:val="21"/>
                    </w:rPr>
                    <w:t>产业定位</w:t>
                  </w:r>
                </w:p>
              </w:tc>
              <w:tc>
                <w:tcPr>
                  <w:tcW w:w="0" w:type="auto"/>
                  <w:vAlign w:val="center"/>
                </w:tcPr>
                <w:p>
                  <w:pPr>
                    <w:tabs>
                      <w:tab w:val="left" w:pos="3255"/>
                    </w:tabs>
                    <w:jc w:val="center"/>
                    <w:rPr>
                      <w:szCs w:val="21"/>
                    </w:rPr>
                  </w:pPr>
                  <w:r>
                    <w:rPr>
                      <w:rFonts w:hint="eastAsia"/>
                      <w:szCs w:val="21"/>
                    </w:rPr>
                    <w:t>本项目情况</w:t>
                  </w:r>
                </w:p>
              </w:tc>
              <w:tc>
                <w:tcPr>
                  <w:tcW w:w="0" w:type="auto"/>
                  <w:vAlign w:val="center"/>
                </w:tcPr>
                <w:p>
                  <w:pPr>
                    <w:tabs>
                      <w:tab w:val="left" w:pos="3255"/>
                    </w:tabs>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tabs>
                      <w:tab w:val="left" w:pos="3255"/>
                    </w:tabs>
                    <w:jc w:val="center"/>
                    <w:rPr>
                      <w:szCs w:val="21"/>
                    </w:rPr>
                  </w:pPr>
                  <w:r>
                    <w:rPr>
                      <w:rFonts w:hint="eastAsia"/>
                      <w:szCs w:val="21"/>
                    </w:rPr>
                    <w:t>先进制造园</w:t>
                  </w:r>
                </w:p>
              </w:tc>
              <w:tc>
                <w:tcPr>
                  <w:tcW w:w="0" w:type="auto"/>
                  <w:vAlign w:val="center"/>
                </w:tcPr>
                <w:p>
                  <w:pPr>
                    <w:tabs>
                      <w:tab w:val="left" w:pos="3255"/>
                    </w:tabs>
                    <w:jc w:val="center"/>
                    <w:rPr>
                      <w:szCs w:val="21"/>
                    </w:rPr>
                  </w:pPr>
                  <w:r>
                    <w:rPr>
                      <w:rFonts w:hint="eastAsia"/>
                      <w:szCs w:val="21"/>
                    </w:rPr>
                    <w:t>发展的主导方向是电子信息制造业、高端装备制造、矿山机械及化工机械、汽车零部件、专用成套设备配套服务等。</w:t>
                  </w:r>
                </w:p>
              </w:tc>
              <w:tc>
                <w:tcPr>
                  <w:tcW w:w="0" w:type="auto"/>
                  <w:vAlign w:val="center"/>
                </w:tcPr>
                <w:p>
                  <w:pPr>
                    <w:tabs>
                      <w:tab w:val="left" w:pos="3255"/>
                    </w:tabs>
                    <w:jc w:val="center"/>
                    <w:rPr>
                      <w:szCs w:val="21"/>
                    </w:rPr>
                  </w:pPr>
                  <w:r>
                    <w:rPr>
                      <w:rFonts w:hint="eastAsia"/>
                      <w:szCs w:val="21"/>
                    </w:rPr>
                    <w:t>本项目属于塑料包装箱及容器制造，已取得河北抚宁经济技术开发区管理委员会出具的《关于秦皇岛兴渤塑料制品有限责任公司符合产业定位的情况说明》，其明确本项目符合抚宁开发区产业定位。</w:t>
                  </w:r>
                </w:p>
              </w:tc>
              <w:tc>
                <w:tcPr>
                  <w:tcW w:w="0" w:type="auto"/>
                  <w:vAlign w:val="center"/>
                </w:tcPr>
                <w:p>
                  <w:pPr>
                    <w:tabs>
                      <w:tab w:val="left" w:pos="3255"/>
                    </w:tabs>
                    <w:jc w:val="center"/>
                    <w:rPr>
                      <w:szCs w:val="21"/>
                    </w:rPr>
                  </w:pPr>
                  <w:r>
                    <w:rPr>
                      <w:rFonts w:hint="eastAsia"/>
                      <w:szCs w:val="21"/>
                    </w:rPr>
                    <w:t>符合</w:t>
                  </w:r>
                </w:p>
              </w:tc>
            </w:tr>
          </w:tbl>
          <w:p>
            <w:pPr>
              <w:adjustRightInd w:val="0"/>
              <w:snapToGrid w:val="0"/>
              <w:spacing w:line="400" w:lineRule="exact"/>
              <w:ind w:firstLine="420" w:firstLineChars="200"/>
              <w:rPr>
                <w:bCs/>
                <w:szCs w:val="21"/>
              </w:rPr>
            </w:pPr>
            <w:r>
              <w:rPr>
                <w:rFonts w:hint="eastAsia"/>
                <w:bCs/>
                <w:szCs w:val="21"/>
              </w:rPr>
              <w:t>由上可知，本项目建设可以满足园区产业定位要求。</w:t>
            </w:r>
          </w:p>
          <w:p>
            <w:pPr>
              <w:adjustRightInd w:val="0"/>
              <w:snapToGrid w:val="0"/>
              <w:spacing w:line="400" w:lineRule="exact"/>
              <w:ind w:firstLine="420" w:firstLineChars="200"/>
              <w:rPr>
                <w:bCs/>
                <w:szCs w:val="21"/>
              </w:rPr>
            </w:pPr>
            <w:r>
              <w:rPr>
                <w:rFonts w:hint="eastAsia"/>
                <w:bCs/>
                <w:szCs w:val="21"/>
              </w:rPr>
              <w:t>另外，与《抚宁经济开发区总体规划（2016-2030年）环境影响报告书》中的环境准入负面清单符合性分析如下：</w:t>
            </w:r>
          </w:p>
          <w:p>
            <w:pPr>
              <w:spacing w:line="400" w:lineRule="exact"/>
              <w:jc w:val="center"/>
              <w:rPr>
                <w:b/>
                <w:szCs w:val="21"/>
              </w:rPr>
            </w:pPr>
            <w:r>
              <w:rPr>
                <w:rFonts w:hint="eastAsia"/>
                <w:b/>
                <w:szCs w:val="21"/>
              </w:rPr>
              <w:t>表</w:t>
            </w:r>
            <w:r>
              <w:rPr>
                <w:b/>
                <w:szCs w:val="21"/>
              </w:rPr>
              <w:t xml:space="preserve">1-2       </w:t>
            </w:r>
            <w:r>
              <w:rPr>
                <w:rFonts w:hint="eastAsia"/>
                <w:b/>
                <w:szCs w:val="21"/>
              </w:rPr>
              <w:t>环境准入负面清单符合性分析</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1"/>
              <w:gridCol w:w="1208"/>
              <w:gridCol w:w="1803"/>
              <w:gridCol w:w="2422"/>
              <w:gridCol w:w="4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gridSpan w:val="2"/>
                  <w:vAlign w:val="center"/>
                </w:tcPr>
                <w:p>
                  <w:pPr>
                    <w:adjustRightInd w:val="0"/>
                    <w:snapToGrid w:val="0"/>
                    <w:jc w:val="center"/>
                    <w:rPr>
                      <w:kern w:val="0"/>
                      <w:szCs w:val="21"/>
                    </w:rPr>
                  </w:pPr>
                  <w:r>
                    <w:rPr>
                      <w:rFonts w:hint="eastAsia"/>
                      <w:kern w:val="0"/>
                      <w:szCs w:val="21"/>
                    </w:rPr>
                    <w:t>环境准入指标</w:t>
                  </w:r>
                </w:p>
              </w:tc>
              <w:tc>
                <w:tcPr>
                  <w:tcW w:w="0" w:type="auto"/>
                  <w:vAlign w:val="center"/>
                </w:tcPr>
                <w:p>
                  <w:pPr>
                    <w:adjustRightInd w:val="0"/>
                    <w:snapToGrid w:val="0"/>
                    <w:jc w:val="center"/>
                    <w:rPr>
                      <w:kern w:val="0"/>
                      <w:szCs w:val="21"/>
                    </w:rPr>
                  </w:pPr>
                  <w:r>
                    <w:rPr>
                      <w:rFonts w:hint="eastAsia"/>
                      <w:kern w:val="0"/>
                      <w:szCs w:val="21"/>
                    </w:rPr>
                    <w:t>环境准入限值</w:t>
                  </w:r>
                </w:p>
              </w:tc>
              <w:tc>
                <w:tcPr>
                  <w:tcW w:w="0" w:type="auto"/>
                  <w:vAlign w:val="center"/>
                </w:tcPr>
                <w:p>
                  <w:pPr>
                    <w:adjustRightInd w:val="0"/>
                    <w:snapToGrid w:val="0"/>
                    <w:jc w:val="center"/>
                    <w:rPr>
                      <w:kern w:val="0"/>
                      <w:szCs w:val="21"/>
                    </w:rPr>
                  </w:pPr>
                  <w:r>
                    <w:rPr>
                      <w:rFonts w:hint="eastAsia"/>
                      <w:kern w:val="0"/>
                      <w:szCs w:val="21"/>
                    </w:rPr>
                    <w:t>本项目</w:t>
                  </w:r>
                </w:p>
              </w:tc>
              <w:tc>
                <w:tcPr>
                  <w:tcW w:w="0" w:type="auto"/>
                  <w:vAlign w:val="center"/>
                </w:tcPr>
                <w:p>
                  <w:pPr>
                    <w:adjustRightInd w:val="0"/>
                    <w:snapToGrid w:val="0"/>
                    <w:jc w:val="center"/>
                    <w:rPr>
                      <w:kern w:val="0"/>
                      <w:szCs w:val="21"/>
                    </w:rPr>
                  </w:pPr>
                  <w:r>
                    <w:rPr>
                      <w:rFonts w:hint="eastAsia"/>
                      <w:kern w:val="0"/>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Merge w:val="restart"/>
                  <w:vAlign w:val="center"/>
                </w:tcPr>
                <w:p>
                  <w:pPr>
                    <w:adjustRightInd w:val="0"/>
                    <w:snapToGrid w:val="0"/>
                    <w:jc w:val="center"/>
                    <w:rPr>
                      <w:kern w:val="0"/>
                      <w:szCs w:val="21"/>
                    </w:rPr>
                  </w:pPr>
                  <w:r>
                    <w:rPr>
                      <w:rFonts w:hint="eastAsia"/>
                      <w:kern w:val="0"/>
                      <w:szCs w:val="21"/>
                    </w:rPr>
                    <w:t>污染物排放强度</w:t>
                  </w:r>
                </w:p>
              </w:tc>
              <w:tc>
                <w:tcPr>
                  <w:tcW w:w="0" w:type="auto"/>
                  <w:vMerge w:val="restart"/>
                  <w:vAlign w:val="center"/>
                </w:tcPr>
                <w:p>
                  <w:pPr>
                    <w:adjustRightInd w:val="0"/>
                    <w:snapToGrid w:val="0"/>
                    <w:jc w:val="center"/>
                    <w:rPr>
                      <w:kern w:val="0"/>
                      <w:szCs w:val="21"/>
                    </w:rPr>
                  </w:pPr>
                  <w:r>
                    <w:rPr>
                      <w:rFonts w:hint="eastAsia"/>
                      <w:kern w:val="0"/>
                      <w:szCs w:val="21"/>
                    </w:rPr>
                    <w:t>排放标准</w:t>
                  </w:r>
                </w:p>
              </w:tc>
              <w:tc>
                <w:tcPr>
                  <w:tcW w:w="0" w:type="auto"/>
                  <w:vAlign w:val="center"/>
                </w:tcPr>
                <w:p>
                  <w:pPr>
                    <w:adjustRightInd w:val="0"/>
                    <w:snapToGrid w:val="0"/>
                    <w:jc w:val="center"/>
                    <w:rPr>
                      <w:kern w:val="0"/>
                      <w:szCs w:val="21"/>
                    </w:rPr>
                  </w:pPr>
                  <w:r>
                    <w:rPr>
                      <w:rFonts w:hint="eastAsia"/>
                      <w:kern w:val="0"/>
                      <w:szCs w:val="21"/>
                    </w:rPr>
                    <w:t>①新能源企业VOC排放满足《工业企业挥发性有机物排放控制标准》(DB13/2322-2016)中的一半。</w:t>
                  </w:r>
                </w:p>
              </w:tc>
              <w:tc>
                <w:tcPr>
                  <w:tcW w:w="0" w:type="auto"/>
                  <w:vAlign w:val="center"/>
                </w:tcPr>
                <w:p>
                  <w:pPr>
                    <w:adjustRightInd w:val="0"/>
                    <w:snapToGrid w:val="0"/>
                    <w:jc w:val="center"/>
                    <w:rPr>
                      <w:kern w:val="0"/>
                      <w:szCs w:val="21"/>
                    </w:rPr>
                  </w:pPr>
                  <w:r>
                    <w:rPr>
                      <w:rFonts w:hint="eastAsia"/>
                      <w:kern w:val="0"/>
                      <w:szCs w:val="21"/>
                    </w:rPr>
                    <w:t>本项目不属于新能源企业</w:t>
                  </w:r>
                </w:p>
              </w:tc>
              <w:tc>
                <w:tcPr>
                  <w:tcW w:w="0" w:type="auto"/>
                  <w:vAlign w:val="center"/>
                </w:tcPr>
                <w:p>
                  <w:pPr>
                    <w:adjustRightInd w:val="0"/>
                    <w:snapToGrid w:val="0"/>
                    <w:jc w:val="center"/>
                    <w:rPr>
                      <w:kern w:val="0"/>
                      <w:szCs w:val="21"/>
                    </w:rPr>
                  </w:pPr>
                  <w:r>
                    <w:rPr>
                      <w:rFonts w:hint="eastAsia"/>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②其他企业满足特别排放限值要求。</w:t>
                  </w:r>
                </w:p>
              </w:tc>
              <w:tc>
                <w:tcPr>
                  <w:tcW w:w="0" w:type="auto"/>
                  <w:vAlign w:val="center"/>
                </w:tcPr>
                <w:p>
                  <w:pPr>
                    <w:adjustRightInd w:val="0"/>
                    <w:snapToGrid w:val="0"/>
                    <w:jc w:val="center"/>
                    <w:rPr>
                      <w:kern w:val="0"/>
                      <w:szCs w:val="21"/>
                    </w:rPr>
                  </w:pPr>
                  <w:r>
                    <w:rPr>
                      <w:rFonts w:hint="eastAsia"/>
                      <w:kern w:val="0"/>
                      <w:szCs w:val="21"/>
                    </w:rPr>
                    <w:t>本项目为</w:t>
                  </w:r>
                  <w:r>
                    <w:rPr>
                      <w:rFonts w:hint="eastAsia"/>
                      <w:szCs w:val="21"/>
                    </w:rPr>
                    <w:t>塑料包装箱及容器制造，废气排放标准执行</w:t>
                  </w:r>
                  <w:r>
                    <w:rPr>
                      <w:rFonts w:hint="eastAsia"/>
                      <w:kern w:val="0"/>
                      <w:szCs w:val="21"/>
                    </w:rPr>
                    <w:t>《合成树脂工业污染物排放标准》（GB31572-2015）表5，《工业企业挥发性有机物排放控制标准》（DB13/2322-2016）表1中“其他行业”要求</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万元工业增加值废水产生量（t/万元）</w:t>
                  </w:r>
                </w:p>
              </w:tc>
              <w:tc>
                <w:tcPr>
                  <w:tcW w:w="0" w:type="auto"/>
                  <w:vAlign w:val="center"/>
                </w:tcPr>
                <w:p>
                  <w:pPr>
                    <w:adjustRightInd w:val="0"/>
                    <w:snapToGrid w:val="0"/>
                    <w:jc w:val="center"/>
                    <w:rPr>
                      <w:kern w:val="0"/>
                      <w:szCs w:val="21"/>
                    </w:rPr>
                  </w:pPr>
                  <w:r>
                    <w:rPr>
                      <w:rFonts w:hint="eastAsia"/>
                      <w:kern w:val="0"/>
                      <w:szCs w:val="21"/>
                    </w:rPr>
                    <w:t>0</w:t>
                  </w:r>
                  <w:r>
                    <w:rPr>
                      <w:kern w:val="0"/>
                      <w:szCs w:val="21"/>
                    </w:rPr>
                    <w:t>.026</w:t>
                  </w:r>
                </w:p>
              </w:tc>
              <w:tc>
                <w:tcPr>
                  <w:tcW w:w="0" w:type="auto"/>
                  <w:vAlign w:val="center"/>
                </w:tcPr>
                <w:p>
                  <w:pPr>
                    <w:adjustRightInd w:val="0"/>
                    <w:snapToGrid w:val="0"/>
                    <w:jc w:val="center"/>
                    <w:rPr>
                      <w:kern w:val="0"/>
                      <w:szCs w:val="21"/>
                    </w:rPr>
                  </w:pPr>
                  <w:r>
                    <w:rPr>
                      <w:rFonts w:hint="eastAsia"/>
                      <w:kern w:val="0"/>
                      <w:szCs w:val="21"/>
                    </w:rPr>
                    <w:t>无废水排放</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燃料乙醇项目单位产品废水产生量（m</w:t>
                  </w:r>
                  <w:r>
                    <w:rPr>
                      <w:rFonts w:hint="eastAsia"/>
                      <w:kern w:val="0"/>
                      <w:szCs w:val="21"/>
                      <w:vertAlign w:val="superscript"/>
                    </w:rPr>
                    <w:t>3</w:t>
                  </w:r>
                  <w:r>
                    <w:rPr>
                      <w:rFonts w:hint="eastAsia"/>
                      <w:kern w:val="0"/>
                      <w:szCs w:val="21"/>
                    </w:rPr>
                    <w:t>/t）</w:t>
                  </w:r>
                </w:p>
              </w:tc>
              <w:tc>
                <w:tcPr>
                  <w:tcW w:w="0" w:type="auto"/>
                  <w:vAlign w:val="center"/>
                </w:tcPr>
                <w:p>
                  <w:pPr>
                    <w:adjustRightInd w:val="0"/>
                    <w:snapToGrid w:val="0"/>
                    <w:jc w:val="center"/>
                    <w:rPr>
                      <w:kern w:val="0"/>
                      <w:szCs w:val="21"/>
                    </w:rPr>
                  </w:pPr>
                  <w:r>
                    <w:rPr>
                      <w:rFonts w:hint="eastAsia"/>
                      <w:kern w:val="0"/>
                      <w:szCs w:val="21"/>
                    </w:rPr>
                    <w:t>4</w:t>
                  </w:r>
                  <w:r>
                    <w:rPr>
                      <w:kern w:val="0"/>
                      <w:szCs w:val="21"/>
                    </w:rPr>
                    <w:t>.64</w:t>
                  </w:r>
                </w:p>
              </w:tc>
              <w:tc>
                <w:tcPr>
                  <w:tcW w:w="0" w:type="auto"/>
                  <w:vAlign w:val="center"/>
                </w:tcPr>
                <w:p>
                  <w:pPr>
                    <w:adjustRightInd w:val="0"/>
                    <w:snapToGrid w:val="0"/>
                    <w:jc w:val="center"/>
                    <w:rPr>
                      <w:kern w:val="0"/>
                      <w:szCs w:val="21"/>
                    </w:rPr>
                  </w:pPr>
                  <w:r>
                    <w:rPr>
                      <w:rFonts w:hint="eastAsia"/>
                      <w:kern w:val="0"/>
                      <w:szCs w:val="21"/>
                    </w:rPr>
                    <w:t>本项目为</w:t>
                  </w:r>
                  <w:r>
                    <w:rPr>
                      <w:rFonts w:hint="eastAsia"/>
                      <w:szCs w:val="21"/>
                    </w:rPr>
                    <w:t>塑料包装箱及容器制造</w:t>
                  </w:r>
                </w:p>
              </w:tc>
              <w:tc>
                <w:tcPr>
                  <w:tcW w:w="0" w:type="auto"/>
                  <w:vAlign w:val="center"/>
                </w:tcPr>
                <w:p>
                  <w:pPr>
                    <w:adjustRightInd w:val="0"/>
                    <w:snapToGrid w:val="0"/>
                    <w:jc w:val="center"/>
                    <w:rPr>
                      <w:kern w:val="0"/>
                      <w:szCs w:val="21"/>
                    </w:rPr>
                  </w:pPr>
                  <w:r>
                    <w:rPr>
                      <w:rFonts w:hint="eastAsia"/>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万元工业增加值COD的排放量（kg/万元）</w:t>
                  </w:r>
                </w:p>
              </w:tc>
              <w:tc>
                <w:tcPr>
                  <w:tcW w:w="0" w:type="auto"/>
                  <w:vAlign w:val="center"/>
                </w:tcPr>
                <w:p>
                  <w:pPr>
                    <w:adjustRightInd w:val="0"/>
                    <w:snapToGrid w:val="0"/>
                    <w:jc w:val="center"/>
                    <w:rPr>
                      <w:kern w:val="0"/>
                      <w:szCs w:val="21"/>
                    </w:rPr>
                  </w:pPr>
                  <w:r>
                    <w:rPr>
                      <w:rFonts w:hint="eastAsia"/>
                      <w:kern w:val="0"/>
                      <w:szCs w:val="21"/>
                    </w:rPr>
                    <w:t>0</w:t>
                  </w:r>
                  <w:r>
                    <w:rPr>
                      <w:kern w:val="0"/>
                      <w:szCs w:val="21"/>
                    </w:rPr>
                    <w:t>.384</w:t>
                  </w:r>
                </w:p>
              </w:tc>
              <w:tc>
                <w:tcPr>
                  <w:tcW w:w="0" w:type="auto"/>
                  <w:vAlign w:val="center"/>
                </w:tcPr>
                <w:p>
                  <w:pPr>
                    <w:adjustRightInd w:val="0"/>
                    <w:snapToGrid w:val="0"/>
                    <w:jc w:val="center"/>
                    <w:rPr>
                      <w:kern w:val="0"/>
                      <w:szCs w:val="21"/>
                    </w:rPr>
                  </w:pPr>
                  <w:r>
                    <w:rPr>
                      <w:rFonts w:hint="eastAsia"/>
                      <w:kern w:val="0"/>
                      <w:szCs w:val="21"/>
                    </w:rPr>
                    <w:t>无C</w:t>
                  </w:r>
                  <w:r>
                    <w:rPr>
                      <w:kern w:val="0"/>
                      <w:szCs w:val="21"/>
                    </w:rPr>
                    <w:t>OD</w:t>
                  </w:r>
                  <w:r>
                    <w:rPr>
                      <w:rFonts w:hint="eastAsia"/>
                      <w:kern w:val="0"/>
                      <w:szCs w:val="21"/>
                    </w:rPr>
                    <w:t>排放</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万元工业增加值氨氮的排放量（kg/万元）</w:t>
                  </w:r>
                </w:p>
              </w:tc>
              <w:tc>
                <w:tcPr>
                  <w:tcW w:w="0" w:type="auto"/>
                  <w:vAlign w:val="center"/>
                </w:tcPr>
                <w:p>
                  <w:pPr>
                    <w:adjustRightInd w:val="0"/>
                    <w:snapToGrid w:val="0"/>
                    <w:jc w:val="center"/>
                    <w:rPr>
                      <w:kern w:val="0"/>
                      <w:szCs w:val="21"/>
                    </w:rPr>
                  </w:pPr>
                  <w:r>
                    <w:rPr>
                      <w:rFonts w:hint="eastAsia"/>
                      <w:kern w:val="0"/>
                      <w:szCs w:val="21"/>
                    </w:rPr>
                    <w:t>0</w:t>
                  </w:r>
                  <w:r>
                    <w:rPr>
                      <w:kern w:val="0"/>
                      <w:szCs w:val="21"/>
                    </w:rPr>
                    <w:t>.038</w:t>
                  </w:r>
                </w:p>
              </w:tc>
              <w:tc>
                <w:tcPr>
                  <w:tcW w:w="0" w:type="auto"/>
                  <w:vAlign w:val="center"/>
                </w:tcPr>
                <w:p>
                  <w:pPr>
                    <w:adjustRightInd w:val="0"/>
                    <w:snapToGrid w:val="0"/>
                    <w:jc w:val="center"/>
                    <w:rPr>
                      <w:kern w:val="0"/>
                      <w:szCs w:val="21"/>
                    </w:rPr>
                  </w:pPr>
                  <w:r>
                    <w:rPr>
                      <w:rFonts w:hint="eastAsia"/>
                      <w:kern w:val="0"/>
                      <w:szCs w:val="21"/>
                    </w:rPr>
                    <w:t>无氨氮排放</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万元工业增加值SO</w:t>
                  </w:r>
                  <w:r>
                    <w:rPr>
                      <w:rFonts w:hint="eastAsia"/>
                      <w:kern w:val="0"/>
                      <w:szCs w:val="21"/>
                      <w:vertAlign w:val="subscript"/>
                    </w:rPr>
                    <w:t>2</w:t>
                  </w:r>
                  <w:r>
                    <w:rPr>
                      <w:rFonts w:hint="eastAsia"/>
                      <w:kern w:val="0"/>
                      <w:szCs w:val="21"/>
                    </w:rPr>
                    <w:t>的排放量(kg/万元)</w:t>
                  </w:r>
                </w:p>
              </w:tc>
              <w:tc>
                <w:tcPr>
                  <w:tcW w:w="0" w:type="auto"/>
                  <w:vAlign w:val="center"/>
                </w:tcPr>
                <w:p>
                  <w:pPr>
                    <w:adjustRightInd w:val="0"/>
                    <w:snapToGrid w:val="0"/>
                    <w:jc w:val="center"/>
                    <w:rPr>
                      <w:kern w:val="0"/>
                      <w:szCs w:val="21"/>
                    </w:rPr>
                  </w:pPr>
                  <w:r>
                    <w:rPr>
                      <w:rFonts w:hint="eastAsia"/>
                      <w:kern w:val="0"/>
                      <w:szCs w:val="21"/>
                    </w:rPr>
                    <w:t>0</w:t>
                  </w:r>
                  <w:r>
                    <w:rPr>
                      <w:kern w:val="0"/>
                      <w:szCs w:val="21"/>
                    </w:rPr>
                    <w:t>.249</w:t>
                  </w:r>
                </w:p>
              </w:tc>
              <w:tc>
                <w:tcPr>
                  <w:tcW w:w="0" w:type="auto"/>
                  <w:vAlign w:val="center"/>
                </w:tcPr>
                <w:p>
                  <w:pPr>
                    <w:adjustRightInd w:val="0"/>
                    <w:snapToGrid w:val="0"/>
                    <w:jc w:val="center"/>
                    <w:rPr>
                      <w:kern w:val="0"/>
                      <w:szCs w:val="21"/>
                    </w:rPr>
                  </w:pPr>
                  <w:r>
                    <w:rPr>
                      <w:rFonts w:hint="eastAsia"/>
                      <w:kern w:val="0"/>
                      <w:szCs w:val="21"/>
                    </w:rPr>
                    <w:t>无SO</w:t>
                  </w:r>
                  <w:r>
                    <w:rPr>
                      <w:rFonts w:hint="eastAsia"/>
                      <w:kern w:val="0"/>
                      <w:szCs w:val="21"/>
                      <w:vertAlign w:val="subscript"/>
                    </w:rPr>
                    <w:t>2</w:t>
                  </w:r>
                  <w:r>
                    <w:rPr>
                      <w:rFonts w:hint="eastAsia"/>
                      <w:kern w:val="0"/>
                      <w:szCs w:val="21"/>
                    </w:rPr>
                    <w:t>排放</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rPr>
                      <w:kern w:val="0"/>
                      <w:szCs w:val="21"/>
                    </w:rPr>
                  </w:pPr>
                </w:p>
              </w:tc>
              <w:tc>
                <w:tcPr>
                  <w:tcW w:w="0" w:type="auto"/>
                  <w:vAlign w:val="center"/>
                </w:tcPr>
                <w:p>
                  <w:pPr>
                    <w:adjustRightInd w:val="0"/>
                    <w:snapToGrid w:val="0"/>
                    <w:jc w:val="center"/>
                    <w:rPr>
                      <w:kern w:val="0"/>
                      <w:szCs w:val="21"/>
                    </w:rPr>
                  </w:pPr>
                  <w:r>
                    <w:rPr>
                      <w:rFonts w:hint="eastAsia"/>
                      <w:kern w:val="0"/>
                      <w:szCs w:val="21"/>
                    </w:rPr>
                    <w:t>万元工业增加值NO</w:t>
                  </w:r>
                  <w:r>
                    <w:rPr>
                      <w:rFonts w:hint="eastAsia"/>
                      <w:kern w:val="0"/>
                      <w:szCs w:val="21"/>
                      <w:vertAlign w:val="subscript"/>
                    </w:rPr>
                    <w:t>2</w:t>
                  </w:r>
                  <w:r>
                    <w:rPr>
                      <w:rFonts w:hint="eastAsia"/>
                      <w:kern w:val="0"/>
                      <w:szCs w:val="21"/>
                    </w:rPr>
                    <w:t>的排放量(kg/万元)</w:t>
                  </w:r>
                </w:p>
              </w:tc>
              <w:tc>
                <w:tcPr>
                  <w:tcW w:w="0" w:type="auto"/>
                  <w:vAlign w:val="center"/>
                </w:tcPr>
                <w:p>
                  <w:pPr>
                    <w:adjustRightInd w:val="0"/>
                    <w:snapToGrid w:val="0"/>
                    <w:jc w:val="center"/>
                    <w:rPr>
                      <w:kern w:val="0"/>
                      <w:szCs w:val="21"/>
                    </w:rPr>
                  </w:pPr>
                  <w:r>
                    <w:rPr>
                      <w:rFonts w:hint="eastAsia"/>
                      <w:kern w:val="0"/>
                      <w:szCs w:val="21"/>
                    </w:rPr>
                    <w:t>0</w:t>
                  </w:r>
                  <w:r>
                    <w:rPr>
                      <w:kern w:val="0"/>
                      <w:szCs w:val="21"/>
                    </w:rPr>
                    <w:t>.325</w:t>
                  </w:r>
                </w:p>
              </w:tc>
              <w:tc>
                <w:tcPr>
                  <w:tcW w:w="0" w:type="auto"/>
                  <w:vAlign w:val="center"/>
                </w:tcPr>
                <w:p>
                  <w:pPr>
                    <w:adjustRightInd w:val="0"/>
                    <w:snapToGrid w:val="0"/>
                    <w:jc w:val="center"/>
                    <w:rPr>
                      <w:kern w:val="0"/>
                      <w:szCs w:val="21"/>
                    </w:rPr>
                  </w:pPr>
                  <w:r>
                    <w:rPr>
                      <w:rFonts w:hint="eastAsia"/>
                      <w:kern w:val="0"/>
                      <w:szCs w:val="21"/>
                    </w:rPr>
                    <w:t>无NO</w:t>
                  </w:r>
                  <w:r>
                    <w:rPr>
                      <w:rFonts w:hint="eastAsia"/>
                      <w:kern w:val="0"/>
                      <w:szCs w:val="21"/>
                      <w:vertAlign w:val="subscript"/>
                    </w:rPr>
                    <w:t>2</w:t>
                  </w:r>
                  <w:r>
                    <w:rPr>
                      <w:rFonts w:hint="eastAsia"/>
                      <w:kern w:val="0"/>
                      <w:szCs w:val="21"/>
                    </w:rPr>
                    <w:t>排放</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万元工业增加值VOC</w:t>
                  </w:r>
                  <w:r>
                    <w:rPr>
                      <w:rFonts w:hint="eastAsia"/>
                      <w:kern w:val="0"/>
                      <w:szCs w:val="21"/>
                      <w:vertAlign w:val="subscript"/>
                    </w:rPr>
                    <w:t>S</w:t>
                  </w:r>
                  <w:r>
                    <w:rPr>
                      <w:rFonts w:hint="eastAsia"/>
                      <w:kern w:val="0"/>
                      <w:szCs w:val="21"/>
                    </w:rPr>
                    <w:t>的排放量(kg/万元)</w:t>
                  </w:r>
                </w:p>
              </w:tc>
              <w:tc>
                <w:tcPr>
                  <w:tcW w:w="0" w:type="auto"/>
                  <w:vAlign w:val="center"/>
                </w:tcPr>
                <w:p>
                  <w:pPr>
                    <w:adjustRightInd w:val="0"/>
                    <w:snapToGrid w:val="0"/>
                    <w:jc w:val="center"/>
                    <w:rPr>
                      <w:kern w:val="0"/>
                      <w:szCs w:val="21"/>
                    </w:rPr>
                  </w:pPr>
                  <w:r>
                    <w:rPr>
                      <w:rFonts w:hint="eastAsia"/>
                      <w:kern w:val="0"/>
                      <w:szCs w:val="21"/>
                    </w:rPr>
                    <w:t>0</w:t>
                  </w:r>
                  <w:r>
                    <w:rPr>
                      <w:kern w:val="0"/>
                      <w:szCs w:val="21"/>
                    </w:rPr>
                    <w:t>.1</w:t>
                  </w:r>
                </w:p>
              </w:tc>
              <w:tc>
                <w:tcPr>
                  <w:tcW w:w="0" w:type="auto"/>
                  <w:vAlign w:val="center"/>
                </w:tcPr>
                <w:p>
                  <w:pPr>
                    <w:adjustRightInd w:val="0"/>
                    <w:snapToGrid w:val="0"/>
                    <w:jc w:val="center"/>
                    <w:rPr>
                      <w:kern w:val="0"/>
                      <w:szCs w:val="21"/>
                    </w:rPr>
                  </w:pPr>
                  <w:r>
                    <w:rPr>
                      <w:rFonts w:hint="eastAsia"/>
                      <w:kern w:val="0"/>
                      <w:szCs w:val="21"/>
                    </w:rPr>
                    <w:t>本项目V</w:t>
                  </w:r>
                  <w:r>
                    <w:rPr>
                      <w:kern w:val="0"/>
                      <w:szCs w:val="21"/>
                    </w:rPr>
                    <w:t>OCs</w:t>
                  </w:r>
                  <w:r>
                    <w:rPr>
                      <w:rFonts w:hint="eastAsia"/>
                      <w:kern w:val="0"/>
                      <w:szCs w:val="21"/>
                    </w:rPr>
                    <w:t>（非甲烷总烃）有组织、无组织排放量合计0</w:t>
                  </w:r>
                  <w:r>
                    <w:rPr>
                      <w:kern w:val="0"/>
                      <w:szCs w:val="21"/>
                    </w:rPr>
                    <w:t>.139 t/a</w:t>
                  </w:r>
                  <w:r>
                    <w:rPr>
                      <w:rFonts w:hint="eastAsia"/>
                      <w:kern w:val="0"/>
                      <w:szCs w:val="21"/>
                    </w:rPr>
                    <w:t>，项目工业增加值约为3</w:t>
                  </w:r>
                  <w:r>
                    <w:rPr>
                      <w:kern w:val="0"/>
                      <w:szCs w:val="21"/>
                    </w:rPr>
                    <w:t>30</w:t>
                  </w:r>
                  <w:r>
                    <w:rPr>
                      <w:rFonts w:hint="eastAsia"/>
                      <w:kern w:val="0"/>
                      <w:szCs w:val="21"/>
                    </w:rPr>
                    <w:t>万元/</w:t>
                  </w:r>
                  <w:r>
                    <w:rPr>
                      <w:kern w:val="0"/>
                      <w:szCs w:val="21"/>
                    </w:rPr>
                    <w:t>a</w:t>
                  </w:r>
                  <w:r>
                    <w:rPr>
                      <w:rFonts w:hint="eastAsia"/>
                      <w:kern w:val="0"/>
                      <w:szCs w:val="21"/>
                    </w:rPr>
                    <w:t>，计算可得万元工业增加值VOC</w:t>
                  </w:r>
                  <w:r>
                    <w:rPr>
                      <w:rFonts w:hint="eastAsia"/>
                      <w:kern w:val="0"/>
                      <w:szCs w:val="21"/>
                      <w:vertAlign w:val="subscript"/>
                    </w:rPr>
                    <w:t>S</w:t>
                  </w:r>
                  <w:r>
                    <w:rPr>
                      <w:rFonts w:hint="eastAsia"/>
                      <w:kern w:val="0"/>
                      <w:szCs w:val="21"/>
                    </w:rPr>
                    <w:t>的排放量为0</w:t>
                  </w:r>
                  <w:r>
                    <w:rPr>
                      <w:kern w:val="0"/>
                      <w:szCs w:val="21"/>
                    </w:rPr>
                    <w:t xml:space="preserve">.0004 </w:t>
                  </w:r>
                  <w:r>
                    <w:rPr>
                      <w:rFonts w:hint="eastAsia"/>
                      <w:kern w:val="0"/>
                      <w:szCs w:val="21"/>
                    </w:rPr>
                    <w:t>，小于0</w:t>
                  </w:r>
                  <w:r>
                    <w:rPr>
                      <w:kern w:val="0"/>
                      <w:szCs w:val="21"/>
                    </w:rPr>
                    <w:t>.1</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restart"/>
                  <w:vAlign w:val="center"/>
                </w:tcPr>
                <w:p>
                  <w:pPr>
                    <w:adjustRightInd w:val="0"/>
                    <w:snapToGrid w:val="0"/>
                    <w:jc w:val="center"/>
                    <w:rPr>
                      <w:kern w:val="0"/>
                      <w:szCs w:val="21"/>
                    </w:rPr>
                  </w:pPr>
                  <w:r>
                    <w:rPr>
                      <w:rFonts w:hint="eastAsia"/>
                      <w:kern w:val="0"/>
                      <w:szCs w:val="21"/>
                    </w:rPr>
                    <w:t>资源开发效率</w:t>
                  </w:r>
                </w:p>
              </w:tc>
              <w:tc>
                <w:tcPr>
                  <w:tcW w:w="0" w:type="auto"/>
                  <w:vAlign w:val="center"/>
                </w:tcPr>
                <w:p>
                  <w:pPr>
                    <w:adjustRightInd w:val="0"/>
                    <w:snapToGrid w:val="0"/>
                    <w:jc w:val="center"/>
                    <w:rPr>
                      <w:kern w:val="0"/>
                      <w:szCs w:val="21"/>
                    </w:rPr>
                  </w:pPr>
                  <w:r>
                    <w:rPr>
                      <w:rFonts w:hint="eastAsia"/>
                      <w:kern w:val="0"/>
                      <w:szCs w:val="21"/>
                    </w:rPr>
                    <w:t>单位工业增加值用水量（m</w:t>
                  </w:r>
                  <w:r>
                    <w:rPr>
                      <w:rFonts w:hint="eastAsia"/>
                      <w:kern w:val="0"/>
                      <w:szCs w:val="21"/>
                      <w:vertAlign w:val="superscript"/>
                    </w:rPr>
                    <w:t>3</w:t>
                  </w:r>
                  <w:r>
                    <w:rPr>
                      <w:rFonts w:hint="eastAsia"/>
                      <w:kern w:val="0"/>
                      <w:szCs w:val="21"/>
                    </w:rPr>
                    <w:t>/万元）</w:t>
                  </w:r>
                </w:p>
              </w:tc>
              <w:tc>
                <w:tcPr>
                  <w:tcW w:w="0" w:type="auto"/>
                  <w:vAlign w:val="center"/>
                </w:tcPr>
                <w:p>
                  <w:pPr>
                    <w:adjustRightInd w:val="0"/>
                    <w:snapToGrid w:val="0"/>
                    <w:jc w:val="center"/>
                    <w:rPr>
                      <w:kern w:val="0"/>
                      <w:szCs w:val="21"/>
                    </w:rPr>
                  </w:pPr>
                  <w:r>
                    <w:rPr>
                      <w:rFonts w:hint="eastAsia"/>
                      <w:kern w:val="0"/>
                      <w:szCs w:val="21"/>
                    </w:rPr>
                    <w:t>2</w:t>
                  </w:r>
                  <w:r>
                    <w:rPr>
                      <w:kern w:val="0"/>
                      <w:szCs w:val="21"/>
                    </w:rPr>
                    <w:t>1.52</w:t>
                  </w:r>
                </w:p>
              </w:tc>
              <w:tc>
                <w:tcPr>
                  <w:tcW w:w="0" w:type="auto"/>
                  <w:vAlign w:val="center"/>
                </w:tcPr>
                <w:p>
                  <w:pPr>
                    <w:adjustRightInd w:val="0"/>
                    <w:snapToGrid w:val="0"/>
                    <w:jc w:val="center"/>
                    <w:rPr>
                      <w:kern w:val="0"/>
                      <w:szCs w:val="21"/>
                    </w:rPr>
                  </w:pPr>
                  <w:r>
                    <w:rPr>
                      <w:rFonts w:hint="eastAsia"/>
                      <w:kern w:val="0"/>
                      <w:szCs w:val="21"/>
                    </w:rPr>
                    <w:t>本项目工业用水量为1</w:t>
                  </w:r>
                  <w:r>
                    <w:rPr>
                      <w:kern w:val="0"/>
                      <w:szCs w:val="21"/>
                    </w:rPr>
                    <w:t>20 m</w:t>
                  </w:r>
                  <w:r>
                    <w:rPr>
                      <w:kern w:val="0"/>
                      <w:szCs w:val="21"/>
                      <w:vertAlign w:val="superscript"/>
                    </w:rPr>
                    <w:t>3</w:t>
                  </w:r>
                  <w:r>
                    <w:rPr>
                      <w:kern w:val="0"/>
                      <w:szCs w:val="21"/>
                    </w:rPr>
                    <w:t>/a</w:t>
                  </w:r>
                  <w:r>
                    <w:rPr>
                      <w:rFonts w:hint="eastAsia"/>
                      <w:kern w:val="0"/>
                      <w:szCs w:val="21"/>
                    </w:rPr>
                    <w:t>，项目工业增加值约为3</w:t>
                  </w:r>
                  <w:r>
                    <w:rPr>
                      <w:kern w:val="0"/>
                      <w:szCs w:val="21"/>
                    </w:rPr>
                    <w:t>30</w:t>
                  </w:r>
                  <w:r>
                    <w:rPr>
                      <w:rFonts w:hint="eastAsia"/>
                      <w:kern w:val="0"/>
                      <w:szCs w:val="21"/>
                    </w:rPr>
                    <w:t>万元/</w:t>
                  </w:r>
                  <w:r>
                    <w:rPr>
                      <w:kern w:val="0"/>
                      <w:szCs w:val="21"/>
                    </w:rPr>
                    <w:t>a</w:t>
                  </w:r>
                  <w:r>
                    <w:rPr>
                      <w:rFonts w:hint="eastAsia"/>
                      <w:kern w:val="0"/>
                      <w:szCs w:val="21"/>
                    </w:rPr>
                    <w:t>，则计算可知单位工业增加值用水量为</w:t>
                  </w:r>
                  <w:r>
                    <w:rPr>
                      <w:kern w:val="0"/>
                      <w:szCs w:val="21"/>
                    </w:rPr>
                    <w:t xml:space="preserve">0.36 </w:t>
                  </w:r>
                  <w:r>
                    <w:rPr>
                      <w:rFonts w:hint="eastAsia"/>
                      <w:kern w:val="0"/>
                      <w:szCs w:val="21"/>
                    </w:rPr>
                    <w:t>，小于2</w:t>
                  </w:r>
                  <w:r>
                    <w:rPr>
                      <w:kern w:val="0"/>
                      <w:szCs w:val="21"/>
                    </w:rPr>
                    <w:t>1.52</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燃料乙醇项目单位产品新鲜水耗（m3/t）</w:t>
                  </w:r>
                </w:p>
              </w:tc>
              <w:tc>
                <w:tcPr>
                  <w:tcW w:w="0" w:type="auto"/>
                  <w:vAlign w:val="center"/>
                </w:tcPr>
                <w:p>
                  <w:pPr>
                    <w:adjustRightInd w:val="0"/>
                    <w:snapToGrid w:val="0"/>
                    <w:jc w:val="center"/>
                    <w:rPr>
                      <w:kern w:val="0"/>
                      <w:szCs w:val="21"/>
                    </w:rPr>
                  </w:pPr>
                  <w:r>
                    <w:rPr>
                      <w:rFonts w:hint="eastAsia"/>
                      <w:kern w:val="0"/>
                      <w:szCs w:val="21"/>
                    </w:rPr>
                    <w:t>3</w:t>
                  </w:r>
                  <w:r>
                    <w:rPr>
                      <w:kern w:val="0"/>
                      <w:szCs w:val="21"/>
                    </w:rPr>
                    <w:t>.86</w:t>
                  </w:r>
                </w:p>
              </w:tc>
              <w:tc>
                <w:tcPr>
                  <w:tcW w:w="0" w:type="auto"/>
                  <w:vAlign w:val="center"/>
                </w:tcPr>
                <w:p>
                  <w:pPr>
                    <w:adjustRightInd w:val="0"/>
                    <w:snapToGrid w:val="0"/>
                    <w:jc w:val="center"/>
                    <w:rPr>
                      <w:kern w:val="0"/>
                      <w:szCs w:val="21"/>
                    </w:rPr>
                  </w:pPr>
                  <w:r>
                    <w:rPr>
                      <w:rFonts w:hint="eastAsia"/>
                      <w:kern w:val="0"/>
                      <w:szCs w:val="21"/>
                    </w:rPr>
                    <w:t>本项目为</w:t>
                  </w:r>
                  <w:r>
                    <w:rPr>
                      <w:rFonts w:hint="eastAsia"/>
                      <w:szCs w:val="21"/>
                    </w:rPr>
                    <w:t>塑料包装箱及容器制造</w:t>
                  </w:r>
                </w:p>
              </w:tc>
              <w:tc>
                <w:tcPr>
                  <w:tcW w:w="0" w:type="auto"/>
                  <w:vAlign w:val="center"/>
                </w:tcPr>
                <w:p>
                  <w:pPr>
                    <w:adjustRightInd w:val="0"/>
                    <w:snapToGrid w:val="0"/>
                    <w:jc w:val="center"/>
                    <w:rPr>
                      <w:kern w:val="0"/>
                      <w:szCs w:val="21"/>
                    </w:rPr>
                  </w:pPr>
                  <w:r>
                    <w:rPr>
                      <w:rFonts w:hint="eastAsia"/>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再生水回用率（%）</w:t>
                  </w:r>
                </w:p>
              </w:tc>
              <w:tc>
                <w:tcPr>
                  <w:tcW w:w="0" w:type="auto"/>
                  <w:vAlign w:val="center"/>
                </w:tcPr>
                <w:p>
                  <w:pPr>
                    <w:adjustRightInd w:val="0"/>
                    <w:snapToGrid w:val="0"/>
                    <w:jc w:val="center"/>
                    <w:rPr>
                      <w:kern w:val="0"/>
                      <w:szCs w:val="21"/>
                    </w:rPr>
                  </w:pPr>
                  <w:r>
                    <w:rPr>
                      <w:rFonts w:hint="eastAsia"/>
                      <w:kern w:val="0"/>
                      <w:szCs w:val="21"/>
                    </w:rPr>
                    <w:t>≥3</w:t>
                  </w:r>
                  <w:r>
                    <w:rPr>
                      <w:kern w:val="0"/>
                      <w:szCs w:val="21"/>
                    </w:rPr>
                    <w:t>0</w:t>
                  </w:r>
                </w:p>
              </w:tc>
              <w:tc>
                <w:tcPr>
                  <w:tcW w:w="0" w:type="auto"/>
                  <w:vAlign w:val="center"/>
                </w:tcPr>
                <w:p>
                  <w:pPr>
                    <w:adjustRightInd w:val="0"/>
                    <w:snapToGrid w:val="0"/>
                    <w:jc w:val="center"/>
                    <w:rPr>
                      <w:kern w:val="0"/>
                      <w:szCs w:val="21"/>
                    </w:rPr>
                  </w:pPr>
                  <w:r>
                    <w:rPr>
                      <w:rFonts w:hint="eastAsia"/>
                      <w:kern w:val="0"/>
                      <w:szCs w:val="21"/>
                    </w:rPr>
                    <w:t>本项目冷却水1</w:t>
                  </w:r>
                  <w:r>
                    <w:rPr>
                      <w:kern w:val="0"/>
                      <w:szCs w:val="21"/>
                    </w:rPr>
                    <w:t>00</w:t>
                  </w:r>
                  <w:r>
                    <w:rPr>
                      <w:rFonts w:hint="eastAsia"/>
                      <w:kern w:val="0"/>
                      <w:szCs w:val="21"/>
                    </w:rPr>
                    <w:t>%回用</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vAlign w:val="center"/>
                </w:tcPr>
                <w:p>
                  <w:pPr>
                    <w:adjustRightInd w:val="0"/>
                    <w:snapToGrid w:val="0"/>
                    <w:jc w:val="center"/>
                    <w:rPr>
                      <w:kern w:val="0"/>
                      <w:szCs w:val="21"/>
                    </w:rPr>
                  </w:pPr>
                  <w:r>
                    <w:rPr>
                      <w:rFonts w:hint="eastAsia"/>
                      <w:kern w:val="0"/>
                      <w:szCs w:val="21"/>
                    </w:rPr>
                    <w:t>园区工业水重复利用率（%）</w:t>
                  </w:r>
                </w:p>
              </w:tc>
              <w:tc>
                <w:tcPr>
                  <w:tcW w:w="0" w:type="auto"/>
                  <w:vAlign w:val="center"/>
                </w:tcPr>
                <w:p>
                  <w:pPr>
                    <w:adjustRightInd w:val="0"/>
                    <w:snapToGrid w:val="0"/>
                    <w:jc w:val="center"/>
                    <w:rPr>
                      <w:kern w:val="0"/>
                      <w:szCs w:val="21"/>
                    </w:rPr>
                  </w:pPr>
                  <w:r>
                    <w:rPr>
                      <w:rFonts w:hint="eastAsia"/>
                      <w:kern w:val="0"/>
                      <w:szCs w:val="21"/>
                    </w:rPr>
                    <w:t>≥7</w:t>
                  </w:r>
                  <w:r>
                    <w:rPr>
                      <w:kern w:val="0"/>
                      <w:szCs w:val="21"/>
                    </w:rPr>
                    <w:t>5</w:t>
                  </w:r>
                </w:p>
              </w:tc>
              <w:tc>
                <w:tcPr>
                  <w:tcW w:w="0" w:type="auto"/>
                  <w:vAlign w:val="center"/>
                </w:tcPr>
                <w:p>
                  <w:pPr>
                    <w:adjustRightInd w:val="0"/>
                    <w:snapToGrid w:val="0"/>
                    <w:jc w:val="center"/>
                    <w:rPr>
                      <w:kern w:val="0"/>
                      <w:szCs w:val="21"/>
                    </w:rPr>
                  </w:pPr>
                  <w:r>
                    <w:rPr>
                      <w:rFonts w:hint="eastAsia"/>
                      <w:kern w:val="0"/>
                      <w:szCs w:val="21"/>
                    </w:rPr>
                    <w:t>/</w:t>
                  </w:r>
                </w:p>
              </w:tc>
              <w:tc>
                <w:tcPr>
                  <w:tcW w:w="0" w:type="auto"/>
                  <w:vAlign w:val="center"/>
                </w:tcPr>
                <w:p>
                  <w:pPr>
                    <w:adjustRightInd w:val="0"/>
                    <w:snapToGrid w:val="0"/>
                    <w:jc w:val="center"/>
                    <w:rPr>
                      <w:kern w:val="0"/>
                      <w:szCs w:val="21"/>
                    </w:rPr>
                  </w:pPr>
                  <w:r>
                    <w:rPr>
                      <w:rFonts w:hint="eastAsia"/>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restart"/>
                  <w:vAlign w:val="center"/>
                </w:tcPr>
                <w:p>
                  <w:pPr>
                    <w:adjustRightInd w:val="0"/>
                    <w:snapToGrid w:val="0"/>
                    <w:jc w:val="center"/>
                    <w:rPr>
                      <w:kern w:val="0"/>
                      <w:szCs w:val="21"/>
                    </w:rPr>
                  </w:pPr>
                  <w:r>
                    <w:rPr>
                      <w:rFonts w:hint="eastAsia"/>
                      <w:kern w:val="0"/>
                      <w:szCs w:val="21"/>
                    </w:rPr>
                    <w:t>环境风险防控</w:t>
                  </w:r>
                </w:p>
              </w:tc>
              <w:tc>
                <w:tcPr>
                  <w:tcW w:w="0" w:type="auto"/>
                  <w:gridSpan w:val="2"/>
                  <w:vAlign w:val="center"/>
                </w:tcPr>
                <w:p>
                  <w:pPr>
                    <w:adjustRightInd w:val="0"/>
                    <w:snapToGrid w:val="0"/>
                    <w:jc w:val="center"/>
                    <w:rPr>
                      <w:kern w:val="0"/>
                      <w:szCs w:val="21"/>
                    </w:rPr>
                  </w:pPr>
                  <w:r>
                    <w:rPr>
                      <w:rFonts w:hint="eastAsia"/>
                      <w:kern w:val="0"/>
                      <w:szCs w:val="21"/>
                    </w:rPr>
                    <w:t>①禁止被列入《“高污染、高环境风险”产品名录（2017年）》产品项目入区。</w:t>
                  </w:r>
                </w:p>
              </w:tc>
              <w:tc>
                <w:tcPr>
                  <w:tcW w:w="0" w:type="auto"/>
                  <w:vAlign w:val="center"/>
                </w:tcPr>
                <w:p>
                  <w:pPr>
                    <w:adjustRightInd w:val="0"/>
                    <w:snapToGrid w:val="0"/>
                    <w:jc w:val="center"/>
                    <w:rPr>
                      <w:kern w:val="0"/>
                      <w:szCs w:val="21"/>
                    </w:rPr>
                  </w:pPr>
                  <w:r>
                    <w:rPr>
                      <w:rFonts w:hint="eastAsia"/>
                      <w:kern w:val="0"/>
                      <w:szCs w:val="21"/>
                    </w:rPr>
                    <w:t>本项目无《“高污染、高环境风险”产品名录（2017年）》中的产品</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jc w:val="center"/>
                    <w:rPr>
                      <w:kern w:val="0"/>
                      <w:szCs w:val="21"/>
                    </w:rPr>
                  </w:pPr>
                  <w:r>
                    <w:rPr>
                      <w:rFonts w:hint="eastAsia"/>
                      <w:kern w:val="0"/>
                      <w:szCs w:val="21"/>
                    </w:rPr>
                    <w:t>②园区及园区内各企业编制污染防治应急预案并在相关环保部门备案。</w:t>
                  </w:r>
                </w:p>
              </w:tc>
              <w:tc>
                <w:tcPr>
                  <w:tcW w:w="0" w:type="auto"/>
                  <w:vAlign w:val="center"/>
                </w:tcPr>
                <w:p>
                  <w:pPr>
                    <w:adjustRightInd w:val="0"/>
                    <w:snapToGrid w:val="0"/>
                    <w:jc w:val="center"/>
                    <w:rPr>
                      <w:kern w:val="0"/>
                      <w:szCs w:val="21"/>
                    </w:rPr>
                  </w:pPr>
                  <w:r>
                    <w:rPr>
                      <w:rFonts w:hint="eastAsia"/>
                      <w:kern w:val="0"/>
                      <w:szCs w:val="21"/>
                    </w:rPr>
                    <w:t>本次评价要求项目编制污染防治应急预案，并在相关环保部门备案。</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jc w:val="center"/>
                    <w:rPr>
                      <w:kern w:val="0"/>
                      <w:szCs w:val="21"/>
                    </w:rPr>
                  </w:pPr>
                  <w:r>
                    <w:rPr>
                      <w:rFonts w:hint="eastAsia"/>
                      <w:kern w:val="0"/>
                      <w:szCs w:val="21"/>
                    </w:rPr>
                    <w:t>③禁止在村庄搬迁完成前建设对环境产生风险较大的建设项目。</w:t>
                  </w:r>
                </w:p>
              </w:tc>
              <w:tc>
                <w:tcPr>
                  <w:tcW w:w="0" w:type="auto"/>
                  <w:vAlign w:val="center"/>
                </w:tcPr>
                <w:p>
                  <w:pPr>
                    <w:adjustRightInd w:val="0"/>
                    <w:snapToGrid w:val="0"/>
                    <w:jc w:val="center"/>
                    <w:rPr>
                      <w:kern w:val="0"/>
                      <w:szCs w:val="21"/>
                    </w:rPr>
                  </w:pPr>
                  <w:r>
                    <w:rPr>
                      <w:rFonts w:hint="eastAsia"/>
                      <w:kern w:val="0"/>
                      <w:szCs w:val="21"/>
                    </w:rPr>
                    <w:t>本项目环境风险小</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restart"/>
                  <w:vAlign w:val="center"/>
                </w:tcPr>
                <w:p>
                  <w:pPr>
                    <w:adjustRightInd w:val="0"/>
                    <w:snapToGrid w:val="0"/>
                    <w:jc w:val="center"/>
                    <w:rPr>
                      <w:kern w:val="0"/>
                      <w:szCs w:val="21"/>
                    </w:rPr>
                  </w:pPr>
                  <w:r>
                    <w:rPr>
                      <w:rFonts w:hint="eastAsia"/>
                      <w:kern w:val="0"/>
                      <w:szCs w:val="21"/>
                    </w:rPr>
                    <w:t>产业准入（禁止准入类）</w:t>
                  </w:r>
                </w:p>
              </w:tc>
              <w:tc>
                <w:tcPr>
                  <w:tcW w:w="0" w:type="auto"/>
                  <w:gridSpan w:val="2"/>
                  <w:vAlign w:val="center"/>
                </w:tcPr>
                <w:p>
                  <w:pPr>
                    <w:adjustRightInd w:val="0"/>
                    <w:snapToGrid w:val="0"/>
                    <w:rPr>
                      <w:kern w:val="0"/>
                      <w:szCs w:val="21"/>
                    </w:rPr>
                  </w:pPr>
                  <w:r>
                    <w:rPr>
                      <w:rFonts w:hint="eastAsia"/>
                      <w:kern w:val="0"/>
                      <w:szCs w:val="21"/>
                    </w:rPr>
                    <w:t>①《产业结构调整指导目录 (2011 年本 》（ 2013 年修订）中限制类、淘汰类项目；《外商投资产业指导目录》（ 2015 年修订）中限制类、禁止类项目</w:t>
                  </w:r>
                </w:p>
              </w:tc>
              <w:tc>
                <w:tcPr>
                  <w:tcW w:w="0" w:type="auto"/>
                  <w:vAlign w:val="center"/>
                </w:tcPr>
                <w:p>
                  <w:pPr>
                    <w:adjustRightInd w:val="0"/>
                    <w:snapToGrid w:val="0"/>
                    <w:jc w:val="center"/>
                    <w:rPr>
                      <w:kern w:val="0"/>
                      <w:szCs w:val="21"/>
                    </w:rPr>
                  </w:pPr>
                  <w:r>
                    <w:rPr>
                      <w:rFonts w:hint="eastAsia"/>
                      <w:kern w:val="0"/>
                      <w:szCs w:val="21"/>
                    </w:rPr>
                    <w:t>经分析，本项目不属于现行《产业结构调整指导目录 (201</w:t>
                  </w:r>
                  <w:r>
                    <w:rPr>
                      <w:kern w:val="0"/>
                      <w:szCs w:val="21"/>
                    </w:rPr>
                    <w:t>9</w:t>
                  </w:r>
                  <w:r>
                    <w:rPr>
                      <w:rFonts w:hint="eastAsia"/>
                      <w:kern w:val="0"/>
                      <w:szCs w:val="21"/>
                    </w:rPr>
                    <w:t xml:space="preserve"> 年本 》中限制类、淘汰类项目，不属于外商投资项目</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rPr>
                      <w:kern w:val="0"/>
                      <w:szCs w:val="21"/>
                    </w:rPr>
                  </w:pPr>
                  <w:r>
                    <w:rPr>
                      <w:rFonts w:hint="eastAsia"/>
                      <w:kern w:val="0"/>
                      <w:szCs w:val="21"/>
                    </w:rPr>
                    <w:t>②属于《关于抑制部分行业产能过剩和重复建设引导产业健康发展的若干意见》(国发[2009]38号)中的项目</w:t>
                  </w:r>
                </w:p>
              </w:tc>
              <w:tc>
                <w:tcPr>
                  <w:tcW w:w="0" w:type="auto"/>
                  <w:vAlign w:val="center"/>
                </w:tcPr>
                <w:p>
                  <w:pPr>
                    <w:adjustRightInd w:val="0"/>
                    <w:snapToGrid w:val="0"/>
                    <w:jc w:val="center"/>
                    <w:rPr>
                      <w:kern w:val="0"/>
                      <w:szCs w:val="21"/>
                    </w:rPr>
                  </w:pPr>
                  <w:r>
                    <w:rPr>
                      <w:rFonts w:hint="eastAsia"/>
                      <w:kern w:val="0"/>
                      <w:szCs w:val="21"/>
                    </w:rPr>
                    <w:t>本项目不属于上述文件中的项目</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rPr>
                      <w:kern w:val="0"/>
                      <w:szCs w:val="21"/>
                    </w:rPr>
                  </w:pPr>
                  <w:r>
                    <w:rPr>
                      <w:rFonts w:hint="eastAsia"/>
                      <w:kern w:val="0"/>
                      <w:szCs w:val="21"/>
                    </w:rPr>
                    <w:t>③列入《“高污染、高环境风险”产品名录（2017年）》产品项目</w:t>
                  </w:r>
                </w:p>
              </w:tc>
              <w:tc>
                <w:tcPr>
                  <w:tcW w:w="0" w:type="auto"/>
                  <w:vAlign w:val="center"/>
                </w:tcPr>
                <w:p>
                  <w:pPr>
                    <w:adjustRightInd w:val="0"/>
                    <w:snapToGrid w:val="0"/>
                    <w:jc w:val="center"/>
                    <w:rPr>
                      <w:kern w:val="0"/>
                      <w:szCs w:val="21"/>
                    </w:rPr>
                  </w:pPr>
                  <w:r>
                    <w:rPr>
                      <w:rFonts w:hint="eastAsia"/>
                      <w:kern w:val="0"/>
                      <w:szCs w:val="21"/>
                    </w:rPr>
                    <w:t>本项目无上述产品</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rPr>
                      <w:kern w:val="0"/>
                      <w:szCs w:val="21"/>
                    </w:rPr>
                  </w:pPr>
                  <w:r>
                    <w:rPr>
                      <w:rFonts w:hint="eastAsia"/>
                      <w:kern w:val="0"/>
                      <w:szCs w:val="21"/>
                    </w:rPr>
                    <w:t>④属于《河北省新增限制和淘汰类产业目录（2015年版）》中的限制类和淘汰类项目</w:t>
                  </w:r>
                </w:p>
              </w:tc>
              <w:tc>
                <w:tcPr>
                  <w:tcW w:w="0" w:type="auto"/>
                  <w:vAlign w:val="center"/>
                </w:tcPr>
                <w:p>
                  <w:pPr>
                    <w:adjustRightInd w:val="0"/>
                    <w:snapToGrid w:val="0"/>
                    <w:jc w:val="center"/>
                    <w:rPr>
                      <w:kern w:val="0"/>
                      <w:szCs w:val="21"/>
                    </w:rPr>
                  </w:pPr>
                  <w:r>
                    <w:rPr>
                      <w:rFonts w:hint="eastAsia"/>
                      <w:kern w:val="0"/>
                      <w:szCs w:val="21"/>
                    </w:rPr>
                    <w:t>本项目不属于该目录中限制类和淘汰类</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rPr>
                      <w:kern w:val="0"/>
                      <w:szCs w:val="21"/>
                    </w:rPr>
                  </w:pPr>
                  <w:r>
                    <w:rPr>
                      <w:rFonts w:hint="eastAsia"/>
                      <w:kern w:val="0"/>
                      <w:szCs w:val="21"/>
                    </w:rPr>
                    <w:t>⑤属于《河北省禁止投资的产业目录（2014年版）》中明令禁止的建设项目</w:t>
                  </w:r>
                </w:p>
              </w:tc>
              <w:tc>
                <w:tcPr>
                  <w:tcW w:w="0" w:type="auto"/>
                  <w:vAlign w:val="center"/>
                </w:tcPr>
                <w:p>
                  <w:pPr>
                    <w:adjustRightInd w:val="0"/>
                    <w:snapToGrid w:val="0"/>
                    <w:jc w:val="center"/>
                    <w:rPr>
                      <w:kern w:val="0"/>
                      <w:szCs w:val="21"/>
                    </w:rPr>
                  </w:pPr>
                  <w:r>
                    <w:rPr>
                      <w:rFonts w:hint="eastAsia"/>
                      <w:kern w:val="0"/>
                      <w:szCs w:val="21"/>
                    </w:rPr>
                    <w:t>本项目不属于该目录中明令禁止类别</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rPr>
                      <w:kern w:val="0"/>
                      <w:szCs w:val="21"/>
                    </w:rPr>
                  </w:pPr>
                  <w:r>
                    <w:rPr>
                      <w:rFonts w:hint="eastAsia"/>
                      <w:kern w:val="0"/>
                      <w:szCs w:val="21"/>
                    </w:rPr>
                    <w:t>⑥不符合行业准入条件的建设项目</w:t>
                  </w:r>
                </w:p>
              </w:tc>
              <w:tc>
                <w:tcPr>
                  <w:tcW w:w="0" w:type="auto"/>
                  <w:vAlign w:val="center"/>
                </w:tcPr>
                <w:p>
                  <w:pPr>
                    <w:adjustRightInd w:val="0"/>
                    <w:snapToGrid w:val="0"/>
                    <w:jc w:val="center"/>
                    <w:rPr>
                      <w:kern w:val="0"/>
                      <w:szCs w:val="21"/>
                    </w:rPr>
                  </w:pPr>
                  <w:r>
                    <w:rPr>
                      <w:rFonts w:hint="eastAsia"/>
                      <w:kern w:val="0"/>
                      <w:szCs w:val="21"/>
                    </w:rPr>
                    <w:t>本项目所在行业暂无行业准入</w:t>
                  </w:r>
                </w:p>
              </w:tc>
              <w:tc>
                <w:tcPr>
                  <w:tcW w:w="0" w:type="auto"/>
                  <w:vAlign w:val="center"/>
                </w:tcPr>
                <w:p>
                  <w:pPr>
                    <w:adjustRightInd w:val="0"/>
                    <w:snapToGrid w:val="0"/>
                    <w:jc w:val="center"/>
                    <w:rPr>
                      <w:kern w:val="0"/>
                      <w:szCs w:val="21"/>
                    </w:rPr>
                  </w:pPr>
                  <w:r>
                    <w:rPr>
                      <w:rFonts w:hint="eastAsia"/>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rPr>
                      <w:kern w:val="0"/>
                      <w:szCs w:val="21"/>
                    </w:rPr>
                  </w:pPr>
                  <w:r>
                    <w:rPr>
                      <w:rFonts w:hint="eastAsia"/>
                      <w:kern w:val="0"/>
                      <w:szCs w:val="21"/>
                    </w:rPr>
                    <w:t>⑦不能满足《河北省环境敏感区支持、限制及禁止建设项目名录(2005年修订版)》要求的项目</w:t>
                  </w:r>
                </w:p>
              </w:tc>
              <w:tc>
                <w:tcPr>
                  <w:tcW w:w="0" w:type="auto"/>
                  <w:vAlign w:val="center"/>
                </w:tcPr>
                <w:p>
                  <w:pPr>
                    <w:adjustRightInd w:val="0"/>
                    <w:snapToGrid w:val="0"/>
                    <w:jc w:val="center"/>
                    <w:rPr>
                      <w:kern w:val="0"/>
                      <w:szCs w:val="21"/>
                    </w:rPr>
                  </w:pPr>
                  <w:r>
                    <w:rPr>
                      <w:rFonts w:hint="eastAsia"/>
                      <w:kern w:val="0"/>
                      <w:szCs w:val="21"/>
                    </w:rPr>
                    <w:t>本项目选址位于工业区内，不在上述敏感区域</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rPr>
                      <w:kern w:val="0"/>
                      <w:szCs w:val="21"/>
                    </w:rPr>
                  </w:pPr>
                  <w:r>
                    <w:rPr>
                      <w:rFonts w:hint="eastAsia"/>
                      <w:kern w:val="0"/>
                      <w:szCs w:val="21"/>
                    </w:rPr>
                    <w:t>⑧清洁生产水平达不到国内先进水平及以上的新建项目。其中燃料乙醇项目清洁生产水平不得小于一级水平。</w:t>
                  </w:r>
                </w:p>
              </w:tc>
              <w:tc>
                <w:tcPr>
                  <w:tcW w:w="0" w:type="auto"/>
                  <w:vAlign w:val="center"/>
                </w:tcPr>
                <w:p>
                  <w:pPr>
                    <w:adjustRightInd w:val="0"/>
                    <w:snapToGrid w:val="0"/>
                    <w:jc w:val="center"/>
                    <w:rPr>
                      <w:kern w:val="0"/>
                      <w:szCs w:val="21"/>
                    </w:rPr>
                  </w:pPr>
                  <w:r>
                    <w:rPr>
                      <w:rFonts w:hint="eastAsia"/>
                      <w:kern w:val="0"/>
                      <w:szCs w:val="21"/>
                    </w:rPr>
                    <w:t>本项目所在行业，暂无行业清洁生产评价标准</w:t>
                  </w:r>
                </w:p>
              </w:tc>
              <w:tc>
                <w:tcPr>
                  <w:tcW w:w="0" w:type="auto"/>
                  <w:vAlign w:val="center"/>
                </w:tcPr>
                <w:p>
                  <w:pPr>
                    <w:adjustRightInd w:val="0"/>
                    <w:snapToGrid w:val="0"/>
                    <w:jc w:val="center"/>
                    <w:rPr>
                      <w:kern w:val="0"/>
                      <w:szCs w:val="21"/>
                    </w:rPr>
                  </w:pPr>
                  <w:r>
                    <w:rPr>
                      <w:rFonts w:hint="eastAsia"/>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rPr>
                      <w:kern w:val="0"/>
                      <w:szCs w:val="21"/>
                    </w:rPr>
                  </w:pPr>
                </w:p>
              </w:tc>
              <w:tc>
                <w:tcPr>
                  <w:tcW w:w="0" w:type="auto"/>
                  <w:gridSpan w:val="2"/>
                  <w:vAlign w:val="center"/>
                </w:tcPr>
                <w:p>
                  <w:pPr>
                    <w:adjustRightInd w:val="0"/>
                    <w:snapToGrid w:val="0"/>
                    <w:rPr>
                      <w:kern w:val="0"/>
                      <w:szCs w:val="21"/>
                    </w:rPr>
                  </w:pPr>
                  <w:r>
                    <w:rPr>
                      <w:rFonts w:hint="eastAsia"/>
                      <w:kern w:val="0"/>
                      <w:szCs w:val="21"/>
                    </w:rPr>
                    <w:t>⑨不符合园区产业定位项目（拟入区项目）</w:t>
                  </w:r>
                </w:p>
              </w:tc>
              <w:tc>
                <w:tcPr>
                  <w:tcW w:w="0" w:type="auto"/>
                  <w:vAlign w:val="center"/>
                </w:tcPr>
                <w:p>
                  <w:pPr>
                    <w:adjustRightInd w:val="0"/>
                    <w:snapToGrid w:val="0"/>
                    <w:jc w:val="center"/>
                    <w:rPr>
                      <w:kern w:val="0"/>
                      <w:szCs w:val="21"/>
                    </w:rPr>
                  </w:pPr>
                  <w:r>
                    <w:rPr>
                      <w:rFonts w:hint="eastAsia"/>
                      <w:szCs w:val="21"/>
                    </w:rPr>
                    <w:t>详见表1</w:t>
                  </w:r>
                  <w:r>
                    <w:rPr>
                      <w:szCs w:val="21"/>
                    </w:rPr>
                    <w:t>-1</w:t>
                  </w:r>
                </w:p>
              </w:tc>
              <w:tc>
                <w:tcPr>
                  <w:tcW w:w="0" w:type="auto"/>
                  <w:vAlign w:val="center"/>
                </w:tcPr>
                <w:p>
                  <w:pPr>
                    <w:adjustRightInd w:val="0"/>
                    <w:snapToGrid w:val="0"/>
                    <w:jc w:val="center"/>
                    <w:rPr>
                      <w:kern w:val="0"/>
                      <w:szCs w:val="21"/>
                    </w:rPr>
                  </w:pPr>
                  <w:r>
                    <w:rPr>
                      <w:rFonts w:hint="eastAsia"/>
                      <w:kern w:val="0"/>
                      <w:szCs w:val="21"/>
                    </w:rPr>
                    <w:t>符合</w:t>
                  </w:r>
                </w:p>
              </w:tc>
            </w:tr>
          </w:tbl>
          <w:p>
            <w:pPr>
              <w:adjustRightInd w:val="0"/>
              <w:snapToGrid w:val="0"/>
              <w:spacing w:line="400" w:lineRule="exact"/>
              <w:ind w:firstLine="420" w:firstLineChars="200"/>
              <w:rPr>
                <w:bCs/>
                <w:szCs w:val="21"/>
              </w:rPr>
            </w:pPr>
            <w:r>
              <w:rPr>
                <w:rFonts w:hint="eastAsia"/>
                <w:bCs/>
                <w:szCs w:val="21"/>
              </w:rPr>
              <w:t>由上可知，本项目不属于《抚宁经济开发区总体规划（2016-2030年）环境影响报告书》中园区准入负面清单的情形。</w:t>
            </w:r>
          </w:p>
          <w:p>
            <w:pPr>
              <w:adjustRightInd w:val="0"/>
              <w:snapToGrid w:val="0"/>
              <w:spacing w:line="400" w:lineRule="exact"/>
              <w:ind w:firstLine="420" w:firstLineChars="200"/>
              <w:rPr>
                <w:bCs/>
                <w:szCs w:val="21"/>
              </w:rPr>
            </w:pPr>
            <w:r>
              <w:rPr>
                <w:rFonts w:hint="eastAsia"/>
                <w:bCs/>
                <w:szCs w:val="21"/>
              </w:rPr>
              <w:t>项目与《关于转送河北抚宁经济开发区总体规划（2016-2030年）环境影响报告书审查意见的函》（冀环评函【2</w:t>
            </w:r>
            <w:r>
              <w:rPr>
                <w:bCs/>
                <w:szCs w:val="21"/>
              </w:rPr>
              <w:t>018</w:t>
            </w:r>
            <w:r>
              <w:rPr>
                <w:rFonts w:hint="eastAsia"/>
                <w:bCs/>
                <w:szCs w:val="21"/>
              </w:rPr>
              <w:t>】1</w:t>
            </w:r>
            <w:r>
              <w:rPr>
                <w:bCs/>
                <w:szCs w:val="21"/>
              </w:rPr>
              <w:t>188</w:t>
            </w:r>
            <w:r>
              <w:rPr>
                <w:rFonts w:hint="eastAsia"/>
                <w:bCs/>
                <w:szCs w:val="21"/>
              </w:rPr>
              <w:t>号）符合性分析</w:t>
            </w:r>
          </w:p>
          <w:p>
            <w:pPr>
              <w:spacing w:line="400" w:lineRule="exact"/>
              <w:jc w:val="center"/>
              <w:rPr>
                <w:b/>
                <w:szCs w:val="21"/>
              </w:rPr>
            </w:pPr>
            <w:r>
              <w:rPr>
                <w:rFonts w:hint="eastAsia"/>
                <w:b/>
                <w:szCs w:val="21"/>
              </w:rPr>
              <w:t>表1</w:t>
            </w:r>
            <w:r>
              <w:rPr>
                <w:b/>
                <w:szCs w:val="21"/>
              </w:rPr>
              <w:t xml:space="preserve">-3  </w:t>
            </w:r>
            <w:r>
              <w:rPr>
                <w:rFonts w:hint="eastAsia"/>
                <w:b/>
                <w:szCs w:val="21"/>
              </w:rPr>
              <w:t>与冀环评函【2018】1188号符合性分析</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8"/>
              <w:gridCol w:w="2653"/>
              <w:gridCol w:w="2683"/>
              <w:gridCol w:w="4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gridSpan w:val="2"/>
                  <w:vAlign w:val="center"/>
                </w:tcPr>
                <w:p>
                  <w:pPr>
                    <w:adjustRightInd w:val="0"/>
                    <w:snapToGrid w:val="0"/>
                    <w:jc w:val="center"/>
                    <w:rPr>
                      <w:kern w:val="0"/>
                      <w:szCs w:val="21"/>
                    </w:rPr>
                  </w:pPr>
                  <w:r>
                    <w:rPr>
                      <w:rFonts w:hint="eastAsia"/>
                      <w:kern w:val="0"/>
                      <w:szCs w:val="21"/>
                    </w:rPr>
                    <w:t>要求</w:t>
                  </w:r>
                </w:p>
              </w:tc>
              <w:tc>
                <w:tcPr>
                  <w:tcW w:w="0" w:type="auto"/>
                  <w:vAlign w:val="center"/>
                </w:tcPr>
                <w:p>
                  <w:pPr>
                    <w:adjustRightInd w:val="0"/>
                    <w:snapToGrid w:val="0"/>
                    <w:jc w:val="center"/>
                    <w:rPr>
                      <w:kern w:val="0"/>
                      <w:szCs w:val="21"/>
                    </w:rPr>
                  </w:pPr>
                  <w:r>
                    <w:rPr>
                      <w:rFonts w:hint="eastAsia"/>
                      <w:kern w:val="0"/>
                      <w:szCs w:val="21"/>
                    </w:rPr>
                    <w:t>本项目情况</w:t>
                  </w:r>
                </w:p>
              </w:tc>
              <w:tc>
                <w:tcPr>
                  <w:tcW w:w="0" w:type="auto"/>
                  <w:vAlign w:val="center"/>
                </w:tcPr>
                <w:p>
                  <w:pPr>
                    <w:adjustRightInd w:val="0"/>
                    <w:snapToGrid w:val="0"/>
                    <w:jc w:val="center"/>
                    <w:rPr>
                      <w:kern w:val="0"/>
                      <w:szCs w:val="21"/>
                    </w:rPr>
                  </w:pPr>
                  <w:r>
                    <w:rPr>
                      <w:rFonts w:hint="eastAsia"/>
                      <w:kern w:val="0"/>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adjustRightInd w:val="0"/>
                    <w:snapToGrid w:val="0"/>
                    <w:jc w:val="center"/>
                    <w:rPr>
                      <w:kern w:val="0"/>
                      <w:szCs w:val="21"/>
                    </w:rPr>
                  </w:pPr>
                  <w:r>
                    <w:rPr>
                      <w:rFonts w:hint="eastAsia"/>
                      <w:kern w:val="0"/>
                      <w:szCs w:val="21"/>
                    </w:rPr>
                    <w:t>加强环境准入，推动产业转型升级和绿色发展</w:t>
                  </w:r>
                </w:p>
              </w:tc>
              <w:tc>
                <w:tcPr>
                  <w:tcW w:w="0" w:type="auto"/>
                  <w:vAlign w:val="center"/>
                </w:tcPr>
                <w:p>
                  <w:pPr>
                    <w:adjustRightInd w:val="0"/>
                    <w:snapToGrid w:val="0"/>
                    <w:jc w:val="center"/>
                    <w:rPr>
                      <w:kern w:val="0"/>
                      <w:szCs w:val="21"/>
                    </w:rPr>
                  </w:pPr>
                  <w:r>
                    <w:rPr>
                      <w:rFonts w:hint="eastAsia"/>
                      <w:kern w:val="0"/>
                      <w:szCs w:val="21"/>
                    </w:rPr>
                    <w:t>入区项目应严格执行环境准入负面清单，且需满足《产业结构调整指导目录（2</w:t>
                  </w:r>
                  <w:r>
                    <w:rPr>
                      <w:kern w:val="0"/>
                      <w:szCs w:val="21"/>
                    </w:rPr>
                    <w:t>011</w:t>
                  </w:r>
                  <w:r>
                    <w:rPr>
                      <w:rFonts w:hint="eastAsia"/>
                      <w:kern w:val="0"/>
                      <w:szCs w:val="21"/>
                    </w:rPr>
                    <w:t>年本）（修正）》、《河北省新增限制类和淘汰类产业目录（2</w:t>
                  </w:r>
                  <w:r>
                    <w:rPr>
                      <w:kern w:val="0"/>
                      <w:szCs w:val="21"/>
                    </w:rPr>
                    <w:t>015</w:t>
                  </w:r>
                  <w:r>
                    <w:rPr>
                      <w:rFonts w:hint="eastAsia"/>
                      <w:kern w:val="0"/>
                      <w:szCs w:val="21"/>
                    </w:rPr>
                    <w:t>年版）》、《秦皇岛市限值和禁止投资的产业目录》（2</w:t>
                  </w:r>
                  <w:r>
                    <w:rPr>
                      <w:kern w:val="0"/>
                      <w:szCs w:val="21"/>
                    </w:rPr>
                    <w:t>016</w:t>
                  </w:r>
                  <w:r>
                    <w:rPr>
                      <w:rFonts w:hint="eastAsia"/>
                      <w:kern w:val="0"/>
                      <w:szCs w:val="21"/>
                    </w:rPr>
                    <w:t>年版）等文件的规定要求。开发区禁止新建和扩建金属表面处理及热处理加工处理项目、毛皮及皮革鞣制加工项目</w:t>
                  </w:r>
                </w:p>
              </w:tc>
              <w:tc>
                <w:tcPr>
                  <w:tcW w:w="0" w:type="auto"/>
                  <w:vAlign w:val="center"/>
                </w:tcPr>
                <w:p>
                  <w:pPr>
                    <w:adjustRightInd w:val="0"/>
                    <w:snapToGrid w:val="0"/>
                    <w:jc w:val="center"/>
                    <w:rPr>
                      <w:kern w:val="0"/>
                      <w:szCs w:val="21"/>
                    </w:rPr>
                  </w:pPr>
                  <w:r>
                    <w:rPr>
                      <w:rFonts w:hint="eastAsia"/>
                      <w:kern w:val="0"/>
                      <w:szCs w:val="21"/>
                    </w:rPr>
                    <w:t>本项目不在园区环境准入负面清单范围（见表1</w:t>
                  </w:r>
                  <w:r>
                    <w:rPr>
                      <w:kern w:val="0"/>
                      <w:szCs w:val="21"/>
                    </w:rPr>
                    <w:t>-2</w:t>
                  </w:r>
                  <w:r>
                    <w:rPr>
                      <w:rFonts w:hint="eastAsia"/>
                      <w:kern w:val="0"/>
                      <w:szCs w:val="21"/>
                    </w:rPr>
                    <w:t>），同时满足上述产业政策要求，不属于金属表面处理及热处理加工处理项目、毛皮及皮革鞣制加工项目</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tabs>
                      <w:tab w:val="left" w:pos="3255"/>
                    </w:tabs>
                    <w:jc w:val="center"/>
                    <w:rPr>
                      <w:szCs w:val="21"/>
                    </w:rPr>
                  </w:pPr>
                  <w:r>
                    <w:rPr>
                      <w:rFonts w:hint="eastAsia"/>
                      <w:szCs w:val="21"/>
                    </w:rPr>
                    <w:t>加强空间管控，优化生产空间和生活空间</w:t>
                  </w:r>
                </w:p>
              </w:tc>
              <w:tc>
                <w:tcPr>
                  <w:tcW w:w="0" w:type="auto"/>
                  <w:vAlign w:val="center"/>
                </w:tcPr>
                <w:p>
                  <w:pPr>
                    <w:adjustRightInd w:val="0"/>
                    <w:snapToGrid w:val="0"/>
                    <w:jc w:val="center"/>
                    <w:rPr>
                      <w:kern w:val="0"/>
                      <w:szCs w:val="21"/>
                    </w:rPr>
                  </w:pPr>
                  <w:r>
                    <w:rPr>
                      <w:rFonts w:hint="eastAsia"/>
                      <w:kern w:val="0"/>
                      <w:szCs w:val="21"/>
                    </w:rPr>
                    <w:t>高新技术片区和军民融合产业区多为一类工业用地，严格空间管控，不得发展对环境影响较大的建设项目。未完成搬迁的区域不得引入污染型工业项目，以确保规划实施不对居民区生活产生影响。开发区内基本农田划定为禁止工业建设区；一般农田为限制建设区，纳入下一轮土地利用规划修编工作中，土地调规后方可进行工业开发</w:t>
                  </w:r>
                </w:p>
              </w:tc>
              <w:tc>
                <w:tcPr>
                  <w:tcW w:w="0" w:type="auto"/>
                  <w:vAlign w:val="center"/>
                </w:tcPr>
                <w:p>
                  <w:pPr>
                    <w:adjustRightInd w:val="0"/>
                    <w:snapToGrid w:val="0"/>
                    <w:jc w:val="center"/>
                    <w:rPr>
                      <w:kern w:val="0"/>
                      <w:szCs w:val="21"/>
                    </w:rPr>
                  </w:pPr>
                  <w:r>
                    <w:rPr>
                      <w:rFonts w:hint="eastAsia"/>
                      <w:kern w:val="0"/>
                      <w:szCs w:val="21"/>
                    </w:rPr>
                    <w:t>本项目选址位于“先进制造园”，不在高新技术片区和军民融合产业区。选址处现状为工业用地，不占用基本农田、一般农田。同时本项目已取得河北抚宁经济技术开发区管理委员会出具的《关于秦皇岛兴渤塑料制品有限责任公司符合产业定位的情况说明》，同意本项目入住。</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tabs>
                      <w:tab w:val="left" w:pos="3255"/>
                    </w:tabs>
                    <w:jc w:val="center"/>
                    <w:rPr>
                      <w:szCs w:val="21"/>
                    </w:rPr>
                  </w:pPr>
                  <w:r>
                    <w:rPr>
                      <w:rFonts w:hint="eastAsia"/>
                      <w:szCs w:val="21"/>
                    </w:rPr>
                    <w:t>加强总量管控，推进环境质量改善</w:t>
                  </w:r>
                </w:p>
              </w:tc>
              <w:tc>
                <w:tcPr>
                  <w:tcW w:w="0" w:type="auto"/>
                  <w:vAlign w:val="center"/>
                </w:tcPr>
                <w:p>
                  <w:pPr>
                    <w:adjustRightInd w:val="0"/>
                    <w:snapToGrid w:val="0"/>
                    <w:jc w:val="center"/>
                    <w:rPr>
                      <w:kern w:val="0"/>
                      <w:szCs w:val="21"/>
                    </w:rPr>
                  </w:pPr>
                  <w:r>
                    <w:rPr>
                      <w:rFonts w:hint="eastAsia"/>
                      <w:kern w:val="0"/>
                      <w:szCs w:val="21"/>
                    </w:rPr>
                    <w:t>严格落实区域污染物削减方案和环境质量改善方案。按照最不利条件并预留一定安全余量的原则，提出的污染物排放总量控制上线作为开发区污染物排放总量管控限值</w:t>
                  </w:r>
                </w:p>
              </w:tc>
              <w:tc>
                <w:tcPr>
                  <w:tcW w:w="0" w:type="auto"/>
                  <w:vAlign w:val="center"/>
                </w:tcPr>
                <w:p>
                  <w:pPr>
                    <w:adjustRightInd w:val="0"/>
                    <w:snapToGrid w:val="0"/>
                    <w:jc w:val="center"/>
                    <w:rPr>
                      <w:kern w:val="0"/>
                      <w:szCs w:val="21"/>
                    </w:rPr>
                  </w:pPr>
                  <w:r>
                    <w:rPr>
                      <w:rFonts w:hint="eastAsia"/>
                      <w:kern w:val="0"/>
                      <w:szCs w:val="21"/>
                    </w:rPr>
                    <w:t>本项目主要总量管控污染物为非甲烷总烃（V</w:t>
                  </w:r>
                  <w:r>
                    <w:rPr>
                      <w:kern w:val="0"/>
                      <w:szCs w:val="21"/>
                    </w:rPr>
                    <w:t>OCs</w:t>
                  </w:r>
                  <w:r>
                    <w:rPr>
                      <w:rFonts w:hint="eastAsia"/>
                      <w:kern w:val="0"/>
                      <w:szCs w:val="21"/>
                    </w:rPr>
                    <w:t>），其有组织排放量很小，为0</w:t>
                  </w:r>
                  <w:r>
                    <w:rPr>
                      <w:kern w:val="0"/>
                      <w:szCs w:val="21"/>
                    </w:rPr>
                    <w:t>.096 t/a</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tabs>
                      <w:tab w:val="left" w:pos="3255"/>
                    </w:tabs>
                    <w:jc w:val="center"/>
                    <w:rPr>
                      <w:szCs w:val="21"/>
                    </w:rPr>
                  </w:pPr>
                  <w:r>
                    <w:rPr>
                      <w:rFonts w:hint="eastAsia"/>
                      <w:szCs w:val="21"/>
                    </w:rPr>
                    <w:t>注重开发区发展与水资源承载力相协调</w:t>
                  </w:r>
                </w:p>
              </w:tc>
              <w:tc>
                <w:tcPr>
                  <w:tcW w:w="0" w:type="auto"/>
                  <w:vAlign w:val="center"/>
                </w:tcPr>
                <w:p>
                  <w:pPr>
                    <w:adjustRightInd w:val="0"/>
                    <w:snapToGrid w:val="0"/>
                    <w:jc w:val="center"/>
                    <w:rPr>
                      <w:kern w:val="0"/>
                      <w:szCs w:val="21"/>
                    </w:rPr>
                  </w:pPr>
                  <w:r>
                    <w:rPr>
                      <w:rFonts w:hint="eastAsia"/>
                      <w:kern w:val="0"/>
                      <w:szCs w:val="21"/>
                    </w:rPr>
                    <w:t>提高水资源利用率和再生水回用率，限值高耗水行业入区</w:t>
                  </w:r>
                </w:p>
              </w:tc>
              <w:tc>
                <w:tcPr>
                  <w:tcW w:w="0" w:type="auto"/>
                  <w:vAlign w:val="center"/>
                </w:tcPr>
                <w:p>
                  <w:pPr>
                    <w:adjustRightInd w:val="0"/>
                    <w:snapToGrid w:val="0"/>
                    <w:jc w:val="center"/>
                    <w:rPr>
                      <w:kern w:val="0"/>
                      <w:szCs w:val="21"/>
                    </w:rPr>
                  </w:pPr>
                  <w:r>
                    <w:rPr>
                      <w:rFonts w:hint="eastAsia"/>
                      <w:kern w:val="0"/>
                      <w:szCs w:val="21"/>
                    </w:rPr>
                    <w:t>本项目工业用水量仅为1</w:t>
                  </w:r>
                  <w:r>
                    <w:rPr>
                      <w:kern w:val="0"/>
                      <w:szCs w:val="21"/>
                    </w:rPr>
                    <w:t>20 m3/a</w:t>
                  </w:r>
                  <w:r>
                    <w:rPr>
                      <w:rFonts w:hint="eastAsia"/>
                      <w:kern w:val="0"/>
                      <w:szCs w:val="21"/>
                    </w:rPr>
                    <w:t>，为循环冷却水，全部重复利用</w:t>
                  </w:r>
                </w:p>
              </w:tc>
              <w:tc>
                <w:tcPr>
                  <w:tcW w:w="0" w:type="auto"/>
                  <w:vAlign w:val="center"/>
                </w:tcPr>
                <w:p>
                  <w:pPr>
                    <w:adjustRightInd w:val="0"/>
                    <w:snapToGrid w:val="0"/>
                    <w:jc w:val="center"/>
                    <w:rPr>
                      <w:kern w:val="0"/>
                      <w:szCs w:val="21"/>
                    </w:rPr>
                  </w:pPr>
                  <w:r>
                    <w:rPr>
                      <w:rFonts w:hint="eastAsia"/>
                      <w:kern w:val="0"/>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gridSpan w:val="2"/>
                  <w:vAlign w:val="center"/>
                </w:tcPr>
                <w:p>
                  <w:pPr>
                    <w:adjustRightInd w:val="0"/>
                    <w:snapToGrid w:val="0"/>
                    <w:jc w:val="center"/>
                    <w:rPr>
                      <w:kern w:val="0"/>
                      <w:szCs w:val="21"/>
                    </w:rPr>
                  </w:pPr>
                  <w:r>
                    <w:rPr>
                      <w:rFonts w:hint="eastAsia"/>
                      <w:kern w:val="0"/>
                      <w:szCs w:val="21"/>
                    </w:rPr>
                    <w:t>加强区域污染防治，按照环境应急预案，严格落实各项环境风险防范措施和设施建设，加强环境风险事故情况下的环境污染防治措施和应急处置，防止对周边环境敏感点造成影响</w:t>
                  </w:r>
                </w:p>
              </w:tc>
              <w:tc>
                <w:tcPr>
                  <w:tcW w:w="0" w:type="auto"/>
                  <w:vAlign w:val="center"/>
                </w:tcPr>
                <w:p>
                  <w:pPr>
                    <w:adjustRightInd w:val="0"/>
                    <w:snapToGrid w:val="0"/>
                    <w:jc w:val="center"/>
                    <w:rPr>
                      <w:kern w:val="0"/>
                      <w:szCs w:val="21"/>
                    </w:rPr>
                  </w:pPr>
                  <w:r>
                    <w:rPr>
                      <w:rFonts w:hint="eastAsia"/>
                      <w:kern w:val="0"/>
                      <w:szCs w:val="21"/>
                    </w:rPr>
                    <w:t>本项目润滑油、液压油的贮存、危险废物的收集、贮存和运输过程可能存在环境风险，评价要求严格按照评价要求建设危险废物贮存设施，润滑油、液压油在车间内的贮存，落实环境风险防范措施，编制突发环境应急预案，并落实贮存和管理的制度</w:t>
                  </w:r>
                </w:p>
              </w:tc>
              <w:tc>
                <w:tcPr>
                  <w:tcW w:w="0" w:type="auto"/>
                  <w:vAlign w:val="center"/>
                </w:tcPr>
                <w:p>
                  <w:pPr>
                    <w:adjustRightInd w:val="0"/>
                    <w:snapToGrid w:val="0"/>
                    <w:jc w:val="center"/>
                    <w:rPr>
                      <w:kern w:val="0"/>
                      <w:szCs w:val="21"/>
                    </w:rPr>
                  </w:pPr>
                  <w:r>
                    <w:rPr>
                      <w:rFonts w:hint="eastAsia"/>
                      <w:kern w:val="0"/>
                      <w:szCs w:val="21"/>
                    </w:rPr>
                    <w:t>符合</w:t>
                  </w:r>
                </w:p>
              </w:tc>
            </w:tr>
          </w:tbl>
          <w:p>
            <w:pPr>
              <w:adjustRightInd w:val="0"/>
              <w:snapToGrid w:val="0"/>
              <w:spacing w:line="400" w:lineRule="exact"/>
              <w:ind w:firstLine="420" w:firstLineChars="200"/>
              <w:rPr>
                <w:bCs/>
                <w:szCs w:val="21"/>
              </w:rPr>
            </w:pPr>
            <w:r>
              <w:rPr>
                <w:rFonts w:hint="eastAsia"/>
                <w:bCs/>
                <w:szCs w:val="21"/>
              </w:rPr>
              <w:t>综上，本项目可以满足《关于转送河北抚宁经济开发区总体规划（2016-2030年）环境影响报告书审查意见的函》（冀环评函【2</w:t>
            </w:r>
            <w:r>
              <w:rPr>
                <w:bCs/>
                <w:szCs w:val="21"/>
              </w:rPr>
              <w:t>018</w:t>
            </w:r>
            <w:r>
              <w:rPr>
                <w:rFonts w:hint="eastAsia"/>
                <w:bCs/>
                <w:szCs w:val="21"/>
              </w:rPr>
              <w:t>】1</w:t>
            </w:r>
            <w:r>
              <w:rPr>
                <w:bCs/>
                <w:szCs w:val="21"/>
              </w:rPr>
              <w:t>188</w:t>
            </w:r>
            <w:r>
              <w:rPr>
                <w:rFonts w:hint="eastAsia"/>
                <w:bCs/>
                <w:szCs w:val="21"/>
              </w:rPr>
              <w:t>号）中提出的相关要求。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975"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其他符合性分析</w:t>
            </w:r>
          </w:p>
        </w:tc>
        <w:tc>
          <w:tcPr>
            <w:tcW w:w="6849" w:type="dxa"/>
            <w:gridSpan w:val="3"/>
            <w:vAlign w:val="center"/>
          </w:tcPr>
          <w:p>
            <w:pPr>
              <w:adjustRightInd w:val="0"/>
              <w:snapToGrid w:val="0"/>
              <w:spacing w:line="400" w:lineRule="exact"/>
              <w:rPr>
                <w:b/>
                <w:szCs w:val="21"/>
              </w:rPr>
            </w:pPr>
            <w:r>
              <w:rPr>
                <w:rFonts w:hint="eastAsia"/>
                <w:b/>
                <w:szCs w:val="21"/>
              </w:rPr>
              <w:t>1、</w:t>
            </w:r>
            <w:r>
              <w:rPr>
                <w:b/>
                <w:szCs w:val="21"/>
              </w:rPr>
              <w:t>三线一单符合性分析</w:t>
            </w:r>
            <w:r>
              <w:rPr>
                <w:rFonts w:hint="eastAsia"/>
                <w:b/>
                <w:szCs w:val="21"/>
              </w:rPr>
              <w:t>：</w:t>
            </w:r>
            <w:r>
              <w:rPr>
                <w:b/>
                <w:szCs w:val="21"/>
              </w:rPr>
              <w:t xml:space="preserve"> </w:t>
            </w:r>
          </w:p>
          <w:p>
            <w:pPr>
              <w:adjustRightInd w:val="0"/>
              <w:snapToGrid w:val="0"/>
              <w:spacing w:line="400" w:lineRule="exact"/>
              <w:ind w:firstLine="420" w:firstLineChars="200"/>
              <w:rPr>
                <w:bCs/>
                <w:szCs w:val="21"/>
              </w:rPr>
            </w:pPr>
            <w:r>
              <w:rPr>
                <w:rFonts w:hint="eastAsia"/>
                <w:bCs/>
                <w:szCs w:val="21"/>
              </w:rPr>
              <w:t>根据环境保护部环环评[2016]150号《关于以改善环境质量为核心加强环境影响评价管理的通知》要求，分析如下：</w:t>
            </w:r>
          </w:p>
          <w:p>
            <w:pPr>
              <w:adjustRightInd w:val="0"/>
              <w:snapToGrid w:val="0"/>
              <w:spacing w:line="400" w:lineRule="exact"/>
              <w:ind w:firstLine="420" w:firstLineChars="200"/>
              <w:rPr>
                <w:bCs/>
                <w:szCs w:val="21"/>
              </w:rPr>
            </w:pPr>
            <w:r>
              <w:rPr>
                <w:rFonts w:hint="eastAsia"/>
                <w:bCs/>
                <w:szCs w:val="21"/>
              </w:rPr>
              <w:t>（1）</w:t>
            </w:r>
            <w:r>
              <w:rPr>
                <w:bCs/>
                <w:szCs w:val="21"/>
              </w:rPr>
              <w:t>生态保护红线</w:t>
            </w:r>
          </w:p>
          <w:p>
            <w:pPr>
              <w:adjustRightInd w:val="0"/>
              <w:snapToGrid w:val="0"/>
              <w:spacing w:line="400" w:lineRule="exact"/>
              <w:ind w:firstLine="420" w:firstLineChars="200"/>
              <w:rPr>
                <w:bCs/>
                <w:szCs w:val="21"/>
              </w:rPr>
            </w:pPr>
            <w:r>
              <w:rPr>
                <w:bCs/>
                <w:szCs w:val="21"/>
              </w:rPr>
              <w:t>根据《</w:t>
            </w:r>
            <w:r>
              <w:rPr>
                <w:rFonts w:hint="eastAsia"/>
                <w:bCs/>
                <w:szCs w:val="21"/>
              </w:rPr>
              <w:t>河北省生态保护红线</w:t>
            </w:r>
            <w:r>
              <w:rPr>
                <w:bCs/>
                <w:szCs w:val="21"/>
              </w:rPr>
              <w:t>》，</w:t>
            </w:r>
            <w:r>
              <w:rPr>
                <w:rFonts w:hint="eastAsia"/>
                <w:bCs/>
                <w:szCs w:val="21"/>
              </w:rPr>
              <w:t>本项目所在区域不属于具有重要水源涵养、生物多样性维护、水土保持、防风固沙、海岸生态稳定等生态功能重要区域，以及水土流失、土地沙化、石漠化、盐渍化等生态环境敏感脆弱区域；选址不属于生态功能重要区域和敏感脆弱区域。</w:t>
            </w:r>
            <w:r>
              <w:rPr>
                <w:bCs/>
                <w:szCs w:val="21"/>
              </w:rPr>
              <w:t>本项目选址不在生态保护红线范围内。</w:t>
            </w:r>
          </w:p>
          <w:p>
            <w:pPr>
              <w:adjustRightInd w:val="0"/>
              <w:snapToGrid w:val="0"/>
              <w:spacing w:line="400" w:lineRule="exact"/>
              <w:ind w:firstLine="420" w:firstLineChars="200"/>
              <w:rPr>
                <w:bCs/>
                <w:szCs w:val="21"/>
              </w:rPr>
            </w:pPr>
            <w:r>
              <w:rPr>
                <w:rFonts w:hint="eastAsia"/>
                <w:bCs/>
                <w:szCs w:val="21"/>
              </w:rPr>
              <w:t>（2）</w:t>
            </w:r>
            <w:r>
              <w:rPr>
                <w:bCs/>
                <w:szCs w:val="21"/>
              </w:rPr>
              <w:t>环境质量底线</w:t>
            </w:r>
          </w:p>
          <w:p>
            <w:pPr>
              <w:adjustRightInd w:val="0"/>
              <w:snapToGrid w:val="0"/>
              <w:spacing w:line="400" w:lineRule="exact"/>
              <w:ind w:firstLine="420" w:firstLineChars="200"/>
              <w:rPr>
                <w:bCs/>
                <w:szCs w:val="21"/>
              </w:rPr>
            </w:pPr>
            <w:r>
              <w:rPr>
                <w:bCs/>
                <w:szCs w:val="21"/>
              </w:rPr>
              <w:t>根据《</w:t>
            </w:r>
            <w:r>
              <w:rPr>
                <w:rFonts w:hint="eastAsia"/>
                <w:bCs/>
                <w:szCs w:val="21"/>
              </w:rPr>
              <w:t>秦皇岛市大气污染防治行动领导小组办公室关于202</w:t>
            </w:r>
            <w:r>
              <w:rPr>
                <w:bCs/>
                <w:szCs w:val="21"/>
              </w:rPr>
              <w:t>2</w:t>
            </w:r>
            <w:r>
              <w:rPr>
                <w:rFonts w:hint="eastAsia"/>
                <w:bCs/>
                <w:szCs w:val="21"/>
              </w:rPr>
              <w:t>年12月份环境空气质量情况的通报</w:t>
            </w:r>
            <w:r>
              <w:rPr>
                <w:bCs/>
                <w:szCs w:val="21"/>
              </w:rPr>
              <w:t>》</w:t>
            </w:r>
            <w:r>
              <w:rPr>
                <w:rFonts w:hint="eastAsia"/>
                <w:bCs/>
                <w:szCs w:val="21"/>
              </w:rPr>
              <w:t>（秦气防领办〔202</w:t>
            </w:r>
            <w:r>
              <w:rPr>
                <w:bCs/>
                <w:szCs w:val="21"/>
              </w:rPr>
              <w:t>3</w:t>
            </w:r>
            <w:r>
              <w:rPr>
                <w:rFonts w:hint="eastAsia"/>
                <w:bCs/>
                <w:szCs w:val="21"/>
              </w:rPr>
              <w:t>〕</w:t>
            </w:r>
            <w:r>
              <w:rPr>
                <w:bCs/>
                <w:szCs w:val="21"/>
              </w:rPr>
              <w:t>4</w:t>
            </w:r>
            <w:r>
              <w:rPr>
                <w:rFonts w:hint="eastAsia"/>
                <w:bCs/>
                <w:szCs w:val="21"/>
              </w:rPr>
              <w:t>号），抚宁区S</w:t>
            </w:r>
            <w:r>
              <w:rPr>
                <w:bCs/>
                <w:szCs w:val="21"/>
              </w:rPr>
              <w:t>O</w:t>
            </w:r>
            <w:r>
              <w:rPr>
                <w:bCs/>
                <w:szCs w:val="21"/>
                <w:vertAlign w:val="subscript"/>
              </w:rPr>
              <w:t>2</w:t>
            </w:r>
            <w:r>
              <w:rPr>
                <w:rFonts w:hint="eastAsia"/>
                <w:bCs/>
                <w:szCs w:val="21"/>
              </w:rPr>
              <w:t>、N</w:t>
            </w:r>
            <w:r>
              <w:rPr>
                <w:bCs/>
                <w:szCs w:val="21"/>
              </w:rPr>
              <w:t>O</w:t>
            </w:r>
            <w:r>
              <w:rPr>
                <w:bCs/>
                <w:szCs w:val="21"/>
                <w:vertAlign w:val="subscript"/>
              </w:rPr>
              <w:t>2</w:t>
            </w:r>
            <w:r>
              <w:rPr>
                <w:rFonts w:hint="eastAsia"/>
                <w:bCs/>
                <w:szCs w:val="21"/>
              </w:rPr>
              <w:t>、P</w:t>
            </w:r>
            <w:r>
              <w:rPr>
                <w:bCs/>
                <w:szCs w:val="21"/>
              </w:rPr>
              <w:t>M</w:t>
            </w:r>
            <w:r>
              <w:rPr>
                <w:bCs/>
                <w:szCs w:val="21"/>
                <w:vertAlign w:val="subscript"/>
              </w:rPr>
              <w:t>10</w:t>
            </w:r>
            <w:r>
              <w:rPr>
                <w:rFonts w:hint="eastAsia"/>
                <w:bCs/>
                <w:szCs w:val="21"/>
              </w:rPr>
              <w:t>、P</w:t>
            </w:r>
            <w:r>
              <w:rPr>
                <w:bCs/>
                <w:szCs w:val="21"/>
              </w:rPr>
              <w:t>M</w:t>
            </w:r>
            <w:r>
              <w:rPr>
                <w:bCs/>
                <w:szCs w:val="21"/>
                <w:vertAlign w:val="subscript"/>
              </w:rPr>
              <w:t>2.5</w:t>
            </w:r>
            <w:r>
              <w:rPr>
                <w:rFonts w:hint="eastAsia"/>
                <w:bCs/>
                <w:szCs w:val="21"/>
              </w:rPr>
              <w:t>、C</w:t>
            </w:r>
            <w:r>
              <w:rPr>
                <w:bCs/>
                <w:szCs w:val="21"/>
              </w:rPr>
              <w:t>O满足《环境空气质量标准》(GB3095-2012)二级标准要求及其修改单要求</w:t>
            </w:r>
            <w:r>
              <w:rPr>
                <w:rFonts w:hint="eastAsia"/>
                <w:bCs/>
                <w:szCs w:val="21"/>
              </w:rPr>
              <w:t>，臭氧超标，超标倍数为0</w:t>
            </w:r>
            <w:r>
              <w:rPr>
                <w:bCs/>
                <w:szCs w:val="21"/>
              </w:rPr>
              <w:t>.08</w:t>
            </w:r>
            <w:r>
              <w:rPr>
                <w:rFonts w:hint="eastAsia"/>
                <w:bCs/>
                <w:szCs w:val="21"/>
              </w:rPr>
              <w:t>。</w:t>
            </w:r>
          </w:p>
          <w:p>
            <w:pPr>
              <w:adjustRightInd w:val="0"/>
              <w:snapToGrid w:val="0"/>
              <w:spacing w:line="400" w:lineRule="exact"/>
              <w:ind w:firstLine="420" w:firstLineChars="200"/>
              <w:rPr>
                <w:bCs/>
                <w:szCs w:val="21"/>
              </w:rPr>
            </w:pPr>
            <w:r>
              <w:rPr>
                <w:bCs/>
                <w:szCs w:val="21"/>
              </w:rPr>
              <w:t>本项目主要污染物为</w:t>
            </w:r>
            <w:r>
              <w:rPr>
                <w:rFonts w:hint="eastAsia"/>
                <w:bCs/>
                <w:szCs w:val="21"/>
              </w:rPr>
              <w:t>废气、噪声和固废</w:t>
            </w:r>
            <w:r>
              <w:rPr>
                <w:bCs/>
                <w:szCs w:val="21"/>
              </w:rPr>
              <w:t>，并采取了有效的治理措施，</w:t>
            </w:r>
            <w:r>
              <w:rPr>
                <w:rFonts w:hint="eastAsia"/>
                <w:bCs/>
                <w:szCs w:val="21"/>
              </w:rPr>
              <w:t>废气、噪声处理后达标排放，固废合理处置。可以</w:t>
            </w:r>
            <w:r>
              <w:rPr>
                <w:bCs/>
                <w:szCs w:val="21"/>
              </w:rPr>
              <w:t>满足环境质量底线要求</w:t>
            </w:r>
            <w:r>
              <w:rPr>
                <w:rFonts w:hint="eastAsia"/>
                <w:bCs/>
                <w:szCs w:val="21"/>
              </w:rPr>
              <w:t>。</w:t>
            </w:r>
          </w:p>
          <w:p>
            <w:pPr>
              <w:adjustRightInd w:val="0"/>
              <w:snapToGrid w:val="0"/>
              <w:spacing w:line="400" w:lineRule="exact"/>
              <w:ind w:firstLine="420" w:firstLineChars="200"/>
              <w:rPr>
                <w:bCs/>
                <w:szCs w:val="21"/>
              </w:rPr>
            </w:pPr>
            <w:r>
              <w:rPr>
                <w:rFonts w:hint="eastAsia"/>
                <w:bCs/>
                <w:szCs w:val="21"/>
              </w:rPr>
              <w:t>（3）</w:t>
            </w:r>
            <w:r>
              <w:rPr>
                <w:bCs/>
                <w:szCs w:val="21"/>
              </w:rPr>
              <w:t>资源利用上线</w:t>
            </w:r>
          </w:p>
          <w:p>
            <w:pPr>
              <w:adjustRightInd w:val="0"/>
              <w:snapToGrid w:val="0"/>
              <w:spacing w:line="400" w:lineRule="exact"/>
              <w:ind w:firstLine="420" w:firstLineChars="200"/>
              <w:rPr>
                <w:bCs/>
                <w:szCs w:val="21"/>
              </w:rPr>
            </w:pPr>
            <w:r>
              <w:rPr>
                <w:bCs/>
                <w:szCs w:val="21"/>
              </w:rPr>
              <w:t>本项目</w:t>
            </w:r>
            <w:r>
              <w:rPr>
                <w:rFonts w:hint="eastAsia"/>
                <w:bCs/>
                <w:szCs w:val="21"/>
              </w:rPr>
              <w:t>资源能源主要为电能和水，其中年消耗电能</w:t>
            </w:r>
            <w:r>
              <w:rPr>
                <w:bCs/>
                <w:szCs w:val="21"/>
              </w:rPr>
              <w:t>2 MWh/a</w:t>
            </w:r>
            <w:r>
              <w:rPr>
                <w:rFonts w:hint="eastAsia"/>
                <w:bCs/>
                <w:szCs w:val="21"/>
              </w:rPr>
              <w:t>，用水量</w:t>
            </w:r>
            <w:r>
              <w:rPr>
                <w:bCs/>
                <w:szCs w:val="21"/>
              </w:rPr>
              <w:t>300 m</w:t>
            </w:r>
            <w:r>
              <w:rPr>
                <w:bCs/>
                <w:szCs w:val="21"/>
                <w:vertAlign w:val="superscript"/>
              </w:rPr>
              <w:t>3</w:t>
            </w:r>
            <w:r>
              <w:rPr>
                <w:bCs/>
                <w:szCs w:val="21"/>
              </w:rPr>
              <w:t>/a</w:t>
            </w:r>
            <w:r>
              <w:rPr>
                <w:rFonts w:hint="eastAsia"/>
                <w:bCs/>
                <w:szCs w:val="21"/>
              </w:rPr>
              <w:t>，消耗量不大。消耗原料主要为聚乙烯和聚丙烯等，为大宗商品，市场供应充足。租用工业用地建设，有土地证，可以</w:t>
            </w:r>
            <w:r>
              <w:rPr>
                <w:bCs/>
                <w:szCs w:val="21"/>
              </w:rPr>
              <w:t xml:space="preserve">满足资源利用上限要求。 </w:t>
            </w:r>
          </w:p>
          <w:p>
            <w:pPr>
              <w:adjustRightInd w:val="0"/>
              <w:snapToGrid w:val="0"/>
              <w:spacing w:line="400" w:lineRule="exact"/>
              <w:ind w:firstLine="420" w:firstLineChars="200"/>
              <w:rPr>
                <w:bCs/>
                <w:szCs w:val="21"/>
              </w:rPr>
            </w:pPr>
            <w:r>
              <w:rPr>
                <w:rFonts w:hint="eastAsia"/>
                <w:bCs/>
                <w:szCs w:val="21"/>
              </w:rPr>
              <w:t>（4）</w:t>
            </w:r>
            <w:r>
              <w:rPr>
                <w:bCs/>
                <w:szCs w:val="21"/>
              </w:rPr>
              <w:t>环境准入负面清单</w:t>
            </w:r>
          </w:p>
          <w:p>
            <w:pPr>
              <w:suppressAutoHyphens/>
              <w:adjustRightInd w:val="0"/>
              <w:snapToGrid w:val="0"/>
              <w:spacing w:line="400" w:lineRule="exact"/>
              <w:ind w:firstLine="420" w:firstLineChars="200"/>
              <w:rPr>
                <w:kern w:val="0"/>
                <w:szCs w:val="21"/>
              </w:rPr>
            </w:pPr>
            <w:r>
              <w:rPr>
                <w:rFonts w:hint="eastAsia"/>
                <w:kern w:val="0"/>
                <w:szCs w:val="21"/>
              </w:rPr>
              <w:t>①根据《秦皇岛市”三线一单”生态环境分区管控实施意见》（秦政字【2021】6号），本项目所在区域为重点管控单元，其管控要求主要为：优化工业布局，有序实施高污染、高排放工业企业整改或搬迁退出；强化船舶和区域移动源管控；完善污水治理设施；加快城镇河流水系环境整治；加强工业污染场地环境风险防控和开发再利用监管。本项目与其管控要求不冲突。</w:t>
            </w:r>
          </w:p>
          <w:p>
            <w:pPr>
              <w:suppressAutoHyphens/>
              <w:adjustRightInd w:val="0"/>
              <w:snapToGrid w:val="0"/>
              <w:spacing w:line="400" w:lineRule="exact"/>
              <w:ind w:firstLine="420" w:firstLineChars="200"/>
              <w:rPr>
                <w:kern w:val="0"/>
                <w:szCs w:val="21"/>
              </w:rPr>
            </w:pPr>
            <w:r>
              <w:rPr>
                <w:rFonts w:hint="eastAsia"/>
                <w:kern w:val="0"/>
                <w:szCs w:val="21"/>
              </w:rPr>
              <w:t>同时根据《秦皇岛市生态环境准入清单（更新）》，项目与其产业布局总体管控要求符合性，项目与其产业布局总体管控要求符合性，如下：</w:t>
            </w:r>
          </w:p>
          <w:p>
            <w:pPr>
              <w:spacing w:line="400" w:lineRule="exact"/>
              <w:jc w:val="center"/>
              <w:rPr>
                <w:b/>
                <w:szCs w:val="21"/>
              </w:rPr>
            </w:pPr>
          </w:p>
          <w:p>
            <w:pPr>
              <w:spacing w:line="400" w:lineRule="exact"/>
              <w:jc w:val="center"/>
              <w:rPr>
                <w:b/>
                <w:szCs w:val="21"/>
              </w:rPr>
            </w:pPr>
            <w:r>
              <w:rPr>
                <w:rFonts w:hint="eastAsia"/>
                <w:b/>
                <w:szCs w:val="21"/>
              </w:rPr>
              <w:t>表1</w:t>
            </w:r>
            <w:r>
              <w:rPr>
                <w:b/>
                <w:szCs w:val="21"/>
              </w:rPr>
              <w:t xml:space="preserve">-4  </w:t>
            </w:r>
            <w:r>
              <w:rPr>
                <w:rFonts w:hint="eastAsia"/>
                <w:b/>
                <w:szCs w:val="21"/>
              </w:rPr>
              <w:t>产业布局总体管控要求符合性分析</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4"/>
              <w:gridCol w:w="3685"/>
              <w:gridCol w:w="2032"/>
              <w:gridCol w:w="4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44" w:type="dxa"/>
                  <w:shd w:val="clear" w:color="auto" w:fill="auto"/>
                  <w:vAlign w:val="center"/>
                </w:tcPr>
                <w:p>
                  <w:pPr>
                    <w:autoSpaceDE w:val="0"/>
                    <w:autoSpaceDN w:val="0"/>
                    <w:adjustRightInd w:val="0"/>
                    <w:snapToGrid w:val="0"/>
                    <w:jc w:val="center"/>
                    <w:rPr>
                      <w:bCs/>
                      <w:szCs w:val="21"/>
                    </w:rPr>
                  </w:pPr>
                  <w:r>
                    <w:rPr>
                      <w:rFonts w:hint="eastAsia"/>
                      <w:bCs/>
                      <w:szCs w:val="21"/>
                    </w:rPr>
                    <w:t>序号</w:t>
                  </w:r>
                </w:p>
              </w:tc>
              <w:tc>
                <w:tcPr>
                  <w:tcW w:w="3685" w:type="dxa"/>
                  <w:shd w:val="clear" w:color="auto" w:fill="auto"/>
                  <w:vAlign w:val="center"/>
                </w:tcPr>
                <w:p>
                  <w:pPr>
                    <w:tabs>
                      <w:tab w:val="left" w:pos="3255"/>
                    </w:tabs>
                    <w:jc w:val="center"/>
                    <w:rPr>
                      <w:szCs w:val="21"/>
                    </w:rPr>
                  </w:pPr>
                  <w:r>
                    <w:rPr>
                      <w:rFonts w:hint="eastAsia"/>
                      <w:szCs w:val="21"/>
                    </w:rPr>
                    <w:t>内容</w:t>
                  </w:r>
                </w:p>
              </w:tc>
              <w:tc>
                <w:tcPr>
                  <w:tcW w:w="2032" w:type="dxa"/>
                  <w:shd w:val="clear" w:color="auto" w:fill="auto"/>
                  <w:vAlign w:val="center"/>
                </w:tcPr>
                <w:p>
                  <w:pPr>
                    <w:tabs>
                      <w:tab w:val="left" w:pos="3255"/>
                    </w:tabs>
                    <w:jc w:val="center"/>
                    <w:rPr>
                      <w:szCs w:val="21"/>
                    </w:rPr>
                  </w:pPr>
                  <w:r>
                    <w:rPr>
                      <w:rFonts w:hint="eastAsia"/>
                      <w:szCs w:val="21"/>
                    </w:rPr>
                    <w:t>本项目情况</w:t>
                  </w:r>
                </w:p>
              </w:tc>
              <w:tc>
                <w:tcPr>
                  <w:tcW w:w="462" w:type="dxa"/>
                  <w:shd w:val="clear" w:color="auto" w:fill="auto"/>
                  <w:vAlign w:val="center"/>
                </w:tcPr>
                <w:p>
                  <w:pPr>
                    <w:tabs>
                      <w:tab w:val="left" w:pos="3255"/>
                    </w:tabs>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44" w:type="dxa"/>
                  <w:shd w:val="clear" w:color="auto" w:fill="auto"/>
                  <w:vAlign w:val="center"/>
                </w:tcPr>
                <w:p>
                  <w:pPr>
                    <w:autoSpaceDE w:val="0"/>
                    <w:autoSpaceDN w:val="0"/>
                    <w:adjustRightInd w:val="0"/>
                    <w:snapToGrid w:val="0"/>
                    <w:jc w:val="center"/>
                    <w:rPr>
                      <w:bCs/>
                      <w:szCs w:val="21"/>
                    </w:rPr>
                  </w:pPr>
                  <w:r>
                    <w:rPr>
                      <w:rFonts w:hint="eastAsia"/>
                      <w:bCs/>
                      <w:szCs w:val="21"/>
                    </w:rPr>
                    <w:t>1</w:t>
                  </w:r>
                </w:p>
              </w:tc>
              <w:tc>
                <w:tcPr>
                  <w:tcW w:w="3685" w:type="dxa"/>
                  <w:shd w:val="clear" w:color="auto" w:fill="auto"/>
                  <w:vAlign w:val="center"/>
                </w:tcPr>
                <w:p>
                  <w:pPr>
                    <w:tabs>
                      <w:tab w:val="left" w:pos="3255"/>
                    </w:tabs>
                    <w:rPr>
                      <w:szCs w:val="21"/>
                    </w:rPr>
                  </w:pPr>
                  <w:r>
                    <w:rPr>
                      <w:szCs w:val="21"/>
                    </w:rPr>
                    <w:t>1、</w:t>
                  </w:r>
                  <w:r>
                    <w:rPr>
                      <w:rFonts w:hint="eastAsia"/>
                      <w:szCs w:val="21"/>
                    </w:rPr>
                    <w:t>禁止新建国家《产业结构调整指导目录（2019年版）》中限制类、淘汰类产业项目，《市场准入负面清单》中禁止准入类及《河北省禁止投资的产业目录》、《河北省新增限制和淘汰类产业目录（2015年版）》、《秦皇岛市限制和禁止投资的产业目录》（2020年修订版）中的产业项目。</w:t>
                  </w:r>
                </w:p>
              </w:tc>
              <w:tc>
                <w:tcPr>
                  <w:tcW w:w="2032" w:type="dxa"/>
                  <w:shd w:val="clear" w:color="auto" w:fill="auto"/>
                  <w:vAlign w:val="center"/>
                </w:tcPr>
                <w:p>
                  <w:pPr>
                    <w:tabs>
                      <w:tab w:val="left" w:pos="3255"/>
                    </w:tabs>
                    <w:jc w:val="center"/>
                    <w:rPr>
                      <w:szCs w:val="21"/>
                    </w:rPr>
                  </w:pPr>
                  <w:r>
                    <w:rPr>
                      <w:rFonts w:hint="eastAsia"/>
                      <w:szCs w:val="21"/>
                    </w:rPr>
                    <w:t>本项目不属于《产业结构调整指导目录》（2</w:t>
                  </w:r>
                  <w:r>
                    <w:rPr>
                      <w:szCs w:val="21"/>
                    </w:rPr>
                    <w:t>019</w:t>
                  </w:r>
                  <w:r>
                    <w:rPr>
                      <w:rFonts w:hint="eastAsia"/>
                      <w:szCs w:val="21"/>
                    </w:rPr>
                    <w:t>年本）中限制类和淘汰类，为允许类，同时符合其他政策的要求</w:t>
                  </w:r>
                  <w:r>
                    <w:rPr>
                      <w:szCs w:val="21"/>
                    </w:rPr>
                    <w:t xml:space="preserve"> </w:t>
                  </w:r>
                </w:p>
              </w:tc>
              <w:tc>
                <w:tcPr>
                  <w:tcW w:w="462" w:type="dxa"/>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44" w:type="dxa"/>
                  <w:shd w:val="clear" w:color="auto" w:fill="auto"/>
                  <w:vAlign w:val="center"/>
                </w:tcPr>
                <w:p>
                  <w:pPr>
                    <w:autoSpaceDE w:val="0"/>
                    <w:autoSpaceDN w:val="0"/>
                    <w:adjustRightInd w:val="0"/>
                    <w:snapToGrid w:val="0"/>
                    <w:jc w:val="center"/>
                    <w:rPr>
                      <w:bCs/>
                      <w:szCs w:val="21"/>
                    </w:rPr>
                  </w:pPr>
                  <w:r>
                    <w:rPr>
                      <w:rFonts w:hint="eastAsia"/>
                      <w:bCs/>
                      <w:szCs w:val="21"/>
                    </w:rPr>
                    <w:t>2</w:t>
                  </w:r>
                </w:p>
              </w:tc>
              <w:tc>
                <w:tcPr>
                  <w:tcW w:w="3685" w:type="dxa"/>
                  <w:shd w:val="clear" w:color="auto" w:fill="auto"/>
                  <w:vAlign w:val="center"/>
                </w:tcPr>
                <w:p>
                  <w:pPr>
                    <w:tabs>
                      <w:tab w:val="left" w:pos="3255"/>
                    </w:tabs>
                    <w:rPr>
                      <w:szCs w:val="21"/>
                    </w:rPr>
                  </w:pPr>
                  <w:r>
                    <w:rPr>
                      <w:rFonts w:hint="eastAsia"/>
                      <w:szCs w:val="21"/>
                    </w:rPr>
                    <w:t>禁止建设《环境保护综合名录（2021年版）》中的高污染、高风险产品加工项目。严格控制在生态脆弱或环境敏感地区建设“高污染、高耗能”行业项目</w:t>
                  </w:r>
                </w:p>
              </w:tc>
              <w:tc>
                <w:tcPr>
                  <w:tcW w:w="2032" w:type="dxa"/>
                  <w:shd w:val="clear" w:color="auto" w:fill="auto"/>
                  <w:vAlign w:val="center"/>
                </w:tcPr>
                <w:p>
                  <w:pPr>
                    <w:tabs>
                      <w:tab w:val="left" w:pos="3255"/>
                    </w:tabs>
                    <w:jc w:val="center"/>
                    <w:rPr>
                      <w:szCs w:val="21"/>
                    </w:rPr>
                  </w:pPr>
                  <w:r>
                    <w:rPr>
                      <w:rFonts w:hint="eastAsia"/>
                      <w:szCs w:val="21"/>
                    </w:rPr>
                    <w:t>对照《环境保护综合名录（2</w:t>
                  </w:r>
                  <w:r>
                    <w:rPr>
                      <w:szCs w:val="21"/>
                    </w:rPr>
                    <w:t>021</w:t>
                  </w:r>
                  <w:r>
                    <w:rPr>
                      <w:rFonts w:hint="eastAsia"/>
                      <w:szCs w:val="21"/>
                    </w:rPr>
                    <w:t>年版）》，项目选址不在生态脆弱或环境敏感地区，产品也未列入“高污染、高风险”产品名录</w:t>
                  </w:r>
                  <w:r>
                    <w:rPr>
                      <w:szCs w:val="21"/>
                    </w:rPr>
                    <w:t xml:space="preserve"> </w:t>
                  </w:r>
                </w:p>
              </w:tc>
              <w:tc>
                <w:tcPr>
                  <w:tcW w:w="462" w:type="dxa"/>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44" w:type="dxa"/>
                  <w:shd w:val="clear" w:color="auto" w:fill="auto"/>
                  <w:vAlign w:val="center"/>
                </w:tcPr>
                <w:p>
                  <w:pPr>
                    <w:autoSpaceDE w:val="0"/>
                    <w:autoSpaceDN w:val="0"/>
                    <w:adjustRightInd w:val="0"/>
                    <w:snapToGrid w:val="0"/>
                    <w:jc w:val="center"/>
                    <w:rPr>
                      <w:bCs/>
                      <w:szCs w:val="21"/>
                    </w:rPr>
                  </w:pPr>
                  <w:r>
                    <w:rPr>
                      <w:rFonts w:hint="eastAsia"/>
                      <w:bCs/>
                      <w:szCs w:val="21"/>
                    </w:rPr>
                    <w:t>3</w:t>
                  </w:r>
                </w:p>
              </w:tc>
              <w:tc>
                <w:tcPr>
                  <w:tcW w:w="3685" w:type="dxa"/>
                  <w:shd w:val="clear" w:color="auto" w:fill="auto"/>
                  <w:vAlign w:val="center"/>
                </w:tcPr>
                <w:p>
                  <w:pPr>
                    <w:tabs>
                      <w:tab w:val="left" w:pos="3255"/>
                    </w:tabs>
                    <w:rPr>
                      <w:szCs w:val="21"/>
                    </w:rPr>
                  </w:pPr>
                  <w:r>
                    <w:rPr>
                      <w:rFonts w:hint="eastAsia"/>
                      <w:szCs w:val="21"/>
                    </w:rPr>
                    <w:t>上一年度环境空气质量年均浓度不达标、水环境质量未达到要求的区县，相关新增污染物应按照建设项目所需替代的主要污染物排放总量指标的2倍进行削减替代（燃煤发电机组大气污染物排放浓度基本达到燃气轮机组排放限值的除外）；PM</w:t>
                  </w:r>
                  <w:r>
                    <w:rPr>
                      <w:rFonts w:hint="eastAsia"/>
                      <w:szCs w:val="21"/>
                      <w:vertAlign w:val="subscript"/>
                    </w:rPr>
                    <w:t>2.5</w:t>
                  </w:r>
                  <w:r>
                    <w:rPr>
                      <w:rFonts w:hint="eastAsia"/>
                      <w:szCs w:val="21"/>
                    </w:rPr>
                    <w:t>年均浓度不达标的区县，二氧化硫、氮氧化物、烟粉尘、挥发性有机物四项污染物均需进行2倍削减替代（燃煤发电机组大气污染物排放浓度基本达到燃气轮机组排放限值的除外）</w:t>
                  </w:r>
                </w:p>
              </w:tc>
              <w:tc>
                <w:tcPr>
                  <w:tcW w:w="2032" w:type="dxa"/>
                  <w:shd w:val="clear" w:color="auto" w:fill="auto"/>
                  <w:vAlign w:val="center"/>
                </w:tcPr>
                <w:p>
                  <w:pPr>
                    <w:tabs>
                      <w:tab w:val="left" w:pos="3255"/>
                    </w:tabs>
                    <w:jc w:val="center"/>
                    <w:rPr>
                      <w:szCs w:val="21"/>
                    </w:rPr>
                  </w:pPr>
                  <w:r>
                    <w:rPr>
                      <w:rFonts w:hint="eastAsia"/>
                      <w:bCs/>
                    </w:rPr>
                    <w:t>本项目所在区域大气污染物中臭氧不达标，本项目无废水排放，废气污染物主要为非甲烷总烃，</w:t>
                  </w:r>
                  <w:r>
                    <w:rPr>
                      <w:rFonts w:hint="eastAsia"/>
                      <w:bCs/>
                      <w:szCs w:val="21"/>
                    </w:rPr>
                    <w:t>项目实施后非甲烷总烃排放量0</w:t>
                  </w:r>
                  <w:r>
                    <w:rPr>
                      <w:bCs/>
                      <w:szCs w:val="21"/>
                    </w:rPr>
                    <w:t>.139 t/a</w:t>
                  </w:r>
                </w:p>
              </w:tc>
              <w:tc>
                <w:tcPr>
                  <w:tcW w:w="462" w:type="dxa"/>
                  <w:shd w:val="clear" w:color="auto" w:fill="auto"/>
                  <w:vAlign w:val="center"/>
                </w:tcPr>
                <w:p>
                  <w:pPr>
                    <w:tabs>
                      <w:tab w:val="left" w:pos="3255"/>
                    </w:tabs>
                    <w:jc w:val="center"/>
                    <w:rPr>
                      <w:szCs w:val="21"/>
                    </w:rPr>
                  </w:pPr>
                  <w:r>
                    <w:rPr>
                      <w:rFonts w:hint="eastAsia"/>
                      <w:szCs w:val="21"/>
                    </w:rPr>
                    <w:t>符合</w:t>
                  </w:r>
                </w:p>
              </w:tc>
            </w:tr>
          </w:tbl>
          <w:p>
            <w:pPr>
              <w:suppressAutoHyphens/>
              <w:adjustRightInd w:val="0"/>
              <w:snapToGrid w:val="0"/>
              <w:spacing w:line="400" w:lineRule="exact"/>
              <w:ind w:firstLine="420" w:firstLineChars="200"/>
              <w:rPr>
                <w:kern w:val="0"/>
                <w:szCs w:val="21"/>
              </w:rPr>
            </w:pPr>
            <w:r>
              <w:rPr>
                <w:rFonts w:hint="eastAsia"/>
                <w:kern w:val="0"/>
                <w:szCs w:val="21"/>
              </w:rPr>
              <w:t>同时，本项目管控编号：</w:t>
            </w:r>
            <w:r>
              <w:rPr>
                <w:kern w:val="0"/>
                <w:szCs w:val="21"/>
              </w:rPr>
              <w:t>ZH13030620058</w:t>
            </w:r>
            <w:r>
              <w:rPr>
                <w:rFonts w:hint="eastAsia"/>
                <w:kern w:val="0"/>
                <w:szCs w:val="21"/>
              </w:rPr>
              <w:t>，区县：抚宁区，乡镇：抚宁镇，单元类别：重点管控区，与其管控要求对比分析如下：</w:t>
            </w:r>
          </w:p>
          <w:p>
            <w:pPr>
              <w:spacing w:line="400" w:lineRule="exact"/>
              <w:jc w:val="center"/>
              <w:rPr>
                <w:b/>
                <w:szCs w:val="21"/>
              </w:rPr>
            </w:pPr>
            <w:r>
              <w:rPr>
                <w:rFonts w:hint="eastAsia"/>
                <w:b/>
                <w:szCs w:val="21"/>
              </w:rPr>
              <w:t>表1</w:t>
            </w:r>
            <w:r>
              <w:rPr>
                <w:b/>
                <w:szCs w:val="21"/>
              </w:rPr>
              <w:t xml:space="preserve">-5    </w:t>
            </w:r>
            <w:r>
              <w:rPr>
                <w:rFonts w:hint="eastAsia"/>
                <w:b/>
                <w:szCs w:val="21"/>
              </w:rPr>
              <w:t>综合管控单元准入清单</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0"/>
              <w:gridCol w:w="3286"/>
              <w:gridCol w:w="2129"/>
              <w:gridCol w:w="5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shd w:val="clear" w:color="auto" w:fill="auto"/>
                  <w:vAlign w:val="center"/>
                </w:tcPr>
                <w:p>
                  <w:pPr>
                    <w:autoSpaceDE w:val="0"/>
                    <w:autoSpaceDN w:val="0"/>
                    <w:adjustRightInd w:val="0"/>
                    <w:snapToGrid w:val="0"/>
                    <w:jc w:val="center"/>
                    <w:rPr>
                      <w:bCs/>
                      <w:szCs w:val="21"/>
                    </w:rPr>
                  </w:pPr>
                  <w:r>
                    <w:rPr>
                      <w:rFonts w:hint="eastAsia"/>
                      <w:bCs/>
                      <w:szCs w:val="21"/>
                    </w:rPr>
                    <w:t>类别</w:t>
                  </w:r>
                </w:p>
              </w:tc>
              <w:tc>
                <w:tcPr>
                  <w:tcW w:w="2481" w:type="pct"/>
                  <w:shd w:val="clear" w:color="auto" w:fill="auto"/>
                  <w:vAlign w:val="center"/>
                </w:tcPr>
                <w:p>
                  <w:pPr>
                    <w:tabs>
                      <w:tab w:val="left" w:pos="3255"/>
                    </w:tabs>
                    <w:jc w:val="center"/>
                    <w:rPr>
                      <w:szCs w:val="21"/>
                    </w:rPr>
                  </w:pPr>
                  <w:r>
                    <w:rPr>
                      <w:rFonts w:hint="eastAsia"/>
                      <w:szCs w:val="21"/>
                    </w:rPr>
                    <w:t>内容</w:t>
                  </w:r>
                </w:p>
              </w:tc>
              <w:tc>
                <w:tcPr>
                  <w:tcW w:w="1607" w:type="pct"/>
                  <w:shd w:val="clear" w:color="auto" w:fill="auto"/>
                  <w:vAlign w:val="center"/>
                </w:tcPr>
                <w:p>
                  <w:pPr>
                    <w:tabs>
                      <w:tab w:val="left" w:pos="3255"/>
                    </w:tabs>
                    <w:jc w:val="center"/>
                    <w:rPr>
                      <w:szCs w:val="21"/>
                    </w:rPr>
                  </w:pPr>
                  <w:r>
                    <w:rPr>
                      <w:rFonts w:hint="eastAsia"/>
                      <w:szCs w:val="21"/>
                    </w:rPr>
                    <w:t>本项目情况</w:t>
                  </w:r>
                </w:p>
              </w:tc>
              <w:tc>
                <w:tcPr>
                  <w:tcW w:w="414" w:type="pct"/>
                  <w:shd w:val="clear" w:color="auto" w:fill="auto"/>
                  <w:vAlign w:val="center"/>
                </w:tcPr>
                <w:p>
                  <w:pPr>
                    <w:tabs>
                      <w:tab w:val="left" w:pos="3255"/>
                    </w:tabs>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restart"/>
                  <w:shd w:val="clear" w:color="auto" w:fill="auto"/>
                  <w:vAlign w:val="center"/>
                </w:tcPr>
                <w:p>
                  <w:pPr>
                    <w:autoSpaceDE w:val="0"/>
                    <w:autoSpaceDN w:val="0"/>
                    <w:adjustRightInd w:val="0"/>
                    <w:snapToGrid w:val="0"/>
                    <w:jc w:val="center"/>
                    <w:rPr>
                      <w:bCs/>
                      <w:szCs w:val="21"/>
                    </w:rPr>
                  </w:pPr>
                  <w:r>
                    <w:rPr>
                      <w:rFonts w:hint="eastAsia"/>
                      <w:bCs/>
                      <w:szCs w:val="21"/>
                    </w:rPr>
                    <w:t>空间布局约束</w:t>
                  </w:r>
                </w:p>
              </w:tc>
              <w:tc>
                <w:tcPr>
                  <w:tcW w:w="2481" w:type="pct"/>
                  <w:shd w:val="clear" w:color="auto" w:fill="auto"/>
                  <w:vAlign w:val="center"/>
                </w:tcPr>
                <w:p>
                  <w:pPr>
                    <w:tabs>
                      <w:tab w:val="left" w:pos="3255"/>
                    </w:tabs>
                    <w:rPr>
                      <w:szCs w:val="21"/>
                    </w:rPr>
                  </w:pPr>
                  <w:r>
                    <w:rPr>
                      <w:rFonts w:hint="eastAsia"/>
                      <w:szCs w:val="21"/>
                    </w:rPr>
                    <w:t>在卫生防护距离内不适宜新建居民区、医院、科研、学校等环境敏感点</w:t>
                  </w:r>
                </w:p>
              </w:tc>
              <w:tc>
                <w:tcPr>
                  <w:tcW w:w="1607" w:type="pct"/>
                  <w:shd w:val="clear" w:color="auto" w:fill="auto"/>
                  <w:vAlign w:val="center"/>
                </w:tcPr>
                <w:p>
                  <w:pPr>
                    <w:tabs>
                      <w:tab w:val="left" w:pos="3255"/>
                    </w:tabs>
                    <w:jc w:val="center"/>
                    <w:rPr>
                      <w:szCs w:val="21"/>
                    </w:rPr>
                  </w:pPr>
                  <w:r>
                    <w:rPr>
                      <w:rFonts w:hint="eastAsia"/>
                      <w:szCs w:val="21"/>
                    </w:rPr>
                    <w:t>本项目为工业项目，不属于上述敏感点</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开发区接纳的退城进区的项目需符合开发区的产业定位和产业布局，清洁生产水平较搬迁前必须提高，应满足二级水平要求</w:t>
                  </w:r>
                </w:p>
              </w:tc>
              <w:tc>
                <w:tcPr>
                  <w:tcW w:w="1607" w:type="pct"/>
                  <w:shd w:val="clear" w:color="auto" w:fill="auto"/>
                  <w:vAlign w:val="center"/>
                </w:tcPr>
                <w:p>
                  <w:pPr>
                    <w:tabs>
                      <w:tab w:val="left" w:pos="3255"/>
                    </w:tabs>
                    <w:jc w:val="center"/>
                    <w:rPr>
                      <w:szCs w:val="21"/>
                    </w:rPr>
                  </w:pPr>
                  <w:r>
                    <w:rPr>
                      <w:rFonts w:hint="eastAsia"/>
                      <w:szCs w:val="21"/>
                    </w:rPr>
                    <w:t>本项目为新建，项目已取得河北抚宁经济技术开发区管理委员会出具的《关于秦皇岛兴渤塑料制品有限责任公司符合产业定位的情况说明》，其明确本项目符合抚宁开发区产业定位。</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高新技术产业片区和军民融合产业区多为一类工业用地，不得发展对环境影响较大的建设项目</w:t>
                  </w:r>
                </w:p>
              </w:tc>
              <w:tc>
                <w:tcPr>
                  <w:tcW w:w="1607" w:type="pct"/>
                  <w:shd w:val="clear" w:color="auto" w:fill="auto"/>
                  <w:vAlign w:val="center"/>
                </w:tcPr>
                <w:p>
                  <w:pPr>
                    <w:tabs>
                      <w:tab w:val="left" w:pos="3255"/>
                    </w:tabs>
                    <w:jc w:val="center"/>
                    <w:rPr>
                      <w:szCs w:val="21"/>
                    </w:rPr>
                  </w:pPr>
                  <w:r>
                    <w:rPr>
                      <w:rFonts w:hint="eastAsia"/>
                      <w:szCs w:val="21"/>
                    </w:rPr>
                    <w:t>本项目选址位于</w:t>
                  </w:r>
                  <w:r>
                    <w:rPr>
                      <w:rFonts w:hint="eastAsia"/>
                      <w:bCs/>
                      <w:szCs w:val="21"/>
                    </w:rPr>
                    <w:t xml:space="preserve"> “先进制造园”，不在</w:t>
                  </w:r>
                  <w:r>
                    <w:rPr>
                      <w:rFonts w:hint="eastAsia"/>
                      <w:szCs w:val="21"/>
                    </w:rPr>
                    <w:t>高新技术产业片区和军民融合产业区，同时污染很小</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禁止新建和扩建金属表面处理及热加工处理项目及皮毛及皮革鞣制加工项目</w:t>
                  </w:r>
                </w:p>
              </w:tc>
              <w:tc>
                <w:tcPr>
                  <w:tcW w:w="1607" w:type="pct"/>
                  <w:shd w:val="clear" w:color="auto" w:fill="auto"/>
                  <w:vAlign w:val="center"/>
                </w:tcPr>
                <w:p>
                  <w:pPr>
                    <w:tabs>
                      <w:tab w:val="left" w:pos="3255"/>
                    </w:tabs>
                    <w:jc w:val="center"/>
                    <w:rPr>
                      <w:szCs w:val="21"/>
                    </w:rPr>
                  </w:pPr>
                  <w:r>
                    <w:rPr>
                      <w:rFonts w:hint="eastAsia"/>
                      <w:szCs w:val="21"/>
                    </w:rPr>
                    <w:t>本项目为塑料制造制造，不属于上述项目类别</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针对于新建涉水工业项目须入园进区</w:t>
                  </w:r>
                </w:p>
              </w:tc>
              <w:tc>
                <w:tcPr>
                  <w:tcW w:w="1607" w:type="pct"/>
                  <w:shd w:val="clear" w:color="auto" w:fill="auto"/>
                  <w:vAlign w:val="center"/>
                </w:tcPr>
                <w:p>
                  <w:pPr>
                    <w:tabs>
                      <w:tab w:val="left" w:pos="3255"/>
                    </w:tabs>
                    <w:jc w:val="center"/>
                    <w:rPr>
                      <w:szCs w:val="21"/>
                    </w:rPr>
                  </w:pPr>
                  <w:r>
                    <w:rPr>
                      <w:rFonts w:hint="eastAsia"/>
                      <w:szCs w:val="21"/>
                    </w:rPr>
                    <w:t>本项目仅生活用水和循环冷却水用水，其中生活盥洗污水厂区泼洒抑尘，循环冷却水重复利用，不外排。并选址位于园区内</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restart"/>
                  <w:shd w:val="clear" w:color="auto" w:fill="auto"/>
                  <w:vAlign w:val="center"/>
                </w:tcPr>
                <w:p>
                  <w:pPr>
                    <w:autoSpaceDE w:val="0"/>
                    <w:autoSpaceDN w:val="0"/>
                    <w:adjustRightInd w:val="0"/>
                    <w:snapToGrid w:val="0"/>
                    <w:jc w:val="center"/>
                    <w:rPr>
                      <w:bCs/>
                      <w:szCs w:val="21"/>
                    </w:rPr>
                  </w:pPr>
                  <w:r>
                    <w:rPr>
                      <w:rFonts w:hint="eastAsia"/>
                      <w:bCs/>
                      <w:szCs w:val="21"/>
                    </w:rPr>
                    <w:t>污染物排放管控</w:t>
                  </w:r>
                </w:p>
              </w:tc>
              <w:tc>
                <w:tcPr>
                  <w:tcW w:w="2481" w:type="pct"/>
                  <w:shd w:val="clear" w:color="auto" w:fill="auto"/>
                  <w:vAlign w:val="center"/>
                </w:tcPr>
                <w:p>
                  <w:pPr>
                    <w:tabs>
                      <w:tab w:val="left" w:pos="3255"/>
                    </w:tabs>
                    <w:rPr>
                      <w:szCs w:val="21"/>
                    </w:rPr>
                  </w:pPr>
                  <w:r>
                    <w:rPr>
                      <w:rFonts w:hint="eastAsia"/>
                      <w:szCs w:val="21"/>
                    </w:rPr>
                    <w:t>严格落实规划环评及其批复文件制定的环保措施</w:t>
                  </w:r>
                </w:p>
              </w:tc>
              <w:tc>
                <w:tcPr>
                  <w:tcW w:w="1607" w:type="pct"/>
                  <w:shd w:val="clear" w:color="auto" w:fill="auto"/>
                  <w:vAlign w:val="center"/>
                </w:tcPr>
                <w:p>
                  <w:pPr>
                    <w:tabs>
                      <w:tab w:val="left" w:pos="3255"/>
                    </w:tabs>
                    <w:jc w:val="center"/>
                    <w:rPr>
                      <w:szCs w:val="21"/>
                    </w:rPr>
                  </w:pPr>
                  <w:r>
                    <w:rPr>
                      <w:rFonts w:hint="eastAsia"/>
                      <w:szCs w:val="21"/>
                    </w:rPr>
                    <w:t>本项目环保措施可以满足规划环评及其批复文件要求</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对VOCs排放集中的工业园区和产业聚集区，探索建立废气处理、排放检测、平台监控、运营维护一体的第三方治理模式</w:t>
                  </w:r>
                </w:p>
              </w:tc>
              <w:tc>
                <w:tcPr>
                  <w:tcW w:w="1607" w:type="pct"/>
                  <w:shd w:val="clear" w:color="auto" w:fill="auto"/>
                  <w:vAlign w:val="center"/>
                </w:tcPr>
                <w:p>
                  <w:pPr>
                    <w:tabs>
                      <w:tab w:val="left" w:pos="3255"/>
                    </w:tabs>
                    <w:jc w:val="center"/>
                    <w:rPr>
                      <w:szCs w:val="21"/>
                    </w:rPr>
                  </w:pPr>
                  <w:r>
                    <w:rPr>
                      <w:rFonts w:hint="eastAsia"/>
                      <w:szCs w:val="21"/>
                    </w:rPr>
                    <w:t>本次为建设项目</w:t>
                  </w:r>
                </w:p>
              </w:tc>
              <w:tc>
                <w:tcPr>
                  <w:tcW w:w="414" w:type="pct"/>
                  <w:shd w:val="clear" w:color="auto" w:fill="auto"/>
                  <w:vAlign w:val="center"/>
                </w:tcPr>
                <w:p>
                  <w:pPr>
                    <w:tabs>
                      <w:tab w:val="left" w:pos="3255"/>
                    </w:tabs>
                    <w:jc w:val="center"/>
                    <w:rPr>
                      <w:szCs w:val="21"/>
                    </w:rPr>
                  </w:pP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涉VOCs排放工业企业污染物排放应达到《工业企业挥发性有机物排放控制标准》（DB13/2322-2016）及《挥发性有机物无组织排放控制标准》（GB37822-2019）相关排放要求</w:t>
                  </w:r>
                </w:p>
              </w:tc>
              <w:tc>
                <w:tcPr>
                  <w:tcW w:w="1607" w:type="pct"/>
                  <w:shd w:val="clear" w:color="auto" w:fill="auto"/>
                  <w:vAlign w:val="center"/>
                </w:tcPr>
                <w:p>
                  <w:pPr>
                    <w:tabs>
                      <w:tab w:val="left" w:pos="3255"/>
                    </w:tabs>
                    <w:jc w:val="center"/>
                    <w:rPr>
                      <w:szCs w:val="21"/>
                    </w:rPr>
                  </w:pPr>
                  <w:r>
                    <w:rPr>
                      <w:rFonts w:hint="eastAsia"/>
                      <w:szCs w:val="21"/>
                    </w:rPr>
                    <w:t>本项目废气排放执行上述标准要求</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开发区内锅炉污染物排放应达到《锅炉大气污染物排放标准》（DB13/5161-2020）要求</w:t>
                  </w:r>
                </w:p>
              </w:tc>
              <w:tc>
                <w:tcPr>
                  <w:tcW w:w="1607" w:type="pct"/>
                  <w:shd w:val="clear" w:color="auto" w:fill="auto"/>
                  <w:vAlign w:val="center"/>
                </w:tcPr>
                <w:p>
                  <w:pPr>
                    <w:tabs>
                      <w:tab w:val="left" w:pos="3255"/>
                    </w:tabs>
                    <w:jc w:val="center"/>
                    <w:rPr>
                      <w:szCs w:val="21"/>
                    </w:rPr>
                  </w:pPr>
                  <w:r>
                    <w:rPr>
                      <w:rFonts w:hint="eastAsia"/>
                      <w:szCs w:val="21"/>
                    </w:rPr>
                    <w:t>本项目不建设锅炉</w:t>
                  </w:r>
                </w:p>
              </w:tc>
              <w:tc>
                <w:tcPr>
                  <w:tcW w:w="414" w:type="pct"/>
                  <w:shd w:val="clear" w:color="auto" w:fill="auto"/>
                  <w:vAlign w:val="center"/>
                </w:tcPr>
                <w:p>
                  <w:pPr>
                    <w:tabs>
                      <w:tab w:val="left" w:pos="3255"/>
                    </w:tabs>
                    <w:jc w:val="center"/>
                    <w:rPr>
                      <w:szCs w:val="21"/>
                    </w:rPr>
                  </w:pP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restart"/>
                  <w:shd w:val="clear" w:color="auto" w:fill="auto"/>
                  <w:vAlign w:val="center"/>
                </w:tcPr>
                <w:p>
                  <w:pPr>
                    <w:autoSpaceDE w:val="0"/>
                    <w:autoSpaceDN w:val="0"/>
                    <w:adjustRightInd w:val="0"/>
                    <w:snapToGrid w:val="0"/>
                    <w:jc w:val="center"/>
                    <w:rPr>
                      <w:bCs/>
                      <w:szCs w:val="21"/>
                    </w:rPr>
                  </w:pPr>
                  <w:r>
                    <w:rPr>
                      <w:rFonts w:hint="eastAsia"/>
                      <w:bCs/>
                      <w:szCs w:val="21"/>
                    </w:rPr>
                    <w:t>环境风险防控</w:t>
                  </w:r>
                </w:p>
              </w:tc>
              <w:tc>
                <w:tcPr>
                  <w:tcW w:w="2481" w:type="pct"/>
                  <w:shd w:val="clear" w:color="auto" w:fill="auto"/>
                  <w:vAlign w:val="center"/>
                </w:tcPr>
                <w:p>
                  <w:pPr>
                    <w:tabs>
                      <w:tab w:val="left" w:pos="3255"/>
                    </w:tabs>
                    <w:rPr>
                      <w:szCs w:val="21"/>
                    </w:rPr>
                  </w:pPr>
                  <w:r>
                    <w:rPr>
                      <w:rFonts w:hint="eastAsia"/>
                      <w:szCs w:val="21"/>
                    </w:rPr>
                    <w:t>严格落实规划环评及其批复文件制定的环境风险防范措施</w:t>
                  </w:r>
                </w:p>
              </w:tc>
              <w:tc>
                <w:tcPr>
                  <w:tcW w:w="1607" w:type="pct"/>
                  <w:shd w:val="clear" w:color="auto" w:fill="auto"/>
                  <w:vAlign w:val="center"/>
                </w:tcPr>
                <w:p>
                  <w:pPr>
                    <w:tabs>
                      <w:tab w:val="left" w:pos="3255"/>
                    </w:tabs>
                    <w:jc w:val="center"/>
                    <w:rPr>
                      <w:szCs w:val="21"/>
                    </w:rPr>
                  </w:pPr>
                  <w:r>
                    <w:rPr>
                      <w:rFonts w:hint="eastAsia"/>
                      <w:szCs w:val="21"/>
                    </w:rPr>
                    <w:t>本项目可以满足规划环评及批复文件要求</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开发区及入区企业需按照相关法律法规及文件要求组织编制《环境风险应急预案》成立应急组织机构，定期开展应急演练，提高区域环境风险防范能力</w:t>
                  </w:r>
                </w:p>
              </w:tc>
              <w:tc>
                <w:tcPr>
                  <w:tcW w:w="1607" w:type="pct"/>
                  <w:vMerge w:val="restart"/>
                  <w:shd w:val="clear" w:color="auto" w:fill="auto"/>
                  <w:vAlign w:val="center"/>
                </w:tcPr>
                <w:p>
                  <w:pPr>
                    <w:tabs>
                      <w:tab w:val="left" w:pos="3255"/>
                    </w:tabs>
                    <w:jc w:val="center"/>
                    <w:rPr>
                      <w:szCs w:val="21"/>
                    </w:rPr>
                  </w:pPr>
                  <w:r>
                    <w:rPr>
                      <w:rFonts w:hint="eastAsia"/>
                      <w:szCs w:val="21"/>
                    </w:rPr>
                    <w:t>本次评价要求企业编制突发环境应急预案，并与园区、区域应急体系相衔接</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建立有效的事故风险防范体系，使开发区建设和环境保护协调发展</w:t>
                  </w:r>
                </w:p>
              </w:tc>
              <w:tc>
                <w:tcPr>
                  <w:tcW w:w="1607" w:type="pct"/>
                  <w:vMerge w:val="continue"/>
                  <w:shd w:val="clear" w:color="auto" w:fill="auto"/>
                  <w:vAlign w:val="center"/>
                </w:tcPr>
                <w:p>
                  <w:pPr>
                    <w:tabs>
                      <w:tab w:val="left" w:pos="3255"/>
                    </w:tabs>
                    <w:jc w:val="center"/>
                    <w:rPr>
                      <w:szCs w:val="21"/>
                    </w:rPr>
                  </w:pP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禁止建设存在重大环境安全隐患的工业项目。</w:t>
                  </w:r>
                </w:p>
              </w:tc>
              <w:tc>
                <w:tcPr>
                  <w:tcW w:w="1607" w:type="pct"/>
                  <w:shd w:val="clear" w:color="auto" w:fill="auto"/>
                  <w:vAlign w:val="center"/>
                </w:tcPr>
                <w:p>
                  <w:pPr>
                    <w:tabs>
                      <w:tab w:val="left" w:pos="3255"/>
                    </w:tabs>
                    <w:jc w:val="center"/>
                    <w:rPr>
                      <w:szCs w:val="21"/>
                    </w:rPr>
                  </w:pPr>
                  <w:r>
                    <w:rPr>
                      <w:rFonts w:hint="eastAsia"/>
                      <w:szCs w:val="21"/>
                    </w:rPr>
                    <w:t>本项目环境风险小</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确定地下水污染来源和路径，进行污染风险评估。</w:t>
                  </w:r>
                </w:p>
              </w:tc>
              <w:tc>
                <w:tcPr>
                  <w:tcW w:w="1607" w:type="pct"/>
                  <w:shd w:val="clear" w:color="auto" w:fill="auto"/>
                  <w:vAlign w:val="center"/>
                </w:tcPr>
                <w:p>
                  <w:pPr>
                    <w:tabs>
                      <w:tab w:val="left" w:pos="3255"/>
                    </w:tabs>
                    <w:jc w:val="center"/>
                    <w:rPr>
                      <w:szCs w:val="21"/>
                    </w:rPr>
                  </w:pPr>
                  <w:r>
                    <w:rPr>
                      <w:rFonts w:hint="eastAsia"/>
                      <w:szCs w:val="21"/>
                    </w:rPr>
                    <w:t>本项目生产车间内的润滑油、液压油暂存区、危废间按照相关要求防渗，基本无地下水污染途径</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restart"/>
                  <w:shd w:val="clear" w:color="auto" w:fill="auto"/>
                  <w:vAlign w:val="center"/>
                </w:tcPr>
                <w:p>
                  <w:pPr>
                    <w:autoSpaceDE w:val="0"/>
                    <w:autoSpaceDN w:val="0"/>
                    <w:adjustRightInd w:val="0"/>
                    <w:snapToGrid w:val="0"/>
                    <w:jc w:val="center"/>
                    <w:rPr>
                      <w:bCs/>
                      <w:szCs w:val="21"/>
                    </w:rPr>
                  </w:pPr>
                  <w:r>
                    <w:rPr>
                      <w:rFonts w:hint="eastAsia"/>
                      <w:bCs/>
                      <w:szCs w:val="21"/>
                    </w:rPr>
                    <w:t>资源利用效率</w:t>
                  </w:r>
                </w:p>
              </w:tc>
              <w:tc>
                <w:tcPr>
                  <w:tcW w:w="2481" w:type="pct"/>
                  <w:shd w:val="clear" w:color="auto" w:fill="auto"/>
                  <w:vAlign w:val="center"/>
                </w:tcPr>
                <w:p>
                  <w:pPr>
                    <w:tabs>
                      <w:tab w:val="left" w:pos="3255"/>
                    </w:tabs>
                    <w:rPr>
                      <w:szCs w:val="21"/>
                    </w:rPr>
                  </w:pPr>
                  <w:r>
                    <w:rPr>
                      <w:rFonts w:hint="eastAsia"/>
                      <w:szCs w:val="21"/>
                    </w:rPr>
                    <w:t>中水回用率≥30%</w:t>
                  </w:r>
                </w:p>
              </w:tc>
              <w:tc>
                <w:tcPr>
                  <w:tcW w:w="1607" w:type="pct"/>
                  <w:shd w:val="clear" w:color="auto" w:fill="auto"/>
                  <w:vAlign w:val="center"/>
                </w:tcPr>
                <w:p>
                  <w:pPr>
                    <w:tabs>
                      <w:tab w:val="left" w:pos="3255"/>
                    </w:tabs>
                    <w:jc w:val="center"/>
                    <w:rPr>
                      <w:szCs w:val="21"/>
                    </w:rPr>
                  </w:pPr>
                  <w:r>
                    <w:rPr>
                      <w:rFonts w:hint="eastAsia"/>
                      <w:szCs w:val="21"/>
                    </w:rPr>
                    <w:t>本项目循环冷却水全部回用</w:t>
                  </w:r>
                </w:p>
              </w:tc>
              <w:tc>
                <w:tcPr>
                  <w:tcW w:w="414" w:type="pct"/>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8" w:type="pct"/>
                  <w:vMerge w:val="continue"/>
                  <w:shd w:val="clear" w:color="auto" w:fill="auto"/>
                  <w:vAlign w:val="center"/>
                </w:tcPr>
                <w:p>
                  <w:pPr>
                    <w:autoSpaceDE w:val="0"/>
                    <w:autoSpaceDN w:val="0"/>
                    <w:adjustRightInd w:val="0"/>
                    <w:snapToGrid w:val="0"/>
                    <w:jc w:val="center"/>
                    <w:rPr>
                      <w:bCs/>
                      <w:szCs w:val="21"/>
                    </w:rPr>
                  </w:pPr>
                </w:p>
              </w:tc>
              <w:tc>
                <w:tcPr>
                  <w:tcW w:w="2481" w:type="pct"/>
                  <w:shd w:val="clear" w:color="auto" w:fill="auto"/>
                  <w:vAlign w:val="center"/>
                </w:tcPr>
                <w:p>
                  <w:pPr>
                    <w:tabs>
                      <w:tab w:val="left" w:pos="3255"/>
                    </w:tabs>
                    <w:rPr>
                      <w:szCs w:val="21"/>
                    </w:rPr>
                  </w:pPr>
                  <w:r>
                    <w:rPr>
                      <w:rFonts w:hint="eastAsia"/>
                      <w:szCs w:val="21"/>
                    </w:rPr>
                    <w:t>园区工业水重复利用率≥75%</w:t>
                  </w:r>
                </w:p>
              </w:tc>
              <w:tc>
                <w:tcPr>
                  <w:tcW w:w="1607" w:type="pct"/>
                  <w:shd w:val="clear" w:color="auto" w:fill="auto"/>
                  <w:vAlign w:val="center"/>
                </w:tcPr>
                <w:p>
                  <w:pPr>
                    <w:tabs>
                      <w:tab w:val="left" w:pos="3255"/>
                    </w:tabs>
                    <w:jc w:val="center"/>
                    <w:rPr>
                      <w:szCs w:val="21"/>
                    </w:rPr>
                  </w:pPr>
                  <w:r>
                    <w:rPr>
                      <w:rFonts w:hint="eastAsia"/>
                      <w:szCs w:val="21"/>
                    </w:rPr>
                    <w:t>/</w:t>
                  </w:r>
                </w:p>
              </w:tc>
              <w:tc>
                <w:tcPr>
                  <w:tcW w:w="414" w:type="pct"/>
                  <w:shd w:val="clear" w:color="auto" w:fill="auto"/>
                  <w:vAlign w:val="center"/>
                </w:tcPr>
                <w:p>
                  <w:pPr>
                    <w:tabs>
                      <w:tab w:val="left" w:pos="3255"/>
                    </w:tabs>
                    <w:jc w:val="center"/>
                    <w:rPr>
                      <w:szCs w:val="21"/>
                    </w:rPr>
                  </w:pPr>
                  <w:r>
                    <w:rPr>
                      <w:szCs w:val="21"/>
                    </w:rPr>
                    <w:t>/</w:t>
                  </w:r>
                </w:p>
              </w:tc>
            </w:tr>
          </w:tbl>
          <w:p>
            <w:pPr>
              <w:suppressAutoHyphens/>
              <w:adjustRightInd w:val="0"/>
              <w:snapToGrid w:val="0"/>
              <w:spacing w:line="400" w:lineRule="exact"/>
              <w:ind w:firstLine="420" w:firstLineChars="200"/>
              <w:rPr>
                <w:kern w:val="0"/>
                <w:szCs w:val="21"/>
              </w:rPr>
            </w:pPr>
            <w:r>
              <w:rPr>
                <w:rFonts w:hint="eastAsia"/>
                <w:kern w:val="0"/>
                <w:szCs w:val="21"/>
              </w:rPr>
              <w:t>综上，本项目建设符合</w:t>
            </w:r>
            <w:r>
              <w:rPr>
                <w:rFonts w:hint="eastAsia"/>
                <w:snapToGrid w:val="0"/>
                <w:kern w:val="0"/>
                <w:szCs w:val="21"/>
              </w:rPr>
              <w:t>《关于以改善环境质量为核心加强环境影响评价管理的通知》（环环评[2016]150号）和</w:t>
            </w:r>
            <w:r>
              <w:rPr>
                <w:rFonts w:hint="eastAsia"/>
                <w:kern w:val="0"/>
                <w:szCs w:val="21"/>
              </w:rPr>
              <w:t>《秦皇岛市”三线一单”生态环境分区管控实施意见》（秦政字【2021】6号）的相关要求，不在</w:t>
            </w:r>
            <w:r>
              <w:rPr>
                <w:rFonts w:hint="eastAsia"/>
                <w:bCs/>
                <w:szCs w:val="21"/>
              </w:rPr>
              <w:t>《抚宁经济开发区总体规划（2016-2030年）环境影响报告书》中</w:t>
            </w:r>
            <w:r>
              <w:rPr>
                <w:rFonts w:hint="eastAsia"/>
                <w:kern w:val="0"/>
                <w:szCs w:val="21"/>
              </w:rPr>
              <w:t>园区环境准入负面清单。</w:t>
            </w:r>
          </w:p>
          <w:p>
            <w:pPr>
              <w:adjustRightInd w:val="0"/>
              <w:snapToGrid w:val="0"/>
              <w:spacing w:line="400" w:lineRule="exact"/>
              <w:rPr>
                <w:b/>
                <w:szCs w:val="21"/>
              </w:rPr>
            </w:pPr>
            <w:r>
              <w:rPr>
                <w:b/>
                <w:szCs w:val="21"/>
              </w:rPr>
              <w:t>2、相关生态环境保护法律法规政策</w:t>
            </w:r>
          </w:p>
          <w:p>
            <w:pPr>
              <w:adjustRightInd w:val="0"/>
              <w:snapToGrid w:val="0"/>
              <w:spacing w:line="400" w:lineRule="exact"/>
              <w:ind w:firstLine="422" w:firstLineChars="200"/>
              <w:rPr>
                <w:b/>
                <w:szCs w:val="21"/>
              </w:rPr>
            </w:pPr>
            <w:bookmarkStart w:id="1" w:name="_Hlk73022004"/>
            <w:r>
              <w:rPr>
                <w:rFonts w:hint="eastAsia"/>
                <w:b/>
                <w:szCs w:val="21"/>
              </w:rPr>
              <w:t>2</w:t>
            </w:r>
            <w:r>
              <w:rPr>
                <w:b/>
                <w:szCs w:val="21"/>
              </w:rPr>
              <w:t>.1</w:t>
            </w:r>
            <w:r>
              <w:rPr>
                <w:rFonts w:hint="eastAsia"/>
                <w:b/>
                <w:szCs w:val="21"/>
              </w:rPr>
              <w:t>产业政策符合性分析</w:t>
            </w:r>
          </w:p>
          <w:p>
            <w:pPr>
              <w:adjustRightInd w:val="0"/>
              <w:snapToGrid w:val="0"/>
              <w:spacing w:line="400" w:lineRule="exact"/>
              <w:ind w:firstLine="420" w:firstLineChars="200"/>
              <w:rPr>
                <w:bCs/>
                <w:szCs w:val="21"/>
              </w:rPr>
            </w:pPr>
            <w:r>
              <w:rPr>
                <w:rFonts w:hint="eastAsia"/>
                <w:bCs/>
                <w:szCs w:val="21"/>
              </w:rPr>
              <w:t>本项目不属于《产业结构调整指导目录》（</w:t>
            </w:r>
            <w:r>
              <w:rPr>
                <w:bCs/>
                <w:szCs w:val="21"/>
              </w:rPr>
              <w:t>2019</w:t>
            </w:r>
            <w:r>
              <w:rPr>
                <w:rFonts w:hint="eastAsia"/>
                <w:bCs/>
                <w:szCs w:val="21"/>
              </w:rPr>
              <w:t>年本）中限制和禁止类，为允许类；不属于《市场准入负面清单（</w:t>
            </w:r>
            <w:r>
              <w:rPr>
                <w:bCs/>
                <w:szCs w:val="21"/>
              </w:rPr>
              <w:t>2022</w:t>
            </w:r>
            <w:r>
              <w:rPr>
                <w:rFonts w:hint="eastAsia"/>
                <w:bCs/>
                <w:szCs w:val="21"/>
              </w:rPr>
              <w:t>年版）》中禁止类；不属于《河北省新增限制和淘汰类产业目录</w:t>
            </w:r>
            <w:r>
              <w:rPr>
                <w:bCs/>
                <w:szCs w:val="21"/>
              </w:rPr>
              <w:t>(2015</w:t>
            </w:r>
            <w:r>
              <w:rPr>
                <w:rFonts w:hint="eastAsia"/>
                <w:bCs/>
                <w:szCs w:val="21"/>
              </w:rPr>
              <w:t>年本</w:t>
            </w:r>
            <w:r>
              <w:rPr>
                <w:bCs/>
                <w:szCs w:val="21"/>
              </w:rPr>
              <w:t>)</w:t>
            </w:r>
            <w:r>
              <w:rPr>
                <w:rFonts w:hint="eastAsia"/>
                <w:bCs/>
                <w:szCs w:val="21"/>
              </w:rPr>
              <w:t>》中限制类、淘汰类建设项目；不属于《秦皇岛市限制和禁止投资的产业目录》（</w:t>
            </w:r>
            <w:r>
              <w:rPr>
                <w:bCs/>
                <w:szCs w:val="21"/>
              </w:rPr>
              <w:t>2020</w:t>
            </w:r>
            <w:r>
              <w:rPr>
                <w:rFonts w:hint="eastAsia"/>
                <w:bCs/>
                <w:szCs w:val="21"/>
              </w:rPr>
              <w:t>年修订版）中项目，符合国家产业政策</w:t>
            </w:r>
            <w:r>
              <w:rPr>
                <w:bCs/>
                <w:szCs w:val="21"/>
              </w:rPr>
              <w:t>。</w:t>
            </w:r>
          </w:p>
          <w:p>
            <w:pPr>
              <w:adjustRightInd w:val="0"/>
              <w:snapToGrid w:val="0"/>
              <w:spacing w:line="400" w:lineRule="exact"/>
              <w:ind w:firstLine="422" w:firstLineChars="200"/>
              <w:rPr>
                <w:b/>
                <w:szCs w:val="21"/>
              </w:rPr>
            </w:pPr>
            <w:r>
              <w:rPr>
                <w:rFonts w:hint="eastAsia"/>
                <w:b/>
                <w:szCs w:val="21"/>
              </w:rPr>
              <w:t>2</w:t>
            </w:r>
            <w:r>
              <w:rPr>
                <w:b/>
                <w:szCs w:val="21"/>
              </w:rPr>
              <w:t>.2</w:t>
            </w:r>
            <w:r>
              <w:rPr>
                <w:rFonts w:hint="eastAsia"/>
                <w:b/>
                <w:szCs w:val="21"/>
              </w:rPr>
              <w:t>地方政策符合性分析</w:t>
            </w:r>
          </w:p>
          <w:p>
            <w:pPr>
              <w:adjustRightInd w:val="0"/>
              <w:snapToGrid w:val="0"/>
              <w:spacing w:line="400" w:lineRule="exact"/>
              <w:ind w:firstLine="420" w:firstLineChars="200"/>
            </w:pPr>
            <w:r>
              <w:rPr>
                <w:rFonts w:hint="eastAsia"/>
              </w:rPr>
              <w:t>（</w:t>
            </w:r>
            <w:r>
              <w:t>1</w:t>
            </w:r>
            <w:r>
              <w:rPr>
                <w:rFonts w:hint="eastAsia"/>
              </w:rPr>
              <w:t>）与秦皇岛市生态环境保护委员会办公室《关于印发秦皇岛市2021年大气污染防治工作方案的通知》（秦生态环保办[2021]3号）相符性分析：</w:t>
            </w:r>
          </w:p>
          <w:p>
            <w:pPr>
              <w:adjustRightInd w:val="0"/>
              <w:snapToGrid w:val="0"/>
              <w:spacing w:line="400" w:lineRule="exact"/>
              <w:ind w:firstLine="422" w:firstLineChars="200"/>
              <w:jc w:val="center"/>
            </w:pPr>
            <w:r>
              <w:rPr>
                <w:rFonts w:hint="eastAsia"/>
                <w:b/>
                <w:bCs/>
                <w:kern w:val="0"/>
                <w:szCs w:val="21"/>
              </w:rPr>
              <w:t>表1</w:t>
            </w:r>
            <w:r>
              <w:rPr>
                <w:b/>
                <w:bCs/>
                <w:kern w:val="0"/>
                <w:szCs w:val="21"/>
              </w:rPr>
              <w:t xml:space="preserve">-6  </w:t>
            </w:r>
            <w:r>
              <w:rPr>
                <w:rFonts w:hint="eastAsia"/>
                <w:b/>
                <w:bCs/>
                <w:kern w:val="0"/>
                <w:szCs w:val="21"/>
              </w:rPr>
              <w:t>与秦生态环保办[2021]3号的符合性分析</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2"/>
              <w:gridCol w:w="3789"/>
              <w:gridCol w:w="1652"/>
              <w:gridCol w:w="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21" w:type="pct"/>
                  <w:gridSpan w:val="2"/>
                  <w:vAlign w:val="center"/>
                </w:tcPr>
                <w:p>
                  <w:pPr>
                    <w:adjustRightInd w:val="0"/>
                    <w:snapToGrid w:val="0"/>
                    <w:jc w:val="center"/>
                  </w:pPr>
                  <w:r>
                    <w:rPr>
                      <w:rFonts w:hint="eastAsia"/>
                    </w:rPr>
                    <w:t>文件要求</w:t>
                  </w:r>
                </w:p>
              </w:tc>
              <w:tc>
                <w:tcPr>
                  <w:tcW w:w="1247" w:type="pct"/>
                  <w:vAlign w:val="center"/>
                </w:tcPr>
                <w:p>
                  <w:pPr>
                    <w:adjustRightInd w:val="0"/>
                    <w:snapToGrid w:val="0"/>
                    <w:jc w:val="center"/>
                  </w:pPr>
                  <w:r>
                    <w:rPr>
                      <w:rFonts w:hint="eastAsia"/>
                    </w:rPr>
                    <w:t>本项目情况</w:t>
                  </w:r>
                </w:p>
              </w:tc>
              <w:tc>
                <w:tcPr>
                  <w:tcW w:w="332" w:type="pct"/>
                  <w:vAlign w:val="center"/>
                </w:tcPr>
                <w:p>
                  <w:pPr>
                    <w:adjustRightInd w:val="0"/>
                    <w:snapToGrid w:val="0"/>
                    <w:jc w:val="center"/>
                  </w:pPr>
                  <w:r>
                    <w:rPr>
                      <w:rFonts w:hint="eastAsia"/>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60" w:type="pct"/>
                  <w:vAlign w:val="center"/>
                </w:tcPr>
                <w:p>
                  <w:pPr>
                    <w:adjustRightInd w:val="0"/>
                    <w:snapToGrid w:val="0"/>
                    <w:jc w:val="center"/>
                  </w:pPr>
                  <w:r>
                    <w:rPr>
                      <w:rFonts w:hint="eastAsia"/>
                    </w:rPr>
                    <w:t>强化源头控制</w:t>
                  </w:r>
                </w:p>
              </w:tc>
              <w:tc>
                <w:tcPr>
                  <w:tcW w:w="2860" w:type="pct"/>
                  <w:vAlign w:val="center"/>
                </w:tcPr>
                <w:p>
                  <w:pPr>
                    <w:adjustRightInd w:val="0"/>
                    <w:snapToGrid w:val="0"/>
                    <w:jc w:val="center"/>
                  </w:pPr>
                  <w:r>
                    <w:rPr>
                      <w:rFonts w:hint="eastAsia"/>
                      <w:szCs w:val="21"/>
                    </w:rPr>
                    <w:t>加强工业涂装、包装印刷、家具制造、建筑装饰等行业原辅材料源头替代，推广低（无）VOCs含量原辅材料和产品，减少卤化、芳香性溶剂等高VOCs含量原辅材料使用。</w:t>
                  </w:r>
                  <w:r>
                    <w:rPr>
                      <w:szCs w:val="21"/>
                    </w:rPr>
                    <w:t>将全面使用符合国家要求的低VOCs含量原辅材料的企业纳入正面清单，在无组织收集、末端治理设施给予政策支持。</w:t>
                  </w:r>
                </w:p>
              </w:tc>
              <w:tc>
                <w:tcPr>
                  <w:tcW w:w="1247" w:type="pct"/>
                  <w:vAlign w:val="center"/>
                </w:tcPr>
                <w:p>
                  <w:pPr>
                    <w:adjustRightInd w:val="0"/>
                    <w:snapToGrid w:val="0"/>
                    <w:jc w:val="center"/>
                  </w:pPr>
                  <w:r>
                    <w:rPr>
                      <w:rFonts w:hint="eastAsia"/>
                    </w:rPr>
                    <w:t>本项目不属于上述行业类别，同时原料为固态树脂，工艺过程密闭，废气收集处理后排放</w:t>
                  </w:r>
                </w:p>
              </w:tc>
              <w:tc>
                <w:tcPr>
                  <w:tcW w:w="332" w:type="pct"/>
                  <w:vAlign w:val="center"/>
                </w:tcPr>
                <w:p>
                  <w:pPr>
                    <w:adjustRightInd w:val="0"/>
                    <w:snapToGrid w:val="0"/>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0" w:type="pct"/>
                  <w:vAlign w:val="center"/>
                </w:tcPr>
                <w:p>
                  <w:pPr>
                    <w:adjustRightInd w:val="0"/>
                    <w:snapToGrid w:val="0"/>
                    <w:jc w:val="center"/>
                  </w:pPr>
                  <w:r>
                    <w:rPr>
                      <w:rFonts w:hint="eastAsia"/>
                      <w:szCs w:val="21"/>
                    </w:rPr>
                    <w:t>加强涉VOCs企业深度治理</w:t>
                  </w:r>
                </w:p>
              </w:tc>
              <w:tc>
                <w:tcPr>
                  <w:tcW w:w="2860" w:type="pct"/>
                  <w:vAlign w:val="center"/>
                </w:tcPr>
                <w:p>
                  <w:pPr>
                    <w:adjustRightInd w:val="0"/>
                    <w:snapToGrid w:val="0"/>
                    <w:jc w:val="center"/>
                  </w:pPr>
                  <w:r>
                    <w:rPr>
                      <w:rFonts w:hint="eastAsia"/>
                      <w:szCs w:val="21"/>
                    </w:rPr>
                    <w:t>对全市141家VOCs企业编制“一厂一策”方案，开展源头替代、工艺过程、无组织管控、末端治理全流程治理评估。</w:t>
                  </w:r>
                </w:p>
              </w:tc>
              <w:tc>
                <w:tcPr>
                  <w:tcW w:w="1247" w:type="pct"/>
                  <w:vAlign w:val="center"/>
                </w:tcPr>
                <w:p>
                  <w:pPr>
                    <w:adjustRightInd w:val="0"/>
                    <w:snapToGrid w:val="0"/>
                    <w:jc w:val="center"/>
                  </w:pPr>
                  <w:r>
                    <w:rPr>
                      <w:rFonts w:hint="eastAsia"/>
                    </w:rPr>
                    <w:t>本项目不在上述1</w:t>
                  </w:r>
                  <w:r>
                    <w:t>41</w:t>
                  </w:r>
                  <w:r>
                    <w:rPr>
                      <w:rFonts w:hint="eastAsia"/>
                    </w:rPr>
                    <w:t>家</w:t>
                  </w:r>
                  <w:r>
                    <w:rPr>
                      <w:rFonts w:hint="eastAsia"/>
                      <w:szCs w:val="21"/>
                    </w:rPr>
                    <w:t>VOCs企业，评价要求按照相关要求编制“一厂一策”方案</w:t>
                  </w:r>
                </w:p>
              </w:tc>
              <w:tc>
                <w:tcPr>
                  <w:tcW w:w="332" w:type="pct"/>
                  <w:vAlign w:val="center"/>
                </w:tcPr>
                <w:p>
                  <w:pPr>
                    <w:adjustRightInd w:val="0"/>
                    <w:snapToGrid w:val="0"/>
                    <w:jc w:val="center"/>
                  </w:pPr>
                  <w:r>
                    <w:rPr>
                      <w:rFonts w:hint="eastAsia"/>
                    </w:rPr>
                    <w:t>符合</w:t>
                  </w:r>
                </w:p>
              </w:tc>
            </w:tr>
          </w:tbl>
          <w:p>
            <w:pPr>
              <w:adjustRightInd w:val="0"/>
              <w:snapToGrid w:val="0"/>
              <w:spacing w:line="400" w:lineRule="exact"/>
              <w:ind w:firstLine="420" w:firstLineChars="200"/>
              <w:rPr>
                <w:b/>
                <w:szCs w:val="21"/>
              </w:rPr>
            </w:pPr>
            <w:r>
              <w:rPr>
                <w:rFonts w:hint="eastAsia"/>
                <w:kern w:val="0"/>
                <w:szCs w:val="21"/>
              </w:rPr>
              <w:t>由上可知，本项目可以满足</w:t>
            </w:r>
            <w:r>
              <w:rPr>
                <w:rFonts w:hint="eastAsia"/>
              </w:rPr>
              <w:t>《关于印发秦皇岛市2021年大气污染防治工作方案的通知》（秦生态环保办[2021]3号）相关要求。</w:t>
            </w:r>
          </w:p>
          <w:bookmarkEnd w:id="1"/>
          <w:p>
            <w:pPr>
              <w:adjustRightInd w:val="0"/>
              <w:snapToGrid w:val="0"/>
              <w:spacing w:line="400" w:lineRule="exact"/>
              <w:ind w:firstLine="420" w:firstLineChars="200"/>
              <w:rPr>
                <w:kern w:val="0"/>
                <w:szCs w:val="21"/>
              </w:rPr>
            </w:pPr>
            <w:r>
              <w:rPr>
                <w:rFonts w:hint="eastAsia"/>
                <w:kern w:val="0"/>
                <w:szCs w:val="21"/>
              </w:rPr>
              <w:t>（4）与《关于进一步做好建设项目大气主要污染物排放总量指标审核管理工作的通知》（冀环办字函〔2020〕247号）符合性分析</w:t>
            </w:r>
          </w:p>
          <w:p>
            <w:pPr>
              <w:spacing w:line="400" w:lineRule="exact"/>
              <w:jc w:val="center"/>
              <w:rPr>
                <w:b/>
                <w:szCs w:val="21"/>
              </w:rPr>
            </w:pPr>
            <w:r>
              <w:rPr>
                <w:rFonts w:hint="eastAsia"/>
                <w:b/>
                <w:szCs w:val="21"/>
              </w:rPr>
              <w:t>表</w:t>
            </w:r>
            <w:r>
              <w:rPr>
                <w:b/>
                <w:szCs w:val="21"/>
              </w:rPr>
              <w:t xml:space="preserve">1-7   </w:t>
            </w:r>
            <w:r>
              <w:rPr>
                <w:rFonts w:hint="eastAsia"/>
                <w:b/>
                <w:szCs w:val="21"/>
              </w:rPr>
              <w:t>与冀环办字函〔2020〕247号文符合性分析</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9"/>
              <w:gridCol w:w="1557"/>
              <w:gridCol w:w="4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jc w:val="center"/>
                    <w:rPr>
                      <w:szCs w:val="21"/>
                    </w:rPr>
                  </w:pPr>
                  <w:r>
                    <w:rPr>
                      <w:rFonts w:hint="eastAsia"/>
                      <w:szCs w:val="21"/>
                    </w:rPr>
                    <w:t>文件要求</w:t>
                  </w:r>
                </w:p>
              </w:tc>
              <w:tc>
                <w:tcPr>
                  <w:tcW w:w="0" w:type="auto"/>
                  <w:vAlign w:val="center"/>
                </w:tcPr>
                <w:p>
                  <w:pPr>
                    <w:jc w:val="center"/>
                    <w:rPr>
                      <w:szCs w:val="21"/>
                    </w:rPr>
                  </w:pPr>
                  <w:r>
                    <w:rPr>
                      <w:rFonts w:hint="eastAsia"/>
                      <w:szCs w:val="21"/>
                    </w:rPr>
                    <w:t>本项目情况</w:t>
                  </w:r>
                </w:p>
              </w:tc>
              <w:tc>
                <w:tcPr>
                  <w:tcW w:w="0" w:type="auto"/>
                  <w:vAlign w:val="center"/>
                </w:tcPr>
                <w:p>
                  <w:pPr>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jc w:val="center"/>
                    <w:rPr>
                      <w:szCs w:val="21"/>
                    </w:rPr>
                  </w:pPr>
                  <w:r>
                    <w:rPr>
                      <w:rFonts w:hint="eastAsia"/>
                      <w:szCs w:val="21"/>
                    </w:rPr>
                    <w:t>环境空气6项因子（二氧化硫、二氧化氮、一氧化碳、臭氧、PM</w:t>
                  </w:r>
                  <w:r>
                    <w:rPr>
                      <w:rFonts w:hint="eastAsia"/>
                      <w:szCs w:val="21"/>
                      <w:vertAlign w:val="subscript"/>
                    </w:rPr>
                    <w:t>2.5</w:t>
                  </w:r>
                  <w:r>
                    <w:rPr>
                      <w:rFonts w:hint="eastAsia"/>
                      <w:szCs w:val="21"/>
                    </w:rPr>
                    <w:t>、PM</w:t>
                  </w:r>
                  <w:r>
                    <w:rPr>
                      <w:rFonts w:hint="eastAsia"/>
                      <w:szCs w:val="21"/>
                      <w:vertAlign w:val="subscript"/>
                    </w:rPr>
                    <w:t>10</w:t>
                  </w:r>
                  <w:r>
                    <w:rPr>
                      <w:rFonts w:hint="eastAsia"/>
                      <w:szCs w:val="21"/>
                    </w:rPr>
                    <w:t>）年均浓度未达到国家二级标准的设区市以及定州、辛集市，不得新增区域污染物排放量，加大现有污染源排放削减力度，严格控制新增排放量，确保完成年度减排目标。排放主要污染物的建设项目，环境影响评价文件（以下简称环评文件）审批前必须取得主要污染物排放总量指标</w:t>
                  </w:r>
                </w:p>
              </w:tc>
              <w:tc>
                <w:tcPr>
                  <w:tcW w:w="0" w:type="auto"/>
                  <w:vAlign w:val="center"/>
                </w:tcPr>
                <w:p>
                  <w:pPr>
                    <w:jc w:val="center"/>
                    <w:rPr>
                      <w:szCs w:val="21"/>
                    </w:rPr>
                  </w:pPr>
                  <w:r>
                    <w:rPr>
                      <w:rFonts w:hint="eastAsia"/>
                      <w:bCs/>
                    </w:rPr>
                    <w:t>本项目所在区域臭氧不达标，项目主要污染物为非甲烷总烃，核算排放量为0</w:t>
                  </w:r>
                  <w:r>
                    <w:rPr>
                      <w:bCs/>
                    </w:rPr>
                    <w:t>.139 t/a</w:t>
                  </w:r>
                </w:p>
              </w:tc>
              <w:tc>
                <w:tcPr>
                  <w:tcW w:w="0" w:type="auto"/>
                  <w:vAlign w:val="center"/>
                </w:tcPr>
                <w:p>
                  <w:pPr>
                    <w:jc w:val="center"/>
                    <w:rPr>
                      <w:szCs w:val="21"/>
                    </w:rPr>
                  </w:pPr>
                  <w:r>
                    <w:rPr>
                      <w:rFonts w:hint="eastAsia"/>
                      <w:szCs w:val="21"/>
                    </w:rPr>
                    <w:t>符合</w:t>
                  </w:r>
                </w:p>
              </w:tc>
            </w:tr>
          </w:tbl>
          <w:p>
            <w:pPr>
              <w:adjustRightInd w:val="0"/>
              <w:snapToGrid w:val="0"/>
              <w:spacing w:line="400" w:lineRule="exact"/>
              <w:ind w:firstLine="420" w:firstLineChars="200"/>
              <w:rPr>
                <w:kern w:val="0"/>
                <w:szCs w:val="21"/>
              </w:rPr>
            </w:pPr>
            <w:r>
              <w:rPr>
                <w:rFonts w:hint="eastAsia"/>
                <w:kern w:val="0"/>
                <w:szCs w:val="21"/>
              </w:rPr>
              <w:t>由上可知，本项目可以符合《关于进一步做好建设项目大气主要污染物排放总量指标审核管理工作的通知》（冀环办字函〔2020〕247号）的要求。</w:t>
            </w:r>
          </w:p>
          <w:p>
            <w:pPr>
              <w:adjustRightInd w:val="0"/>
              <w:snapToGrid w:val="0"/>
              <w:spacing w:line="400" w:lineRule="exact"/>
              <w:ind w:firstLine="420" w:firstLineChars="200"/>
              <w:rPr>
                <w:kern w:val="0"/>
                <w:szCs w:val="21"/>
              </w:rPr>
            </w:pPr>
            <w:r>
              <w:rPr>
                <w:rFonts w:hint="eastAsia"/>
                <w:kern w:val="0"/>
                <w:szCs w:val="21"/>
              </w:rPr>
              <w:t>（5）与《关于做好建设项目VOCs排放总量指标确认及管理的通知》（秦皇岛市生态环境局，2</w:t>
            </w:r>
            <w:r>
              <w:rPr>
                <w:kern w:val="0"/>
                <w:szCs w:val="21"/>
              </w:rPr>
              <w:t>021</w:t>
            </w:r>
            <w:r>
              <w:rPr>
                <w:rFonts w:hint="eastAsia"/>
                <w:kern w:val="0"/>
                <w:szCs w:val="21"/>
              </w:rPr>
              <w:t>年3月1</w:t>
            </w:r>
            <w:r>
              <w:rPr>
                <w:kern w:val="0"/>
                <w:szCs w:val="21"/>
              </w:rPr>
              <w:t>9</w:t>
            </w:r>
            <w:r>
              <w:rPr>
                <w:rFonts w:hint="eastAsia"/>
                <w:kern w:val="0"/>
                <w:szCs w:val="21"/>
              </w:rPr>
              <w:t>日）</w:t>
            </w:r>
          </w:p>
          <w:p>
            <w:pPr>
              <w:spacing w:line="400" w:lineRule="exact"/>
              <w:jc w:val="center"/>
              <w:rPr>
                <w:b/>
                <w:szCs w:val="21"/>
              </w:rPr>
            </w:pPr>
            <w:r>
              <w:rPr>
                <w:rFonts w:hint="eastAsia"/>
                <w:b/>
                <w:szCs w:val="21"/>
              </w:rPr>
              <w:t>表</w:t>
            </w:r>
            <w:r>
              <w:rPr>
                <w:b/>
                <w:szCs w:val="21"/>
              </w:rPr>
              <w:t xml:space="preserve">1-8   </w:t>
            </w:r>
            <w:r>
              <w:rPr>
                <w:rFonts w:hint="eastAsia"/>
                <w:b/>
                <w:szCs w:val="21"/>
              </w:rPr>
              <w:t>与关于做好建设项目VOCs排放总量指标确认及管理的通知的符合性分析</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79"/>
              <w:gridCol w:w="2103"/>
              <w:gridCol w:w="5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jc w:val="center"/>
                    <w:rPr>
                      <w:szCs w:val="21"/>
                    </w:rPr>
                  </w:pPr>
                  <w:r>
                    <w:rPr>
                      <w:rFonts w:hint="eastAsia"/>
                      <w:szCs w:val="21"/>
                    </w:rPr>
                    <w:t>文件要求</w:t>
                  </w:r>
                </w:p>
              </w:tc>
              <w:tc>
                <w:tcPr>
                  <w:tcW w:w="0" w:type="auto"/>
                  <w:vAlign w:val="center"/>
                </w:tcPr>
                <w:p>
                  <w:pPr>
                    <w:jc w:val="center"/>
                    <w:rPr>
                      <w:szCs w:val="21"/>
                    </w:rPr>
                  </w:pPr>
                  <w:r>
                    <w:rPr>
                      <w:rFonts w:hint="eastAsia"/>
                      <w:szCs w:val="21"/>
                    </w:rPr>
                    <w:t>本项目情况</w:t>
                  </w:r>
                </w:p>
              </w:tc>
              <w:tc>
                <w:tcPr>
                  <w:tcW w:w="0" w:type="auto"/>
                  <w:vAlign w:val="center"/>
                </w:tcPr>
                <w:p>
                  <w:pPr>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jc w:val="center"/>
                    <w:rPr>
                      <w:szCs w:val="21"/>
                    </w:rPr>
                  </w:pPr>
                  <w:r>
                    <w:rPr>
                      <w:rFonts w:hint="eastAsia"/>
                      <w:szCs w:val="21"/>
                    </w:rPr>
                    <w:t>“十四五”期间，VOCs纳入大气主要污染物总量控制，为规范建设项目VOCs排放总量确认及管理工作，严格控制新增VOCs排放量</w:t>
                  </w:r>
                </w:p>
              </w:tc>
              <w:tc>
                <w:tcPr>
                  <w:tcW w:w="0" w:type="auto"/>
                  <w:vAlign w:val="center"/>
                </w:tcPr>
                <w:p>
                  <w:pPr>
                    <w:jc w:val="center"/>
                    <w:rPr>
                      <w:szCs w:val="21"/>
                    </w:rPr>
                  </w:pPr>
                  <w:r>
                    <w:rPr>
                      <w:rFonts w:hint="eastAsia"/>
                      <w:bCs/>
                    </w:rPr>
                    <w:t>项目主要污染物为非甲烷总烃，核算有组织排放量为0</w:t>
                  </w:r>
                  <w:r>
                    <w:rPr>
                      <w:bCs/>
                    </w:rPr>
                    <w:t>.096 t/a</w:t>
                  </w:r>
                </w:p>
              </w:tc>
              <w:tc>
                <w:tcPr>
                  <w:tcW w:w="0" w:type="auto"/>
                  <w:vAlign w:val="center"/>
                </w:tcPr>
                <w:p>
                  <w:pPr>
                    <w:jc w:val="center"/>
                    <w:rPr>
                      <w:szCs w:val="21"/>
                    </w:rPr>
                  </w:pPr>
                  <w:r>
                    <w:rPr>
                      <w:rFonts w:hint="eastAsia"/>
                      <w:szCs w:val="21"/>
                    </w:rPr>
                    <w:t>符合</w:t>
                  </w:r>
                </w:p>
              </w:tc>
            </w:tr>
          </w:tbl>
          <w:p>
            <w:pPr>
              <w:adjustRightInd w:val="0"/>
              <w:snapToGrid w:val="0"/>
              <w:spacing w:line="400" w:lineRule="exact"/>
              <w:ind w:firstLine="420" w:firstLineChars="200"/>
              <w:rPr>
                <w:kern w:val="0"/>
                <w:szCs w:val="21"/>
              </w:rPr>
            </w:pPr>
            <w:r>
              <w:rPr>
                <w:rFonts w:hint="eastAsia"/>
                <w:kern w:val="0"/>
                <w:szCs w:val="21"/>
              </w:rPr>
              <w:t>由上可知，本项目可以符合《关于做好建设项目VOCs排放总量指标确认及管理的通知》（秦皇岛市生态环境局，2</w:t>
            </w:r>
            <w:r>
              <w:rPr>
                <w:kern w:val="0"/>
                <w:szCs w:val="21"/>
              </w:rPr>
              <w:t>021</w:t>
            </w:r>
            <w:r>
              <w:rPr>
                <w:rFonts w:hint="eastAsia"/>
                <w:kern w:val="0"/>
                <w:szCs w:val="21"/>
              </w:rPr>
              <w:t>年3月1</w:t>
            </w:r>
            <w:r>
              <w:rPr>
                <w:kern w:val="0"/>
                <w:szCs w:val="21"/>
              </w:rPr>
              <w:t>9</w:t>
            </w:r>
            <w:r>
              <w:rPr>
                <w:rFonts w:hint="eastAsia"/>
                <w:kern w:val="0"/>
                <w:szCs w:val="21"/>
              </w:rPr>
              <w:t>日）的要求。</w:t>
            </w:r>
          </w:p>
          <w:p>
            <w:pPr>
              <w:adjustRightInd w:val="0"/>
              <w:snapToGrid w:val="0"/>
              <w:spacing w:line="400" w:lineRule="exact"/>
              <w:rPr>
                <w:b/>
                <w:szCs w:val="21"/>
              </w:rPr>
            </w:pPr>
            <w:r>
              <w:rPr>
                <w:b/>
                <w:szCs w:val="21"/>
              </w:rPr>
              <w:t>3、生态环境保护规划的符合性</w:t>
            </w:r>
          </w:p>
          <w:p>
            <w:pPr>
              <w:adjustRightInd w:val="0"/>
              <w:snapToGrid w:val="0"/>
              <w:spacing w:line="400" w:lineRule="exact"/>
              <w:ind w:firstLine="420" w:firstLineChars="200"/>
              <w:rPr>
                <w:kern w:val="0"/>
                <w:szCs w:val="21"/>
              </w:rPr>
            </w:pPr>
            <w:r>
              <w:rPr>
                <w:rFonts w:hint="eastAsia"/>
                <w:kern w:val="0"/>
                <w:szCs w:val="21"/>
              </w:rPr>
              <w:t>对照国家及地方环境保护相关规范、政策要求，分析如下：</w:t>
            </w:r>
          </w:p>
          <w:p>
            <w:pPr>
              <w:spacing w:line="400" w:lineRule="exact"/>
              <w:jc w:val="center"/>
              <w:rPr>
                <w:b/>
                <w:szCs w:val="21"/>
              </w:rPr>
            </w:pPr>
            <w:r>
              <w:rPr>
                <w:rFonts w:hint="eastAsia"/>
                <w:b/>
                <w:szCs w:val="21"/>
              </w:rPr>
              <w:t>表1</w:t>
            </w:r>
            <w:r>
              <w:rPr>
                <w:b/>
                <w:szCs w:val="21"/>
              </w:rPr>
              <w:t xml:space="preserve">-9     </w:t>
            </w:r>
            <w:r>
              <w:rPr>
                <w:rFonts w:hint="eastAsia"/>
                <w:b/>
                <w:szCs w:val="21"/>
              </w:rPr>
              <w:t>其他政策、规范符合性分析一览表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39"/>
              <w:gridCol w:w="2543"/>
              <w:gridCol w:w="1862"/>
              <w:gridCol w:w="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政策、规范</w:t>
                  </w: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相关要求</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本项目情况</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《国务院关于印发大气污染防治行动计划的通知》</w:t>
                  </w: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推进挥发性有机物污染治理</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本项目拟对产生的有机废气收集处理后排放</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w:t>
                  </w:r>
                  <w:r>
                    <w:rPr>
                      <w:szCs w:val="21"/>
                    </w:rPr>
                    <w:t>“</w:t>
                  </w:r>
                  <w:r>
                    <w:rPr>
                      <w:rFonts w:hint="eastAsia"/>
                      <w:szCs w:val="21"/>
                    </w:rPr>
                    <w:t>十三五</w:t>
                  </w:r>
                  <w:r>
                    <w:rPr>
                      <w:szCs w:val="21"/>
                    </w:rPr>
                    <w:t>”</w:t>
                  </w:r>
                  <w:r>
                    <w:rPr>
                      <w:rFonts w:hint="eastAsia"/>
                      <w:szCs w:val="21"/>
                    </w:rPr>
                    <w:t>挥发性有机物污染防治工作方案》</w:t>
                  </w: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w:t>
                  </w:r>
                  <w:r>
                    <w:rPr>
                      <w:rFonts w:hint="eastAsia"/>
                      <w:szCs w:val="21"/>
                    </w:rPr>
                    <w:t>、新建涉</w:t>
                  </w:r>
                  <w:r>
                    <w:rPr>
                      <w:szCs w:val="21"/>
                    </w:rPr>
                    <w:t>VOCs</w:t>
                  </w:r>
                  <w:r>
                    <w:rPr>
                      <w:rFonts w:hint="eastAsia"/>
                      <w:szCs w:val="21"/>
                    </w:rPr>
                    <w:t>排放的工业企业要入园区；</w:t>
                  </w:r>
                </w:p>
                <w:p>
                  <w:pPr>
                    <w:jc w:val="center"/>
                    <w:rPr>
                      <w:szCs w:val="21"/>
                    </w:rPr>
                  </w:pPr>
                  <w:r>
                    <w:rPr>
                      <w:szCs w:val="21"/>
                    </w:rPr>
                    <w:t>2</w:t>
                  </w:r>
                  <w:r>
                    <w:rPr>
                      <w:rFonts w:hint="eastAsia"/>
                      <w:szCs w:val="21"/>
                    </w:rPr>
                    <w:t>、新、改、扩涉</w:t>
                  </w:r>
                  <w:r>
                    <w:rPr>
                      <w:szCs w:val="21"/>
                    </w:rPr>
                    <w:t>VOCs</w:t>
                  </w:r>
                  <w:r>
                    <w:rPr>
                      <w:rFonts w:hint="eastAsia"/>
                      <w:szCs w:val="21"/>
                    </w:rPr>
                    <w:t>排放项目，应从源头加强控制，使用低（无）</w:t>
                  </w:r>
                  <w:r>
                    <w:rPr>
                      <w:szCs w:val="21"/>
                    </w:rPr>
                    <w:t>VOCs</w:t>
                  </w:r>
                  <w:r>
                    <w:rPr>
                      <w:rFonts w:hint="eastAsia"/>
                      <w:szCs w:val="21"/>
                    </w:rPr>
                    <w:t>含量的原辅材料，加强废气收集，安装高效治理设施。</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本项目为新建，选址位于园区内，主要原料为聚丙烯和聚乙烯，V</w:t>
                  </w:r>
                  <w:r>
                    <w:rPr>
                      <w:szCs w:val="21"/>
                    </w:rPr>
                    <w:t>OCs</w:t>
                  </w:r>
                  <w:r>
                    <w:rPr>
                      <w:rFonts w:hint="eastAsia"/>
                      <w:szCs w:val="21"/>
                    </w:rPr>
                    <w:t>含量低，同时采用过滤棉+</w:t>
                  </w:r>
                  <w:r>
                    <w:rPr>
                      <w:szCs w:val="21"/>
                    </w:rPr>
                    <w:t>2</w:t>
                  </w:r>
                  <w:r>
                    <w:rPr>
                      <w:rFonts w:hint="eastAsia"/>
                      <w:szCs w:val="21"/>
                    </w:rPr>
                    <w:t>级活性炭吸附处理后排放</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w:t>
                  </w:r>
                  <w:r>
                    <w:rPr>
                      <w:szCs w:val="21"/>
                    </w:rPr>
                    <w:t>2020</w:t>
                  </w:r>
                  <w:r>
                    <w:rPr>
                      <w:rFonts w:hint="eastAsia"/>
                      <w:szCs w:val="21"/>
                    </w:rPr>
                    <w:t>年挥发性有机物治理攻坚方案》</w:t>
                  </w: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w:t>
                  </w:r>
                  <w:r>
                    <w:rPr>
                      <w:rFonts w:hint="eastAsia"/>
                      <w:szCs w:val="21"/>
                    </w:rPr>
                    <w:t>、企业应建立原辅材料台账，记录</w:t>
                  </w:r>
                  <w:r>
                    <w:rPr>
                      <w:szCs w:val="21"/>
                    </w:rPr>
                    <w:t>VOCs</w:t>
                  </w:r>
                  <w:r>
                    <w:rPr>
                      <w:rFonts w:hint="eastAsia"/>
                      <w:szCs w:val="21"/>
                    </w:rPr>
                    <w:t>原辅材料名称、成分、</w:t>
                  </w:r>
                  <w:r>
                    <w:rPr>
                      <w:szCs w:val="21"/>
                    </w:rPr>
                    <w:t>VOCs</w:t>
                  </w:r>
                  <w:r>
                    <w:rPr>
                      <w:rFonts w:hint="eastAsia"/>
                      <w:szCs w:val="21"/>
                    </w:rPr>
                    <w:t>含量、采购量、使用量、库存量、回收方式、回收量等信息，并保存相关证明材料；</w:t>
                  </w:r>
                </w:p>
                <w:p>
                  <w:pPr>
                    <w:jc w:val="center"/>
                    <w:rPr>
                      <w:szCs w:val="21"/>
                    </w:rPr>
                  </w:pPr>
                  <w:r>
                    <w:rPr>
                      <w:szCs w:val="21"/>
                    </w:rPr>
                    <w:t>2</w:t>
                  </w:r>
                  <w:r>
                    <w:rPr>
                      <w:rFonts w:hint="eastAsia"/>
                      <w:szCs w:val="21"/>
                    </w:rPr>
                    <w:t>、全面落实标准要求，强化无组织排放控制。</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本次评价要求企业建立</w:t>
                  </w:r>
                  <w:r>
                    <w:rPr>
                      <w:szCs w:val="21"/>
                    </w:rPr>
                    <w:t>VOCs</w:t>
                  </w:r>
                  <w:r>
                    <w:rPr>
                      <w:rFonts w:hint="eastAsia"/>
                      <w:szCs w:val="21"/>
                    </w:rPr>
                    <w:t>台账，涉</w:t>
                  </w:r>
                  <w:r>
                    <w:rPr>
                      <w:szCs w:val="21"/>
                    </w:rPr>
                    <w:t>VOCs</w:t>
                  </w:r>
                  <w:r>
                    <w:rPr>
                      <w:rFonts w:hint="eastAsia"/>
                      <w:szCs w:val="21"/>
                    </w:rPr>
                    <w:t>作业在车间内进行，并设置收集处理措施</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《重点行业挥发性有机物综合治理方案》（环大气【</w:t>
                  </w:r>
                  <w:r>
                    <w:rPr>
                      <w:szCs w:val="21"/>
                    </w:rPr>
                    <w:t>2019</w:t>
                  </w:r>
                  <w:r>
                    <w:rPr>
                      <w:rFonts w:hint="eastAsia"/>
                      <w:szCs w:val="21"/>
                    </w:rPr>
                    <w:t>】</w:t>
                  </w:r>
                  <w:r>
                    <w:rPr>
                      <w:szCs w:val="21"/>
                    </w:rPr>
                    <w:t>53</w:t>
                  </w:r>
                  <w:r>
                    <w:rPr>
                      <w:rFonts w:hint="eastAsia"/>
                      <w:szCs w:val="21"/>
                    </w:rPr>
                    <w:t>号）</w:t>
                  </w: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大力推进源头替代</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项目主要原料为聚丙烯、聚乙烯，常温常压下不挥发，加热过程</w:t>
                  </w:r>
                  <w:r>
                    <w:rPr>
                      <w:szCs w:val="21"/>
                    </w:rPr>
                    <w:t>VOCs</w:t>
                  </w:r>
                  <w:r>
                    <w:rPr>
                      <w:rFonts w:hint="eastAsia"/>
                      <w:szCs w:val="21"/>
                    </w:rPr>
                    <w:t>排放量很少，同时项目在车间内作业，有机废气收集处理后排放</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全面加强无组织排放控制。重点对含</w:t>
                  </w:r>
                  <w:r>
                    <w:rPr>
                      <w:szCs w:val="21"/>
                    </w:rPr>
                    <w:t xml:space="preserve"> VOCs </w:t>
                  </w:r>
                  <w:r>
                    <w:rPr>
                      <w:rFonts w:hint="eastAsia"/>
                      <w:szCs w:val="21"/>
                    </w:rPr>
                    <w:t>物料（包括含</w:t>
                  </w:r>
                  <w:r>
                    <w:rPr>
                      <w:szCs w:val="21"/>
                    </w:rPr>
                    <w:t xml:space="preserve">VOCs </w:t>
                  </w:r>
                  <w:r>
                    <w:rPr>
                      <w:rFonts w:hint="eastAsia"/>
                      <w:szCs w:val="21"/>
                    </w:rPr>
                    <w:t>原辅材料、含</w:t>
                  </w:r>
                  <w:r>
                    <w:rPr>
                      <w:szCs w:val="21"/>
                    </w:rPr>
                    <w:t xml:space="preserve"> VOCs </w:t>
                  </w:r>
                  <w:r>
                    <w:rPr>
                      <w:rFonts w:hint="eastAsia"/>
                      <w:szCs w:val="21"/>
                    </w:rPr>
                    <w:t>产品、含</w:t>
                  </w:r>
                  <w:r>
                    <w:rPr>
                      <w:szCs w:val="21"/>
                    </w:rPr>
                    <w:t xml:space="preserve"> VOCs </w:t>
                  </w:r>
                  <w:r>
                    <w:rPr>
                      <w:rFonts w:hint="eastAsia"/>
                      <w:szCs w:val="21"/>
                    </w:rPr>
                    <w:t>废料以及有机聚合物材料等）储存、转移和输送、设备与管线组件泄漏、敞开液面逸散以及工艺过程等五类排放源实施管控，通过采取设备与场所密闭、工艺改进、废气有效收集等措施，削减</w:t>
                  </w:r>
                  <w:r>
                    <w:rPr>
                      <w:szCs w:val="21"/>
                    </w:rPr>
                    <w:t xml:space="preserve"> VOCs</w:t>
                  </w:r>
                  <w:r>
                    <w:rPr>
                      <w:rFonts w:hint="eastAsia"/>
                      <w:szCs w:val="21"/>
                    </w:rPr>
                    <w:t>无组织排放</w:t>
                  </w:r>
                </w:p>
              </w:tc>
              <w:tc>
                <w:tcPr>
                  <w:tcW w:w="1406" w:type="pct"/>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项目主要原料聚丙烯、聚乙烯，常温常压下不挥发，工艺废过程密闭，废气进行收集处理后排放</w:t>
                  </w:r>
                </w:p>
              </w:tc>
              <w:tc>
                <w:tcPr>
                  <w:tcW w:w="361" w:type="pct"/>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提高废气收集率。遵循</w:t>
                  </w:r>
                  <w:r>
                    <w:rPr>
                      <w:szCs w:val="21"/>
                    </w:rPr>
                    <w:t>“</w:t>
                  </w:r>
                  <w:r>
                    <w:rPr>
                      <w:rFonts w:hint="eastAsia"/>
                      <w:szCs w:val="21"/>
                    </w:rPr>
                    <w:t>应收尽收、分质收集</w:t>
                  </w:r>
                  <w:r>
                    <w:rPr>
                      <w:szCs w:val="21"/>
                    </w:rPr>
                    <w:t>”</w:t>
                  </w:r>
                  <w:r>
                    <w:rPr>
                      <w:rFonts w:hint="eastAsia"/>
                      <w:szCs w:val="21"/>
                    </w:rPr>
                    <w:t>的原则，科学设计废气收集系统，将无组织排放转变为有组织排放进行控制。采用全密闭集气罩或密闭空间的，除行业有特殊要求外，应保持微负压状态，并根据相关规范合理设置通风量</w:t>
                  </w:r>
                </w:p>
              </w:tc>
              <w:tc>
                <w:tcPr>
                  <w:tcW w:w="1406"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361"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推进建设适宜高效的治污设施。</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本项目有机废气采用过滤棉+</w:t>
                  </w:r>
                  <w:r>
                    <w:rPr>
                      <w:szCs w:val="21"/>
                    </w:rPr>
                    <w:t>2</w:t>
                  </w:r>
                  <w:r>
                    <w:rPr>
                      <w:rFonts w:hint="eastAsia"/>
                      <w:szCs w:val="21"/>
                    </w:rPr>
                    <w:t>级活性炭吸附处理工艺</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加强设备与管线组件泄漏控制。企业中载有气态、液态</w:t>
                  </w:r>
                  <w:r>
                    <w:rPr>
                      <w:szCs w:val="21"/>
                    </w:rPr>
                    <w:t xml:space="preserve"> VOCs </w:t>
                  </w:r>
                  <w:r>
                    <w:rPr>
                      <w:rFonts w:hint="eastAsia"/>
                      <w:szCs w:val="21"/>
                    </w:rPr>
                    <w:t>物料的设备与管线组件，密封点数量大于等于</w:t>
                  </w:r>
                  <w:r>
                    <w:rPr>
                      <w:szCs w:val="21"/>
                    </w:rPr>
                    <w:t xml:space="preserve"> 2000 </w:t>
                  </w:r>
                  <w:r>
                    <w:rPr>
                      <w:rFonts w:hint="eastAsia"/>
                      <w:szCs w:val="21"/>
                    </w:rPr>
                    <w:t>个的，应按要求开展</w:t>
                  </w:r>
                  <w:r>
                    <w:rPr>
                      <w:szCs w:val="21"/>
                    </w:rPr>
                    <w:t xml:space="preserve"> LDAR </w:t>
                  </w:r>
                  <w:r>
                    <w:rPr>
                      <w:rFonts w:hint="eastAsia"/>
                      <w:szCs w:val="21"/>
                    </w:rPr>
                    <w:t>工作。石化企业按行业排放标准规定执行。</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本项目含</w:t>
                  </w:r>
                  <w:r>
                    <w:rPr>
                      <w:szCs w:val="21"/>
                    </w:rPr>
                    <w:t>VOCs</w:t>
                  </w:r>
                  <w:r>
                    <w:rPr>
                      <w:rFonts w:hint="eastAsia"/>
                      <w:szCs w:val="21"/>
                    </w:rPr>
                    <w:t>物料密封点数量小于</w:t>
                  </w:r>
                  <w:r>
                    <w:rPr>
                      <w:szCs w:val="21"/>
                    </w:rPr>
                    <w:t>2000</w:t>
                  </w:r>
                  <w:r>
                    <w:rPr>
                      <w:rFonts w:hint="eastAsia"/>
                      <w:szCs w:val="21"/>
                    </w:rPr>
                    <w:t>个。同时项目不属于石化行业</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企业新建治污设施或对现有治污设施实施改造，应依据排放废气的浓度、组分、风量，温度、湿度、压力，以及生产工况等，合理选择治理技术。鼓励企业采用多种技术的组合工艺，提高</w:t>
                  </w:r>
                  <w:r>
                    <w:rPr>
                      <w:szCs w:val="21"/>
                    </w:rPr>
                    <w:t xml:space="preserve">VOCs </w:t>
                  </w:r>
                  <w:r>
                    <w:rPr>
                      <w:rFonts w:hint="eastAsia"/>
                      <w:szCs w:val="21"/>
                    </w:rPr>
                    <w:t>治理效率。低浓度、大风量废气，宜采用沸石转轮吸附、活性炭吸附、减风增浓等浓缩技术，提高</w:t>
                  </w:r>
                  <w:r>
                    <w:rPr>
                      <w:szCs w:val="21"/>
                    </w:rPr>
                    <w:t xml:space="preserve"> VOCs </w:t>
                  </w:r>
                  <w:r>
                    <w:rPr>
                      <w:rFonts w:hint="eastAsia"/>
                      <w:szCs w:val="21"/>
                    </w:rPr>
                    <w:t>浓度后净化处理；高浓度废气，优先进行溶剂回收，难以回收的，宜采用高温焚烧、催化燃烧等技术。油气（溶剂）回收宜采用冷凝</w:t>
                  </w:r>
                  <w:r>
                    <w:rPr>
                      <w:szCs w:val="21"/>
                    </w:rPr>
                    <w:t>+</w:t>
                  </w:r>
                  <w:r>
                    <w:rPr>
                      <w:rFonts w:hint="eastAsia"/>
                      <w:szCs w:val="21"/>
                    </w:rPr>
                    <w:t>吸附、吸附</w:t>
                  </w:r>
                  <w:r>
                    <w:rPr>
                      <w:szCs w:val="21"/>
                    </w:rPr>
                    <w:t>+</w:t>
                  </w:r>
                  <w:r>
                    <w:rPr>
                      <w:rFonts w:hint="eastAsia"/>
                      <w:szCs w:val="21"/>
                    </w:rPr>
                    <w:t>吸收、膜分离</w:t>
                  </w:r>
                  <w:r>
                    <w:rPr>
                      <w:szCs w:val="21"/>
                    </w:rPr>
                    <w:t>+</w:t>
                  </w:r>
                  <w:r>
                    <w:rPr>
                      <w:rFonts w:hint="eastAsia"/>
                      <w:szCs w:val="21"/>
                    </w:rPr>
                    <w:t>吸附等技术。</w:t>
                  </w:r>
                  <w:r>
                    <w:rPr>
                      <w:szCs w:val="21"/>
                    </w:rPr>
                    <w:t>UV</w:t>
                  </w:r>
                  <w:r>
                    <w:rPr>
                      <w:rFonts w:hint="eastAsia"/>
                      <w:szCs w:val="21"/>
                    </w:rPr>
                    <w:t>光氧、光催化、光氧化技术主要适用于恶臭异味等治理；生物法主要适用于低浓度</w:t>
                  </w:r>
                  <w:r>
                    <w:rPr>
                      <w:szCs w:val="21"/>
                    </w:rPr>
                    <w:t xml:space="preserve"> VOCs </w:t>
                  </w:r>
                  <w:r>
                    <w:rPr>
                      <w:rFonts w:hint="eastAsia"/>
                      <w:szCs w:val="21"/>
                    </w:rPr>
                    <w:t>废气治理和恶臭异味治理。非水溶性的</w:t>
                  </w:r>
                  <w:r>
                    <w:rPr>
                      <w:szCs w:val="21"/>
                    </w:rPr>
                    <w:t xml:space="preserve"> VOCs </w:t>
                  </w:r>
                  <w:r>
                    <w:rPr>
                      <w:rFonts w:hint="eastAsia"/>
                      <w:szCs w:val="21"/>
                    </w:rPr>
                    <w:t>废气禁止采用水或水溶液喷淋吸收处理。采用一次性活性炭吸附技术的，应定期更换活性炭，废旧活性炭应再生或处理处置。有条件的工业园区和产业集群等，推广集中喷涂、溶剂集中回收、活性炭集中再生等，加强资源共享，提高</w:t>
                  </w:r>
                  <w:r>
                    <w:rPr>
                      <w:szCs w:val="21"/>
                    </w:rPr>
                    <w:t xml:space="preserve"> VOCs </w:t>
                  </w:r>
                  <w:r>
                    <w:rPr>
                      <w:rFonts w:hint="eastAsia"/>
                      <w:szCs w:val="21"/>
                    </w:rPr>
                    <w:t>治理效率。规范工程设计。采用吸附处理工艺的，应满足《吸附法工业有机废气治理工程技术规范》要求</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本项目有机废气利用</w:t>
                  </w:r>
                  <w:r>
                    <w:rPr>
                      <w:szCs w:val="21"/>
                    </w:rPr>
                    <w:t xml:space="preserve"> “</w:t>
                  </w:r>
                  <w:r>
                    <w:rPr>
                      <w:rFonts w:hint="eastAsia"/>
                      <w:bCs/>
                      <w:szCs w:val="21"/>
                    </w:rPr>
                    <w:t>过滤棉+</w:t>
                  </w:r>
                  <w:r>
                    <w:rPr>
                      <w:bCs/>
                      <w:szCs w:val="21"/>
                    </w:rPr>
                    <w:t>2</w:t>
                  </w:r>
                  <w:r>
                    <w:rPr>
                      <w:rFonts w:hint="eastAsia"/>
                      <w:bCs/>
                      <w:szCs w:val="21"/>
                    </w:rPr>
                    <w:t>级活性炭吸附</w:t>
                  </w:r>
                  <w:r>
                    <w:rPr>
                      <w:szCs w:val="21"/>
                    </w:rPr>
                    <w:t>”</w:t>
                  </w:r>
                  <w:r>
                    <w:rPr>
                      <w:rFonts w:hint="eastAsia"/>
                      <w:szCs w:val="21"/>
                    </w:rPr>
                    <w:t>处理工艺。</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实行重点排放源排放浓度与去除效率双重控制。车间或生产设施收集排放的废气，</w:t>
                  </w:r>
                  <w:r>
                    <w:rPr>
                      <w:szCs w:val="21"/>
                    </w:rPr>
                    <w:t xml:space="preserve">VOCs </w:t>
                  </w:r>
                  <w:r>
                    <w:rPr>
                      <w:rFonts w:hint="eastAsia"/>
                      <w:szCs w:val="21"/>
                    </w:rPr>
                    <w:t>初始排放速率大于等于</w:t>
                  </w:r>
                  <w:r>
                    <w:rPr>
                      <w:szCs w:val="21"/>
                    </w:rPr>
                    <w:t xml:space="preserve"> 3 </w:t>
                  </w:r>
                  <w:r>
                    <w:rPr>
                      <w:rFonts w:hint="eastAsia"/>
                      <w:szCs w:val="21"/>
                    </w:rPr>
                    <w:t>千克</w:t>
                  </w:r>
                  <w:r>
                    <w:rPr>
                      <w:szCs w:val="21"/>
                    </w:rPr>
                    <w:t>/</w:t>
                  </w:r>
                  <w:r>
                    <w:rPr>
                      <w:rFonts w:hint="eastAsia"/>
                      <w:szCs w:val="21"/>
                    </w:rPr>
                    <w:t>小时、重点区域大于等于</w:t>
                  </w:r>
                  <w:r>
                    <w:rPr>
                      <w:szCs w:val="21"/>
                    </w:rPr>
                    <w:t xml:space="preserve"> 2 </w:t>
                  </w:r>
                  <w:r>
                    <w:rPr>
                      <w:rFonts w:hint="eastAsia"/>
                      <w:szCs w:val="21"/>
                    </w:rPr>
                    <w:t>千克</w:t>
                  </w:r>
                  <w:r>
                    <w:rPr>
                      <w:szCs w:val="21"/>
                    </w:rPr>
                    <w:t>/</w:t>
                  </w:r>
                  <w:r>
                    <w:rPr>
                      <w:rFonts w:hint="eastAsia"/>
                      <w:szCs w:val="21"/>
                    </w:rPr>
                    <w:t>小时的，应加大控制力度，除确保排放浓度稳定达标外，还应实行去除效率控制，去除效率不低于</w:t>
                  </w:r>
                  <w:r>
                    <w:rPr>
                      <w:szCs w:val="21"/>
                    </w:rPr>
                    <w:t xml:space="preserve"> 80%</w:t>
                  </w:r>
                  <w:r>
                    <w:rPr>
                      <w:rFonts w:hint="eastAsia"/>
                      <w:szCs w:val="21"/>
                    </w:rPr>
                    <w:t>；采用的原辅材料符合国家有关低</w:t>
                  </w:r>
                  <w:r>
                    <w:rPr>
                      <w:szCs w:val="21"/>
                    </w:rPr>
                    <w:t xml:space="preserve">VOCs </w:t>
                  </w:r>
                  <w:r>
                    <w:rPr>
                      <w:rFonts w:hint="eastAsia"/>
                      <w:szCs w:val="21"/>
                    </w:rPr>
                    <w:t>含量产品规定的除外，有行业排放标准的按其相关规定执行</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w:t>
                  </w:r>
                  <w:r>
                    <w:rPr>
                      <w:szCs w:val="21"/>
                    </w:rPr>
                    <w:t>VOCs</w:t>
                  </w:r>
                  <w:r>
                    <w:rPr>
                      <w:rFonts w:hint="eastAsia"/>
                      <w:szCs w:val="21"/>
                    </w:rPr>
                    <w:t>初始排放速率合计为</w:t>
                  </w:r>
                  <w:r>
                    <w:rPr>
                      <w:kern w:val="0"/>
                      <w:szCs w:val="21"/>
                    </w:rPr>
                    <w:t>0.18 kg/h</w:t>
                  </w:r>
                  <w:r>
                    <w:rPr>
                      <w:rFonts w:hint="eastAsia"/>
                      <w:kern w:val="0"/>
                      <w:szCs w:val="21"/>
                    </w:rPr>
                    <w:t>，</w:t>
                  </w:r>
                  <w:r>
                    <w:rPr>
                      <w:rFonts w:hint="eastAsia"/>
                      <w:szCs w:val="21"/>
                    </w:rPr>
                    <w:t>小于上述要求，无去除率要求</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《京津冀及周边地区2019-2020年秋冬季大气污染综合治理攻坚行动方案》（环大气【</w:t>
                  </w:r>
                  <w:r>
                    <w:rPr>
                      <w:szCs w:val="21"/>
                    </w:rPr>
                    <w:t>2019</w:t>
                  </w:r>
                  <w:r>
                    <w:rPr>
                      <w:rFonts w:hint="eastAsia"/>
                      <w:szCs w:val="21"/>
                    </w:rPr>
                    <w:t>】</w:t>
                  </w:r>
                  <w:r>
                    <w:rPr>
                      <w:szCs w:val="21"/>
                    </w:rPr>
                    <w:t>88</w:t>
                  </w:r>
                  <w:r>
                    <w:rPr>
                      <w:rFonts w:hint="eastAsia"/>
                      <w:szCs w:val="21"/>
                    </w:rPr>
                    <w:t>号）</w:t>
                  </w: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提升</w:t>
                  </w:r>
                  <w:r>
                    <w:rPr>
                      <w:szCs w:val="21"/>
                    </w:rPr>
                    <w:t xml:space="preserve"> VOCs </w:t>
                  </w:r>
                  <w:r>
                    <w:rPr>
                      <w:rFonts w:hint="eastAsia"/>
                      <w:szCs w:val="21"/>
                    </w:rPr>
                    <w:t>综合治理水平。全面加强含</w:t>
                  </w:r>
                  <w:r>
                    <w:rPr>
                      <w:szCs w:val="21"/>
                    </w:rPr>
                    <w:t xml:space="preserve"> VOCs </w:t>
                  </w:r>
                  <w:r>
                    <w:rPr>
                      <w:rFonts w:hint="eastAsia"/>
                      <w:szCs w:val="21"/>
                    </w:rPr>
                    <w:t>物料储存、转移和输送、设备与管线组件泄漏、敞开液面逸散以及工艺过程等五类排放源</w:t>
                  </w:r>
                  <w:r>
                    <w:rPr>
                      <w:szCs w:val="21"/>
                    </w:rPr>
                    <w:t xml:space="preserve"> VOCs </w:t>
                  </w:r>
                  <w:r>
                    <w:rPr>
                      <w:rFonts w:hint="eastAsia"/>
                      <w:szCs w:val="21"/>
                    </w:rPr>
                    <w:t>管控。按照</w:t>
                  </w:r>
                  <w:r>
                    <w:rPr>
                      <w:szCs w:val="21"/>
                    </w:rPr>
                    <w:t>“</w:t>
                  </w:r>
                  <w:r>
                    <w:rPr>
                      <w:rFonts w:hint="eastAsia"/>
                      <w:szCs w:val="21"/>
                    </w:rPr>
                    <w:t>应收尽收、分质收集</w:t>
                  </w:r>
                  <w:r>
                    <w:rPr>
                      <w:szCs w:val="21"/>
                    </w:rPr>
                    <w:t>”</w:t>
                  </w:r>
                  <w:r>
                    <w:rPr>
                      <w:rFonts w:hint="eastAsia"/>
                      <w:szCs w:val="21"/>
                    </w:rPr>
                    <w:t>的原则，显著提高废气收集率。密封点数量大于等于</w:t>
                  </w:r>
                  <w:r>
                    <w:rPr>
                      <w:szCs w:val="21"/>
                    </w:rPr>
                    <w:t xml:space="preserve"> 2000 </w:t>
                  </w:r>
                  <w:r>
                    <w:rPr>
                      <w:rFonts w:hint="eastAsia"/>
                      <w:szCs w:val="21"/>
                    </w:rPr>
                    <w:t>个的，开展泄漏检测与修复（</w:t>
                  </w:r>
                  <w:r>
                    <w:rPr>
                      <w:szCs w:val="21"/>
                    </w:rPr>
                    <w:t>LDAR</w:t>
                  </w:r>
                  <w:r>
                    <w:rPr>
                      <w:rFonts w:hint="eastAsia"/>
                      <w:szCs w:val="21"/>
                    </w:rPr>
                    <w:t>）工作。推进建设适宜高效的治理设施，鼓励企业采用多种技术的组合工艺，提高</w:t>
                  </w:r>
                  <w:r>
                    <w:rPr>
                      <w:szCs w:val="21"/>
                    </w:rPr>
                    <w:t xml:space="preserve"> VOCs </w:t>
                  </w:r>
                  <w:r>
                    <w:rPr>
                      <w:rFonts w:hint="eastAsia"/>
                      <w:szCs w:val="21"/>
                    </w:rPr>
                    <w:t>治理效率。低浓度、大风量废气，宜采用沸石转轮吸附、活性炭吸附、减风增浓等浓缩技术，提高</w:t>
                  </w:r>
                  <w:r>
                    <w:rPr>
                      <w:szCs w:val="21"/>
                    </w:rPr>
                    <w:t xml:space="preserve"> VOCs </w:t>
                  </w:r>
                  <w:r>
                    <w:rPr>
                      <w:rFonts w:hint="eastAsia"/>
                      <w:szCs w:val="21"/>
                    </w:rPr>
                    <w:t>浓度后净化处理；高浓度废气，优先进行溶剂回收，难以回收的，宜采用高温焚烧、催化燃烧等技术。油气（溶剂）回收宜采用冷凝</w:t>
                  </w:r>
                  <w:r>
                    <w:rPr>
                      <w:szCs w:val="21"/>
                    </w:rPr>
                    <w:t>+</w:t>
                  </w:r>
                  <w:r>
                    <w:rPr>
                      <w:rFonts w:hint="eastAsia"/>
                      <w:szCs w:val="21"/>
                    </w:rPr>
                    <w:t>吸附、吸附</w:t>
                  </w:r>
                  <w:r>
                    <w:rPr>
                      <w:szCs w:val="21"/>
                    </w:rPr>
                    <w:t>+</w:t>
                  </w:r>
                  <w:r>
                    <w:rPr>
                      <w:rFonts w:hint="eastAsia"/>
                      <w:szCs w:val="21"/>
                    </w:rPr>
                    <w:t>吸收、膜分离</w:t>
                  </w:r>
                  <w:r>
                    <w:rPr>
                      <w:szCs w:val="21"/>
                    </w:rPr>
                    <w:t>+</w:t>
                  </w:r>
                  <w:r>
                    <w:rPr>
                      <w:rFonts w:hint="eastAsia"/>
                      <w:szCs w:val="21"/>
                    </w:rPr>
                    <w:t>吸附等技术。</w:t>
                  </w:r>
                  <w:r>
                    <w:rPr>
                      <w:szCs w:val="21"/>
                    </w:rPr>
                    <w:t>UV</w:t>
                  </w:r>
                  <w:r>
                    <w:rPr>
                      <w:rFonts w:hint="eastAsia"/>
                      <w:szCs w:val="21"/>
                    </w:rPr>
                    <w:t>光氧、光催化、光氧化技术主要适用于恶臭异味等治理；生物法主要适用于低浓度</w:t>
                  </w:r>
                  <w:r>
                    <w:rPr>
                      <w:szCs w:val="21"/>
                    </w:rPr>
                    <w:t xml:space="preserve"> VOCs </w:t>
                  </w:r>
                  <w:r>
                    <w:rPr>
                      <w:rFonts w:hint="eastAsia"/>
                      <w:szCs w:val="21"/>
                    </w:rPr>
                    <w:t>废气治理和恶臭异味治理。</w:t>
                  </w:r>
                  <w:r>
                    <w:rPr>
                      <w:szCs w:val="21"/>
                    </w:rPr>
                    <w:t xml:space="preserve">VOCs </w:t>
                  </w:r>
                  <w:r>
                    <w:rPr>
                      <w:rFonts w:hint="eastAsia"/>
                      <w:szCs w:val="21"/>
                    </w:rPr>
                    <w:t>初始排放速率大于等于</w:t>
                  </w:r>
                  <w:r>
                    <w:rPr>
                      <w:szCs w:val="21"/>
                    </w:rPr>
                    <w:t xml:space="preserve"> 2 </w:t>
                  </w:r>
                  <w:r>
                    <w:rPr>
                      <w:rFonts w:hint="eastAsia"/>
                      <w:szCs w:val="21"/>
                    </w:rPr>
                    <w:t>千克</w:t>
                  </w:r>
                  <w:r>
                    <w:rPr>
                      <w:szCs w:val="21"/>
                    </w:rPr>
                    <w:t>/</w:t>
                  </w:r>
                  <w:r>
                    <w:rPr>
                      <w:rFonts w:hint="eastAsia"/>
                      <w:szCs w:val="21"/>
                    </w:rPr>
                    <w:t>小时的，去除效率不应低于</w:t>
                  </w:r>
                  <w:r>
                    <w:rPr>
                      <w:szCs w:val="21"/>
                    </w:rPr>
                    <w:t xml:space="preserve"> 80%</w:t>
                  </w:r>
                  <w:r>
                    <w:rPr>
                      <w:rFonts w:hint="eastAsia"/>
                      <w:szCs w:val="21"/>
                    </w:rPr>
                    <w:t>（采用的原辅材料符合国家有关低</w:t>
                  </w:r>
                  <w:r>
                    <w:rPr>
                      <w:szCs w:val="21"/>
                    </w:rPr>
                    <w:t xml:space="preserve"> VOCs </w:t>
                  </w:r>
                  <w:r>
                    <w:rPr>
                      <w:rFonts w:hint="eastAsia"/>
                      <w:szCs w:val="21"/>
                    </w:rPr>
                    <w:t>含量产品规定的除外）。</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本项目有机废气采用</w:t>
                  </w:r>
                  <w:r>
                    <w:rPr>
                      <w:szCs w:val="21"/>
                    </w:rPr>
                    <w:t>“</w:t>
                  </w:r>
                  <w:r>
                    <w:rPr>
                      <w:rFonts w:hint="eastAsia"/>
                      <w:bCs/>
                      <w:szCs w:val="21"/>
                    </w:rPr>
                    <w:t>过滤棉+</w:t>
                  </w:r>
                  <w:r>
                    <w:rPr>
                      <w:bCs/>
                      <w:szCs w:val="21"/>
                    </w:rPr>
                    <w:t>2</w:t>
                  </w:r>
                  <w:r>
                    <w:rPr>
                      <w:rFonts w:hint="eastAsia"/>
                      <w:bCs/>
                      <w:szCs w:val="21"/>
                    </w:rPr>
                    <w:t>级活性炭吸附</w:t>
                  </w:r>
                  <w:r>
                    <w:rPr>
                      <w:szCs w:val="21"/>
                    </w:rPr>
                    <w:t>”</w:t>
                  </w:r>
                  <w:r>
                    <w:rPr>
                      <w:rFonts w:hint="eastAsia"/>
                      <w:szCs w:val="21"/>
                    </w:rPr>
                    <w:t>处理工艺；同时项目</w:t>
                  </w:r>
                  <w:r>
                    <w:rPr>
                      <w:szCs w:val="21"/>
                    </w:rPr>
                    <w:t>VOCs</w:t>
                  </w:r>
                  <w:r>
                    <w:rPr>
                      <w:rFonts w:hint="eastAsia"/>
                      <w:szCs w:val="21"/>
                    </w:rPr>
                    <w:t>初始排放速率</w:t>
                  </w:r>
                  <w:r>
                    <w:rPr>
                      <w:kern w:val="0"/>
                      <w:szCs w:val="21"/>
                    </w:rPr>
                    <w:t>0.18 kg/h</w:t>
                  </w:r>
                  <w:r>
                    <w:rPr>
                      <w:rFonts w:hint="eastAsia"/>
                      <w:kern w:val="0"/>
                      <w:szCs w:val="21"/>
                    </w:rPr>
                    <w:t>，</w:t>
                  </w:r>
                  <w:r>
                    <w:rPr>
                      <w:rFonts w:hint="eastAsia"/>
                      <w:szCs w:val="21"/>
                    </w:rPr>
                    <w:t>小于上述要求，无对去除率的要求</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《挥发性有机物（</w:t>
                  </w:r>
                  <w:r>
                    <w:rPr>
                      <w:szCs w:val="21"/>
                    </w:rPr>
                    <w:t>VOCs</w:t>
                  </w:r>
                  <w:r>
                    <w:rPr>
                      <w:rFonts w:hint="eastAsia"/>
                      <w:szCs w:val="21"/>
                    </w:rPr>
                    <w:t>）污染防治技术政策》（公告</w:t>
                  </w:r>
                  <w:r>
                    <w:rPr>
                      <w:szCs w:val="21"/>
                    </w:rPr>
                    <w:t>2013</w:t>
                  </w:r>
                  <w:r>
                    <w:rPr>
                      <w:rFonts w:hint="eastAsia"/>
                      <w:szCs w:val="21"/>
                    </w:rPr>
                    <w:t>年第</w:t>
                  </w:r>
                  <w:r>
                    <w:rPr>
                      <w:szCs w:val="21"/>
                    </w:rPr>
                    <w:t>31</w:t>
                  </w:r>
                  <w:r>
                    <w:rPr>
                      <w:rFonts w:hint="eastAsia"/>
                      <w:szCs w:val="21"/>
                    </w:rPr>
                    <w:t>号）</w:t>
                  </w: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含</w:t>
                  </w:r>
                  <w:r>
                    <w:rPr>
                      <w:szCs w:val="21"/>
                    </w:rPr>
                    <w:t>VOCs</w:t>
                  </w:r>
                  <w:r>
                    <w:rPr>
                      <w:rFonts w:hint="eastAsia"/>
                      <w:szCs w:val="21"/>
                    </w:rPr>
                    <w:t>产品的使用过程中，应采取废气收集措施，提高废气收集效率，减少废气的无组织排放和逸散，并对收集后的废气进行回收或处理后达标排放。</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本项目原料主要聚丙烯、聚乙烯为固体，常温下不挥发，作业过程在车间内，并对废气收集处理达标后排放</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《关于加强重点工业源挥发性有机物排放在线监控工作的通知》（冀环办字函【</w:t>
                  </w:r>
                  <w:r>
                    <w:rPr>
                      <w:szCs w:val="21"/>
                    </w:rPr>
                    <w:t>2017</w:t>
                  </w:r>
                  <w:r>
                    <w:rPr>
                      <w:rFonts w:hint="eastAsia"/>
                      <w:szCs w:val="21"/>
                    </w:rPr>
                    <w:t>】</w:t>
                  </w:r>
                  <w:r>
                    <w:rPr>
                      <w:szCs w:val="21"/>
                    </w:rPr>
                    <w:t>544</w:t>
                  </w:r>
                  <w:r>
                    <w:rPr>
                      <w:rFonts w:hint="eastAsia"/>
                      <w:szCs w:val="21"/>
                    </w:rPr>
                    <w:t>号）</w:t>
                  </w: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政策要求：对排气筒</w:t>
                  </w:r>
                  <w:r>
                    <w:rPr>
                      <w:szCs w:val="21"/>
                    </w:rPr>
                    <w:t>VOCs</w:t>
                  </w:r>
                  <w:r>
                    <w:rPr>
                      <w:rFonts w:hint="eastAsia"/>
                      <w:szCs w:val="21"/>
                    </w:rPr>
                    <w:t>排放速率（包括等效排气筒等效排放速率）大于</w:t>
                  </w:r>
                  <w:r>
                    <w:rPr>
                      <w:szCs w:val="21"/>
                    </w:rPr>
                    <w:t>2.5kg/h</w:t>
                  </w:r>
                  <w:r>
                    <w:rPr>
                      <w:rFonts w:hint="eastAsia"/>
                      <w:szCs w:val="21"/>
                    </w:rPr>
                    <w:t>或排气量大于</w:t>
                  </w:r>
                  <w:r>
                    <w:rPr>
                      <w:szCs w:val="21"/>
                    </w:rPr>
                    <w:t>60000m</w:t>
                  </w:r>
                  <w:r>
                    <w:rPr>
                      <w:szCs w:val="21"/>
                      <w:vertAlign w:val="superscript"/>
                    </w:rPr>
                    <w:t>3</w:t>
                  </w:r>
                  <w:r>
                    <w:rPr>
                      <w:szCs w:val="21"/>
                    </w:rPr>
                    <w:t>/h</w:t>
                  </w:r>
                  <w:r>
                    <w:rPr>
                      <w:rFonts w:hint="eastAsia"/>
                      <w:szCs w:val="21"/>
                    </w:rPr>
                    <w:t>的固定排放源，按照</w:t>
                  </w:r>
                  <w:r>
                    <w:rPr>
                      <w:szCs w:val="21"/>
                    </w:rPr>
                    <w:t>VOCs</w:t>
                  </w:r>
                  <w:r>
                    <w:rPr>
                      <w:rFonts w:hint="eastAsia"/>
                      <w:szCs w:val="21"/>
                    </w:rPr>
                    <w:t>在线监测设施，对符合上述条件企业的车间及厂界，安装环境在线监测设施或超标报警装置；对未达到上述在线监测设施安装条件的重点行业固定污染源，安装超标报警传感装置，车间及厂界视无组织排放情况安装超标报警传感装置</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w:t>
                  </w:r>
                  <w:r>
                    <w:rPr>
                      <w:szCs w:val="21"/>
                    </w:rPr>
                    <w:t>VOCs</w:t>
                  </w:r>
                  <w:r>
                    <w:rPr>
                      <w:rFonts w:hint="eastAsia"/>
                      <w:szCs w:val="21"/>
                    </w:rPr>
                    <w:t>初始排放速率</w:t>
                  </w:r>
                  <w:r>
                    <w:rPr>
                      <w:kern w:val="0"/>
                      <w:szCs w:val="21"/>
                    </w:rPr>
                    <w:t>0.18 kg/h</w:t>
                  </w:r>
                  <w:r>
                    <w:rPr>
                      <w:rFonts w:hint="eastAsia"/>
                      <w:kern w:val="0"/>
                      <w:szCs w:val="21"/>
                    </w:rPr>
                    <w:t>，</w:t>
                  </w:r>
                  <w:r>
                    <w:rPr>
                      <w:rFonts w:hint="eastAsia"/>
                      <w:szCs w:val="21"/>
                    </w:rPr>
                    <w:t>小于</w:t>
                  </w:r>
                  <w:r>
                    <w:rPr>
                      <w:szCs w:val="21"/>
                    </w:rPr>
                    <w:t>2.5kg/h</w:t>
                  </w:r>
                  <w:r>
                    <w:rPr>
                      <w:rFonts w:hint="eastAsia"/>
                      <w:szCs w:val="21"/>
                    </w:rPr>
                    <w:t>，排气量为</w:t>
                  </w:r>
                  <w:r>
                    <w:rPr>
                      <w:szCs w:val="21"/>
                    </w:rPr>
                    <w:t>5000m</w:t>
                  </w:r>
                  <w:r>
                    <w:rPr>
                      <w:szCs w:val="21"/>
                      <w:vertAlign w:val="superscript"/>
                    </w:rPr>
                    <w:t>3</w:t>
                  </w:r>
                  <w:r>
                    <w:rPr>
                      <w:szCs w:val="21"/>
                    </w:rPr>
                    <w:t>/h</w:t>
                  </w:r>
                  <w:r>
                    <w:rPr>
                      <w:rFonts w:hint="eastAsia"/>
                      <w:szCs w:val="21"/>
                    </w:rPr>
                    <w:t>，小于</w:t>
                  </w:r>
                  <w:r>
                    <w:rPr>
                      <w:szCs w:val="21"/>
                    </w:rPr>
                    <w:t>60000m</w:t>
                  </w:r>
                  <w:r>
                    <w:rPr>
                      <w:szCs w:val="21"/>
                      <w:vertAlign w:val="superscript"/>
                    </w:rPr>
                    <w:t>3</w:t>
                  </w:r>
                  <w:r>
                    <w:rPr>
                      <w:szCs w:val="21"/>
                    </w:rPr>
                    <w:t>/h</w:t>
                  </w:r>
                  <w:r>
                    <w:rPr>
                      <w:rFonts w:hint="eastAsia"/>
                      <w:szCs w:val="21"/>
                    </w:rPr>
                    <w:t>，设置超标报警</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《河北省打赢蓝天保卫战三年行动方案》</w:t>
                  </w:r>
                </w:p>
              </w:tc>
              <w:tc>
                <w:tcPr>
                  <w:tcW w:w="1920"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开展挥发性有机物污染综合治理。强化重点企业日常监管，建立基础数据和过程管理动态档案，提高废气收集效率，采用可稳定达标的废气处理工艺。禁止建设生产和使用高</w:t>
                  </w:r>
                  <w:r>
                    <w:rPr>
                      <w:szCs w:val="21"/>
                    </w:rPr>
                    <w:t>VOCs</w:t>
                  </w:r>
                  <w:r>
                    <w:rPr>
                      <w:rFonts w:hint="eastAsia"/>
                      <w:szCs w:val="21"/>
                    </w:rPr>
                    <w:t>含量的溶剂型涂料、油墨、胶黏剂项目。有条件的工业聚集区建设集中喷涂工程中心，配备高效治污设施，替代各企业独立喷涂工序。</w:t>
                  </w:r>
                  <w:r>
                    <w:rPr>
                      <w:szCs w:val="21"/>
                    </w:rPr>
                    <w:t>2019</w:t>
                  </w:r>
                  <w:r>
                    <w:rPr>
                      <w:rFonts w:hint="eastAsia"/>
                      <w:szCs w:val="21"/>
                    </w:rPr>
                    <w:t>年底前，涉</w:t>
                  </w:r>
                  <w:r>
                    <w:rPr>
                      <w:szCs w:val="21"/>
                    </w:rPr>
                    <w:t>VOCs</w:t>
                  </w:r>
                  <w:r>
                    <w:rPr>
                      <w:rFonts w:hint="eastAsia"/>
                      <w:szCs w:val="21"/>
                    </w:rPr>
                    <w:t>排放工业企业全面完成整治任务，实现稳定达标排放；安装</w:t>
                  </w:r>
                  <w:r>
                    <w:rPr>
                      <w:szCs w:val="21"/>
                    </w:rPr>
                    <w:t>VOCs</w:t>
                  </w:r>
                  <w:r>
                    <w:rPr>
                      <w:rFonts w:hint="eastAsia"/>
                      <w:szCs w:val="21"/>
                    </w:rPr>
                    <w:t>在线监测设备或超标报警装置；全省涉</w:t>
                  </w:r>
                  <w:r>
                    <w:rPr>
                      <w:szCs w:val="21"/>
                    </w:rPr>
                    <w:t>VOCs</w:t>
                  </w:r>
                  <w:r>
                    <w:rPr>
                      <w:rFonts w:hint="eastAsia"/>
                      <w:szCs w:val="21"/>
                    </w:rPr>
                    <w:t>排放工业企业基本完成低挥发性原辅料替代、清洁工艺改造。</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本次评价要求企业加强日常管理，确保废气稳定达标排放，设置超标报警装置</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1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kern w:val="0"/>
                      <w:szCs w:val="21"/>
                    </w:rPr>
                    <w:t>秦皇岛市生态环境保护“十四五”规划（2021-2025年）</w:t>
                  </w:r>
                </w:p>
              </w:tc>
              <w:tc>
                <w:tcPr>
                  <w:tcW w:w="1920" w:type="pct"/>
                  <w:tcBorders>
                    <w:top w:val="single" w:color="auto" w:sz="4" w:space="0"/>
                    <w:left w:val="single" w:color="auto" w:sz="4" w:space="0"/>
                    <w:bottom w:val="single" w:color="auto" w:sz="4" w:space="0"/>
                    <w:right w:val="single" w:color="auto" w:sz="4" w:space="0"/>
                  </w:tcBorders>
                  <w:vAlign w:val="center"/>
                </w:tcPr>
                <w:p>
                  <w:pPr>
                    <w:ind w:firstLine="420" w:firstLineChars="200"/>
                    <w:rPr>
                      <w:sz w:val="32"/>
                      <w:szCs w:val="20"/>
                    </w:rPr>
                  </w:pPr>
                  <w:r>
                    <w:rPr>
                      <w:rFonts w:hint="eastAsia"/>
                    </w:rPr>
                    <w:t>深化工业</w:t>
                  </w:r>
                  <w:r>
                    <w:t>VOCs</w:t>
                  </w:r>
                  <w:r>
                    <w:rPr>
                      <w:rFonts w:hint="eastAsia"/>
                    </w:rPr>
                    <w:t>治理。聚焦夏秋季臭氧污染，大力推进</w:t>
                  </w:r>
                  <w:r>
                    <w:t>VOCs</w:t>
                  </w:r>
                  <w:r>
                    <w:rPr>
                      <w:rFonts w:hint="eastAsia"/>
                    </w:rPr>
                    <w:t>和氮氧化物协同减排。以石化、涂料、纺织印染、橡胶、医药、油品储运销等行业领域为重点，安全高效推进</w:t>
                  </w:r>
                  <w:r>
                    <w:t>VOCs</w:t>
                  </w:r>
                  <w:r>
                    <w:rPr>
                      <w:rFonts w:hint="eastAsia"/>
                    </w:rPr>
                    <w:t>综合治理，实施原辅材料和产品源头替代工程。推进钢铁、水泥、电力、供热和玻璃等行业企业超低排放改造，重点区域钢铁、燃煤机组、燃煤锅炉实现超低排放。开展涉气产业集群排查及分类治理，推进企业升级改造和区域环境综合整治。对全市所有</w:t>
                  </w:r>
                  <w:r>
                    <w:t>VOCs</w:t>
                  </w:r>
                  <w:r>
                    <w:rPr>
                      <w:rFonts w:hint="eastAsia"/>
                    </w:rPr>
                    <w:t>排放的工业企业逐企建立清单台账，编制</w:t>
                  </w:r>
                  <w:r>
                    <w:t>“</w:t>
                  </w:r>
                  <w:r>
                    <w:rPr>
                      <w:rFonts w:hint="eastAsia"/>
                    </w:rPr>
                    <w:t>一厂一策</w:t>
                  </w:r>
                  <w:r>
                    <w:t>”</w:t>
                  </w:r>
                  <w:r>
                    <w:rPr>
                      <w:rFonts w:hint="eastAsia"/>
                    </w:rPr>
                    <w:t>方案，提升企业</w:t>
                  </w:r>
                  <w:r>
                    <w:t>VOCs</w:t>
                  </w:r>
                  <w:r>
                    <w:rPr>
                      <w:rFonts w:hint="eastAsia"/>
                    </w:rPr>
                    <w:t>治理工艺水平，淘汰</w:t>
                  </w:r>
                  <w:r>
                    <w:t>UV</w:t>
                  </w:r>
                  <w:r>
                    <w:rPr>
                      <w:rFonts w:hint="eastAsia"/>
                    </w:rPr>
                    <w:t>光氧等低效治理设施。开展源头替代、工艺过程、无组织管控、末端治理全流程治理评估，完善</w:t>
                  </w:r>
                  <w:r>
                    <w:t>VOCs</w:t>
                  </w:r>
                  <w:r>
                    <w:rPr>
                      <w:rFonts w:hint="eastAsia"/>
                    </w:rPr>
                    <w:t>节能环保产业区项目处理工艺。实现工业涂装、包装印刷、家具制造、建筑装饰等行业原辅材料源头替代，推广低（无）</w:t>
                  </w:r>
                  <w:r>
                    <w:t>VOCs</w:t>
                  </w:r>
                  <w:r>
                    <w:rPr>
                      <w:rFonts w:hint="eastAsia"/>
                    </w:rPr>
                    <w:t>含量原辅材料和产品，减少卤化、芳香性溶剂等高</w:t>
                  </w:r>
                  <w:r>
                    <w:t>VOCs</w:t>
                  </w:r>
                  <w:r>
                    <w:rPr>
                      <w:rFonts w:hint="eastAsia"/>
                    </w:rPr>
                    <w:t>含量原辅材料使用。</w:t>
                  </w:r>
                </w:p>
              </w:tc>
              <w:tc>
                <w:tcPr>
                  <w:tcW w:w="1406"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本项目主要废气污染物为V</w:t>
                  </w:r>
                  <w:r>
                    <w:rPr>
                      <w:szCs w:val="21"/>
                    </w:rPr>
                    <w:t>OCs</w:t>
                  </w:r>
                  <w:r>
                    <w:rPr>
                      <w:rFonts w:hint="eastAsia"/>
                      <w:szCs w:val="21"/>
                    </w:rPr>
                    <w:t>，采用过滤棉+</w:t>
                  </w:r>
                  <w:r>
                    <w:rPr>
                      <w:bCs/>
                      <w:szCs w:val="21"/>
                    </w:rPr>
                    <w:t>2</w:t>
                  </w:r>
                  <w:r>
                    <w:rPr>
                      <w:rFonts w:hint="eastAsia"/>
                      <w:bCs/>
                      <w:szCs w:val="21"/>
                    </w:rPr>
                    <w:t>级</w:t>
                  </w:r>
                  <w:r>
                    <w:rPr>
                      <w:rFonts w:hint="eastAsia"/>
                      <w:szCs w:val="21"/>
                    </w:rPr>
                    <w:t>活性炭吸附，无U</w:t>
                  </w:r>
                  <w:r>
                    <w:rPr>
                      <w:szCs w:val="21"/>
                    </w:rPr>
                    <w:t>V</w:t>
                  </w:r>
                  <w:r>
                    <w:rPr>
                      <w:rFonts w:hint="eastAsia"/>
                      <w:szCs w:val="21"/>
                    </w:rPr>
                    <w:t>光氧等低效治理设施，同时建议企业按照相关要求编制或完善</w:t>
                  </w:r>
                  <w:r>
                    <w:rPr>
                      <w:szCs w:val="21"/>
                    </w:rPr>
                    <w:t>VOCs “</w:t>
                  </w:r>
                  <w:r>
                    <w:rPr>
                      <w:rFonts w:hint="eastAsia"/>
                      <w:szCs w:val="21"/>
                    </w:rPr>
                    <w:t>一厂一策</w:t>
                  </w:r>
                  <w:r>
                    <w:rPr>
                      <w:szCs w:val="21"/>
                    </w:rPr>
                    <w:t>”</w:t>
                  </w:r>
                  <w:r>
                    <w:rPr>
                      <w:rFonts w:hint="eastAsia"/>
                      <w:szCs w:val="21"/>
                    </w:rPr>
                    <w:t>方案。</w:t>
                  </w:r>
                </w:p>
              </w:tc>
              <w:tc>
                <w:tcPr>
                  <w:tcW w:w="36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bl>
          <w:p>
            <w:pPr>
              <w:adjustRightInd w:val="0"/>
              <w:snapToGrid w:val="0"/>
              <w:spacing w:line="400" w:lineRule="exact"/>
              <w:rPr>
                <w:b/>
                <w:szCs w:val="21"/>
              </w:rPr>
            </w:pPr>
            <w:r>
              <w:rPr>
                <w:rFonts w:hint="eastAsia"/>
                <w:b/>
                <w:szCs w:val="21"/>
              </w:rPr>
              <w:t>4、选址合理性分析</w:t>
            </w:r>
          </w:p>
          <w:p>
            <w:pPr>
              <w:adjustRightInd w:val="0"/>
              <w:snapToGrid w:val="0"/>
              <w:spacing w:line="400" w:lineRule="exact"/>
              <w:ind w:firstLine="420" w:firstLineChars="200"/>
              <w:rPr>
                <w:kern w:val="0"/>
                <w:szCs w:val="21"/>
              </w:rPr>
            </w:pPr>
            <w:r>
              <w:rPr>
                <w:rFonts w:hint="eastAsia"/>
                <w:kern w:val="0"/>
                <w:szCs w:val="21"/>
              </w:rPr>
              <w:t>本项目租用工业用地建设，针对存在的各项污染情形提出可靠的治理措施，可以满足达标排放和其他管理要求，经分析对周边环境影响很小。另外，经分析，本项目可以满足国家及地方产业政策要求，同时本项目已取得</w:t>
            </w:r>
            <w:r>
              <w:rPr>
                <w:rFonts w:hint="eastAsia" w:ascii="宋体" w:hAnsi="宋体" w:cs="宋体"/>
                <w:szCs w:val="21"/>
              </w:rPr>
              <w:t>秦皇岛市抚宁区行政审批局</w:t>
            </w:r>
            <w:r>
              <w:rPr>
                <w:rFonts w:hint="eastAsia"/>
                <w:kern w:val="0"/>
                <w:szCs w:val="21"/>
              </w:rPr>
              <w:t>出具的《企业投资项目备案信息》（</w:t>
            </w:r>
            <w:r>
              <w:rPr>
                <w:rFonts w:hint="eastAsia" w:ascii="宋体" w:hAnsi="宋体" w:cs="宋体"/>
                <w:szCs w:val="21"/>
              </w:rPr>
              <w:t>抚行审备</w:t>
            </w:r>
            <w:r>
              <w:rPr>
                <w:szCs w:val="21"/>
              </w:rPr>
              <w:t>〔2023〕39号</w:t>
            </w:r>
            <w:r>
              <w:rPr>
                <w:rFonts w:hint="eastAsia"/>
                <w:kern w:val="0"/>
                <w:szCs w:val="21"/>
              </w:rPr>
              <w:t>）。</w:t>
            </w:r>
          </w:p>
          <w:p>
            <w:pPr>
              <w:adjustRightInd w:val="0"/>
              <w:snapToGrid w:val="0"/>
              <w:spacing w:line="400" w:lineRule="exact"/>
              <w:ind w:firstLine="420" w:firstLineChars="200"/>
              <w:rPr>
                <w:kern w:val="0"/>
                <w:szCs w:val="21"/>
              </w:rPr>
            </w:pPr>
            <w:r>
              <w:rPr>
                <w:rFonts w:hint="eastAsia"/>
                <w:kern w:val="0"/>
                <w:szCs w:val="21"/>
              </w:rPr>
              <w:t>本项目选址可行。</w:t>
            </w:r>
          </w:p>
        </w:tc>
      </w:tr>
    </w:tbl>
    <w:p>
      <w:pPr>
        <w:spacing w:line="360" w:lineRule="auto"/>
        <w:outlineLvl w:val="0"/>
        <w:rPr>
          <w:rFonts w:eastAsia="黑体"/>
          <w:sz w:val="30"/>
        </w:rPr>
        <w:sectPr>
          <w:footerReference r:id="rId3" w:type="default"/>
          <w:pgSz w:w="11906" w:h="16838"/>
          <w:pgMar w:top="1701" w:right="1531" w:bottom="1701" w:left="1531" w:header="851" w:footer="1077" w:gutter="0"/>
          <w:pgNumType w:start="1"/>
          <w:cols w:space="720" w:num="1"/>
          <w:docGrid w:linePitch="312" w:charSpace="0"/>
        </w:sectPr>
      </w:pPr>
    </w:p>
    <w:p>
      <w:pPr>
        <w:pStyle w:val="13"/>
        <w:jc w:val="center"/>
        <w:outlineLvl w:val="0"/>
        <w:rPr>
          <w:rFonts w:ascii="黑体" w:hAnsi="黑体" w:eastAsia="黑体"/>
          <w:snapToGrid w:val="0"/>
          <w:sz w:val="30"/>
          <w:szCs w:val="30"/>
        </w:rPr>
      </w:pPr>
      <w:r>
        <w:rPr>
          <w:rFonts w:hint="eastAsia" w:ascii="黑体" w:hAnsi="黑体" w:eastAsia="黑体"/>
          <w:snapToGrid w:val="0"/>
          <w:sz w:val="30"/>
          <w:szCs w:val="30"/>
        </w:rPr>
        <w:t>二、建设项目工程分析</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23"/>
        <w:gridCol w:w="816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823" w:type="dxa"/>
            <w:vAlign w:val="center"/>
          </w:tcPr>
          <w:p>
            <w:pPr>
              <w:pStyle w:val="13"/>
              <w:adjustRightInd w:val="0"/>
              <w:snapToGrid w:val="0"/>
              <w:spacing w:before="0" w:beforeAutospacing="0" w:after="0" w:afterAutospacing="0"/>
              <w:jc w:val="center"/>
              <w:rPr>
                <w:rFonts w:cs="宋体"/>
                <w:sz w:val="21"/>
                <w:szCs w:val="21"/>
              </w:rPr>
            </w:pPr>
            <w:r>
              <w:rPr>
                <w:rFonts w:hint="eastAsia" w:cs="宋体"/>
                <w:sz w:val="21"/>
                <w:szCs w:val="21"/>
              </w:rPr>
              <w:t>建设内容</w:t>
            </w:r>
          </w:p>
        </w:tc>
        <w:tc>
          <w:tcPr>
            <w:tcW w:w="8161" w:type="dxa"/>
          </w:tcPr>
          <w:p>
            <w:pPr>
              <w:adjustRightInd w:val="0"/>
              <w:snapToGrid w:val="0"/>
              <w:spacing w:line="400" w:lineRule="exact"/>
              <w:ind w:firstLine="422" w:firstLineChars="200"/>
              <w:rPr>
                <w:b/>
                <w:szCs w:val="21"/>
              </w:rPr>
            </w:pPr>
            <w:r>
              <w:rPr>
                <w:rFonts w:hint="eastAsia"/>
                <w:b/>
                <w:szCs w:val="21"/>
              </w:rPr>
              <w:t>1、项目由来</w:t>
            </w:r>
          </w:p>
          <w:p>
            <w:pPr>
              <w:adjustRightInd w:val="0"/>
              <w:snapToGrid w:val="0"/>
              <w:spacing w:line="400" w:lineRule="exact"/>
              <w:ind w:firstLine="420" w:firstLineChars="200"/>
              <w:rPr>
                <w:bCs/>
                <w:szCs w:val="21"/>
              </w:rPr>
            </w:pPr>
            <w:r>
              <w:rPr>
                <w:rFonts w:hint="eastAsia"/>
                <w:szCs w:val="21"/>
              </w:rPr>
              <w:t>秦皇岛兴渤塑料制品有限责任公司成立于</w:t>
            </w:r>
            <w:r>
              <w:rPr>
                <w:szCs w:val="21"/>
              </w:rPr>
              <w:t>2023</w:t>
            </w:r>
            <w:r>
              <w:rPr>
                <w:rFonts w:hint="eastAsia"/>
                <w:szCs w:val="21"/>
              </w:rPr>
              <w:t>年，主要经营范围包括塑料制品和纸制品制造、销售等，现拟在秦皇岛市抚宁区抚宁镇东城贯村西，富强路与骊骅大街交叉口北行500m处建设本项目，项目建成后预计年产塑料包装箱及容器</w:t>
            </w:r>
            <w:r>
              <w:rPr>
                <w:szCs w:val="21"/>
              </w:rPr>
              <w:t>300</w:t>
            </w:r>
            <w:r>
              <w:rPr>
                <w:rFonts w:hint="eastAsia"/>
                <w:szCs w:val="21"/>
              </w:rPr>
              <w:t>万套/</w:t>
            </w:r>
            <w:r>
              <w:rPr>
                <w:szCs w:val="21"/>
              </w:rPr>
              <w:t>a</w:t>
            </w:r>
            <w:r>
              <w:rPr>
                <w:rFonts w:hint="eastAsia"/>
                <w:bCs/>
                <w:szCs w:val="21"/>
              </w:rPr>
              <w:t>。</w:t>
            </w:r>
          </w:p>
          <w:p>
            <w:pPr>
              <w:adjustRightInd w:val="0"/>
              <w:snapToGrid w:val="0"/>
              <w:spacing w:line="400" w:lineRule="exact"/>
              <w:ind w:firstLine="420" w:firstLineChars="200"/>
              <w:rPr>
                <w:bCs/>
                <w:szCs w:val="21"/>
              </w:rPr>
            </w:pPr>
            <w:r>
              <w:rPr>
                <w:rFonts w:hint="eastAsia"/>
                <w:bCs/>
                <w:szCs w:val="21"/>
              </w:rPr>
              <w:t>根据《中华人民共和国环境影响评价法》 、《建设项目环境保护管理条例》及《建设项目环境影响评价分类管理名录（2</w:t>
            </w:r>
            <w:r>
              <w:rPr>
                <w:bCs/>
                <w:szCs w:val="21"/>
              </w:rPr>
              <w:t>021</w:t>
            </w:r>
            <w:r>
              <w:rPr>
                <w:rFonts w:hint="eastAsia"/>
                <w:bCs/>
                <w:szCs w:val="21"/>
              </w:rPr>
              <w:t>年版）》中的有关规定，本项目属于“</w:t>
            </w:r>
            <w:r>
              <w:rPr>
                <w:rFonts w:hint="eastAsia"/>
                <w:szCs w:val="21"/>
              </w:rPr>
              <w:t>二十六、橡胶和塑料制品业2</w:t>
            </w:r>
            <w:r>
              <w:rPr>
                <w:szCs w:val="21"/>
              </w:rPr>
              <w:t>9</w:t>
            </w:r>
            <w:r>
              <w:rPr>
                <w:rFonts w:hint="eastAsia"/>
                <w:szCs w:val="21"/>
              </w:rPr>
              <w:t>-塑料制品业2</w:t>
            </w:r>
            <w:r>
              <w:rPr>
                <w:szCs w:val="21"/>
              </w:rPr>
              <w:t>92-</w:t>
            </w:r>
            <w:r>
              <w:rPr>
                <w:rFonts w:hint="eastAsia"/>
                <w:szCs w:val="21"/>
              </w:rPr>
              <w:t>其他（年用非溶剂型低V</w:t>
            </w:r>
            <w:r>
              <w:rPr>
                <w:szCs w:val="21"/>
              </w:rPr>
              <w:t>OCs</w:t>
            </w:r>
            <w:r>
              <w:rPr>
                <w:rFonts w:hint="eastAsia"/>
                <w:szCs w:val="21"/>
              </w:rPr>
              <w:t>含量涂料1</w:t>
            </w:r>
            <w:r>
              <w:rPr>
                <w:szCs w:val="21"/>
              </w:rPr>
              <w:t>0</w:t>
            </w:r>
            <w:r>
              <w:rPr>
                <w:rFonts w:hint="eastAsia"/>
                <w:szCs w:val="21"/>
              </w:rPr>
              <w:t>吨以下的除外）”</w:t>
            </w:r>
            <w:r>
              <w:rPr>
                <w:rFonts w:hint="eastAsia"/>
                <w:bCs/>
                <w:szCs w:val="21"/>
              </w:rPr>
              <w:t>，应编制环境影响报告表。</w:t>
            </w:r>
            <w:r>
              <w:rPr>
                <w:rFonts w:hint="eastAsia"/>
                <w:szCs w:val="21"/>
              </w:rPr>
              <w:t>秦皇岛兴渤塑料制品有限责任公司</w:t>
            </w:r>
            <w:r>
              <w:rPr>
                <w:rFonts w:hint="eastAsia"/>
                <w:bCs/>
                <w:szCs w:val="21"/>
              </w:rPr>
              <w:t>委托我单位承担该项目环境影响报告表的编制工作。接受委托后，我单位组织技术人员进行了现场踏勘、资料收集与调研，并按《建设项目环境影响报告表编制技术指南 污染影响类（试行）》要求编写了本项目环境影响报告表。</w:t>
            </w:r>
          </w:p>
          <w:p>
            <w:pPr>
              <w:adjustRightInd w:val="0"/>
              <w:snapToGrid w:val="0"/>
              <w:spacing w:line="400" w:lineRule="exact"/>
              <w:ind w:firstLine="422" w:firstLineChars="200"/>
              <w:rPr>
                <w:b/>
                <w:szCs w:val="21"/>
              </w:rPr>
            </w:pPr>
            <w:r>
              <w:rPr>
                <w:rFonts w:hint="eastAsia"/>
                <w:b/>
                <w:szCs w:val="21"/>
              </w:rPr>
              <w:t>2、本项目基本情况</w:t>
            </w:r>
          </w:p>
          <w:p>
            <w:pPr>
              <w:adjustRightInd w:val="0"/>
              <w:snapToGrid w:val="0"/>
              <w:spacing w:line="400" w:lineRule="exact"/>
              <w:ind w:firstLine="422" w:firstLineChars="200"/>
              <w:rPr>
                <w:b/>
                <w:szCs w:val="21"/>
              </w:rPr>
            </w:pPr>
            <w:r>
              <w:rPr>
                <w:b/>
                <w:szCs w:val="21"/>
              </w:rPr>
              <w:t>2.1</w:t>
            </w:r>
            <w:r>
              <w:rPr>
                <w:rFonts w:hint="eastAsia"/>
                <w:b/>
                <w:szCs w:val="21"/>
              </w:rPr>
              <w:t>本项目概况</w:t>
            </w:r>
          </w:p>
          <w:p>
            <w:pPr>
              <w:adjustRightInd w:val="0"/>
              <w:snapToGrid w:val="0"/>
              <w:spacing w:line="400" w:lineRule="exact"/>
              <w:ind w:firstLine="420" w:firstLineChars="200"/>
              <w:rPr>
                <w:bCs/>
                <w:szCs w:val="21"/>
              </w:rPr>
            </w:pPr>
            <w:r>
              <w:rPr>
                <w:rFonts w:hint="eastAsia"/>
                <w:bCs/>
                <w:szCs w:val="21"/>
              </w:rPr>
              <w:t>①项目名称：秦</w:t>
            </w:r>
            <w:r>
              <w:rPr>
                <w:rFonts w:hint="eastAsia"/>
                <w:szCs w:val="21"/>
              </w:rPr>
              <w:t>皇岛兴渤塑料制品有限责任公司塑料包装箱及容器制造生产线项目</w:t>
            </w:r>
          </w:p>
          <w:p>
            <w:pPr>
              <w:adjustRightInd w:val="0"/>
              <w:snapToGrid w:val="0"/>
              <w:spacing w:line="400" w:lineRule="exact"/>
              <w:ind w:firstLine="420" w:firstLineChars="200"/>
              <w:rPr>
                <w:bCs/>
                <w:szCs w:val="21"/>
              </w:rPr>
            </w:pPr>
            <w:r>
              <w:rPr>
                <w:rFonts w:hint="eastAsia"/>
                <w:bCs/>
                <w:szCs w:val="21"/>
              </w:rPr>
              <w:t>②建设单位：秦</w:t>
            </w:r>
            <w:r>
              <w:rPr>
                <w:rFonts w:hint="eastAsia"/>
                <w:szCs w:val="21"/>
              </w:rPr>
              <w:t>皇岛兴渤塑料制品有限责任公司</w:t>
            </w:r>
          </w:p>
          <w:p>
            <w:pPr>
              <w:adjustRightInd w:val="0"/>
              <w:snapToGrid w:val="0"/>
              <w:spacing w:line="400" w:lineRule="exact"/>
              <w:ind w:firstLine="420" w:firstLineChars="200"/>
              <w:rPr>
                <w:bCs/>
                <w:szCs w:val="21"/>
              </w:rPr>
            </w:pPr>
            <w:r>
              <w:rPr>
                <w:rFonts w:hint="eastAsia"/>
                <w:bCs/>
                <w:szCs w:val="21"/>
              </w:rPr>
              <w:t>③建设性质：新建</w:t>
            </w:r>
          </w:p>
          <w:p>
            <w:pPr>
              <w:adjustRightInd w:val="0"/>
              <w:snapToGrid w:val="0"/>
              <w:spacing w:line="400" w:lineRule="exact"/>
              <w:ind w:firstLine="420" w:firstLineChars="200"/>
              <w:rPr>
                <w:bCs/>
                <w:szCs w:val="21"/>
              </w:rPr>
            </w:pPr>
            <w:r>
              <w:rPr>
                <w:rFonts w:hint="eastAsia" w:ascii="宋体" w:hAnsi="宋体" w:cs="宋体"/>
                <w:bCs/>
                <w:szCs w:val="21"/>
              </w:rPr>
              <w:t>④</w:t>
            </w:r>
            <w:r>
              <w:rPr>
                <w:bCs/>
                <w:szCs w:val="21"/>
              </w:rPr>
              <w:t>建设地点及占地：</w:t>
            </w:r>
            <w:r>
              <w:rPr>
                <w:rFonts w:hint="eastAsia"/>
                <w:bCs/>
                <w:szCs w:val="21"/>
              </w:rPr>
              <w:t>本项目选址位于</w:t>
            </w:r>
            <w:r>
              <w:rPr>
                <w:rFonts w:hint="eastAsia"/>
                <w:szCs w:val="21"/>
              </w:rPr>
              <w:t>秦皇岛市抚宁区抚宁镇东城贯村西，富强路与骊骅大街交叉口北行500m，租赁工业用地</w:t>
            </w:r>
            <w:r>
              <w:rPr>
                <w:rFonts w:hint="eastAsia"/>
                <w:bCs/>
                <w:szCs w:val="21"/>
              </w:rPr>
              <w:t>1666.68 平方米。</w:t>
            </w:r>
          </w:p>
          <w:p>
            <w:pPr>
              <w:adjustRightInd w:val="0"/>
              <w:snapToGrid w:val="0"/>
              <w:spacing w:line="400" w:lineRule="exact"/>
              <w:ind w:firstLine="420" w:firstLineChars="200"/>
              <w:rPr>
                <w:bCs/>
                <w:szCs w:val="21"/>
              </w:rPr>
            </w:pPr>
            <w:r>
              <w:rPr>
                <w:rFonts w:hint="eastAsia"/>
                <w:bCs/>
                <w:szCs w:val="21"/>
              </w:rPr>
              <w:t>地理位置见附图1。</w:t>
            </w:r>
          </w:p>
          <w:p>
            <w:pPr>
              <w:adjustRightInd w:val="0"/>
              <w:snapToGrid w:val="0"/>
              <w:spacing w:line="400" w:lineRule="exact"/>
              <w:ind w:firstLine="420" w:firstLineChars="200"/>
              <w:rPr>
                <w:bCs/>
                <w:szCs w:val="21"/>
              </w:rPr>
            </w:pPr>
            <w:r>
              <w:rPr>
                <w:rFonts w:hint="eastAsia"/>
                <w:bCs/>
                <w:szCs w:val="21"/>
              </w:rPr>
              <w:t>⑤建设内容：</w:t>
            </w:r>
          </w:p>
          <w:p>
            <w:pPr>
              <w:adjustRightInd w:val="0"/>
              <w:snapToGrid w:val="0"/>
              <w:spacing w:line="400" w:lineRule="exact"/>
              <w:ind w:firstLine="420" w:firstLineChars="200"/>
              <w:rPr>
                <w:bCs/>
                <w:szCs w:val="21"/>
              </w:rPr>
            </w:pPr>
            <w:r>
              <w:rPr>
                <w:rFonts w:hint="eastAsia"/>
                <w:bCs/>
                <w:szCs w:val="21"/>
              </w:rPr>
              <w:t>本项目租赁场地1666.68 平方米，新建生产车间448 平方米，购置3 套注塑机，及环保处理设施，项目建设完成后年产塑料包装箱300 万套。</w:t>
            </w:r>
          </w:p>
          <w:p>
            <w:pPr>
              <w:adjustRightInd w:val="0"/>
              <w:snapToGrid w:val="0"/>
              <w:spacing w:line="400" w:lineRule="exact"/>
              <w:ind w:firstLine="420" w:firstLineChars="200"/>
              <w:rPr>
                <w:bCs/>
                <w:szCs w:val="21"/>
              </w:rPr>
            </w:pPr>
            <w:r>
              <w:rPr>
                <w:rFonts w:hint="eastAsia"/>
                <w:bCs/>
                <w:szCs w:val="21"/>
              </w:rPr>
              <w:t>⑥</w:t>
            </w:r>
            <w:r>
              <w:rPr>
                <w:bCs/>
                <w:szCs w:val="21"/>
              </w:rPr>
              <w:t>劳动定员及工作制度：</w:t>
            </w:r>
          </w:p>
          <w:p>
            <w:pPr>
              <w:adjustRightInd w:val="0"/>
              <w:snapToGrid w:val="0"/>
              <w:spacing w:line="400" w:lineRule="exact"/>
              <w:ind w:firstLine="420" w:firstLineChars="200"/>
              <w:rPr>
                <w:bCs/>
                <w:szCs w:val="21"/>
              </w:rPr>
            </w:pPr>
            <w:r>
              <w:rPr>
                <w:rFonts w:hint="eastAsia"/>
                <w:bCs/>
                <w:szCs w:val="21"/>
              </w:rPr>
              <w:t>本项目员工1</w:t>
            </w:r>
            <w:r>
              <w:rPr>
                <w:bCs/>
                <w:szCs w:val="21"/>
              </w:rPr>
              <w:t>0</w:t>
            </w:r>
            <w:r>
              <w:rPr>
                <w:rFonts w:hint="eastAsia"/>
                <w:bCs/>
                <w:szCs w:val="21"/>
              </w:rPr>
              <w:t>人，一班制，每班8小时，仅白班，年工作</w:t>
            </w:r>
            <w:r>
              <w:rPr>
                <w:bCs/>
                <w:szCs w:val="21"/>
              </w:rPr>
              <w:t>300</w:t>
            </w:r>
            <w:r>
              <w:rPr>
                <w:rFonts w:hint="eastAsia"/>
                <w:bCs/>
                <w:szCs w:val="21"/>
              </w:rPr>
              <w:t>天。</w:t>
            </w:r>
          </w:p>
          <w:p>
            <w:pPr>
              <w:adjustRightInd w:val="0"/>
              <w:snapToGrid w:val="0"/>
              <w:spacing w:line="400" w:lineRule="exact"/>
              <w:ind w:firstLine="420" w:firstLineChars="200"/>
              <w:rPr>
                <w:bCs/>
                <w:szCs w:val="21"/>
              </w:rPr>
            </w:pPr>
            <w:r>
              <w:rPr>
                <w:rFonts w:hint="eastAsia"/>
                <w:bCs/>
                <w:szCs w:val="21"/>
              </w:rPr>
              <w:t>⑦总投资及环保投资：</w:t>
            </w:r>
          </w:p>
          <w:p>
            <w:pPr>
              <w:adjustRightInd w:val="0"/>
              <w:snapToGrid w:val="0"/>
              <w:spacing w:line="400" w:lineRule="exact"/>
              <w:ind w:firstLine="420" w:firstLineChars="200"/>
              <w:rPr>
                <w:bCs/>
                <w:szCs w:val="21"/>
              </w:rPr>
            </w:pPr>
            <w:r>
              <w:rPr>
                <w:rFonts w:hint="eastAsia"/>
                <w:bCs/>
                <w:szCs w:val="21"/>
              </w:rPr>
              <w:t>总投资</w:t>
            </w:r>
            <w:r>
              <w:rPr>
                <w:bCs/>
                <w:szCs w:val="21"/>
              </w:rPr>
              <w:t>450</w:t>
            </w:r>
            <w:r>
              <w:rPr>
                <w:rFonts w:hint="eastAsia"/>
                <w:bCs/>
                <w:szCs w:val="21"/>
              </w:rPr>
              <w:t>万元，环保投资</w:t>
            </w:r>
            <w:r>
              <w:rPr>
                <w:bCs/>
                <w:szCs w:val="21"/>
              </w:rPr>
              <w:t>2</w:t>
            </w:r>
            <w:r>
              <w:rPr>
                <w:rFonts w:hint="eastAsia"/>
                <w:bCs/>
                <w:szCs w:val="21"/>
              </w:rPr>
              <w:t>万元，占比</w:t>
            </w:r>
            <w:r>
              <w:rPr>
                <w:bCs/>
                <w:szCs w:val="21"/>
              </w:rPr>
              <w:t xml:space="preserve">0.44 </w:t>
            </w:r>
            <w:r>
              <w:rPr>
                <w:rFonts w:hint="eastAsia"/>
                <w:bCs/>
                <w:szCs w:val="21"/>
              </w:rPr>
              <w:t>%。</w:t>
            </w:r>
          </w:p>
          <w:p>
            <w:pPr>
              <w:adjustRightInd w:val="0"/>
              <w:snapToGrid w:val="0"/>
              <w:spacing w:line="400" w:lineRule="exact"/>
              <w:ind w:firstLine="422" w:firstLineChars="200"/>
              <w:rPr>
                <w:b/>
                <w:szCs w:val="21"/>
              </w:rPr>
            </w:pPr>
            <w:r>
              <w:rPr>
                <w:b/>
                <w:szCs w:val="21"/>
              </w:rPr>
              <w:t>2.2</w:t>
            </w:r>
            <w:r>
              <w:rPr>
                <w:rFonts w:hint="eastAsia"/>
                <w:b/>
                <w:szCs w:val="21"/>
              </w:rPr>
              <w:t>项目组成</w:t>
            </w:r>
          </w:p>
          <w:p>
            <w:pPr>
              <w:adjustRightInd w:val="0"/>
              <w:snapToGrid w:val="0"/>
              <w:spacing w:line="400" w:lineRule="exact"/>
              <w:ind w:firstLine="420" w:firstLineChars="200"/>
              <w:rPr>
                <w:bCs/>
                <w:szCs w:val="21"/>
              </w:rPr>
            </w:pPr>
            <w:r>
              <w:rPr>
                <w:bCs/>
                <w:szCs w:val="21"/>
              </w:rPr>
              <w:t>本项目</w:t>
            </w:r>
            <w:r>
              <w:rPr>
                <w:rFonts w:hint="eastAsia"/>
                <w:bCs/>
                <w:szCs w:val="21"/>
              </w:rPr>
              <w:t>组成情况如下：</w:t>
            </w:r>
          </w:p>
          <w:p>
            <w:pPr>
              <w:spacing w:line="400" w:lineRule="exact"/>
              <w:jc w:val="center"/>
              <w:rPr>
                <w:b/>
                <w:szCs w:val="21"/>
              </w:rPr>
            </w:pPr>
          </w:p>
          <w:p>
            <w:pPr>
              <w:spacing w:line="400" w:lineRule="exact"/>
              <w:jc w:val="center"/>
              <w:rPr>
                <w:b/>
                <w:szCs w:val="21"/>
              </w:rPr>
            </w:pPr>
          </w:p>
          <w:p>
            <w:pPr>
              <w:spacing w:line="400" w:lineRule="exact"/>
              <w:jc w:val="center"/>
              <w:rPr>
                <w:b/>
                <w:szCs w:val="21"/>
              </w:rPr>
            </w:pPr>
            <w:r>
              <w:rPr>
                <w:b/>
                <w:szCs w:val="21"/>
              </w:rPr>
              <w:t xml:space="preserve">表2-1  </w:t>
            </w:r>
            <w:r>
              <w:rPr>
                <w:rFonts w:hint="eastAsia"/>
                <w:b/>
                <w:szCs w:val="21"/>
              </w:rPr>
              <w:t xml:space="preserve"> </w:t>
            </w:r>
            <w:r>
              <w:rPr>
                <w:b/>
                <w:szCs w:val="21"/>
              </w:rPr>
              <w:t>项目组成</w:t>
            </w:r>
          </w:p>
          <w:tbl>
            <w:tblPr>
              <w:tblStyle w:val="1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09"/>
              <w:gridCol w:w="596"/>
              <w:gridCol w:w="1129"/>
              <w:gridCol w:w="53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0" w:type="pct"/>
                  <w:vAlign w:val="center"/>
                </w:tcPr>
                <w:p>
                  <w:pPr>
                    <w:tabs>
                      <w:tab w:val="left" w:pos="3255"/>
                    </w:tabs>
                    <w:jc w:val="center"/>
                    <w:rPr>
                      <w:bCs/>
                      <w:szCs w:val="21"/>
                    </w:rPr>
                  </w:pPr>
                  <w:r>
                    <w:rPr>
                      <w:bCs/>
                      <w:szCs w:val="21"/>
                    </w:rPr>
                    <w:t>工程类别</w:t>
                  </w:r>
                </w:p>
              </w:tc>
              <w:tc>
                <w:tcPr>
                  <w:tcW w:w="1088" w:type="pct"/>
                  <w:gridSpan w:val="2"/>
                  <w:vAlign w:val="center"/>
                </w:tcPr>
                <w:p>
                  <w:pPr>
                    <w:tabs>
                      <w:tab w:val="left" w:pos="3255"/>
                    </w:tabs>
                    <w:jc w:val="center"/>
                    <w:rPr>
                      <w:bCs/>
                      <w:szCs w:val="21"/>
                    </w:rPr>
                  </w:pPr>
                  <w:r>
                    <w:rPr>
                      <w:bCs/>
                      <w:szCs w:val="21"/>
                    </w:rPr>
                    <w:t>工程内容</w:t>
                  </w:r>
                </w:p>
              </w:tc>
              <w:tc>
                <w:tcPr>
                  <w:tcW w:w="3402" w:type="pct"/>
                  <w:vAlign w:val="center"/>
                </w:tcPr>
                <w:p>
                  <w:pPr>
                    <w:tabs>
                      <w:tab w:val="left" w:pos="3255"/>
                    </w:tabs>
                    <w:jc w:val="center"/>
                    <w:rPr>
                      <w:bCs/>
                      <w:szCs w:val="21"/>
                    </w:rPr>
                  </w:pPr>
                  <w:r>
                    <w:rPr>
                      <w:bCs/>
                      <w:szCs w:val="21"/>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0" w:type="pct"/>
                  <w:vAlign w:val="center"/>
                </w:tcPr>
                <w:p>
                  <w:pPr>
                    <w:tabs>
                      <w:tab w:val="left" w:pos="3255"/>
                    </w:tabs>
                    <w:jc w:val="center"/>
                    <w:rPr>
                      <w:bCs/>
                    </w:rPr>
                  </w:pPr>
                  <w:r>
                    <w:rPr>
                      <w:bCs/>
                    </w:rPr>
                    <w:t>主体工程</w:t>
                  </w:r>
                </w:p>
              </w:tc>
              <w:tc>
                <w:tcPr>
                  <w:tcW w:w="1088" w:type="pct"/>
                  <w:gridSpan w:val="2"/>
                  <w:vAlign w:val="center"/>
                </w:tcPr>
                <w:p>
                  <w:pPr>
                    <w:tabs>
                      <w:tab w:val="left" w:pos="3255"/>
                    </w:tabs>
                    <w:jc w:val="center"/>
                    <w:rPr>
                      <w:bCs/>
                      <w:szCs w:val="21"/>
                    </w:rPr>
                  </w:pPr>
                  <w:r>
                    <w:rPr>
                      <w:rFonts w:hint="eastAsia"/>
                      <w:bCs/>
                      <w:szCs w:val="21"/>
                    </w:rPr>
                    <w:t>注塑车间</w:t>
                  </w:r>
                </w:p>
              </w:tc>
              <w:tc>
                <w:tcPr>
                  <w:tcW w:w="3402" w:type="pct"/>
                  <w:vAlign w:val="center"/>
                </w:tcPr>
                <w:p>
                  <w:pPr>
                    <w:widowControl/>
                    <w:jc w:val="left"/>
                    <w:rPr>
                      <w:szCs w:val="21"/>
                    </w:rPr>
                  </w:pPr>
                  <w:r>
                    <w:rPr>
                      <w:rFonts w:hint="eastAsia"/>
                      <w:bCs/>
                      <w:szCs w:val="21"/>
                    </w:rPr>
                    <w:t>1、采用聚丙烯、聚乙烯为原料，经注塑、模具成型、等工序，年加工</w:t>
                  </w:r>
                  <w:r>
                    <w:rPr>
                      <w:rFonts w:hint="eastAsia"/>
                      <w:szCs w:val="21"/>
                    </w:rPr>
                    <w:t>塑料包装箱及容器</w:t>
                  </w:r>
                  <w:r>
                    <w:rPr>
                      <w:szCs w:val="21"/>
                    </w:rPr>
                    <w:t>3</w:t>
                  </w:r>
                  <w:r>
                    <w:rPr>
                      <w:rFonts w:hint="eastAsia"/>
                      <w:szCs w:val="21"/>
                    </w:rPr>
                    <w:t>00万套；</w:t>
                  </w:r>
                </w:p>
                <w:p>
                  <w:pPr>
                    <w:widowControl/>
                    <w:jc w:val="left"/>
                    <w:rPr>
                      <w:bCs/>
                      <w:szCs w:val="21"/>
                    </w:rPr>
                  </w:pPr>
                  <w:r>
                    <w:rPr>
                      <w:rFonts w:hint="eastAsia"/>
                      <w:szCs w:val="21"/>
                    </w:rPr>
                    <w:t>2、设置废料处理设备，用于对注塑过程产生的机头料、切口料和不合格产品，对其进行破碎处理后，全部作为原料回用，预计年处理废料</w:t>
                  </w:r>
                  <w:r>
                    <w:rPr>
                      <w:szCs w:val="21"/>
                    </w:rPr>
                    <w:t>15 t</w:t>
                  </w:r>
                  <w:r>
                    <w:rPr>
                      <w:rFonts w:hint="eastAsia"/>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0" w:type="pct"/>
                  <w:vAlign w:val="center"/>
                </w:tcPr>
                <w:p>
                  <w:pPr>
                    <w:tabs>
                      <w:tab w:val="left" w:pos="3255"/>
                    </w:tabs>
                    <w:jc w:val="center"/>
                    <w:rPr>
                      <w:bCs/>
                    </w:rPr>
                  </w:pPr>
                  <w:r>
                    <w:rPr>
                      <w:rFonts w:hint="eastAsia"/>
                      <w:bCs/>
                    </w:rPr>
                    <w:t>辅助工程</w:t>
                  </w:r>
                </w:p>
              </w:tc>
              <w:tc>
                <w:tcPr>
                  <w:tcW w:w="1088" w:type="pct"/>
                  <w:gridSpan w:val="2"/>
                  <w:vAlign w:val="center"/>
                </w:tcPr>
                <w:p>
                  <w:pPr>
                    <w:tabs>
                      <w:tab w:val="left" w:pos="3255"/>
                    </w:tabs>
                    <w:jc w:val="center"/>
                    <w:rPr>
                      <w:bCs/>
                      <w:szCs w:val="21"/>
                    </w:rPr>
                  </w:pPr>
                  <w:r>
                    <w:rPr>
                      <w:rFonts w:hint="eastAsia"/>
                      <w:bCs/>
                      <w:szCs w:val="21"/>
                    </w:rPr>
                    <w:t>办公用房</w:t>
                  </w:r>
                </w:p>
              </w:tc>
              <w:tc>
                <w:tcPr>
                  <w:tcW w:w="3402" w:type="pct"/>
                  <w:vAlign w:val="center"/>
                </w:tcPr>
                <w:p>
                  <w:pPr>
                    <w:widowControl/>
                    <w:jc w:val="left"/>
                    <w:rPr>
                      <w:bCs/>
                      <w:szCs w:val="21"/>
                    </w:rPr>
                  </w:pPr>
                  <w:r>
                    <w:rPr>
                      <w:rFonts w:hint="eastAsia"/>
                      <w:bCs/>
                      <w:szCs w:val="21"/>
                    </w:rPr>
                    <w:t>位于厂区南侧，面积约6</w:t>
                  </w:r>
                  <w:r>
                    <w:rPr>
                      <w:bCs/>
                      <w:szCs w:val="21"/>
                    </w:rPr>
                    <w:t xml:space="preserve">0 </w:t>
                  </w:r>
                  <w:r>
                    <w:rPr>
                      <w:rFonts w:hint="eastAsia"/>
                      <w:bCs/>
                      <w:szCs w:val="21"/>
                    </w:rPr>
                    <w:t>平方米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0" w:type="pct"/>
                  <w:vAlign w:val="center"/>
                </w:tcPr>
                <w:p>
                  <w:pPr>
                    <w:tabs>
                      <w:tab w:val="left" w:pos="3255"/>
                    </w:tabs>
                    <w:jc w:val="center"/>
                    <w:rPr>
                      <w:bCs/>
                      <w:szCs w:val="21"/>
                    </w:rPr>
                  </w:pPr>
                  <w:r>
                    <w:rPr>
                      <w:rFonts w:hint="eastAsia"/>
                      <w:bCs/>
                      <w:szCs w:val="21"/>
                    </w:rPr>
                    <w:t>储运工程</w:t>
                  </w:r>
                </w:p>
              </w:tc>
              <w:tc>
                <w:tcPr>
                  <w:tcW w:w="1088" w:type="pct"/>
                  <w:gridSpan w:val="2"/>
                  <w:vAlign w:val="center"/>
                </w:tcPr>
                <w:p>
                  <w:pPr>
                    <w:tabs>
                      <w:tab w:val="left" w:pos="3255"/>
                    </w:tabs>
                    <w:jc w:val="center"/>
                    <w:rPr>
                      <w:bCs/>
                      <w:szCs w:val="21"/>
                    </w:rPr>
                  </w:pPr>
                  <w:r>
                    <w:rPr>
                      <w:rFonts w:hint="eastAsia"/>
                      <w:bCs/>
                      <w:szCs w:val="21"/>
                    </w:rPr>
                    <w:t>库房</w:t>
                  </w:r>
                </w:p>
              </w:tc>
              <w:tc>
                <w:tcPr>
                  <w:tcW w:w="3402" w:type="pct"/>
                  <w:vAlign w:val="center"/>
                </w:tcPr>
                <w:p>
                  <w:pPr>
                    <w:widowControl/>
                    <w:jc w:val="left"/>
                    <w:rPr>
                      <w:bCs/>
                      <w:szCs w:val="21"/>
                    </w:rPr>
                  </w:pPr>
                  <w:r>
                    <w:rPr>
                      <w:rFonts w:hint="eastAsia"/>
                      <w:bCs/>
                      <w:szCs w:val="21"/>
                    </w:rPr>
                    <w:t>塑料原料及产品存放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0" w:type="pct"/>
                  <w:vMerge w:val="restart"/>
                  <w:vAlign w:val="center"/>
                </w:tcPr>
                <w:p>
                  <w:pPr>
                    <w:tabs>
                      <w:tab w:val="left" w:pos="3255"/>
                    </w:tabs>
                    <w:jc w:val="center"/>
                    <w:rPr>
                      <w:bCs/>
                      <w:szCs w:val="21"/>
                    </w:rPr>
                  </w:pPr>
                  <w:r>
                    <w:rPr>
                      <w:bCs/>
                      <w:szCs w:val="21"/>
                    </w:rPr>
                    <w:t>公用工程</w:t>
                  </w:r>
                </w:p>
              </w:tc>
              <w:tc>
                <w:tcPr>
                  <w:tcW w:w="1088" w:type="pct"/>
                  <w:gridSpan w:val="2"/>
                  <w:vAlign w:val="center"/>
                </w:tcPr>
                <w:p>
                  <w:pPr>
                    <w:tabs>
                      <w:tab w:val="left" w:pos="3255"/>
                    </w:tabs>
                    <w:jc w:val="center"/>
                    <w:rPr>
                      <w:bCs/>
                      <w:szCs w:val="21"/>
                    </w:rPr>
                  </w:pPr>
                  <w:r>
                    <w:rPr>
                      <w:bCs/>
                      <w:szCs w:val="21"/>
                    </w:rPr>
                    <w:t>给</w:t>
                  </w:r>
                  <w:r>
                    <w:rPr>
                      <w:rFonts w:hint="eastAsia"/>
                      <w:bCs/>
                      <w:szCs w:val="21"/>
                    </w:rPr>
                    <w:t>排</w:t>
                  </w:r>
                  <w:r>
                    <w:rPr>
                      <w:bCs/>
                      <w:szCs w:val="21"/>
                    </w:rPr>
                    <w:t>水</w:t>
                  </w:r>
                </w:p>
              </w:tc>
              <w:tc>
                <w:tcPr>
                  <w:tcW w:w="3402" w:type="pct"/>
                  <w:vAlign w:val="center"/>
                </w:tcPr>
                <w:p>
                  <w:pPr>
                    <w:widowControl/>
                    <w:jc w:val="left"/>
                    <w:rPr>
                      <w:bCs/>
                      <w:szCs w:val="21"/>
                    </w:rPr>
                  </w:pPr>
                  <w:r>
                    <w:rPr>
                      <w:rFonts w:hint="eastAsia"/>
                      <w:bCs/>
                      <w:szCs w:val="21"/>
                    </w:rPr>
                    <w:t>1、生活用水外购桶装水，盥洗污水泼洒抑尘，不外排</w:t>
                  </w:r>
                </w:p>
                <w:p>
                  <w:pPr>
                    <w:widowControl/>
                    <w:jc w:val="left"/>
                    <w:rPr>
                      <w:bCs/>
                      <w:szCs w:val="21"/>
                    </w:rPr>
                  </w:pPr>
                  <w:r>
                    <w:rPr>
                      <w:bCs/>
                      <w:szCs w:val="21"/>
                    </w:rPr>
                    <w:t>2</w:t>
                  </w:r>
                  <w:r>
                    <w:rPr>
                      <w:rFonts w:hint="eastAsia"/>
                      <w:bCs/>
                      <w:szCs w:val="21"/>
                    </w:rPr>
                    <w:t>、循环冷却水罐车外运，无废水排放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0" w:type="pct"/>
                  <w:vMerge w:val="continue"/>
                  <w:vAlign w:val="center"/>
                </w:tcPr>
                <w:p>
                  <w:pPr>
                    <w:tabs>
                      <w:tab w:val="left" w:pos="3255"/>
                    </w:tabs>
                    <w:jc w:val="center"/>
                    <w:rPr>
                      <w:bCs/>
                      <w:szCs w:val="21"/>
                    </w:rPr>
                  </w:pPr>
                </w:p>
              </w:tc>
              <w:tc>
                <w:tcPr>
                  <w:tcW w:w="1088" w:type="pct"/>
                  <w:gridSpan w:val="2"/>
                  <w:vAlign w:val="center"/>
                </w:tcPr>
                <w:p>
                  <w:pPr>
                    <w:tabs>
                      <w:tab w:val="left" w:pos="3255"/>
                    </w:tabs>
                    <w:jc w:val="center"/>
                    <w:rPr>
                      <w:bCs/>
                      <w:szCs w:val="21"/>
                    </w:rPr>
                  </w:pPr>
                  <w:r>
                    <w:rPr>
                      <w:bCs/>
                      <w:szCs w:val="21"/>
                    </w:rPr>
                    <w:t>供电</w:t>
                  </w:r>
                </w:p>
              </w:tc>
              <w:tc>
                <w:tcPr>
                  <w:tcW w:w="3402" w:type="pct"/>
                  <w:vAlign w:val="center"/>
                </w:tcPr>
                <w:p>
                  <w:pPr>
                    <w:widowControl/>
                    <w:jc w:val="left"/>
                    <w:rPr>
                      <w:bCs/>
                      <w:szCs w:val="21"/>
                    </w:rPr>
                  </w:pPr>
                  <w:r>
                    <w:rPr>
                      <w:rFonts w:hint="eastAsia"/>
                      <w:bCs/>
                      <w:szCs w:val="21"/>
                    </w:rPr>
                    <w:t>电网供应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0" w:type="pct"/>
                  <w:vMerge w:val="restart"/>
                  <w:vAlign w:val="center"/>
                </w:tcPr>
                <w:p>
                  <w:pPr>
                    <w:tabs>
                      <w:tab w:val="left" w:pos="3255"/>
                    </w:tabs>
                    <w:jc w:val="center"/>
                    <w:rPr>
                      <w:bCs/>
                      <w:szCs w:val="21"/>
                    </w:rPr>
                  </w:pPr>
                  <w:r>
                    <w:rPr>
                      <w:bCs/>
                      <w:szCs w:val="21"/>
                    </w:rPr>
                    <w:t>环保工程</w:t>
                  </w:r>
                </w:p>
              </w:tc>
              <w:tc>
                <w:tcPr>
                  <w:tcW w:w="1088" w:type="pct"/>
                  <w:gridSpan w:val="2"/>
                  <w:vAlign w:val="center"/>
                </w:tcPr>
                <w:p>
                  <w:pPr>
                    <w:jc w:val="center"/>
                    <w:rPr>
                      <w:bCs/>
                      <w:szCs w:val="21"/>
                    </w:rPr>
                  </w:pPr>
                  <w:r>
                    <w:rPr>
                      <w:bCs/>
                      <w:szCs w:val="21"/>
                    </w:rPr>
                    <w:t>废水治理</w:t>
                  </w:r>
                </w:p>
              </w:tc>
              <w:tc>
                <w:tcPr>
                  <w:tcW w:w="3402" w:type="pct"/>
                  <w:vAlign w:val="center"/>
                </w:tcPr>
                <w:p>
                  <w:pPr>
                    <w:widowControl/>
                    <w:jc w:val="left"/>
                    <w:rPr>
                      <w:bCs/>
                      <w:szCs w:val="21"/>
                    </w:rPr>
                  </w:pPr>
                  <w:r>
                    <w:rPr>
                      <w:rFonts w:hint="eastAsia"/>
                      <w:bCs/>
                      <w:szCs w:val="21"/>
                    </w:rPr>
                    <w:t>1、生活盥洗污水厂区内泼洒抑尘，不外排，设置旱厕</w:t>
                  </w:r>
                </w:p>
                <w:p>
                  <w:pPr>
                    <w:widowControl/>
                    <w:jc w:val="left"/>
                    <w:rPr>
                      <w:bCs/>
                      <w:szCs w:val="21"/>
                    </w:rPr>
                  </w:pPr>
                  <w:r>
                    <w:rPr>
                      <w:bCs/>
                      <w:szCs w:val="21"/>
                    </w:rPr>
                    <w:t>2</w:t>
                  </w:r>
                  <w:r>
                    <w:rPr>
                      <w:rFonts w:hint="eastAsia"/>
                      <w:bCs/>
                      <w:szCs w:val="21"/>
                    </w:rPr>
                    <w:t>、注塑冷却水重复利用，无废水排放；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0" w:type="pct"/>
                  <w:vMerge w:val="continue"/>
                  <w:vAlign w:val="center"/>
                </w:tcPr>
                <w:p>
                  <w:pPr>
                    <w:tabs>
                      <w:tab w:val="left" w:pos="3255"/>
                    </w:tabs>
                    <w:jc w:val="center"/>
                    <w:rPr>
                      <w:bCs/>
                      <w:szCs w:val="21"/>
                    </w:rPr>
                  </w:pPr>
                </w:p>
              </w:tc>
              <w:tc>
                <w:tcPr>
                  <w:tcW w:w="1088" w:type="pct"/>
                  <w:gridSpan w:val="2"/>
                  <w:vAlign w:val="center"/>
                </w:tcPr>
                <w:p>
                  <w:pPr>
                    <w:tabs>
                      <w:tab w:val="left" w:pos="3255"/>
                    </w:tabs>
                    <w:jc w:val="center"/>
                    <w:rPr>
                      <w:bCs/>
                      <w:szCs w:val="21"/>
                    </w:rPr>
                  </w:pPr>
                  <w:r>
                    <w:rPr>
                      <w:bCs/>
                      <w:szCs w:val="21"/>
                    </w:rPr>
                    <w:t>废气治理</w:t>
                  </w:r>
                </w:p>
              </w:tc>
              <w:tc>
                <w:tcPr>
                  <w:tcW w:w="3402" w:type="pct"/>
                  <w:vAlign w:val="center"/>
                </w:tcPr>
                <w:p>
                  <w:pPr>
                    <w:widowControl/>
                    <w:jc w:val="left"/>
                    <w:rPr>
                      <w:bCs/>
                      <w:szCs w:val="21"/>
                    </w:rPr>
                  </w:pPr>
                  <w:r>
                    <w:rPr>
                      <w:rFonts w:hint="eastAsia"/>
                      <w:bCs/>
                      <w:szCs w:val="21"/>
                    </w:rPr>
                    <w:t>1、每台烘干机出气口设置滤筒除尘器，处理后车间内排放；</w:t>
                  </w:r>
                </w:p>
                <w:p>
                  <w:pPr>
                    <w:widowControl/>
                    <w:jc w:val="left"/>
                    <w:rPr>
                      <w:bCs/>
                      <w:szCs w:val="21"/>
                    </w:rPr>
                  </w:pPr>
                  <w:r>
                    <w:rPr>
                      <w:rFonts w:hint="eastAsia"/>
                      <w:bCs/>
                      <w:szCs w:val="21"/>
                    </w:rPr>
                    <w:t>2、原料采用密闭螺旋方式上料。</w:t>
                  </w:r>
                </w:p>
                <w:p>
                  <w:pPr>
                    <w:widowControl/>
                    <w:jc w:val="left"/>
                    <w:rPr>
                      <w:bCs/>
                      <w:szCs w:val="21"/>
                    </w:rPr>
                  </w:pPr>
                  <w:r>
                    <w:rPr>
                      <w:bCs/>
                      <w:szCs w:val="21"/>
                    </w:rPr>
                    <w:t>3</w:t>
                  </w:r>
                  <w:r>
                    <w:rPr>
                      <w:rFonts w:hint="eastAsia"/>
                      <w:bCs/>
                      <w:szCs w:val="21"/>
                    </w:rPr>
                    <w:t>、3台注塑机分别设置集气罩，采用“过滤棉+</w:t>
                  </w:r>
                  <w:r>
                    <w:rPr>
                      <w:bCs/>
                      <w:szCs w:val="21"/>
                    </w:rPr>
                    <w:t>2</w:t>
                  </w:r>
                  <w:r>
                    <w:rPr>
                      <w:rFonts w:hint="eastAsia"/>
                      <w:bCs/>
                      <w:szCs w:val="21"/>
                    </w:rPr>
                    <w:t>级活性炭吸附”处理后经</w:t>
                  </w:r>
                  <w:r>
                    <w:rPr>
                      <w:bCs/>
                      <w:szCs w:val="21"/>
                    </w:rPr>
                    <w:t>15 m</w:t>
                  </w:r>
                  <w:r>
                    <w:rPr>
                      <w:rFonts w:hint="eastAsia"/>
                      <w:bCs/>
                      <w:szCs w:val="21"/>
                    </w:rPr>
                    <w:t>排气筒排放（D</w:t>
                  </w:r>
                  <w:r>
                    <w:rPr>
                      <w:bCs/>
                      <w:szCs w:val="21"/>
                    </w:rPr>
                    <w:t>A001</w:t>
                  </w:r>
                  <w:r>
                    <w:rPr>
                      <w:rFonts w:hint="eastAsia"/>
                      <w:bCs/>
                      <w:szCs w:val="21"/>
                    </w:rPr>
                    <w:t>）；</w:t>
                  </w:r>
                </w:p>
                <w:p>
                  <w:pPr>
                    <w:widowControl/>
                    <w:jc w:val="left"/>
                    <w:rPr>
                      <w:bCs/>
                      <w:szCs w:val="21"/>
                    </w:rPr>
                  </w:pPr>
                  <w:r>
                    <w:rPr>
                      <w:bCs/>
                      <w:szCs w:val="21"/>
                    </w:rPr>
                    <w:t>4</w:t>
                  </w:r>
                  <w:r>
                    <w:rPr>
                      <w:rFonts w:hint="eastAsia"/>
                      <w:bCs/>
                      <w:szCs w:val="21"/>
                    </w:rPr>
                    <w:t>、废料处理废气收集后经滤筒除尘器处理后车间内排放；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0" w:type="pct"/>
                  <w:vMerge w:val="continue"/>
                  <w:vAlign w:val="center"/>
                </w:tcPr>
                <w:p>
                  <w:pPr>
                    <w:tabs>
                      <w:tab w:val="left" w:pos="3255"/>
                    </w:tabs>
                    <w:jc w:val="center"/>
                    <w:rPr>
                      <w:bCs/>
                      <w:szCs w:val="21"/>
                    </w:rPr>
                  </w:pPr>
                </w:p>
              </w:tc>
              <w:tc>
                <w:tcPr>
                  <w:tcW w:w="1088" w:type="pct"/>
                  <w:gridSpan w:val="2"/>
                  <w:vAlign w:val="center"/>
                </w:tcPr>
                <w:p>
                  <w:pPr>
                    <w:tabs>
                      <w:tab w:val="left" w:pos="3255"/>
                    </w:tabs>
                    <w:jc w:val="center"/>
                    <w:rPr>
                      <w:bCs/>
                      <w:szCs w:val="21"/>
                    </w:rPr>
                  </w:pPr>
                  <w:r>
                    <w:rPr>
                      <w:bCs/>
                      <w:szCs w:val="21"/>
                    </w:rPr>
                    <w:t>噪声控制</w:t>
                  </w:r>
                </w:p>
              </w:tc>
              <w:tc>
                <w:tcPr>
                  <w:tcW w:w="3402" w:type="pct"/>
                  <w:vAlign w:val="center"/>
                </w:tcPr>
                <w:p>
                  <w:pPr>
                    <w:widowControl/>
                    <w:jc w:val="left"/>
                    <w:rPr>
                      <w:bCs/>
                      <w:szCs w:val="21"/>
                    </w:rPr>
                  </w:pPr>
                  <w:r>
                    <w:rPr>
                      <w:bCs/>
                      <w:szCs w:val="21"/>
                    </w:rPr>
                    <w:t>选用低噪声设备，设置基础减振，采用隔声等措施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1" w:hRule="atLeast"/>
                <w:jc w:val="center"/>
              </w:trPr>
              <w:tc>
                <w:tcPr>
                  <w:tcW w:w="510" w:type="pct"/>
                  <w:vMerge w:val="continue"/>
                  <w:vAlign w:val="center"/>
                </w:tcPr>
                <w:p>
                  <w:pPr>
                    <w:pStyle w:val="3"/>
                    <w:ind w:firstLine="0"/>
                    <w:jc w:val="left"/>
                  </w:pPr>
                </w:p>
              </w:tc>
              <w:tc>
                <w:tcPr>
                  <w:tcW w:w="376" w:type="pct"/>
                  <w:vMerge w:val="restart"/>
                  <w:vAlign w:val="center"/>
                </w:tcPr>
                <w:p>
                  <w:pPr>
                    <w:tabs>
                      <w:tab w:val="left" w:pos="3255"/>
                    </w:tabs>
                    <w:jc w:val="center"/>
                    <w:rPr>
                      <w:bCs/>
                      <w:szCs w:val="21"/>
                    </w:rPr>
                  </w:pPr>
                  <w:r>
                    <w:rPr>
                      <w:bCs/>
                      <w:szCs w:val="21"/>
                    </w:rPr>
                    <w:t>固废</w:t>
                  </w:r>
                </w:p>
              </w:tc>
              <w:tc>
                <w:tcPr>
                  <w:tcW w:w="712" w:type="pct"/>
                  <w:vAlign w:val="center"/>
                </w:tcPr>
                <w:p>
                  <w:pPr>
                    <w:tabs>
                      <w:tab w:val="left" w:pos="3255"/>
                    </w:tabs>
                    <w:jc w:val="center"/>
                    <w:rPr>
                      <w:bCs/>
                      <w:szCs w:val="21"/>
                    </w:rPr>
                  </w:pPr>
                  <w:r>
                    <w:rPr>
                      <w:rFonts w:hint="eastAsia"/>
                      <w:bCs/>
                      <w:szCs w:val="21"/>
                    </w:rPr>
                    <w:t>一般固废</w:t>
                  </w:r>
                </w:p>
              </w:tc>
              <w:tc>
                <w:tcPr>
                  <w:tcW w:w="3402" w:type="pct"/>
                  <w:vAlign w:val="center"/>
                </w:tcPr>
                <w:p>
                  <w:pPr>
                    <w:pStyle w:val="3"/>
                    <w:ind w:firstLine="0"/>
                    <w:jc w:val="left"/>
                  </w:pPr>
                  <w:r>
                    <w:rPr>
                      <w:rFonts w:hint="eastAsia"/>
                    </w:rPr>
                    <w:t>废包装、除尘灰车间内存放，定期外售；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510" w:type="pct"/>
                  <w:vMerge w:val="continue"/>
                  <w:vAlign w:val="center"/>
                </w:tcPr>
                <w:p>
                  <w:pPr>
                    <w:pStyle w:val="3"/>
                    <w:ind w:firstLine="0"/>
                    <w:jc w:val="left"/>
                  </w:pPr>
                </w:p>
              </w:tc>
              <w:tc>
                <w:tcPr>
                  <w:tcW w:w="376" w:type="pct"/>
                  <w:vMerge w:val="continue"/>
                  <w:vAlign w:val="center"/>
                </w:tcPr>
                <w:p>
                  <w:pPr>
                    <w:tabs>
                      <w:tab w:val="left" w:pos="3255"/>
                    </w:tabs>
                    <w:jc w:val="center"/>
                    <w:rPr>
                      <w:bCs/>
                      <w:szCs w:val="21"/>
                    </w:rPr>
                  </w:pPr>
                </w:p>
              </w:tc>
              <w:tc>
                <w:tcPr>
                  <w:tcW w:w="712" w:type="pct"/>
                  <w:vAlign w:val="center"/>
                </w:tcPr>
                <w:p>
                  <w:pPr>
                    <w:tabs>
                      <w:tab w:val="left" w:pos="3255"/>
                    </w:tabs>
                    <w:jc w:val="center"/>
                    <w:rPr>
                      <w:bCs/>
                      <w:szCs w:val="21"/>
                    </w:rPr>
                  </w:pPr>
                  <w:r>
                    <w:rPr>
                      <w:rFonts w:hint="eastAsia"/>
                      <w:bCs/>
                      <w:szCs w:val="21"/>
                    </w:rPr>
                    <w:t>生活垃圾</w:t>
                  </w:r>
                </w:p>
              </w:tc>
              <w:tc>
                <w:tcPr>
                  <w:tcW w:w="3402" w:type="pct"/>
                  <w:vAlign w:val="center"/>
                </w:tcPr>
                <w:p>
                  <w:pPr>
                    <w:pStyle w:val="3"/>
                    <w:ind w:firstLine="0"/>
                    <w:jc w:val="left"/>
                  </w:pPr>
                  <w:r>
                    <w:rPr>
                      <w:rFonts w:hint="eastAsia"/>
                    </w:rPr>
                    <w:t>垃圾桶暂存，环卫部门处理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510" w:type="pct"/>
                  <w:vMerge w:val="continue"/>
                  <w:vAlign w:val="center"/>
                </w:tcPr>
                <w:p>
                  <w:pPr>
                    <w:pStyle w:val="3"/>
                    <w:ind w:firstLine="0"/>
                    <w:jc w:val="left"/>
                  </w:pPr>
                </w:p>
              </w:tc>
              <w:tc>
                <w:tcPr>
                  <w:tcW w:w="376" w:type="pct"/>
                  <w:vMerge w:val="continue"/>
                  <w:vAlign w:val="center"/>
                </w:tcPr>
                <w:p>
                  <w:pPr>
                    <w:tabs>
                      <w:tab w:val="left" w:pos="3255"/>
                    </w:tabs>
                    <w:jc w:val="center"/>
                    <w:rPr>
                      <w:bCs/>
                      <w:szCs w:val="21"/>
                    </w:rPr>
                  </w:pPr>
                </w:p>
              </w:tc>
              <w:tc>
                <w:tcPr>
                  <w:tcW w:w="712" w:type="pct"/>
                  <w:vAlign w:val="center"/>
                </w:tcPr>
                <w:p>
                  <w:pPr>
                    <w:tabs>
                      <w:tab w:val="left" w:pos="3255"/>
                    </w:tabs>
                    <w:jc w:val="center"/>
                    <w:rPr>
                      <w:bCs/>
                      <w:szCs w:val="21"/>
                    </w:rPr>
                  </w:pPr>
                  <w:r>
                    <w:rPr>
                      <w:rFonts w:hint="eastAsia"/>
                      <w:bCs/>
                      <w:szCs w:val="21"/>
                    </w:rPr>
                    <w:t>危险废物</w:t>
                  </w:r>
                </w:p>
              </w:tc>
              <w:tc>
                <w:tcPr>
                  <w:tcW w:w="3402" w:type="pct"/>
                  <w:vAlign w:val="center"/>
                </w:tcPr>
                <w:p>
                  <w:pPr>
                    <w:pStyle w:val="3"/>
                    <w:ind w:firstLine="0"/>
                    <w:jc w:val="left"/>
                  </w:pPr>
                  <w:r>
                    <w:rPr>
                      <w:rFonts w:hint="eastAsia"/>
                    </w:rPr>
                    <w:t>废活性炭、废过滤棉、废液压油、废油桶暂存危废间（</w:t>
                  </w:r>
                  <w:r>
                    <w:t>5 m</w:t>
                  </w:r>
                  <w:r>
                    <w:rPr>
                      <w:vertAlign w:val="superscript"/>
                    </w:rPr>
                    <w:t>2</w:t>
                  </w:r>
                  <w:r>
                    <w:rPr>
                      <w:rFonts w:hint="eastAsia"/>
                    </w:rPr>
                    <w:t>），委托有资质单位外运处置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1598" w:type="pct"/>
                  <w:gridSpan w:val="3"/>
                  <w:vAlign w:val="center"/>
                </w:tcPr>
                <w:p>
                  <w:pPr>
                    <w:tabs>
                      <w:tab w:val="left" w:pos="3255"/>
                    </w:tabs>
                    <w:jc w:val="center"/>
                    <w:rPr>
                      <w:bCs/>
                      <w:szCs w:val="21"/>
                    </w:rPr>
                  </w:pPr>
                  <w:r>
                    <w:rPr>
                      <w:rFonts w:hint="eastAsia"/>
                      <w:bCs/>
                      <w:szCs w:val="21"/>
                    </w:rPr>
                    <w:t>其他</w:t>
                  </w:r>
                </w:p>
              </w:tc>
              <w:tc>
                <w:tcPr>
                  <w:tcW w:w="3402" w:type="pct"/>
                  <w:vAlign w:val="center"/>
                </w:tcPr>
                <w:p>
                  <w:pPr>
                    <w:pStyle w:val="3"/>
                    <w:ind w:firstLine="0"/>
                    <w:jc w:val="left"/>
                  </w:pPr>
                  <w:r>
                    <w:rPr>
                      <w:rFonts w:hint="eastAsia"/>
                    </w:rPr>
                    <w:t>根据要求设置V</w:t>
                  </w:r>
                  <w:r>
                    <w:t>OCs</w:t>
                  </w:r>
                  <w:r>
                    <w:rPr>
                      <w:rFonts w:hint="eastAsia"/>
                    </w:rPr>
                    <w:t>超标报警装置</w:t>
                  </w:r>
                  <w:r>
                    <w:t>。</w:t>
                  </w:r>
                </w:p>
              </w:tc>
            </w:tr>
          </w:tbl>
          <w:p>
            <w:pPr>
              <w:adjustRightInd w:val="0"/>
              <w:snapToGrid w:val="0"/>
              <w:spacing w:line="400" w:lineRule="exact"/>
              <w:ind w:firstLine="422" w:firstLineChars="200"/>
              <w:rPr>
                <w:b/>
                <w:szCs w:val="21"/>
              </w:rPr>
            </w:pPr>
            <w:r>
              <w:rPr>
                <w:b/>
                <w:szCs w:val="21"/>
              </w:rPr>
              <w:t>2.3</w:t>
            </w:r>
            <w:r>
              <w:rPr>
                <w:rFonts w:hint="eastAsia"/>
                <w:b/>
                <w:szCs w:val="21"/>
              </w:rPr>
              <w:t>主要设备情况</w:t>
            </w:r>
          </w:p>
          <w:p>
            <w:pPr>
              <w:spacing w:line="400" w:lineRule="exact"/>
              <w:jc w:val="center"/>
              <w:rPr>
                <w:b/>
                <w:szCs w:val="21"/>
              </w:rPr>
            </w:pPr>
            <w:r>
              <w:rPr>
                <w:b/>
                <w:szCs w:val="21"/>
              </w:rPr>
              <w:t xml:space="preserve">表2-2   </w:t>
            </w:r>
            <w:r>
              <w:rPr>
                <w:rFonts w:hint="eastAsia"/>
                <w:b/>
                <w:szCs w:val="21"/>
              </w:rPr>
              <w:t>主要设备设施</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43"/>
              <w:gridCol w:w="2846"/>
              <w:gridCol w:w="2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39" w:type="pct"/>
                  <w:vAlign w:val="center"/>
                </w:tcPr>
                <w:p>
                  <w:pPr>
                    <w:tabs>
                      <w:tab w:val="left" w:pos="3255"/>
                    </w:tabs>
                    <w:jc w:val="center"/>
                    <w:rPr>
                      <w:bCs/>
                      <w:szCs w:val="21"/>
                    </w:rPr>
                  </w:pPr>
                  <w:r>
                    <w:rPr>
                      <w:rFonts w:hint="eastAsia"/>
                      <w:bCs/>
                      <w:szCs w:val="21"/>
                    </w:rPr>
                    <w:t>序号</w:t>
                  </w:r>
                </w:p>
              </w:tc>
              <w:tc>
                <w:tcPr>
                  <w:tcW w:w="1793" w:type="pct"/>
                  <w:vAlign w:val="center"/>
                </w:tcPr>
                <w:p>
                  <w:pPr>
                    <w:tabs>
                      <w:tab w:val="left" w:pos="3255"/>
                    </w:tabs>
                    <w:jc w:val="center"/>
                    <w:rPr>
                      <w:bCs/>
                      <w:szCs w:val="21"/>
                    </w:rPr>
                  </w:pPr>
                  <w:r>
                    <w:rPr>
                      <w:rFonts w:hint="eastAsia"/>
                      <w:bCs/>
                      <w:szCs w:val="21"/>
                    </w:rPr>
                    <w:t>名称</w:t>
                  </w:r>
                </w:p>
              </w:tc>
              <w:tc>
                <w:tcPr>
                  <w:tcW w:w="1667" w:type="pct"/>
                  <w:vAlign w:val="center"/>
                </w:tcPr>
                <w:p>
                  <w:pPr>
                    <w:tabs>
                      <w:tab w:val="left" w:pos="3255"/>
                    </w:tabs>
                    <w:jc w:val="center"/>
                    <w:rPr>
                      <w:bCs/>
                      <w:szCs w:val="21"/>
                    </w:rPr>
                  </w:pPr>
                  <w:r>
                    <w:rPr>
                      <w:rFonts w:hint="eastAsia"/>
                      <w:bCs/>
                      <w:szCs w:val="21"/>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39" w:type="pct"/>
                  <w:vAlign w:val="center"/>
                </w:tcPr>
                <w:p>
                  <w:pPr>
                    <w:tabs>
                      <w:tab w:val="left" w:pos="3255"/>
                    </w:tabs>
                    <w:jc w:val="center"/>
                    <w:rPr>
                      <w:bCs/>
                      <w:szCs w:val="21"/>
                    </w:rPr>
                  </w:pPr>
                  <w:r>
                    <w:rPr>
                      <w:rFonts w:hint="eastAsia"/>
                      <w:bCs/>
                      <w:szCs w:val="21"/>
                    </w:rPr>
                    <w:t>1</w:t>
                  </w:r>
                </w:p>
              </w:tc>
              <w:tc>
                <w:tcPr>
                  <w:tcW w:w="1793" w:type="pct"/>
                  <w:vAlign w:val="center"/>
                </w:tcPr>
                <w:p>
                  <w:pPr>
                    <w:tabs>
                      <w:tab w:val="left" w:pos="3255"/>
                    </w:tabs>
                    <w:jc w:val="center"/>
                    <w:rPr>
                      <w:bCs/>
                      <w:szCs w:val="21"/>
                    </w:rPr>
                  </w:pPr>
                  <w:r>
                    <w:rPr>
                      <w:rFonts w:hint="eastAsia"/>
                      <w:bCs/>
                      <w:szCs w:val="21"/>
                    </w:rPr>
                    <w:t>注塑机</w:t>
                  </w:r>
                </w:p>
              </w:tc>
              <w:tc>
                <w:tcPr>
                  <w:tcW w:w="1667" w:type="pct"/>
                  <w:vAlign w:val="center"/>
                </w:tcPr>
                <w:p>
                  <w:pPr>
                    <w:tabs>
                      <w:tab w:val="left" w:pos="3255"/>
                    </w:tabs>
                    <w:jc w:val="center"/>
                    <w:rPr>
                      <w:bCs/>
                      <w:szCs w:val="21"/>
                    </w:rPr>
                  </w:pPr>
                  <w:r>
                    <w:rPr>
                      <w:rFonts w:hint="eastAsia"/>
                      <w:bCs/>
                      <w:szCs w:val="21"/>
                    </w:rPr>
                    <w:t>3台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39" w:type="pct"/>
                  <w:vAlign w:val="center"/>
                </w:tcPr>
                <w:p>
                  <w:pPr>
                    <w:tabs>
                      <w:tab w:val="left" w:pos="3255"/>
                    </w:tabs>
                    <w:jc w:val="center"/>
                    <w:rPr>
                      <w:bCs/>
                      <w:szCs w:val="21"/>
                    </w:rPr>
                  </w:pPr>
                  <w:r>
                    <w:rPr>
                      <w:rFonts w:hint="eastAsia"/>
                      <w:bCs/>
                      <w:szCs w:val="21"/>
                    </w:rPr>
                    <w:t>2</w:t>
                  </w:r>
                </w:p>
              </w:tc>
              <w:tc>
                <w:tcPr>
                  <w:tcW w:w="1793" w:type="pct"/>
                  <w:vAlign w:val="center"/>
                </w:tcPr>
                <w:p>
                  <w:pPr>
                    <w:tabs>
                      <w:tab w:val="left" w:pos="3255"/>
                    </w:tabs>
                    <w:jc w:val="center"/>
                    <w:rPr>
                      <w:bCs/>
                      <w:szCs w:val="21"/>
                    </w:rPr>
                  </w:pPr>
                  <w:r>
                    <w:rPr>
                      <w:rFonts w:hint="eastAsia"/>
                      <w:bCs/>
                      <w:szCs w:val="21"/>
                    </w:rPr>
                    <w:t>冷却塔</w:t>
                  </w:r>
                </w:p>
              </w:tc>
              <w:tc>
                <w:tcPr>
                  <w:tcW w:w="1667" w:type="pct"/>
                  <w:vAlign w:val="center"/>
                </w:tcPr>
                <w:p>
                  <w:pPr>
                    <w:tabs>
                      <w:tab w:val="left" w:pos="3255"/>
                    </w:tabs>
                    <w:jc w:val="center"/>
                    <w:rPr>
                      <w:bCs/>
                      <w:szCs w:val="21"/>
                    </w:rPr>
                  </w:pPr>
                  <w:r>
                    <w:rPr>
                      <w:rFonts w:hint="eastAsia"/>
                      <w:bCs/>
                      <w:szCs w:val="21"/>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39" w:type="pct"/>
                  <w:vAlign w:val="center"/>
                </w:tcPr>
                <w:p>
                  <w:pPr>
                    <w:tabs>
                      <w:tab w:val="left" w:pos="3255"/>
                    </w:tabs>
                    <w:jc w:val="center"/>
                    <w:rPr>
                      <w:bCs/>
                      <w:szCs w:val="21"/>
                    </w:rPr>
                  </w:pPr>
                  <w:r>
                    <w:rPr>
                      <w:rFonts w:hint="eastAsia"/>
                      <w:bCs/>
                      <w:szCs w:val="21"/>
                    </w:rPr>
                    <w:t>3</w:t>
                  </w:r>
                </w:p>
              </w:tc>
              <w:tc>
                <w:tcPr>
                  <w:tcW w:w="1793" w:type="pct"/>
                  <w:vAlign w:val="center"/>
                </w:tcPr>
                <w:p>
                  <w:pPr>
                    <w:tabs>
                      <w:tab w:val="left" w:pos="3255"/>
                    </w:tabs>
                    <w:jc w:val="center"/>
                    <w:rPr>
                      <w:bCs/>
                      <w:szCs w:val="21"/>
                    </w:rPr>
                  </w:pPr>
                  <w:r>
                    <w:rPr>
                      <w:rFonts w:hint="eastAsia"/>
                      <w:bCs/>
                      <w:szCs w:val="21"/>
                    </w:rPr>
                    <w:t>上料系统</w:t>
                  </w:r>
                </w:p>
              </w:tc>
              <w:tc>
                <w:tcPr>
                  <w:tcW w:w="1667" w:type="pct"/>
                  <w:vAlign w:val="center"/>
                </w:tcPr>
                <w:p>
                  <w:pPr>
                    <w:tabs>
                      <w:tab w:val="left" w:pos="3255"/>
                    </w:tabs>
                    <w:jc w:val="center"/>
                    <w:rPr>
                      <w:bCs/>
                      <w:szCs w:val="21"/>
                    </w:rPr>
                  </w:pPr>
                  <w:r>
                    <w:rPr>
                      <w:bCs/>
                      <w:szCs w:val="21"/>
                    </w:rPr>
                    <w:t>3</w:t>
                  </w:r>
                  <w:r>
                    <w:rPr>
                      <w:rFonts w:hint="eastAsia"/>
                      <w:bCs/>
                      <w:szCs w:val="21"/>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39" w:type="pct"/>
                  <w:vAlign w:val="center"/>
                </w:tcPr>
                <w:p>
                  <w:pPr>
                    <w:tabs>
                      <w:tab w:val="left" w:pos="3255"/>
                    </w:tabs>
                    <w:jc w:val="center"/>
                    <w:rPr>
                      <w:bCs/>
                      <w:szCs w:val="21"/>
                    </w:rPr>
                  </w:pPr>
                  <w:r>
                    <w:rPr>
                      <w:rFonts w:hint="eastAsia"/>
                      <w:bCs/>
                      <w:szCs w:val="21"/>
                    </w:rPr>
                    <w:t>4</w:t>
                  </w:r>
                </w:p>
              </w:tc>
              <w:tc>
                <w:tcPr>
                  <w:tcW w:w="1793" w:type="pct"/>
                  <w:vAlign w:val="center"/>
                </w:tcPr>
                <w:p>
                  <w:pPr>
                    <w:tabs>
                      <w:tab w:val="left" w:pos="3255"/>
                    </w:tabs>
                    <w:jc w:val="center"/>
                    <w:rPr>
                      <w:bCs/>
                      <w:szCs w:val="21"/>
                    </w:rPr>
                  </w:pPr>
                  <w:r>
                    <w:rPr>
                      <w:rFonts w:hint="eastAsia"/>
                      <w:bCs/>
                      <w:szCs w:val="21"/>
                    </w:rPr>
                    <w:t>废料处理设施</w:t>
                  </w:r>
                </w:p>
              </w:tc>
              <w:tc>
                <w:tcPr>
                  <w:tcW w:w="1667" w:type="pct"/>
                  <w:vAlign w:val="center"/>
                </w:tcPr>
                <w:p>
                  <w:pPr>
                    <w:tabs>
                      <w:tab w:val="left" w:pos="3255"/>
                    </w:tabs>
                    <w:jc w:val="center"/>
                    <w:rPr>
                      <w:bCs/>
                      <w:szCs w:val="21"/>
                    </w:rPr>
                  </w:pPr>
                  <w:r>
                    <w:rPr>
                      <w:rFonts w:hint="eastAsia"/>
                      <w:bCs/>
                      <w:szCs w:val="21"/>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39" w:type="pct"/>
                  <w:vAlign w:val="center"/>
                </w:tcPr>
                <w:p>
                  <w:pPr>
                    <w:tabs>
                      <w:tab w:val="left" w:pos="3255"/>
                    </w:tabs>
                    <w:jc w:val="center"/>
                    <w:rPr>
                      <w:bCs/>
                      <w:szCs w:val="21"/>
                    </w:rPr>
                  </w:pPr>
                  <w:r>
                    <w:rPr>
                      <w:rFonts w:hint="eastAsia"/>
                      <w:bCs/>
                      <w:szCs w:val="21"/>
                    </w:rPr>
                    <w:t>5</w:t>
                  </w:r>
                </w:p>
              </w:tc>
              <w:tc>
                <w:tcPr>
                  <w:tcW w:w="1793" w:type="pct"/>
                  <w:vAlign w:val="center"/>
                </w:tcPr>
                <w:p>
                  <w:pPr>
                    <w:tabs>
                      <w:tab w:val="left" w:pos="3255"/>
                    </w:tabs>
                    <w:jc w:val="center"/>
                    <w:rPr>
                      <w:bCs/>
                      <w:szCs w:val="21"/>
                    </w:rPr>
                  </w:pPr>
                  <w:r>
                    <w:rPr>
                      <w:rFonts w:hint="eastAsia"/>
                      <w:bCs/>
                      <w:szCs w:val="21"/>
                    </w:rPr>
                    <w:t>滤筒除尘器及排气筒</w:t>
                  </w:r>
                </w:p>
              </w:tc>
              <w:tc>
                <w:tcPr>
                  <w:tcW w:w="1667" w:type="pct"/>
                  <w:vAlign w:val="center"/>
                </w:tcPr>
                <w:p>
                  <w:pPr>
                    <w:tabs>
                      <w:tab w:val="left" w:pos="3255"/>
                    </w:tabs>
                    <w:jc w:val="center"/>
                    <w:rPr>
                      <w:bCs/>
                      <w:szCs w:val="21"/>
                    </w:rPr>
                  </w:pPr>
                  <w:r>
                    <w:rPr>
                      <w:rFonts w:hint="eastAsia"/>
                      <w:bCs/>
                      <w:szCs w:val="21"/>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39" w:type="pct"/>
                  <w:vAlign w:val="center"/>
                </w:tcPr>
                <w:p>
                  <w:pPr>
                    <w:tabs>
                      <w:tab w:val="left" w:pos="3255"/>
                    </w:tabs>
                    <w:jc w:val="center"/>
                    <w:rPr>
                      <w:bCs/>
                      <w:szCs w:val="21"/>
                    </w:rPr>
                  </w:pPr>
                  <w:r>
                    <w:rPr>
                      <w:rFonts w:hint="eastAsia"/>
                      <w:bCs/>
                      <w:szCs w:val="21"/>
                    </w:rPr>
                    <w:t>6</w:t>
                  </w:r>
                </w:p>
              </w:tc>
              <w:tc>
                <w:tcPr>
                  <w:tcW w:w="1793" w:type="pct"/>
                  <w:vAlign w:val="center"/>
                </w:tcPr>
                <w:p>
                  <w:pPr>
                    <w:tabs>
                      <w:tab w:val="left" w:pos="3255"/>
                    </w:tabs>
                    <w:jc w:val="center"/>
                    <w:rPr>
                      <w:bCs/>
                      <w:szCs w:val="21"/>
                    </w:rPr>
                  </w:pPr>
                  <w:r>
                    <w:rPr>
                      <w:rFonts w:hint="eastAsia"/>
                      <w:bCs/>
                      <w:szCs w:val="21"/>
                    </w:rPr>
                    <w:t>注塑废气处理设施及排气筒</w:t>
                  </w:r>
                </w:p>
              </w:tc>
              <w:tc>
                <w:tcPr>
                  <w:tcW w:w="1667" w:type="pct"/>
                  <w:vAlign w:val="center"/>
                </w:tcPr>
                <w:p>
                  <w:pPr>
                    <w:tabs>
                      <w:tab w:val="left" w:pos="3255"/>
                    </w:tabs>
                    <w:jc w:val="center"/>
                    <w:rPr>
                      <w:bCs/>
                      <w:szCs w:val="21"/>
                    </w:rPr>
                  </w:pPr>
                  <w:r>
                    <w:rPr>
                      <w:rFonts w:hint="eastAsia"/>
                      <w:bCs/>
                      <w:szCs w:val="21"/>
                    </w:rPr>
                    <w:t>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39" w:type="pct"/>
                  <w:vAlign w:val="center"/>
                </w:tcPr>
                <w:p>
                  <w:pPr>
                    <w:tabs>
                      <w:tab w:val="left" w:pos="3255"/>
                    </w:tabs>
                    <w:jc w:val="center"/>
                    <w:rPr>
                      <w:bCs/>
                      <w:szCs w:val="21"/>
                    </w:rPr>
                  </w:pPr>
                  <w:r>
                    <w:rPr>
                      <w:rFonts w:hint="eastAsia"/>
                      <w:bCs/>
                      <w:szCs w:val="21"/>
                    </w:rPr>
                    <w:t>7</w:t>
                  </w:r>
                </w:p>
              </w:tc>
              <w:tc>
                <w:tcPr>
                  <w:tcW w:w="1793" w:type="pct"/>
                  <w:vAlign w:val="center"/>
                </w:tcPr>
                <w:p>
                  <w:pPr>
                    <w:tabs>
                      <w:tab w:val="left" w:pos="3255"/>
                    </w:tabs>
                    <w:jc w:val="center"/>
                    <w:rPr>
                      <w:bCs/>
                      <w:szCs w:val="21"/>
                    </w:rPr>
                  </w:pPr>
                  <w:r>
                    <w:rPr>
                      <w:rFonts w:hint="eastAsia"/>
                      <w:bCs/>
                      <w:szCs w:val="21"/>
                    </w:rPr>
                    <w:t>叉车</w:t>
                  </w:r>
                </w:p>
              </w:tc>
              <w:tc>
                <w:tcPr>
                  <w:tcW w:w="1667" w:type="pct"/>
                  <w:vAlign w:val="center"/>
                </w:tcPr>
                <w:p>
                  <w:pPr>
                    <w:tabs>
                      <w:tab w:val="left" w:pos="3255"/>
                    </w:tabs>
                    <w:jc w:val="center"/>
                    <w:rPr>
                      <w:bCs/>
                      <w:szCs w:val="21"/>
                    </w:rPr>
                  </w:pPr>
                  <w:r>
                    <w:rPr>
                      <w:rFonts w:hint="eastAsia"/>
                      <w:bCs/>
                      <w:szCs w:val="21"/>
                    </w:rPr>
                    <w:t>1台</w:t>
                  </w:r>
                </w:p>
              </w:tc>
            </w:tr>
          </w:tbl>
          <w:p>
            <w:pPr>
              <w:adjustRightInd w:val="0"/>
              <w:snapToGrid w:val="0"/>
              <w:spacing w:line="400" w:lineRule="exact"/>
              <w:ind w:firstLine="422" w:firstLineChars="200"/>
              <w:rPr>
                <w:b/>
                <w:szCs w:val="21"/>
              </w:rPr>
            </w:pPr>
            <w:r>
              <w:rPr>
                <w:b/>
                <w:szCs w:val="21"/>
              </w:rPr>
              <w:t>2.4主要原辅材料及能源消耗</w:t>
            </w:r>
          </w:p>
          <w:p>
            <w:pPr>
              <w:adjustRightInd w:val="0"/>
              <w:snapToGrid w:val="0"/>
              <w:spacing w:line="400" w:lineRule="exact"/>
              <w:ind w:firstLine="420" w:firstLineChars="200"/>
              <w:rPr>
                <w:bCs/>
                <w:szCs w:val="21"/>
              </w:rPr>
            </w:pPr>
            <w:r>
              <w:rPr>
                <w:bCs/>
                <w:szCs w:val="21"/>
              </w:rPr>
              <w:t>项目主要原辅材料及能源消耗情况见下表。</w:t>
            </w:r>
          </w:p>
          <w:p>
            <w:pPr>
              <w:spacing w:line="400" w:lineRule="exact"/>
              <w:jc w:val="center"/>
              <w:rPr>
                <w:b/>
                <w:szCs w:val="21"/>
              </w:rPr>
            </w:pPr>
            <w:r>
              <w:rPr>
                <w:b/>
                <w:szCs w:val="21"/>
              </w:rPr>
              <w:t>表2-3   主要原辅材料及能源消耗</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4"/>
              <w:gridCol w:w="1725"/>
              <w:gridCol w:w="1722"/>
              <w:gridCol w:w="38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5" w:type="pct"/>
                  <w:vAlign w:val="center"/>
                </w:tcPr>
                <w:p>
                  <w:pPr>
                    <w:jc w:val="center"/>
                    <w:rPr>
                      <w:bCs/>
                      <w:szCs w:val="21"/>
                    </w:rPr>
                  </w:pPr>
                  <w:r>
                    <w:rPr>
                      <w:bCs/>
                      <w:szCs w:val="21"/>
                    </w:rPr>
                    <w:t>序号</w:t>
                  </w:r>
                </w:p>
              </w:tc>
              <w:tc>
                <w:tcPr>
                  <w:tcW w:w="1087" w:type="pct"/>
                  <w:vAlign w:val="center"/>
                </w:tcPr>
                <w:p>
                  <w:pPr>
                    <w:keepNext/>
                    <w:keepLines/>
                    <w:jc w:val="center"/>
                    <w:rPr>
                      <w:bCs/>
                      <w:szCs w:val="21"/>
                    </w:rPr>
                  </w:pPr>
                  <w:r>
                    <w:rPr>
                      <w:bCs/>
                      <w:szCs w:val="21"/>
                    </w:rPr>
                    <w:t>名称</w:t>
                  </w:r>
                </w:p>
              </w:tc>
              <w:tc>
                <w:tcPr>
                  <w:tcW w:w="1085" w:type="pct"/>
                  <w:vAlign w:val="center"/>
                </w:tcPr>
                <w:p>
                  <w:pPr>
                    <w:keepNext/>
                    <w:keepLines/>
                    <w:jc w:val="center"/>
                    <w:rPr>
                      <w:bCs/>
                      <w:szCs w:val="21"/>
                    </w:rPr>
                  </w:pPr>
                  <w:r>
                    <w:rPr>
                      <w:bCs/>
                      <w:szCs w:val="21"/>
                    </w:rPr>
                    <w:t>年消耗量</w:t>
                  </w:r>
                  <w:r>
                    <w:rPr>
                      <w:rFonts w:hint="eastAsia"/>
                      <w:bCs/>
                      <w:szCs w:val="21"/>
                    </w:rPr>
                    <w:t>t/</w:t>
                  </w:r>
                  <w:r>
                    <w:rPr>
                      <w:bCs/>
                      <w:szCs w:val="21"/>
                    </w:rPr>
                    <w:t>a</w:t>
                  </w:r>
                </w:p>
              </w:tc>
              <w:tc>
                <w:tcPr>
                  <w:tcW w:w="2403" w:type="pct"/>
                  <w:vAlign w:val="center"/>
                </w:tcPr>
                <w:p>
                  <w:pPr>
                    <w:keepNext/>
                    <w:keepLines/>
                    <w:jc w:val="center"/>
                    <w:rPr>
                      <w:bCs/>
                      <w:szCs w:val="21"/>
                    </w:rPr>
                  </w:pPr>
                  <w:r>
                    <w:rPr>
                      <w:rFonts w:hint="eastAsia"/>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5" w:type="pct"/>
                  <w:vAlign w:val="center"/>
                </w:tcPr>
                <w:p>
                  <w:pPr>
                    <w:jc w:val="center"/>
                    <w:rPr>
                      <w:bCs/>
                      <w:szCs w:val="21"/>
                    </w:rPr>
                  </w:pPr>
                  <w:r>
                    <w:rPr>
                      <w:rFonts w:hint="eastAsia"/>
                      <w:bCs/>
                      <w:szCs w:val="21"/>
                    </w:rPr>
                    <w:t>1</w:t>
                  </w:r>
                </w:p>
              </w:tc>
              <w:tc>
                <w:tcPr>
                  <w:tcW w:w="1087" w:type="pct"/>
                  <w:vAlign w:val="center"/>
                </w:tcPr>
                <w:p>
                  <w:pPr>
                    <w:keepNext/>
                    <w:keepLines/>
                    <w:jc w:val="center"/>
                    <w:rPr>
                      <w:bCs/>
                      <w:szCs w:val="21"/>
                    </w:rPr>
                  </w:pPr>
                  <w:r>
                    <w:rPr>
                      <w:rFonts w:hint="eastAsia"/>
                      <w:bCs/>
                      <w:szCs w:val="21"/>
                    </w:rPr>
                    <w:t>聚丙烯</w:t>
                  </w:r>
                </w:p>
              </w:tc>
              <w:tc>
                <w:tcPr>
                  <w:tcW w:w="1085" w:type="pct"/>
                  <w:vAlign w:val="center"/>
                </w:tcPr>
                <w:p>
                  <w:pPr>
                    <w:keepNext/>
                    <w:keepLines/>
                    <w:jc w:val="center"/>
                    <w:rPr>
                      <w:bCs/>
                      <w:szCs w:val="21"/>
                    </w:rPr>
                  </w:pPr>
                  <w:r>
                    <w:rPr>
                      <w:bCs/>
                      <w:szCs w:val="21"/>
                    </w:rPr>
                    <w:t>900</w:t>
                  </w:r>
                </w:p>
              </w:tc>
              <w:tc>
                <w:tcPr>
                  <w:tcW w:w="2403" w:type="pct"/>
                  <w:vAlign w:val="center"/>
                </w:tcPr>
                <w:p>
                  <w:pPr>
                    <w:keepNext/>
                    <w:keepLines/>
                    <w:jc w:val="center"/>
                    <w:rPr>
                      <w:bCs/>
                      <w:szCs w:val="21"/>
                    </w:rPr>
                  </w:pPr>
                  <w:r>
                    <w:rPr>
                      <w:rFonts w:hint="eastAsia"/>
                      <w:bCs/>
                      <w:szCs w:val="21"/>
                    </w:rPr>
                    <w:t>0</w:t>
                  </w:r>
                  <w:r>
                    <w:rPr>
                      <w:bCs/>
                      <w:szCs w:val="21"/>
                    </w:rPr>
                    <w:t>.5</w:t>
                  </w:r>
                  <w:r>
                    <w:rPr>
                      <w:rFonts w:hint="eastAsia"/>
                      <w:bCs/>
                      <w:szCs w:val="21"/>
                    </w:rPr>
                    <w:t>~</w:t>
                  </w:r>
                  <w:r>
                    <w:rPr>
                      <w:bCs/>
                      <w:szCs w:val="21"/>
                    </w:rPr>
                    <w:t>0.7cm</w:t>
                  </w:r>
                  <w:r>
                    <w:rPr>
                      <w:rFonts w:hint="eastAsia"/>
                      <w:bCs/>
                      <w:szCs w:val="21"/>
                    </w:rPr>
                    <w:t>颗粒，非再生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5" w:type="pct"/>
                  <w:vAlign w:val="center"/>
                </w:tcPr>
                <w:p>
                  <w:pPr>
                    <w:jc w:val="center"/>
                    <w:rPr>
                      <w:bCs/>
                      <w:szCs w:val="21"/>
                    </w:rPr>
                  </w:pPr>
                  <w:r>
                    <w:rPr>
                      <w:rFonts w:hint="eastAsia"/>
                      <w:bCs/>
                      <w:szCs w:val="21"/>
                    </w:rPr>
                    <w:t>2</w:t>
                  </w:r>
                </w:p>
              </w:tc>
              <w:tc>
                <w:tcPr>
                  <w:tcW w:w="1087" w:type="pct"/>
                  <w:vAlign w:val="center"/>
                </w:tcPr>
                <w:p>
                  <w:pPr>
                    <w:keepNext/>
                    <w:keepLines/>
                    <w:jc w:val="center"/>
                    <w:rPr>
                      <w:bCs/>
                      <w:szCs w:val="21"/>
                    </w:rPr>
                  </w:pPr>
                  <w:r>
                    <w:rPr>
                      <w:rFonts w:hint="eastAsia"/>
                      <w:bCs/>
                      <w:szCs w:val="21"/>
                    </w:rPr>
                    <w:t>聚乙烯</w:t>
                  </w:r>
                </w:p>
              </w:tc>
              <w:tc>
                <w:tcPr>
                  <w:tcW w:w="1085" w:type="pct"/>
                  <w:vAlign w:val="center"/>
                </w:tcPr>
                <w:p>
                  <w:pPr>
                    <w:keepNext/>
                    <w:keepLines/>
                    <w:jc w:val="center"/>
                    <w:rPr>
                      <w:bCs/>
                      <w:szCs w:val="21"/>
                    </w:rPr>
                  </w:pPr>
                  <w:r>
                    <w:rPr>
                      <w:bCs/>
                      <w:szCs w:val="21"/>
                    </w:rPr>
                    <w:t>600</w:t>
                  </w:r>
                </w:p>
              </w:tc>
              <w:tc>
                <w:tcPr>
                  <w:tcW w:w="2403" w:type="pct"/>
                  <w:vAlign w:val="center"/>
                </w:tcPr>
                <w:p>
                  <w:pPr>
                    <w:keepNext/>
                    <w:keepLines/>
                    <w:jc w:val="center"/>
                    <w:rPr>
                      <w:bCs/>
                      <w:szCs w:val="21"/>
                    </w:rPr>
                  </w:pPr>
                  <w:r>
                    <w:rPr>
                      <w:rFonts w:hint="eastAsia"/>
                      <w:bCs/>
                      <w:szCs w:val="21"/>
                    </w:rPr>
                    <w:t>0</w:t>
                  </w:r>
                  <w:r>
                    <w:rPr>
                      <w:bCs/>
                      <w:szCs w:val="21"/>
                    </w:rPr>
                    <w:t>.5</w:t>
                  </w:r>
                  <w:r>
                    <w:rPr>
                      <w:rFonts w:hint="eastAsia"/>
                      <w:bCs/>
                      <w:szCs w:val="21"/>
                    </w:rPr>
                    <w:t>~</w:t>
                  </w:r>
                  <w:r>
                    <w:rPr>
                      <w:bCs/>
                      <w:szCs w:val="21"/>
                    </w:rPr>
                    <w:t>0.7cm</w:t>
                  </w:r>
                  <w:r>
                    <w:rPr>
                      <w:rFonts w:hint="eastAsia"/>
                      <w:bCs/>
                      <w:szCs w:val="21"/>
                    </w:rPr>
                    <w:t>颗粒，非再生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5" w:type="pct"/>
                  <w:vAlign w:val="center"/>
                </w:tcPr>
                <w:p>
                  <w:pPr>
                    <w:jc w:val="center"/>
                    <w:rPr>
                      <w:bCs/>
                      <w:szCs w:val="21"/>
                    </w:rPr>
                  </w:pPr>
                  <w:r>
                    <w:rPr>
                      <w:rFonts w:hint="eastAsia"/>
                      <w:bCs/>
                      <w:szCs w:val="21"/>
                    </w:rPr>
                    <w:t>3</w:t>
                  </w:r>
                </w:p>
              </w:tc>
              <w:tc>
                <w:tcPr>
                  <w:tcW w:w="1087" w:type="pct"/>
                  <w:vAlign w:val="center"/>
                </w:tcPr>
                <w:p>
                  <w:pPr>
                    <w:keepNext/>
                    <w:keepLines/>
                    <w:jc w:val="center"/>
                    <w:rPr>
                      <w:bCs/>
                      <w:szCs w:val="21"/>
                    </w:rPr>
                  </w:pPr>
                  <w:r>
                    <w:rPr>
                      <w:rFonts w:hint="eastAsia"/>
                      <w:bCs/>
                      <w:szCs w:val="21"/>
                    </w:rPr>
                    <w:t>过滤棉、活性炭</w:t>
                  </w:r>
                </w:p>
              </w:tc>
              <w:tc>
                <w:tcPr>
                  <w:tcW w:w="1085" w:type="pct"/>
                  <w:vAlign w:val="center"/>
                </w:tcPr>
                <w:p>
                  <w:pPr>
                    <w:keepNext/>
                    <w:keepLines/>
                    <w:jc w:val="center"/>
                    <w:rPr>
                      <w:bCs/>
                      <w:szCs w:val="21"/>
                    </w:rPr>
                  </w:pPr>
                  <w:r>
                    <w:rPr>
                      <w:bCs/>
                      <w:szCs w:val="21"/>
                    </w:rPr>
                    <w:t>1</w:t>
                  </w:r>
                </w:p>
              </w:tc>
              <w:tc>
                <w:tcPr>
                  <w:tcW w:w="2403" w:type="pct"/>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5" w:type="pct"/>
                  <w:vAlign w:val="center"/>
                </w:tcPr>
                <w:p>
                  <w:pPr>
                    <w:jc w:val="center"/>
                    <w:rPr>
                      <w:bCs/>
                      <w:szCs w:val="21"/>
                    </w:rPr>
                  </w:pPr>
                  <w:r>
                    <w:rPr>
                      <w:rFonts w:hint="eastAsia"/>
                      <w:bCs/>
                      <w:szCs w:val="21"/>
                    </w:rPr>
                    <w:t>4</w:t>
                  </w:r>
                </w:p>
              </w:tc>
              <w:tc>
                <w:tcPr>
                  <w:tcW w:w="1087" w:type="pct"/>
                  <w:vAlign w:val="center"/>
                </w:tcPr>
                <w:p>
                  <w:pPr>
                    <w:keepNext/>
                    <w:keepLines/>
                    <w:jc w:val="center"/>
                    <w:rPr>
                      <w:bCs/>
                      <w:szCs w:val="21"/>
                    </w:rPr>
                  </w:pPr>
                  <w:r>
                    <w:rPr>
                      <w:rFonts w:hint="eastAsia"/>
                      <w:bCs/>
                      <w:szCs w:val="21"/>
                    </w:rPr>
                    <w:t>润滑油</w:t>
                  </w:r>
                </w:p>
              </w:tc>
              <w:tc>
                <w:tcPr>
                  <w:tcW w:w="1085" w:type="pct"/>
                  <w:vAlign w:val="center"/>
                </w:tcPr>
                <w:p>
                  <w:pPr>
                    <w:keepNext/>
                    <w:keepLines/>
                    <w:jc w:val="center"/>
                    <w:rPr>
                      <w:bCs/>
                      <w:szCs w:val="21"/>
                    </w:rPr>
                  </w:pPr>
                  <w:r>
                    <w:rPr>
                      <w:rFonts w:hint="eastAsia"/>
                      <w:bCs/>
                      <w:szCs w:val="21"/>
                    </w:rPr>
                    <w:t>0</w:t>
                  </w:r>
                  <w:r>
                    <w:rPr>
                      <w:bCs/>
                      <w:szCs w:val="21"/>
                    </w:rPr>
                    <w:t>.1</w:t>
                  </w:r>
                </w:p>
              </w:tc>
              <w:tc>
                <w:tcPr>
                  <w:tcW w:w="2403" w:type="pct"/>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5" w:type="pct"/>
                  <w:vAlign w:val="center"/>
                </w:tcPr>
                <w:p>
                  <w:pPr>
                    <w:jc w:val="center"/>
                    <w:rPr>
                      <w:bCs/>
                      <w:szCs w:val="21"/>
                    </w:rPr>
                  </w:pPr>
                  <w:r>
                    <w:rPr>
                      <w:rFonts w:hint="eastAsia"/>
                      <w:bCs/>
                      <w:szCs w:val="21"/>
                    </w:rPr>
                    <w:t>5</w:t>
                  </w:r>
                </w:p>
              </w:tc>
              <w:tc>
                <w:tcPr>
                  <w:tcW w:w="1087" w:type="pct"/>
                  <w:vAlign w:val="center"/>
                </w:tcPr>
                <w:p>
                  <w:pPr>
                    <w:keepNext/>
                    <w:keepLines/>
                    <w:jc w:val="center"/>
                    <w:rPr>
                      <w:bCs/>
                      <w:szCs w:val="21"/>
                    </w:rPr>
                  </w:pPr>
                  <w:r>
                    <w:rPr>
                      <w:rFonts w:hint="eastAsia"/>
                      <w:bCs/>
                      <w:szCs w:val="21"/>
                    </w:rPr>
                    <w:t>液压油</w:t>
                  </w:r>
                </w:p>
              </w:tc>
              <w:tc>
                <w:tcPr>
                  <w:tcW w:w="1085" w:type="pct"/>
                  <w:vAlign w:val="center"/>
                </w:tcPr>
                <w:p>
                  <w:pPr>
                    <w:keepNext/>
                    <w:keepLines/>
                    <w:jc w:val="center"/>
                    <w:rPr>
                      <w:bCs/>
                      <w:szCs w:val="21"/>
                    </w:rPr>
                  </w:pPr>
                  <w:r>
                    <w:rPr>
                      <w:rFonts w:hint="eastAsia"/>
                      <w:bCs/>
                      <w:szCs w:val="21"/>
                    </w:rPr>
                    <w:t>0</w:t>
                  </w:r>
                  <w:r>
                    <w:rPr>
                      <w:bCs/>
                      <w:szCs w:val="21"/>
                    </w:rPr>
                    <w:t>.1</w:t>
                  </w:r>
                </w:p>
              </w:tc>
              <w:tc>
                <w:tcPr>
                  <w:tcW w:w="2403" w:type="pct"/>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5" w:type="pct"/>
                  <w:vAlign w:val="center"/>
                </w:tcPr>
                <w:p>
                  <w:pPr>
                    <w:jc w:val="center"/>
                    <w:rPr>
                      <w:bCs/>
                      <w:szCs w:val="21"/>
                    </w:rPr>
                  </w:pPr>
                  <w:r>
                    <w:rPr>
                      <w:rFonts w:hint="eastAsia"/>
                      <w:bCs/>
                      <w:szCs w:val="21"/>
                    </w:rPr>
                    <w:t>6</w:t>
                  </w:r>
                </w:p>
              </w:tc>
              <w:tc>
                <w:tcPr>
                  <w:tcW w:w="1087" w:type="pct"/>
                  <w:vAlign w:val="center"/>
                </w:tcPr>
                <w:p>
                  <w:pPr>
                    <w:keepNext/>
                    <w:keepLines/>
                    <w:jc w:val="center"/>
                    <w:rPr>
                      <w:bCs/>
                      <w:szCs w:val="21"/>
                    </w:rPr>
                  </w:pPr>
                  <w:r>
                    <w:rPr>
                      <w:rFonts w:hint="eastAsia"/>
                      <w:bCs/>
                      <w:szCs w:val="21"/>
                    </w:rPr>
                    <w:t>柴油</w:t>
                  </w:r>
                </w:p>
              </w:tc>
              <w:tc>
                <w:tcPr>
                  <w:tcW w:w="1085" w:type="pct"/>
                  <w:vAlign w:val="center"/>
                </w:tcPr>
                <w:p>
                  <w:pPr>
                    <w:keepNext/>
                    <w:keepLines/>
                    <w:jc w:val="center"/>
                    <w:rPr>
                      <w:bCs/>
                      <w:szCs w:val="21"/>
                    </w:rPr>
                  </w:pPr>
                  <w:r>
                    <w:rPr>
                      <w:bCs/>
                      <w:szCs w:val="21"/>
                    </w:rPr>
                    <w:t xml:space="preserve">1 </w:t>
                  </w:r>
                </w:p>
              </w:tc>
              <w:tc>
                <w:tcPr>
                  <w:tcW w:w="2403" w:type="pct"/>
                  <w:vAlign w:val="center"/>
                </w:tcPr>
                <w:p>
                  <w:pPr>
                    <w:keepNext/>
                    <w:keepLines/>
                    <w:jc w:val="center"/>
                    <w:rPr>
                      <w:bCs/>
                      <w:szCs w:val="21"/>
                    </w:rPr>
                  </w:pPr>
                  <w:r>
                    <w:rPr>
                      <w:rFonts w:hint="eastAsia"/>
                      <w:bCs/>
                      <w:szCs w:val="21"/>
                    </w:rPr>
                    <w:t>叉车使用，加油站加油，场内不暂存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5" w:type="pct"/>
                  <w:vAlign w:val="center"/>
                </w:tcPr>
                <w:p>
                  <w:pPr>
                    <w:jc w:val="center"/>
                    <w:rPr>
                      <w:bCs/>
                      <w:szCs w:val="21"/>
                    </w:rPr>
                  </w:pPr>
                  <w:r>
                    <w:rPr>
                      <w:bCs/>
                      <w:szCs w:val="21"/>
                    </w:rPr>
                    <w:t>7</w:t>
                  </w:r>
                </w:p>
              </w:tc>
              <w:tc>
                <w:tcPr>
                  <w:tcW w:w="1087" w:type="pct"/>
                  <w:vAlign w:val="center"/>
                </w:tcPr>
                <w:p>
                  <w:pPr>
                    <w:keepNext/>
                    <w:keepLines/>
                    <w:jc w:val="center"/>
                    <w:rPr>
                      <w:bCs/>
                      <w:szCs w:val="21"/>
                    </w:rPr>
                  </w:pPr>
                  <w:r>
                    <w:rPr>
                      <w:rFonts w:hint="eastAsia"/>
                      <w:bCs/>
                      <w:szCs w:val="21"/>
                    </w:rPr>
                    <w:t>水</w:t>
                  </w:r>
                </w:p>
              </w:tc>
              <w:tc>
                <w:tcPr>
                  <w:tcW w:w="1085" w:type="pct"/>
                  <w:vAlign w:val="center"/>
                </w:tcPr>
                <w:p>
                  <w:pPr>
                    <w:keepNext/>
                    <w:keepLines/>
                    <w:jc w:val="center"/>
                    <w:rPr>
                      <w:bCs/>
                      <w:szCs w:val="21"/>
                    </w:rPr>
                  </w:pPr>
                  <w:r>
                    <w:rPr>
                      <w:rFonts w:hint="eastAsia"/>
                      <w:bCs/>
                      <w:szCs w:val="21"/>
                    </w:rPr>
                    <w:t>3</w:t>
                  </w:r>
                  <w:r>
                    <w:rPr>
                      <w:bCs/>
                      <w:szCs w:val="21"/>
                    </w:rPr>
                    <w:t>00 m</w:t>
                  </w:r>
                  <w:r>
                    <w:rPr>
                      <w:bCs/>
                      <w:szCs w:val="21"/>
                      <w:vertAlign w:val="superscript"/>
                    </w:rPr>
                    <w:t>3</w:t>
                  </w:r>
                  <w:r>
                    <w:rPr>
                      <w:bCs/>
                      <w:szCs w:val="21"/>
                    </w:rPr>
                    <w:t>/</w:t>
                  </w:r>
                  <w:r>
                    <w:rPr>
                      <w:rFonts w:hint="eastAsia"/>
                      <w:bCs/>
                      <w:szCs w:val="21"/>
                    </w:rPr>
                    <w:t>a</w:t>
                  </w:r>
                </w:p>
              </w:tc>
              <w:tc>
                <w:tcPr>
                  <w:tcW w:w="2403" w:type="pct"/>
                  <w:vAlign w:val="center"/>
                </w:tcPr>
                <w:p>
                  <w:pPr>
                    <w:keepNext/>
                    <w:keepLines/>
                    <w:jc w:val="center"/>
                    <w:rPr>
                      <w:bCs/>
                      <w:szCs w:val="21"/>
                    </w:rPr>
                  </w:pPr>
                </w:p>
              </w:tc>
            </w:tr>
          </w:tbl>
          <w:p>
            <w:pPr>
              <w:adjustRightInd w:val="0"/>
              <w:snapToGrid w:val="0"/>
              <w:spacing w:line="400" w:lineRule="exact"/>
              <w:ind w:firstLine="422" w:firstLineChars="200"/>
              <w:jc w:val="center"/>
              <w:rPr>
                <w:b/>
                <w:szCs w:val="21"/>
              </w:rPr>
            </w:pPr>
            <w:r>
              <w:rPr>
                <w:rFonts w:hint="eastAsia"/>
                <w:b/>
                <w:szCs w:val="21"/>
              </w:rPr>
              <w:t>表</w:t>
            </w:r>
            <w:r>
              <w:rPr>
                <w:b/>
                <w:szCs w:val="21"/>
              </w:rPr>
              <w:t xml:space="preserve">2-4   </w:t>
            </w:r>
            <w:r>
              <w:rPr>
                <w:rFonts w:hint="eastAsia"/>
                <w:b/>
                <w:szCs w:val="21"/>
              </w:rPr>
              <w:t>聚丙烯M</w:t>
            </w:r>
            <w:r>
              <w:rPr>
                <w:b/>
                <w:szCs w:val="21"/>
              </w:rPr>
              <w:t>SDS</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4"/>
              <w:gridCol w:w="2845"/>
              <w:gridCol w:w="1984"/>
              <w:gridCol w:w="1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化学品名称</w:t>
                  </w:r>
                </w:p>
              </w:tc>
              <w:tc>
                <w:tcPr>
                  <w:tcW w:w="1793" w:type="pct"/>
                  <w:shd w:val="clear" w:color="auto" w:fill="auto"/>
                  <w:vAlign w:val="center"/>
                </w:tcPr>
                <w:p>
                  <w:pPr>
                    <w:jc w:val="center"/>
                  </w:pPr>
                  <w:r>
                    <w:rPr>
                      <w:rFonts w:hint="eastAsia"/>
                    </w:rPr>
                    <w:t>聚丙烯</w:t>
                  </w:r>
                </w:p>
                <w:p>
                  <w:pPr>
                    <w:jc w:val="center"/>
                  </w:pPr>
                  <w:r>
                    <w:rPr>
                      <w:rFonts w:hint="eastAsia"/>
                    </w:rPr>
                    <w:t>P</w:t>
                  </w:r>
                  <w:r>
                    <w:t>olypropylene(PP)</w:t>
                  </w:r>
                </w:p>
              </w:tc>
              <w:tc>
                <w:tcPr>
                  <w:tcW w:w="1250" w:type="pct"/>
                  <w:shd w:val="clear" w:color="auto" w:fill="auto"/>
                  <w:vAlign w:val="center"/>
                </w:tcPr>
                <w:p>
                  <w:pPr>
                    <w:jc w:val="center"/>
                  </w:pPr>
                  <w:r>
                    <w:t>CAS No.</w:t>
                  </w:r>
                </w:p>
              </w:tc>
              <w:tc>
                <w:tcPr>
                  <w:tcW w:w="1249" w:type="pct"/>
                  <w:shd w:val="clear" w:color="auto" w:fill="auto"/>
                  <w:vAlign w:val="center"/>
                </w:tcPr>
                <w:p>
                  <w:pPr>
                    <w:jc w:val="center"/>
                  </w:pPr>
                  <w:r>
                    <w:t>9003-07-0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性状</w:t>
                  </w:r>
                </w:p>
              </w:tc>
              <w:tc>
                <w:tcPr>
                  <w:tcW w:w="4292" w:type="pct"/>
                  <w:gridSpan w:val="3"/>
                  <w:shd w:val="clear" w:color="auto" w:fill="auto"/>
                  <w:vAlign w:val="center"/>
                </w:tcPr>
                <w:p>
                  <w:r>
                    <w:rPr>
                      <w:rFonts w:hint="eastAsia"/>
                    </w:rPr>
                    <w:t>白色粉末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危险性概述</w:t>
                  </w:r>
                </w:p>
              </w:tc>
              <w:tc>
                <w:tcPr>
                  <w:tcW w:w="4292" w:type="pct"/>
                  <w:gridSpan w:val="3"/>
                  <w:shd w:val="clear" w:color="auto" w:fill="auto"/>
                  <w:vAlign w:val="center"/>
                </w:tcPr>
                <w:p>
                  <w:r>
                    <w:rPr>
                      <w:rFonts w:hint="eastAsia"/>
                    </w:rPr>
                    <w:t>非危险物质或混合物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禁配物</w:t>
                  </w:r>
                </w:p>
              </w:tc>
              <w:tc>
                <w:tcPr>
                  <w:tcW w:w="4292" w:type="pct"/>
                  <w:gridSpan w:val="3"/>
                  <w:shd w:val="clear" w:color="auto" w:fill="auto"/>
                  <w:vAlign w:val="center"/>
                </w:tcPr>
                <w:p>
                  <w:r>
                    <w:rPr>
                      <w:rFonts w:hint="eastAsia"/>
                    </w:rPr>
                    <w:t>强氧化剂、氯、高锰酸，比如高锰酸钾等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毒理学资料</w:t>
                  </w:r>
                </w:p>
              </w:tc>
              <w:tc>
                <w:tcPr>
                  <w:tcW w:w="4292" w:type="pct"/>
                  <w:gridSpan w:val="3"/>
                  <w:shd w:val="clear" w:color="auto" w:fill="auto"/>
                  <w:vAlign w:val="center"/>
                </w:tcPr>
                <w:p>
                  <w:r>
                    <w:rPr>
                      <w:rFonts w:hint="eastAsia"/>
                    </w:rPr>
                    <w:t>急性毒性：半数致死剂量（L</w:t>
                  </w:r>
                  <w:r>
                    <w:t>D50</w:t>
                  </w:r>
                  <w:r>
                    <w:rPr>
                      <w:rFonts w:hint="eastAsia"/>
                    </w:rPr>
                    <w:t>）腹膜内-大鼠＞1</w:t>
                  </w:r>
                  <w:r>
                    <w:t>10000 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急救措施</w:t>
                  </w:r>
                </w:p>
              </w:tc>
              <w:tc>
                <w:tcPr>
                  <w:tcW w:w="4292" w:type="pct"/>
                  <w:gridSpan w:val="3"/>
                  <w:shd w:val="clear" w:color="auto" w:fill="auto"/>
                  <w:vAlign w:val="center"/>
                </w:tcPr>
                <w:p>
                  <w:pPr>
                    <w:rPr>
                      <w:szCs w:val="21"/>
                    </w:rPr>
                  </w:pPr>
                  <w:r>
                    <w:rPr>
                      <w:rFonts w:hint="eastAsia"/>
                    </w:rPr>
                    <w:t>吸入：</w:t>
                  </w:r>
                  <w:r>
                    <w:rPr>
                      <w:rFonts w:hint="eastAsia"/>
                      <w:szCs w:val="21"/>
                    </w:rPr>
                    <w:t>迅速脱离现场至空气新鲜处。保持呼吸道通畅。如呼吸停止，进行人工呼吸；</w:t>
                  </w:r>
                </w:p>
                <w:p>
                  <w:pPr>
                    <w:rPr>
                      <w:szCs w:val="21"/>
                    </w:rPr>
                  </w:pPr>
                  <w:r>
                    <w:rPr>
                      <w:rFonts w:hint="eastAsia"/>
                      <w:szCs w:val="21"/>
                    </w:rPr>
                    <w:t>皮肤接触：用肥皂和大量清水冲洗；</w:t>
                  </w:r>
                </w:p>
                <w:p>
                  <w:pPr>
                    <w:rPr>
                      <w:szCs w:val="21"/>
                    </w:rPr>
                  </w:pPr>
                  <w:r>
                    <w:rPr>
                      <w:rFonts w:hint="eastAsia"/>
                      <w:szCs w:val="21"/>
                    </w:rPr>
                    <w:t>眼睛接触：用水冲洗眼睛；</w:t>
                  </w:r>
                </w:p>
                <w:p>
                  <w:r>
                    <w:rPr>
                      <w:rFonts w:hint="eastAsia"/>
                      <w:szCs w:val="21"/>
                    </w:rPr>
                    <w:t>食入：切勿给失去知觉者通过口喂任何东西，用水漱口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消防措施</w:t>
                  </w:r>
                </w:p>
              </w:tc>
              <w:tc>
                <w:tcPr>
                  <w:tcW w:w="4292" w:type="pct"/>
                  <w:gridSpan w:val="3"/>
                  <w:shd w:val="clear" w:color="auto" w:fill="auto"/>
                  <w:vAlign w:val="center"/>
                </w:tcPr>
                <w:p>
                  <w:r>
                    <w:rPr>
                      <w:rFonts w:hint="eastAsia"/>
                    </w:rPr>
                    <w:t>灭火介质：水雾、耐醇泡沫、干粉、二氧化碳</w:t>
                  </w:r>
                </w:p>
                <w:p>
                  <w:r>
                    <w:rPr>
                      <w:rFonts w:hint="eastAsia"/>
                    </w:rPr>
                    <w:t>源于此物质或混合物的特别的危害：碳氧化物</w:t>
                  </w:r>
                </w:p>
                <w:p>
                  <w:r>
                    <w:rPr>
                      <w:rFonts w:hint="eastAsia"/>
                    </w:rPr>
                    <w:t>给消防员的建议：如必要，佩戴自给式呼吸器救火；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泄漏应急处理</w:t>
                  </w:r>
                </w:p>
              </w:tc>
              <w:tc>
                <w:tcPr>
                  <w:tcW w:w="4292" w:type="pct"/>
                  <w:gridSpan w:val="3"/>
                  <w:shd w:val="clear" w:color="auto" w:fill="auto"/>
                  <w:vAlign w:val="center"/>
                </w:tcPr>
                <w:p>
                  <w:r>
                    <w:rPr>
                      <w:rFonts w:hint="eastAsia"/>
                    </w:rPr>
                    <w:t>人员防护措施、防护装备和应急处置程序：避免粉尘生成。避免吸入蒸汽、烟雾或气体。</w:t>
                  </w:r>
                </w:p>
                <w:p>
                  <w:r>
                    <w:rPr>
                      <w:rFonts w:hint="eastAsia"/>
                    </w:rPr>
                    <w:t>环境保护措施：不要让产品进入下水道</w:t>
                  </w:r>
                </w:p>
                <w:p>
                  <w:r>
                    <w:rPr>
                      <w:rFonts w:hint="eastAsia"/>
                    </w:rPr>
                    <w:t>泄漏化学品的收容、清除及处置材料：扫掉或铲掉，放入合适的封闭的容器待处理。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操作处置与储存</w:t>
                  </w:r>
                </w:p>
              </w:tc>
              <w:tc>
                <w:tcPr>
                  <w:tcW w:w="4292" w:type="pct"/>
                  <w:gridSpan w:val="3"/>
                  <w:shd w:val="clear" w:color="auto" w:fill="auto"/>
                  <w:vAlign w:val="center"/>
                </w:tcPr>
                <w:p>
                  <w:r>
                    <w:rPr>
                      <w:rFonts w:hint="eastAsia"/>
                    </w:rPr>
                    <w:t>安全操作注意事项：有粉尘生产的地方，提供适合的排风设备；</w:t>
                  </w:r>
                </w:p>
                <w:p>
                  <w:r>
                    <w:rPr>
                      <w:rFonts w:hint="eastAsia"/>
                    </w:rPr>
                    <w:t>安全储存条件，包括任何不兼容性：贮存在阴凉处，使容器保持密闭，储存在干燥通风处。</w:t>
                  </w:r>
                </w:p>
              </w:tc>
            </w:tr>
          </w:tbl>
          <w:p>
            <w:pPr>
              <w:adjustRightInd w:val="0"/>
              <w:snapToGrid w:val="0"/>
              <w:spacing w:line="400" w:lineRule="exact"/>
              <w:ind w:firstLine="422" w:firstLineChars="200"/>
              <w:jc w:val="center"/>
              <w:rPr>
                <w:b/>
                <w:szCs w:val="21"/>
              </w:rPr>
            </w:pPr>
            <w:r>
              <w:rPr>
                <w:rFonts w:hint="eastAsia"/>
                <w:b/>
                <w:szCs w:val="21"/>
              </w:rPr>
              <w:t>表</w:t>
            </w:r>
            <w:r>
              <w:rPr>
                <w:b/>
                <w:szCs w:val="21"/>
              </w:rPr>
              <w:t xml:space="preserve">2-5   </w:t>
            </w:r>
            <w:r>
              <w:rPr>
                <w:rFonts w:hint="eastAsia"/>
                <w:b/>
                <w:szCs w:val="21"/>
              </w:rPr>
              <w:t>聚乙烯M</w:t>
            </w:r>
            <w:r>
              <w:rPr>
                <w:b/>
                <w:szCs w:val="21"/>
              </w:rPr>
              <w:t>SDS</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84"/>
              <w:gridCol w:w="2585"/>
              <w:gridCol w:w="1984"/>
              <w:gridCol w:w="1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化学品名称</w:t>
                  </w:r>
                </w:p>
              </w:tc>
              <w:tc>
                <w:tcPr>
                  <w:tcW w:w="1629" w:type="pct"/>
                  <w:shd w:val="clear" w:color="auto" w:fill="auto"/>
                  <w:vAlign w:val="center"/>
                </w:tcPr>
                <w:p>
                  <w:pPr>
                    <w:jc w:val="center"/>
                  </w:pPr>
                  <w:r>
                    <w:rPr>
                      <w:rFonts w:hint="eastAsia"/>
                    </w:rPr>
                    <w:t>聚乙烯</w:t>
                  </w:r>
                </w:p>
              </w:tc>
              <w:tc>
                <w:tcPr>
                  <w:tcW w:w="1250" w:type="pct"/>
                  <w:shd w:val="clear" w:color="auto" w:fill="auto"/>
                  <w:vAlign w:val="center"/>
                </w:tcPr>
                <w:p>
                  <w:pPr>
                    <w:jc w:val="center"/>
                  </w:pPr>
                  <w:r>
                    <w:t>CAS No.</w:t>
                  </w:r>
                </w:p>
              </w:tc>
              <w:tc>
                <w:tcPr>
                  <w:tcW w:w="1249" w:type="pct"/>
                  <w:shd w:val="clear" w:color="auto" w:fill="auto"/>
                  <w:vAlign w:val="center"/>
                </w:tcPr>
                <w:p>
                  <w:pPr>
                    <w:jc w:val="center"/>
                  </w:pPr>
                  <w:r>
                    <w:t>9002-88-4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外观与性状</w:t>
                  </w:r>
                </w:p>
              </w:tc>
              <w:tc>
                <w:tcPr>
                  <w:tcW w:w="4128" w:type="pct"/>
                  <w:gridSpan w:val="3"/>
                  <w:shd w:val="clear" w:color="auto" w:fill="auto"/>
                  <w:vAlign w:val="center"/>
                </w:tcPr>
                <w:p>
                  <w:r>
                    <w:rPr>
                      <w:rFonts w:hint="eastAsia"/>
                    </w:rPr>
                    <w:t>浅灰色颗粒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稳定性和反应活性</w:t>
                  </w:r>
                </w:p>
              </w:tc>
              <w:tc>
                <w:tcPr>
                  <w:tcW w:w="4128" w:type="pct"/>
                  <w:gridSpan w:val="3"/>
                  <w:shd w:val="clear" w:color="auto" w:fill="auto"/>
                  <w:vAlign w:val="center"/>
                </w:tcPr>
                <w:p>
                  <w:r>
                    <w:rPr>
                      <w:rFonts w:hint="eastAsia"/>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危险性概述</w:t>
                  </w:r>
                </w:p>
              </w:tc>
              <w:tc>
                <w:tcPr>
                  <w:tcW w:w="4128" w:type="pct"/>
                  <w:gridSpan w:val="3"/>
                  <w:shd w:val="clear" w:color="auto" w:fill="auto"/>
                  <w:vAlign w:val="center"/>
                </w:tcPr>
                <w:p>
                  <w:r>
                    <w:rPr>
                      <w:rFonts w:hint="eastAsia"/>
                    </w:rPr>
                    <w:t>不是危险物质或混合物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禁配物</w:t>
                  </w:r>
                </w:p>
              </w:tc>
              <w:tc>
                <w:tcPr>
                  <w:tcW w:w="4128" w:type="pct"/>
                  <w:gridSpan w:val="3"/>
                  <w:shd w:val="clear" w:color="auto" w:fill="auto"/>
                  <w:vAlign w:val="center"/>
                </w:tcPr>
                <w:p>
                  <w:r>
                    <w:rPr>
                      <w:rFonts w:hint="eastAsia"/>
                    </w:rPr>
                    <w:t>强氧化剂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急救措施</w:t>
                  </w:r>
                </w:p>
              </w:tc>
              <w:tc>
                <w:tcPr>
                  <w:tcW w:w="4128" w:type="pct"/>
                  <w:gridSpan w:val="3"/>
                  <w:shd w:val="clear" w:color="auto" w:fill="auto"/>
                  <w:vAlign w:val="center"/>
                </w:tcPr>
                <w:p>
                  <w:pPr>
                    <w:rPr>
                      <w:szCs w:val="21"/>
                    </w:rPr>
                  </w:pPr>
                  <w:r>
                    <w:rPr>
                      <w:rFonts w:hint="eastAsia"/>
                    </w:rPr>
                    <w:t>吸入：</w:t>
                  </w:r>
                  <w:r>
                    <w:rPr>
                      <w:rFonts w:hint="eastAsia"/>
                      <w:szCs w:val="21"/>
                    </w:rPr>
                    <w:t>迅速脱离现场至空气新鲜处。保持呼吸道通畅。如呼吸停止，进行人工呼吸；</w:t>
                  </w:r>
                </w:p>
                <w:p>
                  <w:pPr>
                    <w:rPr>
                      <w:szCs w:val="21"/>
                    </w:rPr>
                  </w:pPr>
                  <w:r>
                    <w:rPr>
                      <w:rFonts w:hint="eastAsia"/>
                      <w:szCs w:val="21"/>
                    </w:rPr>
                    <w:t>皮肤接触：用肥皂和大量清水冲洗；</w:t>
                  </w:r>
                </w:p>
                <w:p>
                  <w:pPr>
                    <w:rPr>
                      <w:szCs w:val="21"/>
                    </w:rPr>
                  </w:pPr>
                  <w:r>
                    <w:rPr>
                      <w:rFonts w:hint="eastAsia"/>
                      <w:szCs w:val="21"/>
                    </w:rPr>
                    <w:t>眼睛接触：用水冲洗眼睛；</w:t>
                  </w:r>
                </w:p>
                <w:p>
                  <w:r>
                    <w:rPr>
                      <w:rFonts w:hint="eastAsia"/>
                      <w:szCs w:val="21"/>
                    </w:rPr>
                    <w:t>食入：切勿给失去知觉者通过口喂任何东西，用水漱口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消防措施</w:t>
                  </w:r>
                </w:p>
              </w:tc>
              <w:tc>
                <w:tcPr>
                  <w:tcW w:w="4128" w:type="pct"/>
                  <w:gridSpan w:val="3"/>
                  <w:shd w:val="clear" w:color="auto" w:fill="auto"/>
                  <w:vAlign w:val="center"/>
                </w:tcPr>
                <w:p>
                  <w:r>
                    <w:rPr>
                      <w:rFonts w:hint="eastAsia"/>
                    </w:rPr>
                    <w:t>灭火介质：水雾、耐醇泡沫、干粉、二氧化碳</w:t>
                  </w:r>
                </w:p>
                <w:p>
                  <w:r>
                    <w:rPr>
                      <w:rFonts w:hint="eastAsia"/>
                    </w:rPr>
                    <w:t>源于此物质或混合物的特别的危害：碳氧化物，丙烯醛，甲醛味道</w:t>
                  </w:r>
                </w:p>
                <w:p>
                  <w:r>
                    <w:rPr>
                      <w:rFonts w:hint="eastAsia"/>
                    </w:rPr>
                    <w:t>给消防员的建议：如必要，佩戴自给式呼吸器救火；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泄漏应急处理</w:t>
                  </w:r>
                </w:p>
              </w:tc>
              <w:tc>
                <w:tcPr>
                  <w:tcW w:w="4128" w:type="pct"/>
                  <w:gridSpan w:val="3"/>
                  <w:shd w:val="clear" w:color="auto" w:fill="auto"/>
                  <w:vAlign w:val="center"/>
                </w:tcPr>
                <w:p>
                  <w:r>
                    <w:rPr>
                      <w:rFonts w:hint="eastAsia"/>
                    </w:rPr>
                    <w:t>人员防护措施、防护装备和应急处置程序：避免粉尘生成。避免吸入蒸汽、烟雾或气体。</w:t>
                  </w:r>
                </w:p>
                <w:p>
                  <w:r>
                    <w:rPr>
                      <w:rFonts w:hint="eastAsia"/>
                    </w:rPr>
                    <w:t>环境保护措施：不要让产品进入下水道</w:t>
                  </w:r>
                </w:p>
                <w:p>
                  <w:r>
                    <w:rPr>
                      <w:rFonts w:hint="eastAsia"/>
                    </w:rPr>
                    <w:t>泄漏化学品的收容、清除及处置材料：扫掉或铲掉，放入合适的封闭的容器待处理。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操作处置与储存</w:t>
                  </w:r>
                </w:p>
              </w:tc>
              <w:tc>
                <w:tcPr>
                  <w:tcW w:w="4128" w:type="pct"/>
                  <w:gridSpan w:val="3"/>
                  <w:shd w:val="clear" w:color="auto" w:fill="auto"/>
                  <w:vAlign w:val="center"/>
                </w:tcPr>
                <w:p>
                  <w:r>
                    <w:rPr>
                      <w:rFonts w:hint="eastAsia"/>
                    </w:rPr>
                    <w:t>安全操作注意事项：有粉尘生产的地方，提供适合的排风设备，一般性的防火保护措施；</w:t>
                  </w:r>
                </w:p>
                <w:p>
                  <w:r>
                    <w:rPr>
                      <w:rFonts w:hint="eastAsia"/>
                    </w:rPr>
                    <w:t>安全储存条件，包括任何不兼容性：贮存在阴凉处，使容器保持密闭，储存在干燥通风处。</w:t>
                  </w:r>
                </w:p>
              </w:tc>
            </w:tr>
          </w:tbl>
          <w:p>
            <w:pPr>
              <w:adjustRightInd w:val="0"/>
              <w:snapToGrid w:val="0"/>
              <w:spacing w:line="400" w:lineRule="exact"/>
              <w:ind w:firstLine="422" w:firstLineChars="200"/>
              <w:jc w:val="center"/>
              <w:rPr>
                <w:b/>
                <w:szCs w:val="21"/>
              </w:rPr>
            </w:pPr>
            <w:r>
              <w:rPr>
                <w:rFonts w:hint="eastAsia"/>
                <w:b/>
                <w:szCs w:val="21"/>
              </w:rPr>
              <w:t>表</w:t>
            </w:r>
            <w:r>
              <w:rPr>
                <w:b/>
                <w:szCs w:val="21"/>
              </w:rPr>
              <w:t xml:space="preserve">2-6   </w:t>
            </w:r>
            <w:r>
              <w:rPr>
                <w:rFonts w:hint="eastAsia"/>
                <w:b/>
                <w:szCs w:val="21"/>
              </w:rPr>
              <w:t>液压油、润滑油理化性质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5"/>
              <w:gridCol w:w="70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45" w:type="pct"/>
                  <w:shd w:val="clear" w:color="auto" w:fill="auto"/>
                  <w:vAlign w:val="center"/>
                </w:tcPr>
                <w:p>
                  <w:pPr>
                    <w:widowControl/>
                    <w:adjustRightInd w:val="0"/>
                    <w:snapToGrid w:val="0"/>
                    <w:jc w:val="center"/>
                    <w:rPr>
                      <w:snapToGrid w:val="0"/>
                      <w:szCs w:val="21"/>
                    </w:rPr>
                  </w:pPr>
                  <w:r>
                    <w:rPr>
                      <w:rFonts w:hint="eastAsia"/>
                      <w:snapToGrid w:val="0"/>
                      <w:szCs w:val="21"/>
                    </w:rPr>
                    <w:t>液压油</w:t>
                  </w:r>
                </w:p>
              </w:tc>
              <w:tc>
                <w:tcPr>
                  <w:tcW w:w="4455" w:type="pct"/>
                  <w:shd w:val="clear" w:color="auto" w:fill="auto"/>
                  <w:vAlign w:val="center"/>
                </w:tcPr>
                <w:p>
                  <w:pPr>
                    <w:widowControl/>
                    <w:adjustRightInd w:val="0"/>
                    <w:snapToGrid w:val="0"/>
                    <w:rPr>
                      <w:snapToGrid w:val="0"/>
                      <w:szCs w:val="21"/>
                    </w:rPr>
                  </w:pPr>
                  <w:r>
                    <w:rPr>
                      <w:rFonts w:hint="eastAsia"/>
                      <w:snapToGrid w:val="0"/>
                      <w:szCs w:val="21"/>
                    </w:rPr>
                    <w:t>产品名：抗磨液压油4</w:t>
                  </w:r>
                  <w:r>
                    <w:rPr>
                      <w:snapToGrid w:val="0"/>
                      <w:szCs w:val="21"/>
                    </w:rPr>
                    <w:t>6#</w:t>
                  </w:r>
                  <w:r>
                    <w:rPr>
                      <w:rFonts w:hint="eastAsia"/>
                      <w:snapToGrid w:val="0"/>
                      <w:szCs w:val="21"/>
                    </w:rPr>
                    <w:t>，成分：高度精制的矿物油和添加剂的混合物琥珀色透明液体，气味：矿物油特性；闪点2</w:t>
                  </w:r>
                  <w:r>
                    <w:rPr>
                      <w:snapToGrid w:val="0"/>
                      <w:szCs w:val="21"/>
                    </w:rPr>
                    <w:t>42</w:t>
                  </w:r>
                  <w:r>
                    <w:rPr>
                      <w:rFonts w:hint="eastAsia"/>
                      <w:snapToGrid w:val="0"/>
                      <w:szCs w:val="21"/>
                    </w:rPr>
                    <w:t>摄氏度，自然温度：大于3</w:t>
                  </w:r>
                  <w:r>
                    <w:rPr>
                      <w:snapToGrid w:val="0"/>
                      <w:szCs w:val="21"/>
                    </w:rPr>
                    <w:t>00</w:t>
                  </w:r>
                  <w:r>
                    <w:rPr>
                      <w:rFonts w:hint="eastAsia"/>
                      <w:snapToGrid w:val="0"/>
                      <w:szCs w:val="21"/>
                    </w:rPr>
                    <w:t>摄氏度。稳定性：稳定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45" w:type="pct"/>
                  <w:shd w:val="clear" w:color="auto" w:fill="auto"/>
                  <w:vAlign w:val="center"/>
                </w:tcPr>
                <w:p>
                  <w:pPr>
                    <w:widowControl/>
                    <w:adjustRightInd w:val="0"/>
                    <w:snapToGrid w:val="0"/>
                    <w:jc w:val="center"/>
                    <w:rPr>
                      <w:snapToGrid w:val="0"/>
                      <w:szCs w:val="21"/>
                    </w:rPr>
                  </w:pPr>
                  <w:r>
                    <w:rPr>
                      <w:rFonts w:hint="eastAsia"/>
                      <w:snapToGrid w:val="0"/>
                      <w:szCs w:val="21"/>
                    </w:rPr>
                    <w:t>润滑油</w:t>
                  </w:r>
                </w:p>
              </w:tc>
              <w:tc>
                <w:tcPr>
                  <w:tcW w:w="4455" w:type="pct"/>
                  <w:shd w:val="clear" w:color="auto" w:fill="auto"/>
                  <w:vAlign w:val="center"/>
                </w:tcPr>
                <w:p>
                  <w:pPr>
                    <w:widowControl/>
                    <w:adjustRightInd w:val="0"/>
                    <w:snapToGrid w:val="0"/>
                    <w:rPr>
                      <w:snapToGrid w:val="0"/>
                      <w:szCs w:val="21"/>
                    </w:rPr>
                  </w:pPr>
                  <w:r>
                    <w:rPr>
                      <w:rFonts w:hint="eastAsia"/>
                      <w:snapToGrid w:val="0"/>
                      <w:szCs w:val="21"/>
                    </w:rPr>
                    <w:t>产品名：导轨油4</w:t>
                  </w:r>
                  <w:r>
                    <w:rPr>
                      <w:snapToGrid w:val="0"/>
                      <w:szCs w:val="21"/>
                    </w:rPr>
                    <w:t>6#</w:t>
                  </w:r>
                  <w:r>
                    <w:rPr>
                      <w:rFonts w:hint="eastAsia"/>
                      <w:snapToGrid w:val="0"/>
                      <w:szCs w:val="21"/>
                    </w:rPr>
                    <w:t>；成分：高度精制的矿物油和添加剂的混合物；琥珀色透明液体，气味：矿物油特性；闪点2</w:t>
                  </w:r>
                  <w:r>
                    <w:rPr>
                      <w:snapToGrid w:val="0"/>
                      <w:szCs w:val="21"/>
                    </w:rPr>
                    <w:t>48</w:t>
                  </w:r>
                  <w:r>
                    <w:rPr>
                      <w:rFonts w:hint="eastAsia"/>
                      <w:snapToGrid w:val="0"/>
                      <w:szCs w:val="21"/>
                    </w:rPr>
                    <w:t>摄氏度，自然温度：大于3</w:t>
                  </w:r>
                  <w:r>
                    <w:rPr>
                      <w:snapToGrid w:val="0"/>
                      <w:szCs w:val="21"/>
                    </w:rPr>
                    <w:t>00</w:t>
                  </w:r>
                  <w:r>
                    <w:rPr>
                      <w:rFonts w:hint="eastAsia"/>
                      <w:snapToGrid w:val="0"/>
                      <w:szCs w:val="21"/>
                    </w:rPr>
                    <w:t>摄氏度；稳定性：稳定</w:t>
                  </w:r>
                </w:p>
              </w:tc>
            </w:tr>
          </w:tbl>
          <w:p>
            <w:pPr>
              <w:adjustRightInd w:val="0"/>
              <w:snapToGrid w:val="0"/>
              <w:spacing w:line="400" w:lineRule="exact"/>
              <w:ind w:firstLine="422" w:firstLineChars="200"/>
              <w:rPr>
                <w:b/>
                <w:szCs w:val="21"/>
              </w:rPr>
            </w:pPr>
            <w:r>
              <w:rPr>
                <w:rFonts w:hint="eastAsia"/>
                <w:b/>
                <w:szCs w:val="21"/>
              </w:rPr>
              <w:t>3</w:t>
            </w:r>
            <w:r>
              <w:rPr>
                <w:b/>
                <w:szCs w:val="21"/>
              </w:rPr>
              <w:t>.5</w:t>
            </w:r>
            <w:r>
              <w:rPr>
                <w:rFonts w:hint="eastAsia"/>
                <w:b/>
                <w:szCs w:val="21"/>
              </w:rPr>
              <w:t>给排水：</w:t>
            </w:r>
          </w:p>
          <w:p>
            <w:pPr>
              <w:adjustRightInd w:val="0"/>
              <w:snapToGrid w:val="0"/>
              <w:spacing w:line="400" w:lineRule="exact"/>
              <w:ind w:firstLine="420" w:firstLineChars="200"/>
              <w:rPr>
                <w:bCs/>
                <w:szCs w:val="21"/>
              </w:rPr>
            </w:pPr>
            <w:r>
              <w:rPr>
                <w:rFonts w:hint="eastAsia"/>
                <w:bCs/>
                <w:szCs w:val="21"/>
              </w:rPr>
              <w:t>项目用水主要为员工生活用水和注塑冷却循环水补水。</w:t>
            </w:r>
          </w:p>
          <w:p>
            <w:pPr>
              <w:adjustRightInd w:val="0"/>
              <w:snapToGrid w:val="0"/>
              <w:spacing w:line="400" w:lineRule="exact"/>
              <w:ind w:firstLine="420" w:firstLineChars="200"/>
              <w:rPr>
                <w:bCs/>
                <w:szCs w:val="21"/>
              </w:rPr>
            </w:pPr>
            <w:r>
              <w:rPr>
                <w:rFonts w:hint="eastAsia"/>
                <w:bCs/>
                <w:szCs w:val="21"/>
              </w:rPr>
              <w:t>生活用水外购桶装水，参照</w:t>
            </w:r>
            <w:r>
              <w:rPr>
                <w:bCs/>
                <w:szCs w:val="21"/>
              </w:rPr>
              <w:t>《生活与服务业用水定额 第</w:t>
            </w:r>
            <w:r>
              <w:rPr>
                <w:rFonts w:hint="eastAsia"/>
                <w:bCs/>
                <w:szCs w:val="21"/>
              </w:rPr>
              <w:t>1</w:t>
            </w:r>
            <w:r>
              <w:rPr>
                <w:bCs/>
                <w:szCs w:val="21"/>
              </w:rPr>
              <w:t>部分：</w:t>
            </w:r>
            <w:r>
              <w:rPr>
                <w:rFonts w:hint="eastAsia"/>
                <w:bCs/>
                <w:szCs w:val="21"/>
              </w:rPr>
              <w:t>居民生活</w:t>
            </w:r>
            <w:r>
              <w:rPr>
                <w:bCs/>
                <w:szCs w:val="21"/>
              </w:rPr>
              <w:t>》（DB13/T 5450.1-2021）中“</w:t>
            </w:r>
            <w:r>
              <w:rPr>
                <w:rFonts w:hint="eastAsia"/>
                <w:bCs/>
                <w:szCs w:val="21"/>
              </w:rPr>
              <w:t>农村居民</w:t>
            </w:r>
            <w:r>
              <w:rPr>
                <w:bCs/>
                <w:szCs w:val="21"/>
              </w:rPr>
              <w:t>”，用水定额22 m</w:t>
            </w:r>
            <w:r>
              <w:rPr>
                <w:bCs/>
                <w:szCs w:val="21"/>
                <w:vertAlign w:val="superscript"/>
              </w:rPr>
              <w:t>3</w:t>
            </w:r>
            <w:r>
              <w:rPr>
                <w:bCs/>
                <w:szCs w:val="21"/>
              </w:rPr>
              <w:t>/（</w:t>
            </w:r>
            <w:r>
              <w:rPr>
                <w:rFonts w:hint="eastAsia"/>
                <w:bCs/>
                <w:szCs w:val="21"/>
              </w:rPr>
              <w:t>人</w:t>
            </w:r>
            <w:r>
              <w:rPr>
                <w:bCs/>
                <w:szCs w:val="21"/>
              </w:rPr>
              <w:t>▪</w:t>
            </w:r>
            <w:r>
              <w:rPr>
                <w:rFonts w:hint="eastAsia"/>
                <w:bCs/>
                <w:szCs w:val="21"/>
              </w:rPr>
              <w:t>年</w:t>
            </w:r>
            <w:r>
              <w:rPr>
                <w:bCs/>
                <w:szCs w:val="21"/>
              </w:rPr>
              <w:t>）</w:t>
            </w:r>
            <w:r>
              <w:rPr>
                <w:rFonts w:hint="eastAsia"/>
                <w:bCs/>
                <w:szCs w:val="21"/>
              </w:rPr>
              <w:t>，按3</w:t>
            </w:r>
            <w:r>
              <w:rPr>
                <w:bCs/>
                <w:szCs w:val="21"/>
              </w:rPr>
              <w:t>65 d/a</w:t>
            </w:r>
            <w:r>
              <w:rPr>
                <w:rFonts w:hint="eastAsia"/>
                <w:bCs/>
                <w:szCs w:val="21"/>
              </w:rPr>
              <w:t>折算为每天用水量约为0</w:t>
            </w:r>
            <w:r>
              <w:rPr>
                <w:bCs/>
                <w:szCs w:val="21"/>
              </w:rPr>
              <w:t>.06 m</w:t>
            </w:r>
            <w:r>
              <w:rPr>
                <w:bCs/>
                <w:szCs w:val="21"/>
                <w:vertAlign w:val="superscript"/>
              </w:rPr>
              <w:t>3</w:t>
            </w:r>
            <w:r>
              <w:rPr>
                <w:bCs/>
                <w:szCs w:val="21"/>
              </w:rPr>
              <w:t>/</w:t>
            </w:r>
            <w:r>
              <w:rPr>
                <w:rFonts w:hint="eastAsia"/>
                <w:bCs/>
                <w:szCs w:val="21"/>
              </w:rPr>
              <w:t>人</w:t>
            </w:r>
            <w:r>
              <w:rPr>
                <w:bCs/>
                <w:szCs w:val="21"/>
              </w:rPr>
              <w:t>▪d，</w:t>
            </w:r>
            <w:r>
              <w:rPr>
                <w:rFonts w:hint="eastAsia"/>
                <w:bCs/>
                <w:szCs w:val="21"/>
              </w:rPr>
              <w:t>项目劳动定员1</w:t>
            </w:r>
            <w:r>
              <w:rPr>
                <w:bCs/>
                <w:szCs w:val="21"/>
              </w:rPr>
              <w:t>0</w:t>
            </w:r>
            <w:r>
              <w:rPr>
                <w:rFonts w:hint="eastAsia"/>
                <w:bCs/>
                <w:szCs w:val="21"/>
              </w:rPr>
              <w:t>人，则用水量为0</w:t>
            </w:r>
            <w:r>
              <w:rPr>
                <w:bCs/>
                <w:szCs w:val="21"/>
              </w:rPr>
              <w:t>.6 m</w:t>
            </w:r>
            <w:r>
              <w:rPr>
                <w:bCs/>
                <w:szCs w:val="21"/>
                <w:vertAlign w:val="superscript"/>
              </w:rPr>
              <w:t>3</w:t>
            </w:r>
            <w:r>
              <w:rPr>
                <w:bCs/>
                <w:szCs w:val="21"/>
              </w:rPr>
              <w:t>/</w:t>
            </w:r>
            <w:r>
              <w:rPr>
                <w:rFonts w:hint="eastAsia"/>
                <w:bCs/>
                <w:szCs w:val="21"/>
              </w:rPr>
              <w:t>d，厂区内泼洒抑尘，不外排</w:t>
            </w:r>
            <w:r>
              <w:rPr>
                <w:bCs/>
                <w:szCs w:val="21"/>
              </w:rPr>
              <w:t>。</w:t>
            </w:r>
          </w:p>
          <w:p>
            <w:pPr>
              <w:adjustRightInd w:val="0"/>
              <w:snapToGrid w:val="0"/>
              <w:spacing w:line="400" w:lineRule="exact"/>
              <w:ind w:firstLine="420" w:firstLineChars="200"/>
              <w:rPr>
                <w:bCs/>
                <w:szCs w:val="21"/>
              </w:rPr>
            </w:pPr>
            <w:r>
              <w:rPr>
                <w:rFonts w:hint="eastAsia"/>
                <w:bCs/>
                <w:szCs w:val="21"/>
              </w:rPr>
              <w:t>注塑冷却水补水罐车外运，新鲜水取水量0</w:t>
            </w:r>
            <w:r>
              <w:rPr>
                <w:bCs/>
                <w:szCs w:val="21"/>
              </w:rPr>
              <w:t>.4 m</w:t>
            </w:r>
            <w:r>
              <w:rPr>
                <w:bCs/>
                <w:szCs w:val="21"/>
                <w:vertAlign w:val="superscript"/>
              </w:rPr>
              <w:t>3</w:t>
            </w:r>
            <w:r>
              <w:rPr>
                <w:bCs/>
                <w:szCs w:val="21"/>
              </w:rPr>
              <w:t>/d</w:t>
            </w:r>
            <w:r>
              <w:rPr>
                <w:rFonts w:hint="eastAsia"/>
                <w:bCs/>
                <w:szCs w:val="21"/>
              </w:rPr>
              <w:t>，重复利用，无废水排放。</w:t>
            </w:r>
          </w:p>
          <w:p>
            <w:pPr>
              <w:spacing w:line="400" w:lineRule="exact"/>
              <w:jc w:val="center"/>
              <w:rPr>
                <w:bCs/>
                <w:szCs w:val="21"/>
              </w:rPr>
            </w:pPr>
            <w:r>
              <w:rPr>
                <w:b/>
                <w:szCs w:val="21"/>
              </w:rPr>
              <w:t xml:space="preserve">表2-7    </w:t>
            </w:r>
            <w:r>
              <w:rPr>
                <w:rFonts w:hint="eastAsia"/>
                <w:b/>
                <w:szCs w:val="21"/>
              </w:rPr>
              <w:t xml:space="preserve"> </w:t>
            </w:r>
            <w:r>
              <w:rPr>
                <w:b/>
                <w:szCs w:val="21"/>
              </w:rPr>
              <w:t>给排水核算情况</w:t>
            </w:r>
            <w:r>
              <w:rPr>
                <w:rFonts w:hint="eastAsia"/>
                <w:b/>
                <w:szCs w:val="21"/>
              </w:rPr>
              <w:t xml:space="preserve"> </w:t>
            </w:r>
            <w:r>
              <w:rPr>
                <w:b/>
                <w:szCs w:val="21"/>
              </w:rPr>
              <w:t xml:space="preserve">   </w:t>
            </w:r>
            <w:r>
              <w:rPr>
                <w:bCs/>
                <w:szCs w:val="21"/>
              </w:rPr>
              <w:t>m</w:t>
            </w:r>
            <w:r>
              <w:rPr>
                <w:bCs/>
                <w:szCs w:val="21"/>
                <w:vertAlign w:val="superscript"/>
              </w:rPr>
              <w:t>3</w:t>
            </w:r>
            <w:r>
              <w:rPr>
                <w:bCs/>
                <w:szCs w:val="21"/>
              </w:rPr>
              <w:t>/d</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3"/>
              <w:gridCol w:w="1324"/>
              <w:gridCol w:w="1322"/>
              <w:gridCol w:w="1609"/>
              <w:gridCol w:w="1035"/>
              <w:gridCol w:w="13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4" w:type="pct"/>
                  <w:vAlign w:val="center"/>
                </w:tcPr>
                <w:p>
                  <w:pPr>
                    <w:tabs>
                      <w:tab w:val="left" w:pos="3255"/>
                    </w:tabs>
                    <w:jc w:val="center"/>
                    <w:rPr>
                      <w:bCs/>
                      <w:szCs w:val="21"/>
                    </w:rPr>
                  </w:pPr>
                  <w:r>
                    <w:rPr>
                      <w:bCs/>
                      <w:szCs w:val="21"/>
                    </w:rPr>
                    <w:t>类别</w:t>
                  </w:r>
                </w:p>
              </w:tc>
              <w:tc>
                <w:tcPr>
                  <w:tcW w:w="834" w:type="pct"/>
                  <w:vAlign w:val="center"/>
                </w:tcPr>
                <w:p>
                  <w:pPr>
                    <w:tabs>
                      <w:tab w:val="left" w:pos="3255"/>
                    </w:tabs>
                    <w:jc w:val="center"/>
                    <w:rPr>
                      <w:bCs/>
                      <w:szCs w:val="21"/>
                    </w:rPr>
                  </w:pPr>
                  <w:r>
                    <w:rPr>
                      <w:rFonts w:hint="eastAsia"/>
                      <w:bCs/>
                      <w:szCs w:val="21"/>
                    </w:rPr>
                    <w:t>新鲜水用量</w:t>
                  </w:r>
                </w:p>
              </w:tc>
              <w:tc>
                <w:tcPr>
                  <w:tcW w:w="833" w:type="pct"/>
                  <w:shd w:val="clear" w:color="auto" w:fill="auto"/>
                  <w:vAlign w:val="center"/>
                </w:tcPr>
                <w:p>
                  <w:pPr>
                    <w:tabs>
                      <w:tab w:val="left" w:pos="3255"/>
                    </w:tabs>
                    <w:jc w:val="center"/>
                    <w:rPr>
                      <w:bCs/>
                      <w:szCs w:val="21"/>
                    </w:rPr>
                  </w:pPr>
                  <w:r>
                    <w:rPr>
                      <w:rFonts w:hint="eastAsia"/>
                      <w:bCs/>
                      <w:szCs w:val="21"/>
                    </w:rPr>
                    <w:t>重复用水量</w:t>
                  </w:r>
                </w:p>
              </w:tc>
              <w:tc>
                <w:tcPr>
                  <w:tcW w:w="1014" w:type="pct"/>
                  <w:vAlign w:val="center"/>
                </w:tcPr>
                <w:p>
                  <w:pPr>
                    <w:tabs>
                      <w:tab w:val="left" w:pos="3255"/>
                    </w:tabs>
                    <w:jc w:val="center"/>
                    <w:rPr>
                      <w:bCs/>
                      <w:szCs w:val="21"/>
                    </w:rPr>
                  </w:pPr>
                  <w:r>
                    <w:rPr>
                      <w:rFonts w:hint="eastAsia"/>
                      <w:bCs/>
                      <w:szCs w:val="21"/>
                    </w:rPr>
                    <w:t>消耗量</w:t>
                  </w:r>
                </w:p>
              </w:tc>
              <w:tc>
                <w:tcPr>
                  <w:tcW w:w="652" w:type="pct"/>
                  <w:shd w:val="clear" w:color="auto" w:fill="auto"/>
                  <w:vAlign w:val="center"/>
                </w:tcPr>
                <w:p>
                  <w:pPr>
                    <w:tabs>
                      <w:tab w:val="left" w:pos="3255"/>
                    </w:tabs>
                    <w:jc w:val="center"/>
                    <w:rPr>
                      <w:bCs/>
                      <w:szCs w:val="21"/>
                    </w:rPr>
                  </w:pPr>
                  <w:r>
                    <w:rPr>
                      <w:rFonts w:hint="eastAsia"/>
                      <w:bCs/>
                      <w:szCs w:val="21"/>
                    </w:rPr>
                    <w:t>总用水量</w:t>
                  </w:r>
                </w:p>
              </w:tc>
              <w:tc>
                <w:tcPr>
                  <w:tcW w:w="833" w:type="pct"/>
                  <w:vAlign w:val="center"/>
                </w:tcPr>
                <w:p>
                  <w:pPr>
                    <w:tabs>
                      <w:tab w:val="left" w:pos="3255"/>
                    </w:tabs>
                    <w:jc w:val="center"/>
                    <w:rPr>
                      <w:bCs/>
                      <w:szCs w:val="21"/>
                    </w:rPr>
                  </w:pPr>
                  <w:r>
                    <w:rPr>
                      <w:rFonts w:hint="eastAsia"/>
                      <w:bCs/>
                      <w:szCs w:val="21"/>
                    </w:rPr>
                    <w:t>污水产生量及去向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4" w:type="pct"/>
                  <w:vAlign w:val="center"/>
                </w:tcPr>
                <w:p>
                  <w:pPr>
                    <w:tabs>
                      <w:tab w:val="left" w:pos="3255"/>
                    </w:tabs>
                    <w:jc w:val="center"/>
                    <w:rPr>
                      <w:bCs/>
                      <w:szCs w:val="21"/>
                    </w:rPr>
                  </w:pPr>
                  <w:r>
                    <w:rPr>
                      <w:rFonts w:hint="eastAsia"/>
                      <w:bCs/>
                      <w:szCs w:val="21"/>
                    </w:rPr>
                    <w:t>生活用水</w:t>
                  </w:r>
                </w:p>
              </w:tc>
              <w:tc>
                <w:tcPr>
                  <w:tcW w:w="834" w:type="pct"/>
                  <w:vAlign w:val="center"/>
                </w:tcPr>
                <w:p>
                  <w:pPr>
                    <w:tabs>
                      <w:tab w:val="left" w:pos="3255"/>
                    </w:tabs>
                    <w:jc w:val="center"/>
                    <w:rPr>
                      <w:bCs/>
                      <w:szCs w:val="21"/>
                    </w:rPr>
                  </w:pPr>
                  <w:r>
                    <w:rPr>
                      <w:rFonts w:hint="eastAsia"/>
                      <w:bCs/>
                      <w:szCs w:val="21"/>
                    </w:rPr>
                    <w:t>0</w:t>
                  </w:r>
                  <w:r>
                    <w:rPr>
                      <w:bCs/>
                      <w:szCs w:val="21"/>
                    </w:rPr>
                    <w:t>.6</w:t>
                  </w:r>
                </w:p>
              </w:tc>
              <w:tc>
                <w:tcPr>
                  <w:tcW w:w="833" w:type="pct"/>
                  <w:shd w:val="clear" w:color="auto" w:fill="auto"/>
                  <w:vAlign w:val="center"/>
                </w:tcPr>
                <w:p>
                  <w:pPr>
                    <w:tabs>
                      <w:tab w:val="left" w:pos="3255"/>
                    </w:tabs>
                    <w:jc w:val="center"/>
                    <w:rPr>
                      <w:bCs/>
                      <w:szCs w:val="21"/>
                    </w:rPr>
                  </w:pPr>
                  <w:r>
                    <w:rPr>
                      <w:rFonts w:hint="eastAsia"/>
                      <w:bCs/>
                      <w:szCs w:val="21"/>
                    </w:rPr>
                    <w:t>0</w:t>
                  </w:r>
                </w:p>
              </w:tc>
              <w:tc>
                <w:tcPr>
                  <w:tcW w:w="1014" w:type="pct"/>
                  <w:vAlign w:val="center"/>
                </w:tcPr>
                <w:p>
                  <w:pPr>
                    <w:tabs>
                      <w:tab w:val="left" w:pos="3255"/>
                    </w:tabs>
                    <w:jc w:val="center"/>
                    <w:rPr>
                      <w:bCs/>
                      <w:szCs w:val="21"/>
                    </w:rPr>
                  </w:pPr>
                  <w:r>
                    <w:rPr>
                      <w:rFonts w:hint="eastAsia"/>
                      <w:bCs/>
                      <w:szCs w:val="21"/>
                    </w:rPr>
                    <w:t>0</w:t>
                  </w:r>
                  <w:r>
                    <w:rPr>
                      <w:bCs/>
                      <w:szCs w:val="21"/>
                    </w:rPr>
                    <w:t>.12</w:t>
                  </w:r>
                </w:p>
              </w:tc>
              <w:tc>
                <w:tcPr>
                  <w:tcW w:w="652" w:type="pct"/>
                  <w:shd w:val="clear" w:color="auto" w:fill="auto"/>
                  <w:vAlign w:val="center"/>
                </w:tcPr>
                <w:p>
                  <w:pPr>
                    <w:tabs>
                      <w:tab w:val="left" w:pos="3255"/>
                    </w:tabs>
                    <w:jc w:val="center"/>
                    <w:rPr>
                      <w:bCs/>
                      <w:szCs w:val="21"/>
                    </w:rPr>
                  </w:pPr>
                  <w:r>
                    <w:rPr>
                      <w:rFonts w:hint="eastAsia"/>
                      <w:bCs/>
                      <w:szCs w:val="21"/>
                    </w:rPr>
                    <w:t>0</w:t>
                  </w:r>
                  <w:r>
                    <w:rPr>
                      <w:bCs/>
                      <w:szCs w:val="21"/>
                    </w:rPr>
                    <w:t>.6</w:t>
                  </w:r>
                </w:p>
              </w:tc>
              <w:tc>
                <w:tcPr>
                  <w:tcW w:w="833" w:type="pct"/>
                  <w:vAlign w:val="center"/>
                </w:tcPr>
                <w:p>
                  <w:pPr>
                    <w:tabs>
                      <w:tab w:val="left" w:pos="3255"/>
                    </w:tabs>
                    <w:jc w:val="center"/>
                    <w:rPr>
                      <w:bCs/>
                      <w:szCs w:val="21"/>
                    </w:rPr>
                  </w:pPr>
                  <w:r>
                    <w:rPr>
                      <w:rFonts w:hint="eastAsia"/>
                      <w:bCs/>
                      <w:szCs w:val="21"/>
                    </w:rPr>
                    <w:t>0</w:t>
                  </w:r>
                  <w:r>
                    <w:rPr>
                      <w:bCs/>
                      <w:szCs w:val="21"/>
                    </w:rPr>
                    <w:t>.48</w:t>
                  </w:r>
                  <w:r>
                    <w:rPr>
                      <w:rFonts w:hint="eastAsia"/>
                      <w:bCs/>
                      <w:szCs w:val="21"/>
                    </w:rPr>
                    <w:t>泼洒抑尘，不外排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4" w:type="pct"/>
                  <w:vAlign w:val="center"/>
                </w:tcPr>
                <w:p>
                  <w:pPr>
                    <w:tabs>
                      <w:tab w:val="left" w:pos="3255"/>
                    </w:tabs>
                    <w:jc w:val="center"/>
                    <w:rPr>
                      <w:bCs/>
                      <w:szCs w:val="21"/>
                    </w:rPr>
                  </w:pPr>
                  <w:r>
                    <w:rPr>
                      <w:rFonts w:hint="eastAsia"/>
                      <w:bCs/>
                      <w:szCs w:val="21"/>
                    </w:rPr>
                    <w:t>循环冷却水</w:t>
                  </w:r>
                </w:p>
              </w:tc>
              <w:tc>
                <w:tcPr>
                  <w:tcW w:w="834" w:type="pct"/>
                  <w:vAlign w:val="center"/>
                </w:tcPr>
                <w:p>
                  <w:pPr>
                    <w:tabs>
                      <w:tab w:val="left" w:pos="3255"/>
                    </w:tabs>
                    <w:jc w:val="center"/>
                    <w:rPr>
                      <w:bCs/>
                      <w:szCs w:val="21"/>
                    </w:rPr>
                  </w:pPr>
                  <w:r>
                    <w:rPr>
                      <w:bCs/>
                      <w:szCs w:val="21"/>
                    </w:rPr>
                    <w:t>0.4</w:t>
                  </w:r>
                </w:p>
              </w:tc>
              <w:tc>
                <w:tcPr>
                  <w:tcW w:w="833" w:type="pct"/>
                  <w:shd w:val="clear" w:color="auto" w:fill="auto"/>
                  <w:vAlign w:val="center"/>
                </w:tcPr>
                <w:p>
                  <w:pPr>
                    <w:tabs>
                      <w:tab w:val="left" w:pos="3255"/>
                    </w:tabs>
                    <w:jc w:val="center"/>
                    <w:rPr>
                      <w:bCs/>
                      <w:szCs w:val="21"/>
                    </w:rPr>
                  </w:pPr>
                  <w:r>
                    <w:rPr>
                      <w:bCs/>
                      <w:szCs w:val="21"/>
                    </w:rPr>
                    <w:t>20</w:t>
                  </w:r>
                </w:p>
              </w:tc>
              <w:tc>
                <w:tcPr>
                  <w:tcW w:w="1014" w:type="pct"/>
                  <w:vAlign w:val="center"/>
                </w:tcPr>
                <w:p>
                  <w:pPr>
                    <w:tabs>
                      <w:tab w:val="left" w:pos="3255"/>
                    </w:tabs>
                    <w:jc w:val="center"/>
                    <w:rPr>
                      <w:bCs/>
                      <w:szCs w:val="21"/>
                    </w:rPr>
                  </w:pPr>
                  <w:r>
                    <w:rPr>
                      <w:rFonts w:hint="eastAsia"/>
                      <w:bCs/>
                      <w:szCs w:val="21"/>
                    </w:rPr>
                    <w:t>0</w:t>
                  </w:r>
                  <w:r>
                    <w:rPr>
                      <w:bCs/>
                      <w:szCs w:val="21"/>
                    </w:rPr>
                    <w:t>.4</w:t>
                  </w:r>
                  <w:r>
                    <w:rPr>
                      <w:rFonts w:hint="eastAsia"/>
                      <w:bCs/>
                      <w:szCs w:val="21"/>
                    </w:rPr>
                    <w:t>（蒸发）</w:t>
                  </w:r>
                </w:p>
              </w:tc>
              <w:tc>
                <w:tcPr>
                  <w:tcW w:w="652" w:type="pct"/>
                  <w:shd w:val="clear" w:color="auto" w:fill="auto"/>
                  <w:vAlign w:val="center"/>
                </w:tcPr>
                <w:p>
                  <w:pPr>
                    <w:tabs>
                      <w:tab w:val="left" w:pos="3255"/>
                    </w:tabs>
                    <w:jc w:val="center"/>
                    <w:rPr>
                      <w:bCs/>
                      <w:szCs w:val="21"/>
                    </w:rPr>
                  </w:pPr>
                  <w:r>
                    <w:rPr>
                      <w:bCs/>
                      <w:szCs w:val="21"/>
                    </w:rPr>
                    <w:t>20.4</w:t>
                  </w:r>
                </w:p>
              </w:tc>
              <w:tc>
                <w:tcPr>
                  <w:tcW w:w="833" w:type="pct"/>
                  <w:vAlign w:val="center"/>
                </w:tcPr>
                <w:p>
                  <w:pPr>
                    <w:tabs>
                      <w:tab w:val="left" w:pos="3255"/>
                    </w:tabs>
                    <w:jc w:val="center"/>
                    <w:rPr>
                      <w:bCs/>
                      <w:szCs w:val="21"/>
                    </w:rPr>
                  </w:pPr>
                  <w:r>
                    <w:rPr>
                      <w:rFonts w:hint="eastAsia"/>
                      <w:bCs/>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4" w:type="pct"/>
                  <w:vAlign w:val="center"/>
                </w:tcPr>
                <w:p>
                  <w:pPr>
                    <w:tabs>
                      <w:tab w:val="left" w:pos="3255"/>
                    </w:tabs>
                    <w:jc w:val="center"/>
                    <w:rPr>
                      <w:bCs/>
                      <w:szCs w:val="21"/>
                    </w:rPr>
                  </w:pPr>
                  <w:r>
                    <w:rPr>
                      <w:rFonts w:hint="eastAsia"/>
                      <w:bCs/>
                      <w:szCs w:val="21"/>
                    </w:rPr>
                    <w:t>合计</w:t>
                  </w:r>
                </w:p>
              </w:tc>
              <w:tc>
                <w:tcPr>
                  <w:tcW w:w="834" w:type="pct"/>
                  <w:vAlign w:val="center"/>
                </w:tcPr>
                <w:p>
                  <w:pPr>
                    <w:tabs>
                      <w:tab w:val="left" w:pos="3255"/>
                    </w:tabs>
                    <w:jc w:val="center"/>
                    <w:rPr>
                      <w:bCs/>
                      <w:szCs w:val="21"/>
                    </w:rPr>
                  </w:pPr>
                  <w:r>
                    <w:rPr>
                      <w:rFonts w:hint="eastAsia"/>
                      <w:bCs/>
                      <w:szCs w:val="21"/>
                    </w:rPr>
                    <w:t>1</w:t>
                  </w:r>
                  <w:r>
                    <w:rPr>
                      <w:bCs/>
                      <w:szCs w:val="21"/>
                    </w:rPr>
                    <w:t>.0</w:t>
                  </w:r>
                </w:p>
              </w:tc>
              <w:tc>
                <w:tcPr>
                  <w:tcW w:w="833" w:type="pct"/>
                  <w:shd w:val="clear" w:color="auto" w:fill="auto"/>
                  <w:vAlign w:val="center"/>
                </w:tcPr>
                <w:p>
                  <w:pPr>
                    <w:tabs>
                      <w:tab w:val="left" w:pos="3255"/>
                    </w:tabs>
                    <w:jc w:val="center"/>
                    <w:rPr>
                      <w:bCs/>
                      <w:szCs w:val="21"/>
                    </w:rPr>
                  </w:pPr>
                  <w:r>
                    <w:rPr>
                      <w:rFonts w:hint="eastAsia"/>
                      <w:bCs/>
                      <w:szCs w:val="21"/>
                    </w:rPr>
                    <w:t>2</w:t>
                  </w:r>
                  <w:r>
                    <w:rPr>
                      <w:bCs/>
                      <w:szCs w:val="21"/>
                    </w:rPr>
                    <w:t>0</w:t>
                  </w:r>
                </w:p>
              </w:tc>
              <w:tc>
                <w:tcPr>
                  <w:tcW w:w="1014" w:type="pct"/>
                  <w:vAlign w:val="center"/>
                </w:tcPr>
                <w:p>
                  <w:pPr>
                    <w:tabs>
                      <w:tab w:val="left" w:pos="3255"/>
                    </w:tabs>
                    <w:jc w:val="center"/>
                    <w:rPr>
                      <w:bCs/>
                      <w:szCs w:val="21"/>
                    </w:rPr>
                  </w:pPr>
                  <w:r>
                    <w:rPr>
                      <w:rFonts w:hint="eastAsia"/>
                      <w:bCs/>
                      <w:szCs w:val="21"/>
                    </w:rPr>
                    <w:t>0</w:t>
                  </w:r>
                  <w:r>
                    <w:rPr>
                      <w:bCs/>
                      <w:szCs w:val="21"/>
                    </w:rPr>
                    <w:t>.52</w:t>
                  </w:r>
                </w:p>
              </w:tc>
              <w:tc>
                <w:tcPr>
                  <w:tcW w:w="652" w:type="pct"/>
                  <w:shd w:val="clear" w:color="auto" w:fill="auto"/>
                  <w:vAlign w:val="center"/>
                </w:tcPr>
                <w:p>
                  <w:pPr>
                    <w:tabs>
                      <w:tab w:val="left" w:pos="3255"/>
                    </w:tabs>
                    <w:jc w:val="center"/>
                    <w:rPr>
                      <w:bCs/>
                      <w:szCs w:val="21"/>
                    </w:rPr>
                  </w:pPr>
                  <w:r>
                    <w:rPr>
                      <w:rFonts w:hint="eastAsia"/>
                      <w:bCs/>
                      <w:szCs w:val="21"/>
                    </w:rPr>
                    <w:t>2</w:t>
                  </w:r>
                  <w:r>
                    <w:rPr>
                      <w:bCs/>
                      <w:szCs w:val="21"/>
                    </w:rPr>
                    <w:t>1.0</w:t>
                  </w:r>
                </w:p>
              </w:tc>
              <w:tc>
                <w:tcPr>
                  <w:tcW w:w="833" w:type="pct"/>
                  <w:vAlign w:val="center"/>
                </w:tcPr>
                <w:p>
                  <w:pPr>
                    <w:tabs>
                      <w:tab w:val="left" w:pos="3255"/>
                    </w:tabs>
                    <w:jc w:val="center"/>
                    <w:rPr>
                      <w:bCs/>
                      <w:szCs w:val="21"/>
                    </w:rPr>
                  </w:pPr>
                  <w:r>
                    <w:rPr>
                      <w:rFonts w:hint="eastAsia"/>
                      <w:bCs/>
                      <w:szCs w:val="21"/>
                    </w:rPr>
                    <w:t>0</w:t>
                  </w:r>
                  <w:r>
                    <w:rPr>
                      <w:bCs/>
                      <w:szCs w:val="21"/>
                    </w:rPr>
                    <w:t>.48</w:t>
                  </w:r>
                  <w:r>
                    <w:rPr>
                      <w:rFonts w:hint="eastAsia"/>
                      <w:bCs/>
                      <w:szCs w:val="21"/>
                    </w:rPr>
                    <w:t>泼洒抑尘，不外排</w:t>
                  </w:r>
                </w:p>
              </w:tc>
            </w:tr>
          </w:tbl>
          <w:p>
            <w:pPr>
              <w:adjustRightInd w:val="0"/>
              <w:snapToGrid w:val="0"/>
              <w:spacing w:line="400" w:lineRule="exact"/>
              <w:ind w:firstLine="422" w:firstLineChars="200"/>
              <w:rPr>
                <w:b/>
                <w:szCs w:val="21"/>
              </w:rPr>
            </w:pPr>
          </w:p>
          <w:p>
            <w:pPr>
              <w:adjustRightInd w:val="0"/>
              <w:snapToGrid w:val="0"/>
              <w:jc w:val="center"/>
              <w:rPr>
                <w:b/>
                <w:szCs w:val="21"/>
              </w:rPr>
            </w:pPr>
            <w:r>
              <w:object>
                <v:shape id="_x0000_i1025" o:spt="75" type="#_x0000_t75" style="height:123.35pt;width:349.35pt;" o:ole="t" filled="f" o:preferrelative="t" stroked="f" coordsize="21600,21600">
                  <v:path/>
                  <v:fill on="f" focussize="0,0"/>
                  <v:stroke on="f" joinstyle="miter"/>
                  <v:imagedata r:id="rId7" o:title=""/>
                  <o:lock v:ext="edit" aspectratio="t"/>
                  <w10:wrap type="none"/>
                  <w10:anchorlock/>
                </v:shape>
                <o:OLEObject Type="Embed" ProgID="Visio.Drawing.11" ShapeID="_x0000_i1025" DrawAspect="Content" ObjectID="_1468075725" r:id="rId6">
                  <o:LockedField>false</o:LockedField>
                </o:OLEObject>
              </w:object>
            </w:r>
          </w:p>
          <w:p>
            <w:pPr>
              <w:adjustRightInd w:val="0"/>
              <w:snapToGrid w:val="0"/>
              <w:spacing w:line="400" w:lineRule="exact"/>
              <w:ind w:firstLine="422" w:firstLineChars="200"/>
              <w:jc w:val="center"/>
              <w:rPr>
                <w:b/>
                <w:szCs w:val="21"/>
              </w:rPr>
            </w:pPr>
            <w:r>
              <w:rPr>
                <w:rFonts w:hint="eastAsia"/>
                <w:b/>
                <w:szCs w:val="21"/>
              </w:rPr>
              <w:t>图2</w:t>
            </w:r>
            <w:r>
              <w:rPr>
                <w:b/>
                <w:szCs w:val="21"/>
              </w:rPr>
              <w:t xml:space="preserve">-1  </w:t>
            </w:r>
            <w:r>
              <w:rPr>
                <w:rFonts w:hint="eastAsia"/>
                <w:b/>
                <w:szCs w:val="21"/>
              </w:rPr>
              <w:t xml:space="preserve">水平衡图 </w:t>
            </w:r>
            <w:r>
              <w:rPr>
                <w:b/>
                <w:szCs w:val="21"/>
              </w:rPr>
              <w:t xml:space="preserve">  </w:t>
            </w:r>
            <w:r>
              <w:rPr>
                <w:bCs/>
                <w:szCs w:val="21"/>
              </w:rPr>
              <w:t>m</w:t>
            </w:r>
            <w:r>
              <w:rPr>
                <w:bCs/>
                <w:szCs w:val="21"/>
                <w:vertAlign w:val="superscript"/>
              </w:rPr>
              <w:t>3</w:t>
            </w:r>
            <w:r>
              <w:rPr>
                <w:bCs/>
                <w:szCs w:val="21"/>
              </w:rPr>
              <w:t>/d</w:t>
            </w:r>
          </w:p>
          <w:p>
            <w:pPr>
              <w:adjustRightInd w:val="0"/>
              <w:snapToGrid w:val="0"/>
              <w:spacing w:line="400" w:lineRule="exact"/>
              <w:ind w:firstLine="420" w:firstLineChars="200"/>
              <w:rPr>
                <w:bCs/>
                <w:szCs w:val="21"/>
              </w:rPr>
            </w:pPr>
            <w:r>
              <w:rPr>
                <w:rFonts w:hint="eastAsia"/>
                <w:bCs/>
                <w:szCs w:val="21"/>
              </w:rPr>
              <w:t>综上，本项目新鲜水用量为3</w:t>
            </w:r>
            <w:r>
              <w:rPr>
                <w:bCs/>
                <w:szCs w:val="21"/>
              </w:rPr>
              <w:t>00 m</w:t>
            </w:r>
            <w:r>
              <w:rPr>
                <w:bCs/>
                <w:szCs w:val="21"/>
                <w:vertAlign w:val="superscript"/>
              </w:rPr>
              <w:t>3</w:t>
            </w:r>
            <w:r>
              <w:rPr>
                <w:bCs/>
                <w:szCs w:val="21"/>
              </w:rPr>
              <w:t>/</w:t>
            </w:r>
            <w:r>
              <w:rPr>
                <w:rFonts w:hint="eastAsia"/>
                <w:bCs/>
                <w:szCs w:val="21"/>
              </w:rPr>
              <w:t>a，其中生活用水外购桶装水为</w:t>
            </w:r>
            <w:r>
              <w:rPr>
                <w:bCs/>
                <w:szCs w:val="21"/>
              </w:rPr>
              <w:t>180 m</w:t>
            </w:r>
            <w:r>
              <w:rPr>
                <w:bCs/>
                <w:szCs w:val="21"/>
                <w:vertAlign w:val="superscript"/>
              </w:rPr>
              <w:t>3</w:t>
            </w:r>
            <w:r>
              <w:rPr>
                <w:bCs/>
                <w:szCs w:val="21"/>
              </w:rPr>
              <w:t>/</w:t>
            </w:r>
            <w:r>
              <w:rPr>
                <w:rFonts w:hint="eastAsia"/>
                <w:bCs/>
                <w:szCs w:val="21"/>
              </w:rPr>
              <w:t>a，盥洗污水厂区内泼洒抑尘，不外排；注塑冷却是罐车外运为1</w:t>
            </w:r>
            <w:r>
              <w:rPr>
                <w:bCs/>
                <w:szCs w:val="21"/>
              </w:rPr>
              <w:t>20 m</w:t>
            </w:r>
            <w:r>
              <w:rPr>
                <w:bCs/>
                <w:szCs w:val="21"/>
                <w:vertAlign w:val="superscript"/>
              </w:rPr>
              <w:t>3</w:t>
            </w:r>
            <w:r>
              <w:rPr>
                <w:bCs/>
                <w:szCs w:val="21"/>
              </w:rPr>
              <w:t>/</w:t>
            </w:r>
            <w:r>
              <w:rPr>
                <w:rFonts w:hint="eastAsia"/>
                <w:bCs/>
                <w:szCs w:val="21"/>
              </w:rPr>
              <w:t>a，定期补水，蒸发损耗，无废水产生。</w:t>
            </w:r>
          </w:p>
          <w:p>
            <w:pPr>
              <w:adjustRightInd w:val="0"/>
              <w:snapToGrid w:val="0"/>
              <w:spacing w:line="400" w:lineRule="exact"/>
              <w:ind w:firstLine="422" w:firstLineChars="200"/>
              <w:rPr>
                <w:bCs/>
                <w:szCs w:val="21"/>
              </w:rPr>
            </w:pPr>
            <w:r>
              <w:rPr>
                <w:rFonts w:hint="eastAsia"/>
                <w:b/>
                <w:szCs w:val="21"/>
              </w:rPr>
              <w:t>3</w:t>
            </w:r>
            <w:r>
              <w:rPr>
                <w:b/>
                <w:szCs w:val="21"/>
              </w:rPr>
              <w:t>.6供电</w:t>
            </w:r>
            <w:r>
              <w:rPr>
                <w:rFonts w:hint="eastAsia"/>
                <w:b/>
                <w:szCs w:val="21"/>
              </w:rPr>
              <w:t>：</w:t>
            </w:r>
            <w:r>
              <w:rPr>
                <w:bCs/>
                <w:szCs w:val="21"/>
              </w:rPr>
              <w:t>本项目用电由市政电网供应，用电量为2 MWh/a。</w:t>
            </w:r>
          </w:p>
          <w:p>
            <w:pPr>
              <w:adjustRightInd w:val="0"/>
              <w:snapToGrid w:val="0"/>
              <w:spacing w:line="400" w:lineRule="exact"/>
              <w:ind w:firstLine="422" w:firstLineChars="200"/>
              <w:rPr>
                <w:b/>
                <w:szCs w:val="21"/>
              </w:rPr>
            </w:pPr>
            <w:r>
              <w:rPr>
                <w:rFonts w:hint="eastAsia"/>
                <w:b/>
                <w:szCs w:val="21"/>
              </w:rPr>
              <w:t>3</w:t>
            </w:r>
            <w:r>
              <w:rPr>
                <w:b/>
                <w:szCs w:val="21"/>
              </w:rPr>
              <w:t>.7供暖</w:t>
            </w:r>
            <w:r>
              <w:rPr>
                <w:rFonts w:hint="eastAsia"/>
                <w:b/>
                <w:szCs w:val="21"/>
              </w:rPr>
              <w:t>：</w:t>
            </w:r>
            <w:r>
              <w:rPr>
                <w:rFonts w:hint="eastAsia"/>
                <w:bCs/>
                <w:szCs w:val="21"/>
              </w:rPr>
              <w:t>使用电能。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92" w:hRule="atLeast"/>
          <w:jc w:val="center"/>
        </w:trPr>
        <w:tc>
          <w:tcPr>
            <w:tcW w:w="823" w:type="dxa"/>
            <w:vAlign w:val="center"/>
          </w:tcPr>
          <w:p>
            <w:pPr>
              <w:pStyle w:val="13"/>
              <w:adjustRightInd w:val="0"/>
              <w:snapToGrid w:val="0"/>
              <w:spacing w:before="0" w:beforeAutospacing="0" w:after="0" w:afterAutospacing="0"/>
              <w:jc w:val="center"/>
              <w:rPr>
                <w:rFonts w:cs="宋体"/>
                <w:sz w:val="21"/>
                <w:szCs w:val="21"/>
              </w:rPr>
            </w:pPr>
            <w:r>
              <w:rPr>
                <w:rFonts w:hint="eastAsia" w:cs="宋体"/>
                <w:sz w:val="21"/>
                <w:szCs w:val="21"/>
              </w:rPr>
              <w:t>工艺流程和产排污环节</w:t>
            </w:r>
          </w:p>
        </w:tc>
        <w:tc>
          <w:tcPr>
            <w:tcW w:w="8161" w:type="dxa"/>
          </w:tcPr>
          <w:p>
            <w:pPr>
              <w:adjustRightInd w:val="0"/>
              <w:snapToGrid w:val="0"/>
              <w:spacing w:line="400" w:lineRule="exact"/>
              <w:rPr>
                <w:b/>
                <w:szCs w:val="21"/>
              </w:rPr>
            </w:pPr>
            <w:r>
              <w:rPr>
                <w:b/>
                <w:szCs w:val="21"/>
              </w:rPr>
              <w:t>施工期：</w:t>
            </w:r>
          </w:p>
          <w:p>
            <w:pPr>
              <w:adjustRightInd w:val="0"/>
              <w:snapToGrid w:val="0"/>
              <w:spacing w:line="400" w:lineRule="exact"/>
              <w:ind w:firstLine="420" w:firstLineChars="200"/>
              <w:rPr>
                <w:bCs/>
                <w:szCs w:val="21"/>
              </w:rPr>
            </w:pPr>
            <w:r>
              <w:rPr>
                <w:rFonts w:hint="eastAsia"/>
                <w:bCs/>
                <w:szCs w:val="21"/>
              </w:rPr>
              <w:t>本项目施工期主要为建设施工、设备安装、调试，且施工期短，随着施工期结束，相关污染随即消失，对环境影响很小。</w:t>
            </w:r>
          </w:p>
          <w:p>
            <w:pPr>
              <w:adjustRightInd w:val="0"/>
              <w:snapToGrid w:val="0"/>
              <w:spacing w:line="400" w:lineRule="exact"/>
              <w:rPr>
                <w:b/>
                <w:szCs w:val="21"/>
              </w:rPr>
            </w:pPr>
          </w:p>
          <w:p>
            <w:pPr>
              <w:adjustRightInd w:val="0"/>
              <w:snapToGrid w:val="0"/>
              <w:spacing w:line="400" w:lineRule="exact"/>
              <w:rPr>
                <w:b/>
                <w:szCs w:val="21"/>
              </w:rPr>
            </w:pPr>
            <w:r>
              <w:rPr>
                <w:b/>
                <w:szCs w:val="21"/>
              </w:rPr>
              <w:t>运营期：</w:t>
            </w:r>
          </w:p>
          <w:p>
            <w:pPr>
              <w:adjustRightInd w:val="0"/>
              <w:snapToGrid w:val="0"/>
              <w:spacing w:line="400" w:lineRule="exact"/>
              <w:rPr>
                <w:b/>
                <w:szCs w:val="21"/>
              </w:rPr>
            </w:pPr>
          </w:p>
          <w:p>
            <w:pPr>
              <w:adjustRightInd w:val="0"/>
              <w:snapToGrid w:val="0"/>
              <w:spacing w:line="400" w:lineRule="exact"/>
              <w:rPr>
                <w:b/>
                <w:szCs w:val="21"/>
              </w:rPr>
            </w:pPr>
            <w:r>
              <w:rPr>
                <w:rFonts w:hint="eastAsia"/>
                <w:b/>
                <w:szCs w:val="21"/>
              </w:rPr>
              <w:t>工艺流程简介</w:t>
            </w:r>
          </w:p>
          <w:p>
            <w:pPr>
              <w:adjustRightInd w:val="0"/>
              <w:snapToGrid w:val="0"/>
              <w:spacing w:line="400" w:lineRule="exact"/>
              <w:rPr>
                <w:b/>
                <w:szCs w:val="21"/>
              </w:rPr>
            </w:pPr>
          </w:p>
          <w:p>
            <w:pPr>
              <w:adjustRightInd w:val="0"/>
              <w:snapToGrid w:val="0"/>
              <w:jc w:val="center"/>
            </w:pPr>
            <w:r>
              <w:object>
                <v:shape id="_x0000_i1026" o:spt="75" type="#_x0000_t75" style="height:155.9pt;width:360pt;" o:ole="t" filled="f" o:preferrelative="t" stroked="f" coordsize="21600,21600">
                  <v:path/>
                  <v:fill on="f" focussize="0,0"/>
                  <v:stroke on="f" joinstyle="miter"/>
                  <v:imagedata r:id="rId9" o:title=""/>
                  <o:lock v:ext="edit" aspectratio="t"/>
                  <w10:wrap type="none"/>
                  <w10:anchorlock/>
                </v:shape>
                <o:OLEObject Type="Embed" ProgID="Visio.Drawing.11" ShapeID="_x0000_i1026" DrawAspect="Content" ObjectID="_1468075726" r:id="rId8">
                  <o:LockedField>false</o:LockedField>
                </o:OLEObject>
              </w:object>
            </w:r>
          </w:p>
          <w:p>
            <w:pPr>
              <w:spacing w:line="400" w:lineRule="exact"/>
              <w:jc w:val="center"/>
              <w:rPr>
                <w:b/>
                <w:szCs w:val="21"/>
              </w:rPr>
            </w:pPr>
            <w:r>
              <w:rPr>
                <w:rFonts w:hint="eastAsia"/>
                <w:b/>
                <w:szCs w:val="21"/>
              </w:rPr>
              <w:t>图</w:t>
            </w:r>
            <w:r>
              <w:rPr>
                <w:b/>
                <w:szCs w:val="21"/>
              </w:rPr>
              <w:t xml:space="preserve"> 2-2   </w:t>
            </w:r>
            <w:r>
              <w:rPr>
                <w:rFonts w:hint="eastAsia"/>
                <w:b/>
                <w:szCs w:val="21"/>
              </w:rPr>
              <w:t>生产工艺流程及产排污节点图</w:t>
            </w:r>
          </w:p>
          <w:p>
            <w:pPr>
              <w:spacing w:line="400" w:lineRule="exact"/>
              <w:jc w:val="center"/>
              <w:rPr>
                <w:b/>
                <w:szCs w:val="21"/>
              </w:rPr>
            </w:pPr>
          </w:p>
          <w:p>
            <w:pPr>
              <w:adjustRightInd w:val="0"/>
              <w:snapToGrid w:val="0"/>
              <w:jc w:val="center"/>
              <w:rPr>
                <w:bCs/>
                <w:szCs w:val="21"/>
              </w:rPr>
            </w:pPr>
            <w:r>
              <w:object>
                <v:shape id="_x0000_i1027" o:spt="75" type="#_x0000_t75" style="height:151.5pt;width:344.95pt;" o:ole="t" filled="f" o:preferrelative="t" stroked="f" coordsize="21600,21600">
                  <v:path/>
                  <v:fill on="f" focussize="0,0"/>
                  <v:stroke on="f" joinstyle="miter"/>
                  <v:imagedata r:id="rId11" o:title=""/>
                  <o:lock v:ext="edit" aspectratio="t"/>
                  <w10:wrap type="none"/>
                  <w10:anchorlock/>
                </v:shape>
                <o:OLEObject Type="Embed" ProgID="Visio.Drawing.11" ShapeID="_x0000_i1027" DrawAspect="Content" ObjectID="_1468075727" r:id="rId10">
                  <o:LockedField>false</o:LockedField>
                </o:OLEObject>
              </w:object>
            </w:r>
          </w:p>
          <w:p>
            <w:pPr>
              <w:spacing w:line="400" w:lineRule="exact"/>
              <w:jc w:val="center"/>
              <w:rPr>
                <w:b/>
                <w:szCs w:val="21"/>
              </w:rPr>
            </w:pPr>
            <w:r>
              <w:rPr>
                <w:rFonts w:hint="eastAsia"/>
                <w:b/>
                <w:szCs w:val="21"/>
              </w:rPr>
              <w:t>图</w:t>
            </w:r>
            <w:r>
              <w:rPr>
                <w:b/>
                <w:szCs w:val="21"/>
              </w:rPr>
              <w:t xml:space="preserve"> 2-3   </w:t>
            </w:r>
            <w:r>
              <w:rPr>
                <w:rFonts w:hint="eastAsia"/>
                <w:b/>
                <w:szCs w:val="21"/>
              </w:rPr>
              <w:t>废料处理工艺流程及产排污节点图</w:t>
            </w:r>
          </w:p>
          <w:p>
            <w:pPr>
              <w:adjustRightInd w:val="0"/>
              <w:snapToGrid w:val="0"/>
              <w:spacing w:line="400" w:lineRule="exact"/>
              <w:ind w:firstLine="420" w:firstLineChars="200"/>
              <w:rPr>
                <w:bCs/>
                <w:szCs w:val="21"/>
              </w:rPr>
            </w:pPr>
            <w:r>
              <w:rPr>
                <w:rFonts w:hint="eastAsia"/>
                <w:bCs/>
                <w:szCs w:val="21"/>
              </w:rPr>
              <w:t>外购的聚丙烯、聚乙烯均为颗粒状原料（非再生），袋装存放于车间内，人工拆包。其中聚丙烯因含有一定水分，需要烘干（电加热）处理，每台烘干机出气口设置滤筒除尘器。然后与废料处理返料，经密闭螺旋给料机方式上料，</w:t>
            </w:r>
            <w:r>
              <w:rPr>
                <w:bCs/>
                <w:szCs w:val="21"/>
              </w:rPr>
              <w:t xml:space="preserve"> </w:t>
            </w:r>
            <w:r>
              <w:rPr>
                <w:rFonts w:hint="eastAsia"/>
                <w:bCs/>
                <w:szCs w:val="21"/>
              </w:rPr>
              <w:t>经注塑机注塑成型，即为产品。因项目采用原料颗粒较大，0</w:t>
            </w:r>
            <w:r>
              <w:rPr>
                <w:bCs/>
                <w:szCs w:val="21"/>
              </w:rPr>
              <w:t>.5</w:t>
            </w:r>
            <w:r>
              <w:rPr>
                <w:rFonts w:hint="eastAsia"/>
                <w:bCs/>
                <w:szCs w:val="21"/>
              </w:rPr>
              <w:t>~</w:t>
            </w:r>
            <w:r>
              <w:rPr>
                <w:bCs/>
                <w:szCs w:val="21"/>
              </w:rPr>
              <w:t>0.7cm</w:t>
            </w:r>
            <w:r>
              <w:rPr>
                <w:rFonts w:hint="eastAsia"/>
                <w:bCs/>
                <w:szCs w:val="21"/>
              </w:rPr>
              <w:t>，不易产尘，同时采用密闭螺旋的上料方式，不考虑上料废气。</w:t>
            </w:r>
          </w:p>
          <w:p>
            <w:pPr>
              <w:adjustRightInd w:val="0"/>
              <w:snapToGrid w:val="0"/>
              <w:spacing w:line="400" w:lineRule="exact"/>
              <w:ind w:firstLine="420" w:firstLineChars="200"/>
              <w:rPr>
                <w:bCs/>
                <w:szCs w:val="21"/>
              </w:rPr>
            </w:pPr>
            <w:r>
              <w:rPr>
                <w:rFonts w:hint="eastAsia"/>
                <w:bCs/>
                <w:szCs w:val="21"/>
              </w:rPr>
              <w:t>项目注塑熔融操作温度约</w:t>
            </w:r>
            <w:r>
              <w:rPr>
                <w:bCs/>
                <w:szCs w:val="21"/>
              </w:rPr>
              <w:t>180</w:t>
            </w:r>
            <w:r>
              <w:rPr>
                <w:rFonts w:hint="eastAsia"/>
                <w:bCs/>
                <w:szCs w:val="21"/>
              </w:rPr>
              <w:t>摄氏度，注塑主要原料为聚丙烯、聚乙烯，其分解温度均为</w:t>
            </w:r>
            <w:r>
              <w:rPr>
                <w:bCs/>
                <w:szCs w:val="21"/>
              </w:rPr>
              <w:t>300</w:t>
            </w:r>
            <w:r>
              <w:rPr>
                <w:rFonts w:hint="eastAsia"/>
                <w:bCs/>
                <w:szCs w:val="21"/>
              </w:rPr>
              <w:t>摄氏度以上，因此无操作过程不会分解。</w:t>
            </w:r>
            <w:r>
              <w:rPr>
                <w:bCs/>
                <w:szCs w:val="21"/>
              </w:rPr>
              <w:t xml:space="preserve"> </w:t>
            </w:r>
          </w:p>
          <w:p>
            <w:pPr>
              <w:adjustRightInd w:val="0"/>
              <w:snapToGrid w:val="0"/>
              <w:spacing w:line="400" w:lineRule="exact"/>
              <w:ind w:firstLine="420" w:firstLineChars="200"/>
              <w:rPr>
                <w:bCs/>
                <w:szCs w:val="21"/>
              </w:rPr>
            </w:pPr>
            <w:r>
              <w:rPr>
                <w:rFonts w:hint="eastAsia"/>
                <w:bCs/>
                <w:szCs w:val="21"/>
              </w:rPr>
              <w:t>另外，注塑机头冷却采用间接冷却水，定期补充，蒸发损耗，无废水产生。</w:t>
            </w:r>
          </w:p>
          <w:p>
            <w:pPr>
              <w:adjustRightInd w:val="0"/>
              <w:snapToGrid w:val="0"/>
              <w:spacing w:line="400" w:lineRule="exact"/>
              <w:ind w:firstLine="420" w:firstLineChars="200"/>
              <w:rPr>
                <w:bCs/>
                <w:szCs w:val="21"/>
              </w:rPr>
            </w:pPr>
            <w:r>
              <w:rPr>
                <w:rFonts w:hint="eastAsia"/>
                <w:bCs/>
                <w:szCs w:val="21"/>
              </w:rPr>
              <w:t>设备维护保养维保（含机油、液压油更换）产生的废液压油、废油桶暂存危废间，委托有资质单位外运处置。</w:t>
            </w:r>
          </w:p>
          <w:p>
            <w:pPr>
              <w:adjustRightInd w:val="0"/>
              <w:snapToGrid w:val="0"/>
              <w:spacing w:line="400" w:lineRule="exact"/>
              <w:ind w:firstLine="420" w:firstLineChars="200"/>
              <w:rPr>
                <w:bCs/>
                <w:szCs w:val="21"/>
              </w:rPr>
            </w:pPr>
            <w:r>
              <w:rPr>
                <w:rFonts w:hint="eastAsia"/>
                <w:bCs/>
                <w:szCs w:val="21"/>
              </w:rPr>
              <w:t>另外机头料和切口料经废粉碎机处理后返回注塑利用，粉碎机配套滤筒除尘器，除尘灰产生后外售。</w:t>
            </w:r>
          </w:p>
          <w:p>
            <w:pPr>
              <w:adjustRightInd w:val="0"/>
              <w:snapToGrid w:val="0"/>
              <w:spacing w:line="400" w:lineRule="exact"/>
              <w:ind w:firstLine="422" w:firstLineChars="200"/>
              <w:rPr>
                <w:b/>
                <w:szCs w:val="21"/>
              </w:rPr>
            </w:pPr>
            <w:r>
              <w:rPr>
                <w:rFonts w:hint="eastAsia"/>
                <w:b/>
                <w:szCs w:val="21"/>
              </w:rPr>
              <w:t>此工序主要污染物为：废气、固废、噪声。</w:t>
            </w:r>
          </w:p>
          <w:p>
            <w:pPr>
              <w:adjustRightInd w:val="0"/>
              <w:snapToGrid w:val="0"/>
              <w:spacing w:line="400" w:lineRule="exact"/>
              <w:ind w:firstLine="420" w:firstLineChars="200"/>
              <w:rPr>
                <w:bCs/>
                <w:szCs w:val="21"/>
              </w:rPr>
            </w:pPr>
            <w:r>
              <w:rPr>
                <w:rFonts w:hint="eastAsia"/>
                <w:bCs/>
                <w:szCs w:val="21"/>
              </w:rPr>
              <w:t>产污环节及防治措施</w:t>
            </w:r>
          </w:p>
          <w:p>
            <w:pPr>
              <w:spacing w:line="400" w:lineRule="exact"/>
              <w:jc w:val="center"/>
              <w:rPr>
                <w:b/>
                <w:szCs w:val="21"/>
              </w:rPr>
            </w:pPr>
            <w:r>
              <w:rPr>
                <w:rFonts w:hint="eastAsia"/>
                <w:b/>
                <w:szCs w:val="21"/>
              </w:rPr>
              <w:t>表</w:t>
            </w:r>
            <w:r>
              <w:rPr>
                <w:b/>
                <w:szCs w:val="21"/>
              </w:rPr>
              <w:t xml:space="preserve">2-8 </w:t>
            </w:r>
            <w:r>
              <w:rPr>
                <w:rFonts w:hint="eastAsia"/>
                <w:b/>
                <w:szCs w:val="21"/>
              </w:rPr>
              <w:t xml:space="preserve"> 产污环节一览表</w:t>
            </w:r>
          </w:p>
          <w:tbl>
            <w:tblPr>
              <w:tblStyle w:val="1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39"/>
              <w:gridCol w:w="1327"/>
              <w:gridCol w:w="1083"/>
              <w:gridCol w:w="48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Align w:val="center"/>
                </w:tcPr>
                <w:p>
                  <w:pPr>
                    <w:jc w:val="center"/>
                    <w:rPr>
                      <w:szCs w:val="21"/>
                    </w:rPr>
                  </w:pPr>
                  <w:r>
                    <w:rPr>
                      <w:szCs w:val="21"/>
                    </w:rPr>
                    <w:t>类别</w:t>
                  </w:r>
                </w:p>
              </w:tc>
              <w:tc>
                <w:tcPr>
                  <w:tcW w:w="837" w:type="pct"/>
                  <w:vAlign w:val="center"/>
                </w:tcPr>
                <w:p>
                  <w:pPr>
                    <w:jc w:val="center"/>
                    <w:rPr>
                      <w:szCs w:val="21"/>
                    </w:rPr>
                  </w:pPr>
                  <w:r>
                    <w:rPr>
                      <w:szCs w:val="21"/>
                    </w:rPr>
                    <w:t>污染源</w:t>
                  </w:r>
                </w:p>
              </w:tc>
              <w:tc>
                <w:tcPr>
                  <w:tcW w:w="683" w:type="pct"/>
                  <w:vAlign w:val="center"/>
                </w:tcPr>
                <w:p>
                  <w:pPr>
                    <w:jc w:val="center"/>
                    <w:rPr>
                      <w:szCs w:val="21"/>
                    </w:rPr>
                  </w:pPr>
                  <w:r>
                    <w:rPr>
                      <w:szCs w:val="21"/>
                    </w:rPr>
                    <w:t>污染物</w:t>
                  </w:r>
                </w:p>
              </w:tc>
              <w:tc>
                <w:tcPr>
                  <w:tcW w:w="3077" w:type="pct"/>
                  <w:vAlign w:val="center"/>
                </w:tcPr>
                <w:p>
                  <w:pPr>
                    <w:jc w:val="center"/>
                    <w:rPr>
                      <w:szCs w:val="21"/>
                    </w:rPr>
                  </w:pPr>
                  <w:r>
                    <w:rPr>
                      <w:szCs w:val="21"/>
                    </w:rPr>
                    <w:t>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restart"/>
                  <w:vAlign w:val="center"/>
                </w:tcPr>
                <w:p>
                  <w:pPr>
                    <w:jc w:val="center"/>
                    <w:rPr>
                      <w:szCs w:val="21"/>
                    </w:rPr>
                  </w:pPr>
                  <w:r>
                    <w:rPr>
                      <w:szCs w:val="21"/>
                    </w:rPr>
                    <w:t>废气</w:t>
                  </w:r>
                </w:p>
              </w:tc>
              <w:tc>
                <w:tcPr>
                  <w:tcW w:w="837" w:type="pct"/>
                  <w:vAlign w:val="center"/>
                </w:tcPr>
                <w:p>
                  <w:pPr>
                    <w:jc w:val="center"/>
                    <w:rPr>
                      <w:szCs w:val="21"/>
                    </w:rPr>
                  </w:pPr>
                  <w:r>
                    <w:rPr>
                      <w:rFonts w:hint="eastAsia"/>
                      <w:szCs w:val="21"/>
                    </w:rPr>
                    <w:t>烘干</w:t>
                  </w:r>
                </w:p>
              </w:tc>
              <w:tc>
                <w:tcPr>
                  <w:tcW w:w="683" w:type="pct"/>
                  <w:vAlign w:val="center"/>
                </w:tcPr>
                <w:p>
                  <w:pPr>
                    <w:jc w:val="center"/>
                    <w:rPr>
                      <w:szCs w:val="21"/>
                    </w:rPr>
                  </w:pPr>
                  <w:r>
                    <w:rPr>
                      <w:rFonts w:hint="eastAsia"/>
                      <w:szCs w:val="21"/>
                    </w:rPr>
                    <w:t>颗粒物</w:t>
                  </w:r>
                </w:p>
              </w:tc>
              <w:tc>
                <w:tcPr>
                  <w:tcW w:w="3077" w:type="pct"/>
                  <w:vAlign w:val="center"/>
                </w:tcPr>
                <w:p>
                  <w:pPr>
                    <w:jc w:val="center"/>
                  </w:pPr>
                  <w:r>
                    <w:rPr>
                      <w:rFonts w:hint="eastAsia"/>
                      <w:bCs/>
                      <w:szCs w:val="21"/>
                    </w:rPr>
                    <w:t>每台烘干机出气口设置滤筒除尘器，车间内排放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szCs w:val="21"/>
                    </w:rPr>
                  </w:pPr>
                  <w:r>
                    <w:rPr>
                      <w:rFonts w:hint="eastAsia"/>
                      <w:szCs w:val="21"/>
                    </w:rPr>
                    <w:t>上料</w:t>
                  </w:r>
                </w:p>
              </w:tc>
              <w:tc>
                <w:tcPr>
                  <w:tcW w:w="683" w:type="pct"/>
                  <w:vAlign w:val="center"/>
                </w:tcPr>
                <w:p>
                  <w:pPr>
                    <w:jc w:val="center"/>
                    <w:rPr>
                      <w:szCs w:val="21"/>
                    </w:rPr>
                  </w:pPr>
                  <w:r>
                    <w:rPr>
                      <w:rFonts w:hint="eastAsia"/>
                      <w:szCs w:val="21"/>
                    </w:rPr>
                    <w:t>/</w:t>
                  </w:r>
                </w:p>
              </w:tc>
              <w:tc>
                <w:tcPr>
                  <w:tcW w:w="3077" w:type="pct"/>
                  <w:vAlign w:val="center"/>
                </w:tcPr>
                <w:p>
                  <w:pPr>
                    <w:jc w:val="center"/>
                    <w:rPr>
                      <w:bCs/>
                      <w:szCs w:val="21"/>
                    </w:rPr>
                  </w:pPr>
                  <w:r>
                    <w:rPr>
                      <w:rFonts w:hint="eastAsia"/>
                      <w:bCs/>
                      <w:szCs w:val="21"/>
                    </w:rPr>
                    <w:t>密闭螺旋上料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szCs w:val="21"/>
                    </w:rPr>
                  </w:pPr>
                  <w:r>
                    <w:rPr>
                      <w:rFonts w:hint="eastAsia"/>
                      <w:szCs w:val="21"/>
                    </w:rPr>
                    <w:t>注塑</w:t>
                  </w:r>
                </w:p>
              </w:tc>
              <w:tc>
                <w:tcPr>
                  <w:tcW w:w="683" w:type="pct"/>
                  <w:vAlign w:val="center"/>
                </w:tcPr>
                <w:p>
                  <w:pPr>
                    <w:jc w:val="center"/>
                    <w:rPr>
                      <w:szCs w:val="21"/>
                    </w:rPr>
                  </w:pPr>
                  <w:r>
                    <w:rPr>
                      <w:rFonts w:hint="eastAsia"/>
                      <w:szCs w:val="21"/>
                    </w:rPr>
                    <w:t>非甲烷总烃</w:t>
                  </w:r>
                </w:p>
              </w:tc>
              <w:tc>
                <w:tcPr>
                  <w:tcW w:w="3077" w:type="pct"/>
                  <w:vAlign w:val="center"/>
                </w:tcPr>
                <w:p>
                  <w:pPr>
                    <w:jc w:val="center"/>
                  </w:pPr>
                  <w:r>
                    <w:rPr>
                      <w:rFonts w:hint="eastAsia"/>
                    </w:rPr>
                    <w:t>3台注塑机分别设置</w:t>
                  </w:r>
                  <w:r>
                    <w:rPr>
                      <w:rFonts w:hint="eastAsia"/>
                      <w:szCs w:val="21"/>
                    </w:rPr>
                    <w:t>集气罩，收集后</w:t>
                  </w:r>
                  <w:r>
                    <w:rPr>
                      <w:rFonts w:hint="eastAsia"/>
                    </w:rPr>
                    <w:t>经过滤棉</w:t>
                  </w:r>
                  <w:r>
                    <w:rPr>
                      <w:rFonts w:hint="eastAsia"/>
                      <w:bCs/>
                      <w:szCs w:val="21"/>
                    </w:rPr>
                    <w:t>+</w:t>
                  </w:r>
                  <w:r>
                    <w:rPr>
                      <w:bCs/>
                      <w:szCs w:val="21"/>
                    </w:rPr>
                    <w:t>2</w:t>
                  </w:r>
                  <w:r>
                    <w:rPr>
                      <w:rFonts w:hint="eastAsia"/>
                      <w:bCs/>
                      <w:szCs w:val="21"/>
                    </w:rPr>
                    <w:t>级活性炭吸附</w:t>
                  </w:r>
                  <w:r>
                    <w:rPr>
                      <w:rFonts w:hint="eastAsia"/>
                    </w:rPr>
                    <w:t>处理后1</w:t>
                  </w:r>
                  <w:r>
                    <w:t>5m</w:t>
                  </w:r>
                  <w:r>
                    <w:rPr>
                      <w:rFonts w:hint="eastAsia"/>
                    </w:rPr>
                    <w:t>排气筒排放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szCs w:val="21"/>
                    </w:rPr>
                  </w:pPr>
                  <w:r>
                    <w:rPr>
                      <w:rFonts w:hint="eastAsia"/>
                      <w:szCs w:val="21"/>
                    </w:rPr>
                    <w:t>废料处理</w:t>
                  </w:r>
                </w:p>
              </w:tc>
              <w:tc>
                <w:tcPr>
                  <w:tcW w:w="683" w:type="pct"/>
                  <w:vAlign w:val="center"/>
                </w:tcPr>
                <w:p>
                  <w:pPr>
                    <w:jc w:val="center"/>
                    <w:rPr>
                      <w:szCs w:val="21"/>
                    </w:rPr>
                  </w:pPr>
                  <w:r>
                    <w:rPr>
                      <w:rFonts w:hint="eastAsia"/>
                      <w:szCs w:val="21"/>
                    </w:rPr>
                    <w:t>颗粒物</w:t>
                  </w:r>
                </w:p>
              </w:tc>
              <w:tc>
                <w:tcPr>
                  <w:tcW w:w="3077" w:type="pct"/>
                  <w:vAlign w:val="center"/>
                </w:tcPr>
                <w:p>
                  <w:pPr>
                    <w:jc w:val="center"/>
                  </w:pPr>
                  <w:r>
                    <w:rPr>
                      <w:rFonts w:hint="eastAsia"/>
                    </w:rPr>
                    <w:t>滤筒除尘器处理后车间内排放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restart"/>
                  <w:vAlign w:val="center"/>
                </w:tcPr>
                <w:p>
                  <w:pPr>
                    <w:jc w:val="center"/>
                    <w:rPr>
                      <w:szCs w:val="21"/>
                    </w:rPr>
                  </w:pPr>
                  <w:bookmarkStart w:id="2" w:name="OLE_LINK38" w:colFirst="3" w:colLast="3"/>
                  <w:r>
                    <w:rPr>
                      <w:szCs w:val="21"/>
                    </w:rPr>
                    <w:t>废水</w:t>
                  </w:r>
                </w:p>
              </w:tc>
              <w:tc>
                <w:tcPr>
                  <w:tcW w:w="837" w:type="pct"/>
                  <w:vAlign w:val="center"/>
                </w:tcPr>
                <w:p>
                  <w:pPr>
                    <w:jc w:val="center"/>
                    <w:rPr>
                      <w:szCs w:val="21"/>
                    </w:rPr>
                  </w:pPr>
                  <w:r>
                    <w:rPr>
                      <w:rFonts w:hint="eastAsia"/>
                      <w:szCs w:val="21"/>
                    </w:rPr>
                    <w:t>生活盥洗污水</w:t>
                  </w:r>
                </w:p>
              </w:tc>
              <w:tc>
                <w:tcPr>
                  <w:tcW w:w="683" w:type="pct"/>
                  <w:vAlign w:val="center"/>
                </w:tcPr>
                <w:p>
                  <w:pPr>
                    <w:jc w:val="center"/>
                    <w:rPr>
                      <w:szCs w:val="21"/>
                    </w:rPr>
                  </w:pPr>
                  <w:r>
                    <w:rPr>
                      <w:rFonts w:hint="eastAsia"/>
                      <w:szCs w:val="21"/>
                    </w:rPr>
                    <w:t>/</w:t>
                  </w:r>
                </w:p>
              </w:tc>
              <w:tc>
                <w:tcPr>
                  <w:tcW w:w="3077" w:type="pct"/>
                  <w:vAlign w:val="center"/>
                </w:tcPr>
                <w:p>
                  <w:pPr>
                    <w:jc w:val="center"/>
                    <w:rPr>
                      <w:szCs w:val="21"/>
                    </w:rPr>
                  </w:pPr>
                  <w:r>
                    <w:rPr>
                      <w:rFonts w:hint="eastAsia"/>
                      <w:szCs w:val="21"/>
                    </w:rPr>
                    <w:t>泼洒抑尘，不外排</w:t>
                  </w:r>
                </w:p>
              </w:tc>
            </w:tr>
            <w:bookmarkEnd w:id="2"/>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szCs w:val="21"/>
                    </w:rPr>
                  </w:pPr>
                  <w:r>
                    <w:rPr>
                      <w:rFonts w:hint="eastAsia"/>
                      <w:szCs w:val="21"/>
                    </w:rPr>
                    <w:t>冷却系统</w:t>
                  </w:r>
                </w:p>
              </w:tc>
              <w:tc>
                <w:tcPr>
                  <w:tcW w:w="683" w:type="pct"/>
                  <w:vAlign w:val="center"/>
                </w:tcPr>
                <w:p>
                  <w:pPr>
                    <w:jc w:val="center"/>
                    <w:rPr>
                      <w:szCs w:val="21"/>
                    </w:rPr>
                  </w:pPr>
                  <w:r>
                    <w:rPr>
                      <w:rFonts w:hint="eastAsia"/>
                      <w:szCs w:val="21"/>
                    </w:rPr>
                    <w:t>/</w:t>
                  </w:r>
                </w:p>
              </w:tc>
              <w:tc>
                <w:tcPr>
                  <w:tcW w:w="3077" w:type="pct"/>
                  <w:vAlign w:val="center"/>
                </w:tcPr>
                <w:p>
                  <w:pPr>
                    <w:jc w:val="center"/>
                    <w:rPr>
                      <w:szCs w:val="21"/>
                    </w:rPr>
                  </w:pPr>
                  <w:r>
                    <w:rPr>
                      <w:rFonts w:hint="eastAsia"/>
                      <w:szCs w:val="21"/>
                    </w:rPr>
                    <w:t>定期补水，重复利用，无废水排放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restart"/>
                  <w:vAlign w:val="center"/>
                </w:tcPr>
                <w:p>
                  <w:pPr>
                    <w:jc w:val="center"/>
                    <w:rPr>
                      <w:szCs w:val="21"/>
                    </w:rPr>
                  </w:pPr>
                  <w:bookmarkStart w:id="3" w:name="OLE_LINK36" w:colFirst="1" w:colLast="1"/>
                  <w:bookmarkStart w:id="4" w:name="OLE_LINK37" w:colFirst="3" w:colLast="3"/>
                  <w:r>
                    <w:rPr>
                      <w:szCs w:val="21"/>
                    </w:rPr>
                    <w:t>噪声</w:t>
                  </w:r>
                </w:p>
              </w:tc>
              <w:tc>
                <w:tcPr>
                  <w:tcW w:w="837" w:type="pct"/>
                  <w:vAlign w:val="center"/>
                </w:tcPr>
                <w:p>
                  <w:pPr>
                    <w:jc w:val="center"/>
                    <w:rPr>
                      <w:szCs w:val="21"/>
                    </w:rPr>
                  </w:pPr>
                  <w:r>
                    <w:rPr>
                      <w:rFonts w:hint="eastAsia"/>
                      <w:szCs w:val="21"/>
                    </w:rPr>
                    <w:t>上料系统</w:t>
                  </w:r>
                </w:p>
              </w:tc>
              <w:tc>
                <w:tcPr>
                  <w:tcW w:w="683" w:type="pct"/>
                  <w:vMerge w:val="restart"/>
                  <w:vAlign w:val="center"/>
                </w:tcPr>
                <w:p>
                  <w:pPr>
                    <w:jc w:val="center"/>
                    <w:rPr>
                      <w:szCs w:val="21"/>
                    </w:rPr>
                  </w:pPr>
                  <w:r>
                    <w:rPr>
                      <w:rFonts w:hint="eastAsia"/>
                      <w:szCs w:val="21"/>
                    </w:rPr>
                    <w:t>噪声</w:t>
                  </w:r>
                </w:p>
              </w:tc>
              <w:tc>
                <w:tcPr>
                  <w:tcW w:w="3077" w:type="pct"/>
                  <w:vMerge w:val="restart"/>
                  <w:vAlign w:val="center"/>
                </w:tcPr>
                <w:p>
                  <w:pPr>
                    <w:pStyle w:val="53"/>
                    <w:spacing w:line="240" w:lineRule="auto"/>
                    <w:ind w:firstLine="0"/>
                    <w:jc w:val="center"/>
                    <w:rPr>
                      <w:rFonts w:ascii="Times New Roman"/>
                      <w:sz w:val="21"/>
                      <w:szCs w:val="21"/>
                    </w:rPr>
                  </w:pPr>
                  <w:r>
                    <w:rPr>
                      <w:rFonts w:hint="eastAsia" w:ascii="Times New Roman"/>
                      <w:sz w:val="21"/>
                      <w:szCs w:val="21"/>
                    </w:rPr>
                    <w:t>低噪声设备，基础减振，隔声等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bCs/>
                    </w:rPr>
                  </w:pPr>
                  <w:r>
                    <w:rPr>
                      <w:rFonts w:hint="eastAsia"/>
                      <w:bCs/>
                    </w:rPr>
                    <w:t>冷却塔</w:t>
                  </w:r>
                </w:p>
              </w:tc>
              <w:tc>
                <w:tcPr>
                  <w:tcW w:w="683" w:type="pct"/>
                  <w:vMerge w:val="continue"/>
                  <w:vAlign w:val="center"/>
                </w:tcPr>
                <w:p>
                  <w:pPr>
                    <w:jc w:val="center"/>
                    <w:rPr>
                      <w:szCs w:val="21"/>
                    </w:rPr>
                  </w:pPr>
                </w:p>
              </w:tc>
              <w:tc>
                <w:tcPr>
                  <w:tcW w:w="3077" w:type="pct"/>
                  <w:vMerge w:val="continue"/>
                  <w:vAlign w:val="center"/>
                </w:tcPr>
                <w:p>
                  <w:pPr>
                    <w:pStyle w:val="53"/>
                    <w:spacing w:line="240" w:lineRule="auto"/>
                    <w:ind w:firstLine="0"/>
                    <w:jc w:val="center"/>
                    <w:rPr>
                      <w:rFonts w:asci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bCs/>
                    </w:rPr>
                  </w:pPr>
                  <w:r>
                    <w:rPr>
                      <w:rFonts w:hint="eastAsia"/>
                      <w:bCs/>
                    </w:rPr>
                    <w:t>废料处理</w:t>
                  </w:r>
                </w:p>
              </w:tc>
              <w:tc>
                <w:tcPr>
                  <w:tcW w:w="683" w:type="pct"/>
                  <w:vMerge w:val="continue"/>
                  <w:vAlign w:val="center"/>
                </w:tcPr>
                <w:p>
                  <w:pPr>
                    <w:jc w:val="center"/>
                    <w:rPr>
                      <w:szCs w:val="21"/>
                    </w:rPr>
                  </w:pPr>
                </w:p>
              </w:tc>
              <w:tc>
                <w:tcPr>
                  <w:tcW w:w="3077" w:type="pct"/>
                  <w:vMerge w:val="continue"/>
                  <w:vAlign w:val="center"/>
                </w:tcPr>
                <w:p>
                  <w:pPr>
                    <w:pStyle w:val="53"/>
                    <w:spacing w:line="240" w:lineRule="auto"/>
                    <w:ind w:firstLine="0"/>
                    <w:jc w:val="center"/>
                    <w:rPr>
                      <w:rFonts w:asci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bCs/>
                    </w:rPr>
                  </w:pPr>
                  <w:r>
                    <w:rPr>
                      <w:rFonts w:hint="eastAsia"/>
                      <w:bCs/>
                    </w:rPr>
                    <w:t>滤筒除尘器</w:t>
                  </w:r>
                </w:p>
              </w:tc>
              <w:tc>
                <w:tcPr>
                  <w:tcW w:w="683" w:type="pct"/>
                  <w:vMerge w:val="continue"/>
                  <w:vAlign w:val="center"/>
                </w:tcPr>
                <w:p>
                  <w:pPr>
                    <w:jc w:val="center"/>
                    <w:rPr>
                      <w:szCs w:val="21"/>
                    </w:rPr>
                  </w:pPr>
                </w:p>
              </w:tc>
              <w:tc>
                <w:tcPr>
                  <w:tcW w:w="3077" w:type="pct"/>
                  <w:vMerge w:val="continue"/>
                  <w:vAlign w:val="center"/>
                </w:tcPr>
                <w:p>
                  <w:pPr>
                    <w:pStyle w:val="53"/>
                    <w:spacing w:line="240" w:lineRule="auto"/>
                    <w:ind w:firstLine="0"/>
                    <w:jc w:val="center"/>
                    <w:rPr>
                      <w:rFonts w:asci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bCs/>
                    </w:rPr>
                  </w:pPr>
                  <w:r>
                    <w:rPr>
                      <w:rFonts w:hint="eastAsia"/>
                      <w:bCs/>
                    </w:rPr>
                    <w:t>注塑废气处理风机</w:t>
                  </w:r>
                </w:p>
              </w:tc>
              <w:tc>
                <w:tcPr>
                  <w:tcW w:w="683" w:type="pct"/>
                  <w:vMerge w:val="continue"/>
                  <w:vAlign w:val="center"/>
                </w:tcPr>
                <w:p>
                  <w:pPr>
                    <w:jc w:val="center"/>
                    <w:rPr>
                      <w:szCs w:val="21"/>
                    </w:rPr>
                  </w:pPr>
                </w:p>
              </w:tc>
              <w:tc>
                <w:tcPr>
                  <w:tcW w:w="3077" w:type="pct"/>
                  <w:vMerge w:val="continue"/>
                  <w:vAlign w:val="center"/>
                </w:tcPr>
                <w:p>
                  <w:pPr>
                    <w:pStyle w:val="53"/>
                    <w:spacing w:line="240" w:lineRule="auto"/>
                    <w:ind w:firstLine="0"/>
                    <w:jc w:val="center"/>
                    <w:rPr>
                      <w:rFonts w:ascii="Times New Roman"/>
                      <w:sz w:val="21"/>
                      <w:szCs w:val="21"/>
                    </w:rPr>
                  </w:pPr>
                </w:p>
              </w:tc>
            </w:tr>
            <w:bookmarkEnd w:id="3"/>
            <w:bookmarkEnd w:id="4"/>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restart"/>
                  <w:vAlign w:val="center"/>
                </w:tcPr>
                <w:p>
                  <w:pPr>
                    <w:jc w:val="center"/>
                    <w:rPr>
                      <w:szCs w:val="21"/>
                    </w:rPr>
                  </w:pPr>
                  <w:r>
                    <w:rPr>
                      <w:szCs w:val="21"/>
                    </w:rPr>
                    <w:t>固废</w:t>
                  </w:r>
                </w:p>
              </w:tc>
              <w:tc>
                <w:tcPr>
                  <w:tcW w:w="837" w:type="pct"/>
                  <w:vAlign w:val="center"/>
                </w:tcPr>
                <w:p>
                  <w:pPr>
                    <w:jc w:val="center"/>
                    <w:rPr>
                      <w:szCs w:val="21"/>
                    </w:rPr>
                  </w:pPr>
                  <w:r>
                    <w:rPr>
                      <w:rFonts w:hint="eastAsia"/>
                      <w:szCs w:val="21"/>
                    </w:rPr>
                    <w:t>员工生活</w:t>
                  </w:r>
                </w:p>
              </w:tc>
              <w:tc>
                <w:tcPr>
                  <w:tcW w:w="683" w:type="pct"/>
                  <w:vAlign w:val="center"/>
                </w:tcPr>
                <w:p>
                  <w:pPr>
                    <w:jc w:val="center"/>
                    <w:rPr>
                      <w:szCs w:val="21"/>
                    </w:rPr>
                  </w:pPr>
                  <w:r>
                    <w:rPr>
                      <w:rFonts w:hint="eastAsia"/>
                      <w:szCs w:val="21"/>
                    </w:rPr>
                    <w:t>生活垃圾</w:t>
                  </w:r>
                </w:p>
              </w:tc>
              <w:tc>
                <w:tcPr>
                  <w:tcW w:w="3077" w:type="pct"/>
                  <w:vAlign w:val="center"/>
                </w:tcPr>
                <w:p>
                  <w:pPr>
                    <w:jc w:val="center"/>
                    <w:rPr>
                      <w:szCs w:val="21"/>
                    </w:rPr>
                  </w:pPr>
                  <w:r>
                    <w:rPr>
                      <w:rFonts w:hint="eastAsia"/>
                      <w:szCs w:val="21"/>
                    </w:rPr>
                    <w:t>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szCs w:val="21"/>
                    </w:rPr>
                  </w:pPr>
                  <w:r>
                    <w:rPr>
                      <w:rFonts w:hint="eastAsia"/>
                      <w:szCs w:val="21"/>
                    </w:rPr>
                    <w:t>生产过程</w:t>
                  </w:r>
                </w:p>
              </w:tc>
              <w:tc>
                <w:tcPr>
                  <w:tcW w:w="683" w:type="pct"/>
                  <w:vAlign w:val="center"/>
                </w:tcPr>
                <w:p>
                  <w:pPr>
                    <w:jc w:val="center"/>
                    <w:rPr>
                      <w:szCs w:val="21"/>
                    </w:rPr>
                  </w:pPr>
                  <w:r>
                    <w:rPr>
                      <w:rFonts w:hint="eastAsia"/>
                      <w:szCs w:val="21"/>
                    </w:rPr>
                    <w:t>废包装</w:t>
                  </w:r>
                </w:p>
              </w:tc>
              <w:tc>
                <w:tcPr>
                  <w:tcW w:w="3077" w:type="pct"/>
                  <w:vAlign w:val="center"/>
                </w:tcPr>
                <w:p>
                  <w:pPr>
                    <w:jc w:val="center"/>
                    <w:rPr>
                      <w:szCs w:val="21"/>
                    </w:rPr>
                  </w:pPr>
                  <w:r>
                    <w:rPr>
                      <w:rFonts w:hint="eastAsia"/>
                      <w:szCs w:val="21"/>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8" w:hRule="atLeast"/>
                <w:jc w:val="center"/>
              </w:trPr>
              <w:tc>
                <w:tcPr>
                  <w:tcW w:w="403" w:type="pct"/>
                  <w:vMerge w:val="continue"/>
                  <w:vAlign w:val="center"/>
                </w:tcPr>
                <w:p>
                  <w:pPr>
                    <w:jc w:val="center"/>
                    <w:rPr>
                      <w:szCs w:val="21"/>
                    </w:rPr>
                  </w:pPr>
                </w:p>
              </w:tc>
              <w:tc>
                <w:tcPr>
                  <w:tcW w:w="837" w:type="pct"/>
                  <w:vAlign w:val="center"/>
                </w:tcPr>
                <w:p>
                  <w:pPr>
                    <w:jc w:val="center"/>
                    <w:rPr>
                      <w:szCs w:val="21"/>
                    </w:rPr>
                  </w:pPr>
                  <w:r>
                    <w:rPr>
                      <w:rFonts w:hint="eastAsia"/>
                      <w:szCs w:val="21"/>
                    </w:rPr>
                    <w:t>烘干废气处理</w:t>
                  </w:r>
                </w:p>
              </w:tc>
              <w:tc>
                <w:tcPr>
                  <w:tcW w:w="683" w:type="pct"/>
                  <w:vMerge w:val="restart"/>
                  <w:vAlign w:val="center"/>
                </w:tcPr>
                <w:p>
                  <w:pPr>
                    <w:jc w:val="center"/>
                    <w:rPr>
                      <w:szCs w:val="21"/>
                    </w:rPr>
                  </w:pPr>
                  <w:r>
                    <w:rPr>
                      <w:rFonts w:hint="eastAsia"/>
                      <w:szCs w:val="21"/>
                    </w:rPr>
                    <w:t>除尘灰</w:t>
                  </w:r>
                </w:p>
              </w:tc>
              <w:tc>
                <w:tcPr>
                  <w:tcW w:w="3077" w:type="pct"/>
                  <w:vMerge w:val="restart"/>
                  <w:vAlign w:val="center"/>
                </w:tcPr>
                <w:p>
                  <w:pPr>
                    <w:jc w:val="center"/>
                    <w:rPr>
                      <w:szCs w:val="21"/>
                    </w:rPr>
                  </w:pPr>
                  <w:r>
                    <w:rPr>
                      <w:rFonts w:hint="eastAsia"/>
                      <w:szCs w:val="21"/>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8" w:hRule="atLeast"/>
                <w:jc w:val="center"/>
              </w:trPr>
              <w:tc>
                <w:tcPr>
                  <w:tcW w:w="403" w:type="pct"/>
                  <w:vMerge w:val="continue"/>
                  <w:vAlign w:val="center"/>
                </w:tcPr>
                <w:p>
                  <w:pPr>
                    <w:jc w:val="center"/>
                    <w:rPr>
                      <w:szCs w:val="21"/>
                    </w:rPr>
                  </w:pPr>
                </w:p>
              </w:tc>
              <w:tc>
                <w:tcPr>
                  <w:tcW w:w="837" w:type="pct"/>
                  <w:vAlign w:val="center"/>
                </w:tcPr>
                <w:p>
                  <w:pPr>
                    <w:jc w:val="center"/>
                    <w:rPr>
                      <w:szCs w:val="21"/>
                    </w:rPr>
                  </w:pPr>
                  <w:r>
                    <w:rPr>
                      <w:rFonts w:hint="eastAsia"/>
                      <w:szCs w:val="21"/>
                    </w:rPr>
                    <w:t>废料处理废气治理</w:t>
                  </w:r>
                </w:p>
              </w:tc>
              <w:tc>
                <w:tcPr>
                  <w:tcW w:w="683" w:type="pct"/>
                  <w:vMerge w:val="continue"/>
                  <w:vAlign w:val="center"/>
                </w:tcPr>
                <w:p>
                  <w:pPr>
                    <w:jc w:val="center"/>
                    <w:rPr>
                      <w:szCs w:val="21"/>
                    </w:rPr>
                  </w:pPr>
                </w:p>
              </w:tc>
              <w:tc>
                <w:tcPr>
                  <w:tcW w:w="3077" w:type="pct"/>
                  <w:vMerge w:val="continue"/>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szCs w:val="21"/>
                    </w:rPr>
                  </w:pPr>
                  <w:r>
                    <w:rPr>
                      <w:rFonts w:hint="eastAsia"/>
                      <w:szCs w:val="21"/>
                    </w:rPr>
                    <w:t>注塑废气处理</w:t>
                  </w:r>
                </w:p>
              </w:tc>
              <w:tc>
                <w:tcPr>
                  <w:tcW w:w="683" w:type="pct"/>
                  <w:vAlign w:val="center"/>
                </w:tcPr>
                <w:p>
                  <w:pPr>
                    <w:jc w:val="center"/>
                    <w:rPr>
                      <w:szCs w:val="21"/>
                    </w:rPr>
                  </w:pPr>
                  <w:r>
                    <w:rPr>
                      <w:rFonts w:hint="eastAsia"/>
                      <w:szCs w:val="21"/>
                    </w:rPr>
                    <w:t>废过滤棉、废活性炭</w:t>
                  </w:r>
                </w:p>
              </w:tc>
              <w:tc>
                <w:tcPr>
                  <w:tcW w:w="3077" w:type="pct"/>
                  <w:vMerge w:val="restart"/>
                  <w:vAlign w:val="center"/>
                </w:tcPr>
                <w:p>
                  <w:pPr>
                    <w:jc w:val="center"/>
                    <w:rPr>
                      <w:szCs w:val="21"/>
                    </w:rPr>
                  </w:pPr>
                  <w:r>
                    <w:rPr>
                      <w:rFonts w:hint="eastAsia"/>
                      <w:szCs w:val="21"/>
                    </w:rPr>
                    <w:t>暂存危废间，委托有资质单位外运处置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837" w:type="pct"/>
                  <w:vAlign w:val="center"/>
                </w:tcPr>
                <w:p>
                  <w:pPr>
                    <w:jc w:val="center"/>
                    <w:rPr>
                      <w:szCs w:val="21"/>
                    </w:rPr>
                  </w:pPr>
                  <w:r>
                    <w:rPr>
                      <w:rFonts w:hint="eastAsia"/>
                      <w:szCs w:val="21"/>
                    </w:rPr>
                    <w:t>设备维护</w:t>
                  </w:r>
                </w:p>
              </w:tc>
              <w:tc>
                <w:tcPr>
                  <w:tcW w:w="683" w:type="pct"/>
                  <w:vAlign w:val="center"/>
                </w:tcPr>
                <w:p>
                  <w:pPr>
                    <w:jc w:val="center"/>
                    <w:rPr>
                      <w:szCs w:val="21"/>
                    </w:rPr>
                  </w:pPr>
                  <w:r>
                    <w:rPr>
                      <w:rFonts w:hint="eastAsia"/>
                      <w:szCs w:val="21"/>
                    </w:rPr>
                    <w:t>废液压油、废油桶</w:t>
                  </w:r>
                </w:p>
              </w:tc>
              <w:tc>
                <w:tcPr>
                  <w:tcW w:w="3077" w:type="pct"/>
                  <w:vMerge w:val="continue"/>
                  <w:vAlign w:val="center"/>
                </w:tcPr>
                <w:p>
                  <w:pPr>
                    <w:jc w:val="center"/>
                    <w:rPr>
                      <w:szCs w:val="21"/>
                    </w:rPr>
                  </w:pPr>
                </w:p>
              </w:tc>
            </w:tr>
          </w:tbl>
          <w:p>
            <w:pPr>
              <w:adjustRightInd w:val="0"/>
              <w:snapToGrid w:val="0"/>
              <w:rPr>
                <w:rFonts w:ascii="宋体" w:hAnsi="宋体"/>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823" w:type="dxa"/>
            <w:vAlign w:val="center"/>
          </w:tcPr>
          <w:p>
            <w:pPr>
              <w:pStyle w:val="13"/>
              <w:adjustRightInd w:val="0"/>
              <w:snapToGrid w:val="0"/>
              <w:spacing w:before="0" w:beforeAutospacing="0" w:after="0" w:afterAutospacing="0"/>
              <w:jc w:val="center"/>
              <w:rPr>
                <w:rFonts w:cs="宋体"/>
                <w:sz w:val="21"/>
                <w:szCs w:val="21"/>
              </w:rPr>
            </w:pPr>
            <w:r>
              <w:rPr>
                <w:rFonts w:hint="eastAsia" w:cs="宋体"/>
                <w:bCs/>
                <w:kern w:val="2"/>
                <w:sz w:val="21"/>
                <w:szCs w:val="21"/>
              </w:rPr>
              <w:t>与项目有关的原有环境污染问题</w:t>
            </w:r>
          </w:p>
        </w:tc>
        <w:tc>
          <w:tcPr>
            <w:tcW w:w="8161" w:type="dxa"/>
            <w:vAlign w:val="center"/>
          </w:tcPr>
          <w:p>
            <w:pPr>
              <w:adjustRightInd w:val="0"/>
              <w:snapToGrid w:val="0"/>
              <w:spacing w:line="400" w:lineRule="exact"/>
              <w:ind w:firstLine="420" w:firstLineChars="200"/>
              <w:rPr>
                <w:bCs/>
                <w:szCs w:val="21"/>
              </w:rPr>
            </w:pPr>
            <w:r>
              <w:rPr>
                <w:rFonts w:hint="eastAsia"/>
                <w:bCs/>
                <w:szCs w:val="21"/>
              </w:rPr>
              <w:t>无</w:t>
            </w:r>
          </w:p>
        </w:tc>
      </w:tr>
    </w:tbl>
    <w:p>
      <w:pPr>
        <w:pStyle w:val="13"/>
        <w:jc w:val="center"/>
        <w:rPr>
          <w:rFonts w:ascii="黑体" w:hAnsi="黑体" w:eastAsia="黑体"/>
          <w:snapToGrid w:val="0"/>
          <w:sz w:val="36"/>
          <w:szCs w:val="36"/>
        </w:rPr>
        <w:sectPr>
          <w:pgSz w:w="11906" w:h="16838"/>
          <w:pgMar w:top="1701" w:right="1531" w:bottom="1701" w:left="1531" w:header="851" w:footer="851" w:gutter="0"/>
          <w:cols w:space="720" w:num="1"/>
          <w:docGrid w:linePitch="312" w:charSpace="0"/>
        </w:sectPr>
      </w:pPr>
    </w:p>
    <w:p>
      <w:pPr>
        <w:pStyle w:val="13"/>
        <w:adjustRightInd w:val="0"/>
        <w:snapToGrid w:val="0"/>
        <w:spacing w:before="0" w:beforeAutospacing="0" w:after="0" w:afterAutospacing="0" w:line="14" w:lineRule="auto"/>
        <w:jc w:val="center"/>
        <w:outlineLvl w:val="0"/>
        <w:rPr>
          <w:rFonts w:ascii="黑体" w:hAnsi="黑体" w:eastAsia="黑体"/>
          <w:snapToGrid w:val="0"/>
          <w:sz w:val="30"/>
          <w:szCs w:val="30"/>
        </w:rPr>
      </w:pPr>
    </w:p>
    <w:p>
      <w:pPr>
        <w:pStyle w:val="13"/>
        <w:jc w:val="center"/>
        <w:outlineLvl w:val="0"/>
        <w:rPr>
          <w:rFonts w:ascii="黑体" w:hAnsi="黑体" w:eastAsia="黑体"/>
          <w:snapToGrid w:val="0"/>
          <w:sz w:val="30"/>
          <w:szCs w:val="30"/>
        </w:rPr>
      </w:pPr>
      <w:r>
        <w:rPr>
          <w:rFonts w:hint="eastAsia" w:ascii="黑体" w:hAnsi="黑体" w:eastAsia="黑体"/>
          <w:snapToGrid w:val="0"/>
          <w:sz w:val="30"/>
          <w:szCs w:val="30"/>
        </w:rPr>
        <w:t>三、区域环境质量现状、环境保护目标及评价标准</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92"/>
        <w:gridCol w:w="856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区域</w:t>
            </w:r>
          </w:p>
          <w:p>
            <w:pPr>
              <w:adjustRightInd w:val="0"/>
              <w:snapToGrid w:val="0"/>
              <w:jc w:val="center"/>
              <w:rPr>
                <w:rFonts w:ascii="宋体" w:hAnsi="宋体" w:cs="宋体"/>
                <w:kern w:val="0"/>
                <w:szCs w:val="21"/>
              </w:rPr>
            </w:pPr>
            <w:r>
              <w:rPr>
                <w:rFonts w:hint="eastAsia" w:ascii="宋体" w:hAnsi="宋体" w:cs="宋体"/>
                <w:kern w:val="0"/>
                <w:szCs w:val="21"/>
              </w:rPr>
              <w:t>环境</w:t>
            </w:r>
          </w:p>
          <w:p>
            <w:pPr>
              <w:adjustRightInd w:val="0"/>
              <w:snapToGrid w:val="0"/>
              <w:jc w:val="center"/>
              <w:rPr>
                <w:rFonts w:ascii="宋体" w:hAnsi="宋体" w:cs="宋体"/>
                <w:kern w:val="0"/>
                <w:szCs w:val="21"/>
              </w:rPr>
            </w:pPr>
            <w:r>
              <w:rPr>
                <w:rFonts w:hint="eastAsia" w:ascii="宋体" w:hAnsi="宋体" w:cs="宋体"/>
                <w:kern w:val="0"/>
                <w:szCs w:val="21"/>
              </w:rPr>
              <w:t>质量</w:t>
            </w:r>
          </w:p>
          <w:p>
            <w:pPr>
              <w:adjustRightInd w:val="0"/>
              <w:snapToGrid w:val="0"/>
              <w:jc w:val="center"/>
              <w:rPr>
                <w:rFonts w:ascii="宋体" w:hAnsi="宋体" w:cs="宋体"/>
                <w:kern w:val="0"/>
                <w:szCs w:val="21"/>
              </w:rPr>
            </w:pPr>
            <w:r>
              <w:rPr>
                <w:rFonts w:hint="eastAsia" w:ascii="宋体" w:hAnsi="宋体" w:cs="宋体"/>
                <w:kern w:val="0"/>
                <w:szCs w:val="21"/>
              </w:rPr>
              <w:t>现状</w:t>
            </w:r>
          </w:p>
        </w:tc>
        <w:tc>
          <w:tcPr>
            <w:tcW w:w="8190" w:type="dxa"/>
            <w:vAlign w:val="center"/>
          </w:tcPr>
          <w:p>
            <w:pPr>
              <w:adjustRightInd w:val="0"/>
              <w:snapToGrid w:val="0"/>
              <w:spacing w:line="400" w:lineRule="exact"/>
              <w:ind w:firstLine="422" w:firstLineChars="200"/>
              <w:rPr>
                <w:b/>
                <w:szCs w:val="21"/>
              </w:rPr>
            </w:pPr>
            <w:r>
              <w:rPr>
                <w:rFonts w:hint="eastAsia"/>
                <w:b/>
                <w:szCs w:val="21"/>
              </w:rPr>
              <w:t>1、大气环境</w:t>
            </w:r>
          </w:p>
          <w:p>
            <w:pPr>
              <w:adjustRightInd w:val="0"/>
              <w:snapToGrid w:val="0"/>
              <w:spacing w:line="400" w:lineRule="exact"/>
              <w:ind w:firstLine="420" w:firstLineChars="200"/>
              <w:rPr>
                <w:bCs/>
                <w:szCs w:val="21"/>
              </w:rPr>
            </w:pPr>
            <w:bookmarkStart w:id="5" w:name="_Hlk112147339"/>
            <w:r>
              <w:rPr>
                <w:rFonts w:hint="eastAsia"/>
                <w:bCs/>
                <w:szCs w:val="21"/>
              </w:rPr>
              <w:t>（1）基本污染物</w:t>
            </w:r>
          </w:p>
          <w:p>
            <w:pPr>
              <w:adjustRightInd w:val="0"/>
              <w:snapToGrid w:val="0"/>
              <w:spacing w:line="400" w:lineRule="exact"/>
              <w:ind w:firstLine="420" w:firstLineChars="200"/>
              <w:rPr>
                <w:bCs/>
                <w:szCs w:val="21"/>
              </w:rPr>
            </w:pPr>
            <w:r>
              <w:rPr>
                <w:bCs/>
                <w:szCs w:val="21"/>
              </w:rPr>
              <w:t>基本污染物环境质量现状数据引用《</w:t>
            </w:r>
            <w:r>
              <w:rPr>
                <w:rFonts w:hint="eastAsia"/>
                <w:bCs/>
                <w:szCs w:val="21"/>
              </w:rPr>
              <w:t>秦皇岛市大气污染防治行动领导小组办公室关于202</w:t>
            </w:r>
            <w:r>
              <w:rPr>
                <w:bCs/>
                <w:szCs w:val="21"/>
              </w:rPr>
              <w:t>2</w:t>
            </w:r>
            <w:r>
              <w:rPr>
                <w:rFonts w:hint="eastAsia"/>
                <w:bCs/>
                <w:szCs w:val="21"/>
              </w:rPr>
              <w:t>年12月份环境空气质量情况的通报</w:t>
            </w:r>
            <w:r>
              <w:rPr>
                <w:bCs/>
                <w:szCs w:val="21"/>
              </w:rPr>
              <w:t>》</w:t>
            </w:r>
            <w:r>
              <w:rPr>
                <w:rFonts w:hint="eastAsia"/>
                <w:bCs/>
                <w:szCs w:val="21"/>
              </w:rPr>
              <w:t>（秦气防领办〔202</w:t>
            </w:r>
            <w:r>
              <w:rPr>
                <w:bCs/>
                <w:szCs w:val="21"/>
              </w:rPr>
              <w:t>3</w:t>
            </w:r>
            <w:r>
              <w:rPr>
                <w:rFonts w:hint="eastAsia"/>
                <w:bCs/>
                <w:szCs w:val="21"/>
              </w:rPr>
              <w:t>〕</w:t>
            </w:r>
            <w:r>
              <w:rPr>
                <w:bCs/>
                <w:szCs w:val="21"/>
              </w:rPr>
              <w:t>4</w:t>
            </w:r>
            <w:r>
              <w:rPr>
                <w:rFonts w:hint="eastAsia"/>
                <w:bCs/>
                <w:szCs w:val="21"/>
              </w:rPr>
              <w:t>号）</w:t>
            </w:r>
            <w:r>
              <w:rPr>
                <w:bCs/>
                <w:szCs w:val="21"/>
              </w:rPr>
              <w:t>中的数据，</w:t>
            </w:r>
            <w:r>
              <w:rPr>
                <w:rFonts w:hint="eastAsia"/>
                <w:bCs/>
                <w:szCs w:val="21"/>
              </w:rPr>
              <w:t>抚宁区</w:t>
            </w:r>
            <w:r>
              <w:rPr>
                <w:bCs/>
                <w:szCs w:val="21"/>
              </w:rPr>
              <w:t>环境空气质量现状及评价如下：</w:t>
            </w:r>
          </w:p>
          <w:p>
            <w:pPr>
              <w:spacing w:line="400" w:lineRule="exact"/>
              <w:jc w:val="center"/>
              <w:rPr>
                <w:b/>
                <w:szCs w:val="21"/>
              </w:rPr>
            </w:pPr>
            <w:r>
              <w:rPr>
                <w:b/>
                <w:szCs w:val="21"/>
              </w:rPr>
              <w:t>表3-1   基本污染物环境质量现状一览表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8"/>
              <w:gridCol w:w="3120"/>
              <w:gridCol w:w="1365"/>
              <w:gridCol w:w="1365"/>
              <w:gridCol w:w="13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污染物</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年评价指标</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现状浓度</w:t>
                  </w:r>
                </w:p>
                <w:p>
                  <w:pPr>
                    <w:pStyle w:val="40"/>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标准值</w:t>
                  </w:r>
                </w:p>
                <w:p>
                  <w:pPr>
                    <w:pStyle w:val="40"/>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超标倍数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SO</w:t>
                  </w:r>
                  <w:r>
                    <w:rPr>
                      <w:bCs/>
                      <w:sz w:val="21"/>
                      <w:szCs w:val="21"/>
                      <w:vertAlign w:val="subscript"/>
                    </w:rPr>
                    <w:t>2</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1</w:t>
                  </w:r>
                  <w:r>
                    <w:rPr>
                      <w:bCs/>
                      <w:sz w:val="21"/>
                      <w:szCs w:val="21"/>
                    </w:rPr>
                    <w:t>2</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60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NO</w:t>
                  </w:r>
                  <w:r>
                    <w:rPr>
                      <w:bCs/>
                      <w:sz w:val="21"/>
                      <w:szCs w:val="21"/>
                      <w:vertAlign w:val="subscript"/>
                    </w:rPr>
                    <w:t>2</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2</w:t>
                  </w:r>
                  <w:r>
                    <w:rPr>
                      <w:bCs/>
                      <w:sz w:val="21"/>
                      <w:szCs w:val="21"/>
                    </w:rPr>
                    <w:t>8</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40</w:t>
                  </w:r>
                </w:p>
              </w:tc>
              <w:tc>
                <w:tcPr>
                  <w:tcW w:w="818"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PM</w:t>
                  </w:r>
                  <w:r>
                    <w:rPr>
                      <w:bCs/>
                      <w:sz w:val="21"/>
                      <w:szCs w:val="21"/>
                      <w:vertAlign w:val="subscript"/>
                    </w:rPr>
                    <w:t>10</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6</w:t>
                  </w:r>
                  <w:r>
                    <w:rPr>
                      <w:bCs/>
                      <w:sz w:val="21"/>
                      <w:szCs w:val="21"/>
                    </w:rPr>
                    <w:t>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70</w:t>
                  </w:r>
                </w:p>
              </w:tc>
              <w:tc>
                <w:tcPr>
                  <w:tcW w:w="818"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PM</w:t>
                  </w:r>
                  <w:r>
                    <w:rPr>
                      <w:bCs/>
                      <w:sz w:val="21"/>
                      <w:szCs w:val="21"/>
                      <w:vertAlign w:val="subscript"/>
                    </w:rPr>
                    <w:t>2.5</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2</w:t>
                  </w:r>
                  <w:r>
                    <w:rPr>
                      <w:bCs/>
                      <w:sz w:val="21"/>
                      <w:szCs w:val="21"/>
                    </w:rPr>
                    <w:t>9</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35</w:t>
                  </w:r>
                </w:p>
              </w:tc>
              <w:tc>
                <w:tcPr>
                  <w:tcW w:w="818"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CO</w:t>
                  </w:r>
                </w:p>
              </w:tc>
              <w:tc>
                <w:tcPr>
                  <w:tcW w:w="1870" w:type="pct"/>
                  <w:tcBorders>
                    <w:top w:val="single" w:color="auto" w:sz="4" w:space="0"/>
                    <w:left w:val="single" w:color="auto" w:sz="4" w:space="0"/>
                    <w:bottom w:val="single" w:color="auto" w:sz="4" w:space="0"/>
                    <w:right w:val="single" w:color="auto" w:sz="4" w:space="0"/>
                  </w:tcBorders>
                  <w:vAlign w:val="center"/>
                </w:tcPr>
                <w:p>
                  <w:pPr>
                    <w:pStyle w:val="41"/>
                    <w:spacing w:line="240" w:lineRule="auto"/>
                    <w:rPr>
                      <w:bCs/>
                      <w:szCs w:val="21"/>
                    </w:rPr>
                  </w:pPr>
                  <w:r>
                    <w:rPr>
                      <w:bCs/>
                      <w:szCs w:val="21"/>
                    </w:rPr>
                    <w:t>24小时平均第95位百分位数</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1</w:t>
                  </w:r>
                  <w:r>
                    <w:rPr>
                      <w:bCs/>
                      <w:sz w:val="21"/>
                      <w:szCs w:val="21"/>
                    </w:rPr>
                    <w:t>400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4000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O</w:t>
                  </w:r>
                  <w:r>
                    <w:rPr>
                      <w:bCs/>
                      <w:sz w:val="21"/>
                      <w:szCs w:val="21"/>
                      <w:vertAlign w:val="subscript"/>
                    </w:rPr>
                    <w:t>3</w:t>
                  </w:r>
                </w:p>
              </w:tc>
              <w:tc>
                <w:tcPr>
                  <w:tcW w:w="1870" w:type="pct"/>
                  <w:tcBorders>
                    <w:top w:val="single" w:color="auto" w:sz="4" w:space="0"/>
                    <w:left w:val="single" w:color="auto" w:sz="4" w:space="0"/>
                    <w:bottom w:val="single" w:color="auto" w:sz="4" w:space="0"/>
                    <w:right w:val="single" w:color="auto" w:sz="4" w:space="0"/>
                  </w:tcBorders>
                  <w:vAlign w:val="center"/>
                </w:tcPr>
                <w:p>
                  <w:pPr>
                    <w:pStyle w:val="41"/>
                    <w:spacing w:line="240" w:lineRule="auto"/>
                    <w:rPr>
                      <w:bCs/>
                      <w:szCs w:val="21"/>
                    </w:rPr>
                  </w:pPr>
                  <w:r>
                    <w:rPr>
                      <w:bCs/>
                      <w:szCs w:val="21"/>
                    </w:rPr>
                    <w:t>8小时平均第90位百分位数</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1</w:t>
                  </w:r>
                  <w:r>
                    <w:rPr>
                      <w:bCs/>
                      <w:sz w:val="21"/>
                      <w:szCs w:val="21"/>
                    </w:rPr>
                    <w:t>72</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160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0.08</w:t>
                  </w:r>
                </w:p>
              </w:tc>
            </w:tr>
          </w:tbl>
          <w:p>
            <w:pPr>
              <w:adjustRightInd w:val="0"/>
              <w:snapToGrid w:val="0"/>
              <w:spacing w:line="400" w:lineRule="exact"/>
              <w:ind w:firstLine="420" w:firstLineChars="200"/>
              <w:rPr>
                <w:bCs/>
                <w:szCs w:val="21"/>
              </w:rPr>
            </w:pPr>
            <w:r>
              <w:rPr>
                <w:bCs/>
                <w:szCs w:val="21"/>
              </w:rPr>
              <w:t>由上可知，</w:t>
            </w:r>
            <w:r>
              <w:rPr>
                <w:rFonts w:hint="eastAsia"/>
                <w:bCs/>
                <w:szCs w:val="21"/>
              </w:rPr>
              <w:t>抚宁区S</w:t>
            </w:r>
            <w:r>
              <w:rPr>
                <w:bCs/>
                <w:szCs w:val="21"/>
              </w:rPr>
              <w:t>O</w:t>
            </w:r>
            <w:r>
              <w:rPr>
                <w:bCs/>
                <w:szCs w:val="21"/>
                <w:vertAlign w:val="subscript"/>
              </w:rPr>
              <w:t>2</w:t>
            </w:r>
            <w:r>
              <w:rPr>
                <w:rFonts w:hint="eastAsia"/>
                <w:bCs/>
                <w:szCs w:val="21"/>
              </w:rPr>
              <w:t>、N</w:t>
            </w:r>
            <w:r>
              <w:rPr>
                <w:bCs/>
                <w:szCs w:val="21"/>
              </w:rPr>
              <w:t>O</w:t>
            </w:r>
            <w:r>
              <w:rPr>
                <w:bCs/>
                <w:szCs w:val="21"/>
                <w:vertAlign w:val="subscript"/>
              </w:rPr>
              <w:t>2</w:t>
            </w:r>
            <w:r>
              <w:rPr>
                <w:rFonts w:hint="eastAsia"/>
                <w:bCs/>
                <w:szCs w:val="21"/>
              </w:rPr>
              <w:t>、P</w:t>
            </w:r>
            <w:r>
              <w:rPr>
                <w:bCs/>
                <w:szCs w:val="21"/>
              </w:rPr>
              <w:t>M</w:t>
            </w:r>
            <w:r>
              <w:rPr>
                <w:bCs/>
                <w:szCs w:val="21"/>
                <w:vertAlign w:val="subscript"/>
              </w:rPr>
              <w:t>10</w:t>
            </w:r>
            <w:r>
              <w:rPr>
                <w:rFonts w:hint="eastAsia"/>
                <w:bCs/>
                <w:szCs w:val="21"/>
              </w:rPr>
              <w:t>、P</w:t>
            </w:r>
            <w:r>
              <w:rPr>
                <w:bCs/>
                <w:szCs w:val="21"/>
              </w:rPr>
              <w:t>M</w:t>
            </w:r>
            <w:r>
              <w:rPr>
                <w:bCs/>
                <w:szCs w:val="21"/>
                <w:vertAlign w:val="subscript"/>
              </w:rPr>
              <w:t>2.5</w:t>
            </w:r>
            <w:r>
              <w:rPr>
                <w:rFonts w:hint="eastAsia"/>
                <w:bCs/>
                <w:szCs w:val="21"/>
              </w:rPr>
              <w:t>、C</w:t>
            </w:r>
            <w:r>
              <w:rPr>
                <w:bCs/>
                <w:szCs w:val="21"/>
              </w:rPr>
              <w:t>O满足《环境空气质量标准》(GB3095-2012)二级标准要求及其修改单要求</w:t>
            </w:r>
            <w:r>
              <w:rPr>
                <w:rFonts w:hint="eastAsia"/>
                <w:bCs/>
                <w:szCs w:val="21"/>
              </w:rPr>
              <w:t>，臭氧超标，超标倍数为0</w:t>
            </w:r>
            <w:r>
              <w:rPr>
                <w:bCs/>
                <w:szCs w:val="21"/>
              </w:rPr>
              <w:t>.08</w:t>
            </w:r>
            <w:r>
              <w:rPr>
                <w:rFonts w:hint="eastAsia"/>
                <w:bCs/>
                <w:szCs w:val="21"/>
              </w:rPr>
              <w:t>。</w:t>
            </w:r>
          </w:p>
          <w:p>
            <w:pPr>
              <w:adjustRightInd w:val="0"/>
              <w:snapToGrid w:val="0"/>
              <w:spacing w:line="400" w:lineRule="exact"/>
              <w:ind w:firstLine="420" w:firstLineChars="200"/>
              <w:rPr>
                <w:bCs/>
                <w:szCs w:val="21"/>
              </w:rPr>
            </w:pPr>
            <w:r>
              <w:rPr>
                <w:rFonts w:hint="eastAsia"/>
                <w:bCs/>
                <w:szCs w:val="21"/>
              </w:rPr>
              <w:t>而《秦皇岛市生态环境保护“十四五”规划（2021-2025年）》中指出，实施“</w:t>
            </w:r>
            <w:r>
              <w:t>协同开展PM</w:t>
            </w:r>
            <w:r>
              <w:rPr>
                <w:vertAlign w:val="subscript"/>
              </w:rPr>
              <w:t>2.5</w:t>
            </w:r>
            <w:r>
              <w:t>与臭氧污染防治</w:t>
            </w:r>
            <w:r>
              <w:rPr>
                <w:rFonts w:hint="eastAsia"/>
              </w:rPr>
              <w:t>、</w:t>
            </w:r>
            <w:r>
              <w:t>完善PM</w:t>
            </w:r>
            <w:r>
              <w:rPr>
                <w:vertAlign w:val="subscript"/>
              </w:rPr>
              <w:t>2.5</w:t>
            </w:r>
            <w:r>
              <w:t>与臭氧预测预报体系</w:t>
            </w:r>
            <w:r>
              <w:rPr>
                <w:rFonts w:hint="eastAsia"/>
              </w:rPr>
              <w:t>、</w:t>
            </w:r>
            <w:r>
              <w:t>强化区域大气污染综合治理</w:t>
            </w:r>
            <w:r>
              <w:rPr>
                <w:rFonts w:hint="eastAsia"/>
                <w:bCs/>
                <w:szCs w:val="21"/>
              </w:rPr>
              <w:t>”</w:t>
            </w:r>
            <w:r>
              <w:rPr>
                <w:rFonts w:hint="eastAsia"/>
              </w:rPr>
              <w:t>等措施，区域大气环境逐步改善。</w:t>
            </w:r>
          </w:p>
          <w:p>
            <w:pPr>
              <w:adjustRightInd w:val="0"/>
              <w:snapToGrid w:val="0"/>
              <w:spacing w:line="400" w:lineRule="exact"/>
              <w:ind w:firstLine="420" w:firstLineChars="200"/>
              <w:rPr>
                <w:bCs/>
                <w:szCs w:val="21"/>
              </w:rPr>
            </w:pPr>
            <w:r>
              <w:rPr>
                <w:rFonts w:hint="eastAsia"/>
                <w:bCs/>
                <w:szCs w:val="21"/>
              </w:rPr>
              <w:t>（2）其他污染物</w:t>
            </w:r>
          </w:p>
          <w:p>
            <w:pPr>
              <w:adjustRightInd w:val="0"/>
              <w:snapToGrid w:val="0"/>
              <w:spacing w:line="400" w:lineRule="exact"/>
              <w:ind w:firstLine="420" w:firstLineChars="200"/>
              <w:rPr>
                <w:bCs/>
                <w:szCs w:val="21"/>
              </w:rPr>
            </w:pPr>
            <w:r>
              <w:rPr>
                <w:rFonts w:hint="eastAsia"/>
                <w:bCs/>
                <w:szCs w:val="21"/>
              </w:rPr>
              <w:t>本项目排放的其他污染物主要为非甲烷总烃，本项目引用《河北抚宁经济开发区管理委员会环境空气废气委托检测》（新丰（检）字H</w:t>
            </w:r>
            <w:r>
              <w:rPr>
                <w:bCs/>
                <w:szCs w:val="21"/>
              </w:rPr>
              <w:t>J2021-08-002</w:t>
            </w:r>
            <w:r>
              <w:rPr>
                <w:rFonts w:hint="eastAsia"/>
                <w:bCs/>
                <w:szCs w:val="21"/>
              </w:rPr>
              <w:t>），检测时间为2021年</w:t>
            </w:r>
            <w:r>
              <w:rPr>
                <w:bCs/>
                <w:szCs w:val="21"/>
              </w:rPr>
              <w:t>8</w:t>
            </w:r>
            <w:r>
              <w:rPr>
                <w:rFonts w:hint="eastAsia"/>
                <w:bCs/>
                <w:szCs w:val="21"/>
              </w:rPr>
              <w:t>月9日～</w:t>
            </w:r>
            <w:r>
              <w:rPr>
                <w:bCs/>
                <w:szCs w:val="21"/>
              </w:rPr>
              <w:t>8</w:t>
            </w:r>
            <w:r>
              <w:rPr>
                <w:rFonts w:hint="eastAsia"/>
                <w:bCs/>
                <w:szCs w:val="21"/>
              </w:rPr>
              <w:t>月</w:t>
            </w:r>
            <w:r>
              <w:rPr>
                <w:bCs/>
                <w:szCs w:val="21"/>
              </w:rPr>
              <w:t>15</w:t>
            </w:r>
            <w:r>
              <w:rPr>
                <w:rFonts w:hint="eastAsia"/>
                <w:bCs/>
                <w:szCs w:val="21"/>
              </w:rPr>
              <w:t>日连续监测7天，检测点位为吴家营村，其位于本项目东侧约</w:t>
            </w:r>
            <w:r>
              <w:rPr>
                <w:bCs/>
                <w:szCs w:val="21"/>
              </w:rPr>
              <w:t>2.4 km</w:t>
            </w:r>
            <w:r>
              <w:rPr>
                <w:rFonts w:hint="eastAsia"/>
                <w:bCs/>
                <w:szCs w:val="21"/>
              </w:rPr>
              <w:t>处，可以满足“建设项目周边5千米范围内近3年的现有监测数据”的要求，监测期间非甲烷总烃浓度范围为：</w:t>
            </w:r>
            <w:r>
              <w:rPr>
                <w:bCs/>
                <w:szCs w:val="21"/>
              </w:rPr>
              <w:t>0.18</w:t>
            </w:r>
            <w:r>
              <w:rPr>
                <w:rFonts w:hint="eastAsia"/>
                <w:bCs/>
                <w:szCs w:val="21"/>
              </w:rPr>
              <w:t>~</w:t>
            </w:r>
            <w:r>
              <w:rPr>
                <w:bCs/>
                <w:szCs w:val="21"/>
              </w:rPr>
              <w:t>1.49</w:t>
            </w:r>
            <w:r>
              <w:rPr>
                <w:rFonts w:hint="eastAsia"/>
                <w:bCs/>
                <w:szCs w:val="21"/>
              </w:rPr>
              <w:t xml:space="preserve"> mg/Nm</w:t>
            </w:r>
            <w:r>
              <w:rPr>
                <w:rFonts w:hint="eastAsia"/>
                <w:bCs/>
                <w:szCs w:val="21"/>
                <w:vertAlign w:val="superscript"/>
              </w:rPr>
              <w:t>3</w:t>
            </w:r>
            <w:r>
              <w:rPr>
                <w:rFonts w:hint="eastAsia"/>
                <w:bCs/>
                <w:szCs w:val="21"/>
              </w:rPr>
              <w:t>，最大浓度占标率</w:t>
            </w:r>
            <w:r>
              <w:rPr>
                <w:bCs/>
                <w:szCs w:val="21"/>
              </w:rPr>
              <w:t>0.75</w:t>
            </w:r>
            <w:r>
              <w:rPr>
                <w:rFonts w:hint="eastAsia"/>
                <w:bCs/>
                <w:szCs w:val="21"/>
              </w:rPr>
              <w:t>，可以满足《环境空气质量 非甲烷总烃限值》（D</w:t>
            </w:r>
            <w:r>
              <w:rPr>
                <w:bCs/>
                <w:szCs w:val="21"/>
              </w:rPr>
              <w:t>B13/1577-2012</w:t>
            </w:r>
            <w:r>
              <w:rPr>
                <w:rFonts w:hint="eastAsia"/>
                <w:bCs/>
                <w:szCs w:val="21"/>
              </w:rPr>
              <w:t>）表1中二级限值要求（</w:t>
            </w:r>
            <w:r>
              <w:rPr>
                <w:bCs/>
                <w:szCs w:val="21"/>
              </w:rPr>
              <w:t>2.0 mg/m</w:t>
            </w:r>
            <w:r>
              <w:rPr>
                <w:bCs/>
                <w:szCs w:val="21"/>
                <w:vertAlign w:val="superscript"/>
              </w:rPr>
              <w:t>3</w:t>
            </w:r>
            <w:r>
              <w:rPr>
                <w:rFonts w:hint="eastAsia"/>
                <w:bCs/>
                <w:szCs w:val="21"/>
              </w:rPr>
              <w:t>）。（详见附件7）</w:t>
            </w:r>
          </w:p>
          <w:bookmarkEnd w:id="5"/>
          <w:p>
            <w:pPr>
              <w:adjustRightInd w:val="0"/>
              <w:snapToGrid w:val="0"/>
              <w:spacing w:line="400" w:lineRule="exact"/>
              <w:ind w:firstLine="422" w:firstLineChars="200"/>
              <w:rPr>
                <w:bCs/>
                <w:szCs w:val="21"/>
              </w:rPr>
            </w:pPr>
            <w:r>
              <w:rPr>
                <w:b/>
                <w:szCs w:val="21"/>
              </w:rPr>
              <w:t>2</w:t>
            </w:r>
            <w:r>
              <w:rPr>
                <w:rFonts w:hint="eastAsia"/>
                <w:b/>
                <w:szCs w:val="21"/>
              </w:rPr>
              <w:t>、声环境：</w:t>
            </w:r>
            <w:r>
              <w:rPr>
                <w:rFonts w:hint="eastAsia"/>
                <w:bCs/>
                <w:szCs w:val="21"/>
              </w:rPr>
              <w:t>本项目周边5</w:t>
            </w:r>
            <w:r>
              <w:rPr>
                <w:bCs/>
                <w:szCs w:val="21"/>
              </w:rPr>
              <w:t>0m</w:t>
            </w:r>
            <w:r>
              <w:rPr>
                <w:rFonts w:hint="eastAsia"/>
                <w:bCs/>
                <w:szCs w:val="21"/>
              </w:rPr>
              <w:t>范围内无声环境敏感点分布，无需开展噪声现状调查。</w:t>
            </w: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r>
              <w:rPr>
                <w:rFonts w:hint="eastAsia"/>
                <w:bCs/>
                <w:szCs w:val="21"/>
              </w:rPr>
              <w:t xml:space="preserve"> </w:t>
            </w:r>
          </w:p>
          <w:p>
            <w:pPr>
              <w:adjustRightInd w:val="0"/>
              <w:snapToGrid w:val="0"/>
              <w:spacing w:line="400" w:lineRule="exact"/>
              <w:ind w:firstLine="420" w:firstLineChars="200"/>
              <w:rPr>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环境</w:t>
            </w:r>
          </w:p>
          <w:p>
            <w:pPr>
              <w:adjustRightInd w:val="0"/>
              <w:snapToGrid w:val="0"/>
              <w:jc w:val="center"/>
              <w:rPr>
                <w:rFonts w:ascii="宋体" w:hAnsi="宋体" w:cs="宋体"/>
                <w:kern w:val="0"/>
                <w:szCs w:val="21"/>
              </w:rPr>
            </w:pPr>
            <w:r>
              <w:rPr>
                <w:rFonts w:hint="eastAsia" w:ascii="宋体" w:hAnsi="宋体" w:cs="宋体"/>
                <w:kern w:val="0"/>
                <w:szCs w:val="21"/>
              </w:rPr>
              <w:t>保护</w:t>
            </w:r>
          </w:p>
          <w:p>
            <w:pPr>
              <w:adjustRightInd w:val="0"/>
              <w:snapToGrid w:val="0"/>
              <w:jc w:val="center"/>
              <w:rPr>
                <w:rFonts w:ascii="宋体" w:hAnsi="宋体" w:cs="宋体"/>
                <w:kern w:val="0"/>
                <w:szCs w:val="21"/>
              </w:rPr>
            </w:pPr>
            <w:r>
              <w:rPr>
                <w:rFonts w:hint="eastAsia" w:ascii="宋体" w:hAnsi="宋体" w:cs="宋体"/>
                <w:kern w:val="0"/>
                <w:szCs w:val="21"/>
              </w:rPr>
              <w:t>目标</w:t>
            </w:r>
          </w:p>
        </w:tc>
        <w:tc>
          <w:tcPr>
            <w:tcW w:w="8190" w:type="dxa"/>
            <w:vAlign w:val="center"/>
          </w:tcPr>
          <w:p>
            <w:pPr>
              <w:adjustRightInd w:val="0"/>
              <w:snapToGrid w:val="0"/>
              <w:spacing w:line="400" w:lineRule="exact"/>
              <w:ind w:firstLine="420" w:firstLineChars="200"/>
              <w:rPr>
                <w:bCs/>
                <w:szCs w:val="21"/>
              </w:rPr>
            </w:pPr>
            <w:r>
              <w:rPr>
                <w:rFonts w:hint="eastAsia"/>
                <w:bCs/>
                <w:szCs w:val="21"/>
              </w:rPr>
              <w:t>1、大气环境：</w:t>
            </w:r>
            <w:r>
              <w:rPr>
                <w:bCs/>
                <w:szCs w:val="21"/>
              </w:rPr>
              <w:t xml:space="preserve"> </w:t>
            </w:r>
          </w:p>
          <w:p>
            <w:pPr>
              <w:spacing w:line="400" w:lineRule="exact"/>
              <w:jc w:val="center"/>
              <w:rPr>
                <w:b/>
                <w:szCs w:val="21"/>
              </w:rPr>
            </w:pPr>
            <w:r>
              <w:rPr>
                <w:rFonts w:hint="eastAsia"/>
                <w:b/>
                <w:szCs w:val="21"/>
              </w:rPr>
              <w:t>表</w:t>
            </w:r>
            <w:r>
              <w:rPr>
                <w:b/>
                <w:szCs w:val="21"/>
              </w:rPr>
              <w:t xml:space="preserve">3-2 </w:t>
            </w:r>
            <w:r>
              <w:rPr>
                <w:rFonts w:hint="eastAsia"/>
                <w:b/>
                <w:szCs w:val="21"/>
              </w:rPr>
              <w:t>大气环境保护目标情况一览表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7"/>
              <w:gridCol w:w="1682"/>
              <w:gridCol w:w="1485"/>
              <w:gridCol w:w="1347"/>
              <w:gridCol w:w="1166"/>
              <w:gridCol w:w="1168"/>
              <w:gridCol w:w="9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4" w:hRule="atLeast"/>
              </w:trPr>
              <w:tc>
                <w:tcPr>
                  <w:tcW w:w="340" w:type="pct"/>
                  <w:vMerge w:val="restart"/>
                  <w:shd w:val="clear" w:color="auto" w:fill="auto"/>
                  <w:vAlign w:val="center"/>
                </w:tcPr>
                <w:p>
                  <w:pPr>
                    <w:adjustRightInd w:val="0"/>
                    <w:snapToGrid w:val="0"/>
                    <w:jc w:val="center"/>
                    <w:rPr>
                      <w:kern w:val="0"/>
                      <w:szCs w:val="21"/>
                    </w:rPr>
                  </w:pPr>
                  <w:r>
                    <w:rPr>
                      <w:kern w:val="0"/>
                      <w:szCs w:val="21"/>
                    </w:rPr>
                    <w:t>序号</w:t>
                  </w:r>
                </w:p>
              </w:tc>
              <w:tc>
                <w:tcPr>
                  <w:tcW w:w="1008" w:type="pct"/>
                  <w:vMerge w:val="restart"/>
                  <w:shd w:val="clear" w:color="auto" w:fill="auto"/>
                  <w:vAlign w:val="center"/>
                </w:tcPr>
                <w:p>
                  <w:pPr>
                    <w:adjustRightInd w:val="0"/>
                    <w:snapToGrid w:val="0"/>
                    <w:jc w:val="center"/>
                    <w:rPr>
                      <w:kern w:val="0"/>
                      <w:szCs w:val="21"/>
                    </w:rPr>
                  </w:pPr>
                  <w:r>
                    <w:rPr>
                      <w:kern w:val="0"/>
                      <w:szCs w:val="21"/>
                    </w:rPr>
                    <w:t>名称</w:t>
                  </w:r>
                </w:p>
              </w:tc>
              <w:tc>
                <w:tcPr>
                  <w:tcW w:w="1697" w:type="pct"/>
                  <w:gridSpan w:val="2"/>
                  <w:shd w:val="clear" w:color="auto" w:fill="auto"/>
                  <w:vAlign w:val="center"/>
                </w:tcPr>
                <w:p>
                  <w:pPr>
                    <w:adjustRightInd w:val="0"/>
                    <w:snapToGrid w:val="0"/>
                    <w:jc w:val="center"/>
                    <w:rPr>
                      <w:kern w:val="0"/>
                      <w:szCs w:val="21"/>
                    </w:rPr>
                  </w:pPr>
                  <w:r>
                    <w:rPr>
                      <w:kern w:val="0"/>
                      <w:szCs w:val="21"/>
                    </w:rPr>
                    <w:t>坐标</w:t>
                  </w:r>
                </w:p>
              </w:tc>
              <w:tc>
                <w:tcPr>
                  <w:tcW w:w="1399" w:type="pct"/>
                  <w:gridSpan w:val="2"/>
                  <w:vAlign w:val="center"/>
                </w:tcPr>
                <w:p>
                  <w:pPr>
                    <w:adjustRightInd w:val="0"/>
                    <w:snapToGrid w:val="0"/>
                    <w:jc w:val="center"/>
                    <w:rPr>
                      <w:kern w:val="0"/>
                      <w:szCs w:val="21"/>
                    </w:rPr>
                  </w:pPr>
                  <w:r>
                    <w:rPr>
                      <w:kern w:val="0"/>
                      <w:szCs w:val="21"/>
                    </w:rPr>
                    <w:t>与项目厂界位置关系</w:t>
                  </w:r>
                </w:p>
              </w:tc>
              <w:tc>
                <w:tcPr>
                  <w:tcW w:w="556" w:type="pct"/>
                  <w:vMerge w:val="restart"/>
                  <w:shd w:val="clear" w:color="auto" w:fill="auto"/>
                  <w:vAlign w:val="center"/>
                </w:tcPr>
                <w:p>
                  <w:pPr>
                    <w:adjustRightInd w:val="0"/>
                    <w:snapToGrid w:val="0"/>
                    <w:jc w:val="center"/>
                    <w:rPr>
                      <w:kern w:val="0"/>
                      <w:szCs w:val="21"/>
                    </w:rPr>
                  </w:pPr>
                  <w:r>
                    <w:rPr>
                      <w:kern w:val="0"/>
                      <w:szCs w:val="21"/>
                    </w:rPr>
                    <w:t>保护级别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340" w:type="pct"/>
                  <w:vMerge w:val="continue"/>
                  <w:shd w:val="clear" w:color="auto" w:fill="auto"/>
                  <w:vAlign w:val="center"/>
                </w:tcPr>
                <w:p>
                  <w:pPr>
                    <w:adjustRightInd w:val="0"/>
                    <w:snapToGrid w:val="0"/>
                    <w:jc w:val="center"/>
                    <w:rPr>
                      <w:kern w:val="0"/>
                      <w:szCs w:val="21"/>
                    </w:rPr>
                  </w:pPr>
                </w:p>
              </w:tc>
              <w:tc>
                <w:tcPr>
                  <w:tcW w:w="1008" w:type="pct"/>
                  <w:vMerge w:val="continue"/>
                  <w:shd w:val="clear" w:color="auto" w:fill="auto"/>
                  <w:vAlign w:val="center"/>
                </w:tcPr>
                <w:p>
                  <w:pPr>
                    <w:adjustRightInd w:val="0"/>
                    <w:snapToGrid w:val="0"/>
                    <w:jc w:val="center"/>
                    <w:rPr>
                      <w:kern w:val="0"/>
                      <w:szCs w:val="21"/>
                    </w:rPr>
                  </w:pPr>
                </w:p>
              </w:tc>
              <w:tc>
                <w:tcPr>
                  <w:tcW w:w="890" w:type="pct"/>
                  <w:shd w:val="clear" w:color="auto" w:fill="auto"/>
                  <w:vAlign w:val="center"/>
                </w:tcPr>
                <w:p>
                  <w:pPr>
                    <w:adjustRightInd w:val="0"/>
                    <w:snapToGrid w:val="0"/>
                    <w:jc w:val="center"/>
                    <w:rPr>
                      <w:kern w:val="0"/>
                      <w:szCs w:val="21"/>
                    </w:rPr>
                  </w:pPr>
                  <w:r>
                    <w:rPr>
                      <w:kern w:val="0"/>
                      <w:szCs w:val="21"/>
                    </w:rPr>
                    <w:t>经度</w:t>
                  </w:r>
                </w:p>
              </w:tc>
              <w:tc>
                <w:tcPr>
                  <w:tcW w:w="807" w:type="pct"/>
                  <w:shd w:val="clear" w:color="auto" w:fill="auto"/>
                  <w:vAlign w:val="center"/>
                </w:tcPr>
                <w:p>
                  <w:pPr>
                    <w:adjustRightInd w:val="0"/>
                    <w:snapToGrid w:val="0"/>
                    <w:jc w:val="center"/>
                    <w:rPr>
                      <w:kern w:val="0"/>
                      <w:szCs w:val="21"/>
                    </w:rPr>
                  </w:pPr>
                  <w:r>
                    <w:rPr>
                      <w:kern w:val="0"/>
                      <w:szCs w:val="21"/>
                    </w:rPr>
                    <w:t>纬度</w:t>
                  </w:r>
                </w:p>
              </w:tc>
              <w:tc>
                <w:tcPr>
                  <w:tcW w:w="699" w:type="pct"/>
                  <w:vAlign w:val="center"/>
                </w:tcPr>
                <w:p>
                  <w:pPr>
                    <w:adjustRightInd w:val="0"/>
                    <w:snapToGrid w:val="0"/>
                    <w:jc w:val="center"/>
                    <w:rPr>
                      <w:kern w:val="0"/>
                      <w:szCs w:val="21"/>
                    </w:rPr>
                  </w:pPr>
                  <w:r>
                    <w:rPr>
                      <w:kern w:val="0"/>
                      <w:szCs w:val="21"/>
                    </w:rPr>
                    <w:t>方位</w:t>
                  </w:r>
                </w:p>
              </w:tc>
              <w:tc>
                <w:tcPr>
                  <w:tcW w:w="700" w:type="pct"/>
                  <w:vAlign w:val="center"/>
                </w:tcPr>
                <w:p>
                  <w:pPr>
                    <w:adjustRightInd w:val="0"/>
                    <w:snapToGrid w:val="0"/>
                    <w:jc w:val="center"/>
                    <w:rPr>
                      <w:kern w:val="0"/>
                      <w:szCs w:val="21"/>
                    </w:rPr>
                  </w:pPr>
                  <w:r>
                    <w:rPr>
                      <w:kern w:val="0"/>
                      <w:szCs w:val="21"/>
                    </w:rPr>
                    <w:t>距离</w:t>
                  </w:r>
                  <w:r>
                    <w:rPr>
                      <w:rFonts w:hint="eastAsia"/>
                      <w:kern w:val="0"/>
                      <w:szCs w:val="21"/>
                    </w:rPr>
                    <w:t>/</w:t>
                  </w:r>
                  <w:r>
                    <w:rPr>
                      <w:kern w:val="0"/>
                      <w:szCs w:val="21"/>
                    </w:rPr>
                    <w:t>m</w:t>
                  </w:r>
                </w:p>
              </w:tc>
              <w:tc>
                <w:tcPr>
                  <w:tcW w:w="556" w:type="pct"/>
                  <w:vMerge w:val="continue"/>
                  <w:shd w:val="clear" w:color="auto" w:fill="auto"/>
                  <w:vAlign w:val="center"/>
                </w:tcPr>
                <w:p>
                  <w:pPr>
                    <w:adjustRightInd w:val="0"/>
                    <w:snapToGrid w:val="0"/>
                    <w:jc w:val="center"/>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340" w:type="pct"/>
                  <w:shd w:val="clear" w:color="auto" w:fill="auto"/>
                  <w:vAlign w:val="center"/>
                </w:tcPr>
                <w:p>
                  <w:pPr>
                    <w:adjustRightInd w:val="0"/>
                    <w:snapToGrid w:val="0"/>
                    <w:jc w:val="center"/>
                    <w:rPr>
                      <w:kern w:val="0"/>
                      <w:szCs w:val="21"/>
                    </w:rPr>
                  </w:pPr>
                  <w:r>
                    <w:rPr>
                      <w:kern w:val="0"/>
                      <w:szCs w:val="21"/>
                    </w:rPr>
                    <w:t>1</w:t>
                  </w:r>
                </w:p>
              </w:tc>
              <w:tc>
                <w:tcPr>
                  <w:tcW w:w="1008" w:type="pct"/>
                  <w:shd w:val="clear" w:color="auto" w:fill="auto"/>
                  <w:vAlign w:val="center"/>
                </w:tcPr>
                <w:p>
                  <w:pPr>
                    <w:snapToGrid w:val="0"/>
                    <w:jc w:val="center"/>
                    <w:rPr>
                      <w:bCs/>
                      <w:szCs w:val="21"/>
                    </w:rPr>
                  </w:pPr>
                  <w:r>
                    <w:rPr>
                      <w:rFonts w:hint="eastAsia"/>
                      <w:bCs/>
                      <w:szCs w:val="21"/>
                    </w:rPr>
                    <w:t>东城贯村</w:t>
                  </w:r>
                </w:p>
              </w:tc>
              <w:tc>
                <w:tcPr>
                  <w:tcW w:w="890" w:type="pct"/>
                  <w:shd w:val="clear" w:color="auto" w:fill="auto"/>
                  <w:vAlign w:val="center"/>
                </w:tcPr>
                <w:p>
                  <w:pPr>
                    <w:snapToGrid w:val="0"/>
                    <w:jc w:val="center"/>
                    <w:rPr>
                      <w:bCs/>
                      <w:szCs w:val="21"/>
                    </w:rPr>
                  </w:pPr>
                  <w:r>
                    <w:rPr>
                      <w:rFonts w:hint="eastAsia"/>
                      <w:bCs/>
                      <w:szCs w:val="21"/>
                    </w:rPr>
                    <w:t>1</w:t>
                  </w:r>
                  <w:r>
                    <w:rPr>
                      <w:bCs/>
                      <w:szCs w:val="21"/>
                    </w:rPr>
                    <w:t>19.252141</w:t>
                  </w:r>
                </w:p>
              </w:tc>
              <w:tc>
                <w:tcPr>
                  <w:tcW w:w="807" w:type="pct"/>
                  <w:shd w:val="clear" w:color="auto" w:fill="auto"/>
                  <w:vAlign w:val="center"/>
                </w:tcPr>
                <w:p>
                  <w:pPr>
                    <w:snapToGrid w:val="0"/>
                    <w:jc w:val="center"/>
                    <w:rPr>
                      <w:bCs/>
                      <w:szCs w:val="21"/>
                    </w:rPr>
                  </w:pPr>
                  <w:r>
                    <w:rPr>
                      <w:rFonts w:hint="eastAsia"/>
                      <w:bCs/>
                      <w:szCs w:val="21"/>
                    </w:rPr>
                    <w:t>3</w:t>
                  </w:r>
                  <w:r>
                    <w:rPr>
                      <w:bCs/>
                      <w:szCs w:val="21"/>
                    </w:rPr>
                    <w:t>9.895677</w:t>
                  </w:r>
                </w:p>
              </w:tc>
              <w:tc>
                <w:tcPr>
                  <w:tcW w:w="699" w:type="pct"/>
                  <w:vAlign w:val="center"/>
                </w:tcPr>
                <w:p>
                  <w:pPr>
                    <w:snapToGrid w:val="0"/>
                    <w:jc w:val="center"/>
                    <w:rPr>
                      <w:bCs/>
                      <w:szCs w:val="21"/>
                    </w:rPr>
                  </w:pPr>
                  <w:r>
                    <w:rPr>
                      <w:bCs/>
                      <w:szCs w:val="21"/>
                    </w:rPr>
                    <w:t>E</w:t>
                  </w:r>
                </w:p>
              </w:tc>
              <w:tc>
                <w:tcPr>
                  <w:tcW w:w="700" w:type="pct"/>
                  <w:vAlign w:val="center"/>
                </w:tcPr>
                <w:p>
                  <w:pPr>
                    <w:snapToGrid w:val="0"/>
                    <w:jc w:val="center"/>
                    <w:rPr>
                      <w:bCs/>
                      <w:szCs w:val="21"/>
                    </w:rPr>
                  </w:pPr>
                  <w:r>
                    <w:rPr>
                      <w:bCs/>
                      <w:szCs w:val="21"/>
                    </w:rPr>
                    <w:t>250</w:t>
                  </w:r>
                </w:p>
              </w:tc>
              <w:tc>
                <w:tcPr>
                  <w:tcW w:w="556" w:type="pct"/>
                  <w:vMerge w:val="restart"/>
                  <w:shd w:val="clear" w:color="auto" w:fill="auto"/>
                  <w:vAlign w:val="center"/>
                </w:tcPr>
                <w:p>
                  <w:pPr>
                    <w:adjustRightInd w:val="0"/>
                    <w:snapToGrid w:val="0"/>
                    <w:jc w:val="center"/>
                    <w:rPr>
                      <w:kern w:val="0"/>
                      <w:szCs w:val="21"/>
                    </w:rPr>
                  </w:pPr>
                  <w:r>
                    <w:rPr>
                      <w:kern w:val="0"/>
                      <w:szCs w:val="21"/>
                    </w:rPr>
                    <w:t>二类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340" w:type="pct"/>
                  <w:shd w:val="clear" w:color="auto" w:fill="auto"/>
                  <w:vAlign w:val="center"/>
                </w:tcPr>
                <w:p>
                  <w:pPr>
                    <w:adjustRightInd w:val="0"/>
                    <w:snapToGrid w:val="0"/>
                    <w:jc w:val="center"/>
                    <w:rPr>
                      <w:kern w:val="0"/>
                      <w:szCs w:val="21"/>
                    </w:rPr>
                  </w:pPr>
                  <w:r>
                    <w:rPr>
                      <w:kern w:val="0"/>
                      <w:szCs w:val="21"/>
                    </w:rPr>
                    <w:t>2</w:t>
                  </w:r>
                </w:p>
              </w:tc>
              <w:tc>
                <w:tcPr>
                  <w:tcW w:w="1008" w:type="pct"/>
                  <w:shd w:val="clear" w:color="auto" w:fill="auto"/>
                  <w:vAlign w:val="center"/>
                </w:tcPr>
                <w:p>
                  <w:pPr>
                    <w:snapToGrid w:val="0"/>
                    <w:jc w:val="center"/>
                    <w:rPr>
                      <w:bCs/>
                      <w:szCs w:val="21"/>
                    </w:rPr>
                  </w:pPr>
                  <w:r>
                    <w:rPr>
                      <w:rFonts w:hint="eastAsia"/>
                      <w:bCs/>
                      <w:szCs w:val="21"/>
                    </w:rPr>
                    <w:t>三里杨庄村</w:t>
                  </w:r>
                </w:p>
              </w:tc>
              <w:tc>
                <w:tcPr>
                  <w:tcW w:w="890" w:type="pct"/>
                  <w:shd w:val="clear" w:color="auto" w:fill="auto"/>
                  <w:vAlign w:val="center"/>
                </w:tcPr>
                <w:p>
                  <w:pPr>
                    <w:snapToGrid w:val="0"/>
                    <w:jc w:val="center"/>
                    <w:rPr>
                      <w:bCs/>
                      <w:szCs w:val="21"/>
                    </w:rPr>
                  </w:pPr>
                  <w:r>
                    <w:rPr>
                      <w:rFonts w:hint="eastAsia"/>
                      <w:bCs/>
                      <w:szCs w:val="21"/>
                    </w:rPr>
                    <w:t>1</w:t>
                  </w:r>
                  <w:r>
                    <w:rPr>
                      <w:bCs/>
                      <w:szCs w:val="21"/>
                    </w:rPr>
                    <w:t>19.245661</w:t>
                  </w:r>
                </w:p>
              </w:tc>
              <w:tc>
                <w:tcPr>
                  <w:tcW w:w="807" w:type="pct"/>
                  <w:shd w:val="clear" w:color="auto" w:fill="auto"/>
                  <w:vAlign w:val="center"/>
                </w:tcPr>
                <w:p>
                  <w:pPr>
                    <w:snapToGrid w:val="0"/>
                    <w:jc w:val="center"/>
                    <w:rPr>
                      <w:bCs/>
                      <w:szCs w:val="21"/>
                    </w:rPr>
                  </w:pPr>
                  <w:r>
                    <w:rPr>
                      <w:rFonts w:hint="eastAsia"/>
                      <w:bCs/>
                      <w:szCs w:val="21"/>
                    </w:rPr>
                    <w:t>3</w:t>
                  </w:r>
                  <w:r>
                    <w:rPr>
                      <w:bCs/>
                      <w:szCs w:val="21"/>
                    </w:rPr>
                    <w:t>9.899475</w:t>
                  </w:r>
                </w:p>
              </w:tc>
              <w:tc>
                <w:tcPr>
                  <w:tcW w:w="699" w:type="pct"/>
                  <w:vAlign w:val="center"/>
                </w:tcPr>
                <w:p>
                  <w:pPr>
                    <w:snapToGrid w:val="0"/>
                    <w:jc w:val="center"/>
                    <w:rPr>
                      <w:bCs/>
                      <w:szCs w:val="21"/>
                    </w:rPr>
                  </w:pPr>
                  <w:r>
                    <w:rPr>
                      <w:rFonts w:hint="eastAsia"/>
                      <w:bCs/>
                      <w:szCs w:val="21"/>
                    </w:rPr>
                    <w:t>N</w:t>
                  </w:r>
                  <w:r>
                    <w:rPr>
                      <w:bCs/>
                      <w:szCs w:val="21"/>
                    </w:rPr>
                    <w:t>W</w:t>
                  </w:r>
                </w:p>
              </w:tc>
              <w:tc>
                <w:tcPr>
                  <w:tcW w:w="700" w:type="pct"/>
                  <w:vAlign w:val="center"/>
                </w:tcPr>
                <w:p>
                  <w:pPr>
                    <w:snapToGrid w:val="0"/>
                    <w:jc w:val="center"/>
                    <w:rPr>
                      <w:bCs/>
                      <w:szCs w:val="21"/>
                    </w:rPr>
                  </w:pPr>
                  <w:r>
                    <w:rPr>
                      <w:bCs/>
                      <w:szCs w:val="21"/>
                    </w:rPr>
                    <w:t>470</w:t>
                  </w:r>
                </w:p>
              </w:tc>
              <w:tc>
                <w:tcPr>
                  <w:tcW w:w="556" w:type="pct"/>
                  <w:vMerge w:val="continue"/>
                  <w:shd w:val="clear" w:color="auto" w:fill="auto"/>
                  <w:vAlign w:val="center"/>
                </w:tcPr>
                <w:p>
                  <w:pPr>
                    <w:adjustRightInd w:val="0"/>
                    <w:snapToGrid w:val="0"/>
                    <w:jc w:val="center"/>
                    <w:rPr>
                      <w:kern w:val="0"/>
                      <w:szCs w:val="21"/>
                    </w:rPr>
                  </w:pPr>
                </w:p>
              </w:tc>
            </w:tr>
          </w:tbl>
          <w:p>
            <w:pPr>
              <w:adjustRightInd w:val="0"/>
              <w:snapToGrid w:val="0"/>
              <w:spacing w:line="400" w:lineRule="exact"/>
              <w:ind w:firstLine="420" w:firstLineChars="200"/>
              <w:rPr>
                <w:bCs/>
                <w:szCs w:val="21"/>
              </w:rPr>
            </w:pPr>
            <w:r>
              <w:rPr>
                <w:rFonts w:hint="eastAsia"/>
                <w:bCs/>
                <w:szCs w:val="21"/>
              </w:rPr>
              <w:t>2、声环境：本项目厂界外5</w:t>
            </w:r>
            <w:r>
              <w:rPr>
                <w:bCs/>
                <w:szCs w:val="21"/>
              </w:rPr>
              <w:t>0m</w:t>
            </w:r>
            <w:r>
              <w:rPr>
                <w:rFonts w:hint="eastAsia"/>
                <w:bCs/>
                <w:szCs w:val="21"/>
              </w:rPr>
              <w:t>范围内无声环境敏感目标分布。</w:t>
            </w:r>
          </w:p>
          <w:p>
            <w:pPr>
              <w:adjustRightInd w:val="0"/>
              <w:snapToGrid w:val="0"/>
              <w:spacing w:line="400" w:lineRule="exact"/>
              <w:ind w:firstLine="420" w:firstLineChars="200"/>
              <w:rPr>
                <w:bCs/>
                <w:szCs w:val="21"/>
              </w:rPr>
            </w:pPr>
            <w:r>
              <w:rPr>
                <w:rFonts w:hint="eastAsia"/>
                <w:bCs/>
                <w:szCs w:val="21"/>
              </w:rPr>
              <w:t>3、地下水环境：本项目厂界外5</w:t>
            </w:r>
            <w:r>
              <w:rPr>
                <w:bCs/>
                <w:szCs w:val="21"/>
              </w:rPr>
              <w:t>00m</w:t>
            </w:r>
            <w:r>
              <w:rPr>
                <w:rFonts w:hint="eastAsia"/>
                <w:bCs/>
                <w:szCs w:val="21"/>
              </w:rPr>
              <w:t>范围内用水均取自市政给水管网，无地下水集中式饮用水水源和热水、矿泉水、温泉等特殊地下水资源，无地下水保护目标。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0" w:type="auto"/>
            <w:tcMar>
              <w:left w:w="28" w:type="dxa"/>
              <w:right w:w="28" w:type="dxa"/>
            </w:tcMar>
            <w:vAlign w:val="center"/>
          </w:tcPr>
          <w:p>
            <w:pPr>
              <w:adjustRightInd w:val="0"/>
              <w:snapToGrid w:val="0"/>
              <w:jc w:val="center"/>
              <w:rPr>
                <w:rFonts w:ascii="宋体" w:hAnsi="宋体" w:cs="宋体"/>
                <w:kern w:val="0"/>
                <w:szCs w:val="21"/>
              </w:rPr>
            </w:pPr>
            <w:r>
              <w:rPr>
                <w:rFonts w:hint="eastAsia" w:ascii="宋体" w:hAnsi="宋体" w:cs="宋体"/>
                <w:kern w:val="0"/>
                <w:szCs w:val="21"/>
              </w:rPr>
              <w:t>污染</w:t>
            </w:r>
          </w:p>
          <w:p>
            <w:pPr>
              <w:adjustRightInd w:val="0"/>
              <w:snapToGrid w:val="0"/>
              <w:jc w:val="center"/>
              <w:rPr>
                <w:rFonts w:ascii="宋体" w:hAnsi="宋体" w:cs="宋体"/>
                <w:kern w:val="0"/>
                <w:szCs w:val="21"/>
              </w:rPr>
            </w:pPr>
            <w:r>
              <w:rPr>
                <w:rFonts w:hint="eastAsia" w:ascii="宋体" w:hAnsi="宋体" w:cs="宋体"/>
                <w:kern w:val="0"/>
                <w:szCs w:val="21"/>
              </w:rPr>
              <w:t>物排</w:t>
            </w:r>
          </w:p>
          <w:p>
            <w:pPr>
              <w:adjustRightInd w:val="0"/>
              <w:snapToGrid w:val="0"/>
              <w:jc w:val="center"/>
              <w:rPr>
                <w:rFonts w:ascii="宋体" w:hAnsi="宋体" w:cs="宋体"/>
                <w:kern w:val="0"/>
                <w:szCs w:val="21"/>
              </w:rPr>
            </w:pPr>
            <w:r>
              <w:rPr>
                <w:rFonts w:hint="eastAsia" w:ascii="宋体" w:hAnsi="宋体" w:cs="宋体"/>
                <w:kern w:val="0"/>
                <w:szCs w:val="21"/>
              </w:rPr>
              <w:t>放控</w:t>
            </w:r>
          </w:p>
          <w:p>
            <w:pPr>
              <w:adjustRightInd w:val="0"/>
              <w:snapToGrid w:val="0"/>
              <w:jc w:val="center"/>
              <w:rPr>
                <w:rFonts w:ascii="宋体" w:hAnsi="宋体" w:cs="宋体"/>
                <w:kern w:val="0"/>
                <w:szCs w:val="21"/>
              </w:rPr>
            </w:pPr>
            <w:r>
              <w:rPr>
                <w:rFonts w:hint="eastAsia" w:ascii="宋体" w:hAnsi="宋体" w:cs="宋体"/>
                <w:kern w:val="0"/>
                <w:szCs w:val="21"/>
              </w:rPr>
              <w:t>制标</w:t>
            </w:r>
          </w:p>
          <w:p>
            <w:pPr>
              <w:adjustRightInd w:val="0"/>
              <w:snapToGrid w:val="0"/>
              <w:jc w:val="center"/>
              <w:rPr>
                <w:rFonts w:ascii="宋体" w:hAnsi="宋体" w:cs="宋体"/>
                <w:kern w:val="0"/>
                <w:szCs w:val="21"/>
              </w:rPr>
            </w:pPr>
            <w:r>
              <w:rPr>
                <w:rFonts w:hint="eastAsia" w:ascii="宋体" w:hAnsi="宋体" w:cs="宋体"/>
                <w:kern w:val="0"/>
                <w:szCs w:val="21"/>
              </w:rPr>
              <w:t>准</w:t>
            </w:r>
          </w:p>
        </w:tc>
        <w:tc>
          <w:tcPr>
            <w:tcW w:w="0" w:type="auto"/>
            <w:vAlign w:val="center"/>
          </w:tcPr>
          <w:p>
            <w:pPr>
              <w:adjustRightInd w:val="0"/>
              <w:snapToGrid w:val="0"/>
              <w:spacing w:line="400" w:lineRule="exact"/>
              <w:rPr>
                <w:b/>
                <w:szCs w:val="21"/>
              </w:rPr>
            </w:pPr>
            <w:r>
              <w:rPr>
                <w:b/>
                <w:szCs w:val="21"/>
              </w:rPr>
              <w:t>施工期</w:t>
            </w:r>
            <w:r>
              <w:rPr>
                <w:rFonts w:hint="eastAsia"/>
                <w:b/>
                <w:szCs w:val="21"/>
              </w:rPr>
              <w:t>：</w:t>
            </w:r>
          </w:p>
          <w:p>
            <w:pPr>
              <w:adjustRightInd w:val="0"/>
              <w:snapToGrid w:val="0"/>
              <w:spacing w:line="400" w:lineRule="exact"/>
              <w:ind w:firstLine="420" w:firstLineChars="200"/>
              <w:rPr>
                <w:bCs/>
                <w:szCs w:val="21"/>
              </w:rPr>
            </w:pPr>
            <w:r>
              <w:rPr>
                <w:rFonts w:hint="eastAsia"/>
                <w:bCs/>
                <w:szCs w:val="21"/>
              </w:rPr>
              <w:t>1、扬尘：</w:t>
            </w:r>
          </w:p>
          <w:p>
            <w:pPr>
              <w:adjustRightInd w:val="0"/>
              <w:snapToGrid w:val="0"/>
              <w:spacing w:line="400" w:lineRule="exact"/>
              <w:ind w:firstLine="420" w:firstLineChars="200"/>
              <w:rPr>
                <w:bCs/>
                <w:szCs w:val="21"/>
              </w:rPr>
            </w:pPr>
            <w:r>
              <w:rPr>
                <w:rFonts w:hint="eastAsia"/>
                <w:bCs/>
                <w:szCs w:val="21"/>
              </w:rPr>
              <w:t>《河北省2023年建筑施工扬尘污染防治工作方案》（冀建质安函〔2023〕105号）、《秦皇岛市扬尘综合整治专项实施方案》和《河北省扬尘污染防治办法》中有关施工扬尘的管理规定，施工场地扬尘排放浓度须满足《施工场地扬尘排放标准》（DB13/2934-2019）要求。</w:t>
            </w:r>
          </w:p>
          <w:p>
            <w:pPr>
              <w:spacing w:line="400" w:lineRule="exact"/>
              <w:jc w:val="center"/>
              <w:rPr>
                <w:b/>
                <w:szCs w:val="21"/>
              </w:rPr>
            </w:pPr>
            <w:r>
              <w:rPr>
                <w:b/>
                <w:szCs w:val="21"/>
              </w:rPr>
              <w:t>表3-3     施工扬尘排放浓度限值</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80"/>
              <w:gridCol w:w="2780"/>
              <w:gridCol w:w="27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666" w:type="pct"/>
                  <w:vAlign w:val="center"/>
                </w:tcPr>
                <w:p>
                  <w:pPr>
                    <w:jc w:val="center"/>
                  </w:pPr>
                  <w:r>
                    <w:t>控制项目</w:t>
                  </w:r>
                </w:p>
              </w:tc>
              <w:tc>
                <w:tcPr>
                  <w:tcW w:w="1666" w:type="pct"/>
                  <w:vAlign w:val="center"/>
                </w:tcPr>
                <w:p>
                  <w:pPr>
                    <w:jc w:val="center"/>
                  </w:pPr>
                  <w:r>
                    <w:t>浓度限值</w:t>
                  </w:r>
                </w:p>
              </w:tc>
              <w:tc>
                <w:tcPr>
                  <w:tcW w:w="1667" w:type="pct"/>
                  <w:vAlign w:val="center"/>
                </w:tcPr>
                <w:p>
                  <w:pPr>
                    <w:jc w:val="center"/>
                  </w:pPr>
                  <w:r>
                    <w:t>达标判定依据（次/天）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666" w:type="pct"/>
                  <w:vAlign w:val="center"/>
                </w:tcPr>
                <w:p>
                  <w:pPr>
                    <w:jc w:val="center"/>
                  </w:pPr>
                  <w:r>
                    <w:t>PM</w:t>
                  </w:r>
                  <w:r>
                    <w:rPr>
                      <w:vertAlign w:val="subscript"/>
                    </w:rPr>
                    <w:t>10</w:t>
                  </w:r>
                </w:p>
              </w:tc>
              <w:tc>
                <w:tcPr>
                  <w:tcW w:w="1666" w:type="pct"/>
                  <w:vAlign w:val="center"/>
                </w:tcPr>
                <w:p>
                  <w:pPr>
                    <w:jc w:val="center"/>
                  </w:pPr>
                  <w:r>
                    <w:t>80</w:t>
                  </w:r>
                </w:p>
              </w:tc>
              <w:tc>
                <w:tcPr>
                  <w:tcW w:w="1667" w:type="pct"/>
                  <w:vAlign w:val="center"/>
                </w:tcPr>
                <w:p>
                  <w:pPr>
                    <w:jc w:val="center"/>
                  </w:pPr>
                  <w: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3"/>
                  <w:vAlign w:val="center"/>
                </w:tcPr>
                <w:p>
                  <w:r>
                    <w:t>浓度限值：指监测点PM</w:t>
                  </w:r>
                  <w:r>
                    <w:rPr>
                      <w:vertAlign w:val="subscript"/>
                    </w:rPr>
                    <w:t>10</w:t>
                  </w:r>
                  <w:r>
                    <w:t>小时平均浓度实测值与同时段所属（市、区）PM</w:t>
                  </w:r>
                  <w:r>
                    <w:rPr>
                      <w:vertAlign w:val="subscript"/>
                    </w:rPr>
                    <w:t>10</w:t>
                  </w:r>
                  <w:r>
                    <w:t>小时平均浓度的差值。当县（市、区）PM</w:t>
                  </w:r>
                  <w:r>
                    <w:rPr>
                      <w:vertAlign w:val="subscript"/>
                    </w:rPr>
                    <w:t>10</w:t>
                  </w:r>
                  <w:r>
                    <w:t>小时平均浓度值大于150μg/m³时，以150μg/m³计。</w:t>
                  </w:r>
                </w:p>
              </w:tc>
            </w:tr>
          </w:tbl>
          <w:p>
            <w:pPr>
              <w:adjustRightInd w:val="0"/>
              <w:snapToGrid w:val="0"/>
              <w:spacing w:line="400" w:lineRule="exact"/>
              <w:ind w:firstLine="420" w:firstLineChars="200"/>
              <w:rPr>
                <w:bCs/>
                <w:szCs w:val="21"/>
              </w:rPr>
            </w:pPr>
            <w:r>
              <w:rPr>
                <w:rFonts w:hint="eastAsia"/>
                <w:bCs/>
                <w:szCs w:val="21"/>
              </w:rPr>
              <w:t>2、噪声</w:t>
            </w:r>
          </w:p>
          <w:p>
            <w:pPr>
              <w:adjustRightInd w:val="0"/>
              <w:snapToGrid w:val="0"/>
              <w:spacing w:line="400" w:lineRule="exact"/>
              <w:ind w:firstLine="420" w:firstLineChars="200"/>
              <w:rPr>
                <w:bCs/>
                <w:szCs w:val="21"/>
              </w:rPr>
            </w:pPr>
            <w:r>
              <w:rPr>
                <w:bCs/>
                <w:szCs w:val="21"/>
              </w:rPr>
              <w:t>噪声排放执行《建筑施工场界环境噪声排放标准》(GB12523-2011)标准：昼间70dB(A)、夜间55dB(A)；</w:t>
            </w:r>
          </w:p>
          <w:p>
            <w:pPr>
              <w:adjustRightInd w:val="0"/>
              <w:snapToGrid w:val="0"/>
              <w:spacing w:line="400" w:lineRule="exact"/>
              <w:ind w:firstLine="420" w:firstLineChars="200"/>
              <w:rPr>
                <w:bCs/>
                <w:szCs w:val="21"/>
              </w:rPr>
            </w:pPr>
            <w:r>
              <w:rPr>
                <w:rFonts w:hint="eastAsia"/>
                <w:bCs/>
                <w:szCs w:val="21"/>
              </w:rPr>
              <w:t>3、废水</w:t>
            </w:r>
          </w:p>
          <w:p>
            <w:pPr>
              <w:adjustRightInd w:val="0"/>
              <w:snapToGrid w:val="0"/>
              <w:spacing w:line="400" w:lineRule="exact"/>
              <w:ind w:firstLine="420" w:firstLineChars="200"/>
              <w:rPr>
                <w:bCs/>
                <w:szCs w:val="21"/>
              </w:rPr>
            </w:pPr>
            <w:r>
              <w:rPr>
                <w:rFonts w:hint="eastAsia"/>
                <w:bCs/>
                <w:szCs w:val="21"/>
              </w:rPr>
              <w:t>施工期用水包括养护用水、冲洗废水、降尘洒水、少量施工废水经沉淀后就地泼洒抑尘，不外排；施工人员产生的盥洗废水直接泼洒抑尘。</w:t>
            </w:r>
          </w:p>
          <w:p>
            <w:pPr>
              <w:adjustRightInd w:val="0"/>
              <w:snapToGrid w:val="0"/>
              <w:spacing w:line="400" w:lineRule="exact"/>
              <w:ind w:firstLine="420" w:firstLineChars="200"/>
              <w:rPr>
                <w:bCs/>
                <w:szCs w:val="21"/>
              </w:rPr>
            </w:pPr>
            <w:r>
              <w:rPr>
                <w:bCs/>
                <w:szCs w:val="21"/>
              </w:rPr>
              <w:t>4</w:t>
            </w:r>
            <w:r>
              <w:rPr>
                <w:rFonts w:hint="eastAsia"/>
                <w:bCs/>
                <w:szCs w:val="21"/>
              </w:rPr>
              <w:t>、固体废物</w:t>
            </w:r>
          </w:p>
          <w:p>
            <w:pPr>
              <w:adjustRightInd w:val="0"/>
              <w:snapToGrid w:val="0"/>
              <w:spacing w:line="400" w:lineRule="exact"/>
              <w:ind w:firstLine="420" w:firstLineChars="200"/>
              <w:rPr>
                <w:bCs/>
                <w:szCs w:val="21"/>
              </w:rPr>
            </w:pPr>
            <w:r>
              <w:rPr>
                <w:rFonts w:hint="eastAsia"/>
                <w:bCs/>
                <w:szCs w:val="21"/>
              </w:rPr>
              <w:t>施工期固体废物主要为建筑垃圾及施工人员生活垃圾。生活垃圾收集后，交由环卫部门统一清运处理；建筑垃圾须依法依规进行处置。</w:t>
            </w:r>
          </w:p>
          <w:p>
            <w:pPr>
              <w:adjustRightInd w:val="0"/>
              <w:snapToGrid w:val="0"/>
              <w:spacing w:line="400" w:lineRule="exact"/>
              <w:rPr>
                <w:b/>
                <w:szCs w:val="21"/>
              </w:rPr>
            </w:pPr>
            <w:r>
              <w:rPr>
                <w:rFonts w:hint="eastAsia"/>
                <w:b/>
                <w:szCs w:val="21"/>
              </w:rPr>
              <w:t>运营</w:t>
            </w:r>
            <w:r>
              <w:rPr>
                <w:b/>
                <w:szCs w:val="21"/>
              </w:rPr>
              <w:t>期</w:t>
            </w:r>
          </w:p>
          <w:p>
            <w:pPr>
              <w:adjustRightInd w:val="0"/>
              <w:snapToGrid w:val="0"/>
              <w:spacing w:line="400" w:lineRule="exact"/>
              <w:ind w:firstLine="422" w:firstLineChars="200"/>
              <w:rPr>
                <w:bCs/>
                <w:szCs w:val="21"/>
              </w:rPr>
            </w:pPr>
            <w:r>
              <w:rPr>
                <w:b/>
                <w:szCs w:val="21"/>
              </w:rPr>
              <w:t>1、</w:t>
            </w:r>
            <w:r>
              <w:rPr>
                <w:rFonts w:hint="eastAsia"/>
                <w:b/>
                <w:szCs w:val="21"/>
              </w:rPr>
              <w:t>废气</w:t>
            </w:r>
            <w:r>
              <w:rPr>
                <w:b/>
                <w:szCs w:val="21"/>
              </w:rPr>
              <w:t>：</w:t>
            </w:r>
            <w:r>
              <w:rPr>
                <w:rFonts w:hint="eastAsia"/>
                <w:bCs/>
                <w:szCs w:val="21"/>
              </w:rPr>
              <w:t>本项目废气排放标准执行情况如下：</w:t>
            </w:r>
          </w:p>
          <w:p>
            <w:pPr>
              <w:spacing w:line="400" w:lineRule="exact"/>
              <w:jc w:val="center"/>
              <w:rPr>
                <w:b/>
                <w:szCs w:val="21"/>
              </w:rPr>
            </w:pPr>
            <w:r>
              <w:rPr>
                <w:b/>
                <w:szCs w:val="21"/>
              </w:rPr>
              <w:t>表3-4  运营期废气污染物排放标准</w:t>
            </w:r>
          </w:p>
          <w:tbl>
            <w:tblPr>
              <w:tblStyle w:val="1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28" w:type="dxa"/>
                <w:bottom w:w="0" w:type="dxa"/>
                <w:right w:w="28" w:type="dxa"/>
              </w:tblCellMar>
            </w:tblPr>
            <w:tblGrid>
              <w:gridCol w:w="1063"/>
              <w:gridCol w:w="855"/>
              <w:gridCol w:w="1228"/>
              <w:gridCol w:w="519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0" w:type="auto"/>
                  <w:tcMar>
                    <w:left w:w="28" w:type="dxa"/>
                    <w:right w:w="28" w:type="dxa"/>
                  </w:tcMar>
                  <w:vAlign w:val="center"/>
                </w:tcPr>
                <w:p>
                  <w:pPr>
                    <w:adjustRightInd w:val="0"/>
                    <w:snapToGrid w:val="0"/>
                    <w:jc w:val="center"/>
                    <w:rPr>
                      <w:szCs w:val="21"/>
                    </w:rPr>
                  </w:pPr>
                  <w:bookmarkStart w:id="6" w:name="_Hlk130994698"/>
                  <w:r>
                    <w:rPr>
                      <w:rFonts w:hint="eastAsia"/>
                      <w:szCs w:val="21"/>
                    </w:rPr>
                    <w:t>排放口编号</w:t>
                  </w:r>
                </w:p>
              </w:tc>
              <w:tc>
                <w:tcPr>
                  <w:tcW w:w="0" w:type="auto"/>
                  <w:tcBorders>
                    <w:right w:val="single" w:color="auto" w:sz="4" w:space="0"/>
                  </w:tcBorders>
                  <w:tcMar>
                    <w:left w:w="28" w:type="dxa"/>
                    <w:right w:w="28" w:type="dxa"/>
                  </w:tcMar>
                  <w:vAlign w:val="center"/>
                </w:tcPr>
                <w:p>
                  <w:pPr>
                    <w:adjustRightInd w:val="0"/>
                    <w:snapToGrid w:val="0"/>
                    <w:jc w:val="center"/>
                    <w:rPr>
                      <w:szCs w:val="21"/>
                    </w:rPr>
                  </w:pPr>
                  <w:r>
                    <w:rPr>
                      <w:szCs w:val="21"/>
                    </w:rPr>
                    <w:t>污染物</w:t>
                  </w:r>
                </w:p>
              </w:tc>
              <w:tc>
                <w:tcPr>
                  <w:tcW w:w="0" w:type="auto"/>
                  <w:tcBorders>
                    <w:right w:val="single" w:color="auto" w:sz="4" w:space="0"/>
                  </w:tcBorders>
                  <w:vAlign w:val="center"/>
                </w:tcPr>
                <w:p>
                  <w:pPr>
                    <w:adjustRightInd w:val="0"/>
                    <w:snapToGrid w:val="0"/>
                    <w:jc w:val="center"/>
                    <w:rPr>
                      <w:szCs w:val="21"/>
                    </w:rPr>
                  </w:pPr>
                  <w:r>
                    <w:rPr>
                      <w:szCs w:val="21"/>
                    </w:rPr>
                    <w:t>限值</w:t>
                  </w:r>
                </w:p>
              </w:tc>
              <w:tc>
                <w:tcPr>
                  <w:tcW w:w="0" w:type="auto"/>
                  <w:tcBorders>
                    <w:left w:val="single" w:color="auto" w:sz="4" w:space="0"/>
                    <w:right w:val="single" w:color="auto" w:sz="4" w:space="0"/>
                  </w:tcBorders>
                  <w:vAlign w:val="center"/>
                </w:tcPr>
                <w:p>
                  <w:pPr>
                    <w:adjustRightInd w:val="0"/>
                    <w:snapToGrid w:val="0"/>
                    <w:jc w:val="center"/>
                    <w:rPr>
                      <w:szCs w:val="21"/>
                    </w:rPr>
                  </w:pPr>
                  <w:r>
                    <w:rPr>
                      <w:szCs w:val="21"/>
                    </w:rPr>
                    <w:t>标准来源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0" w:type="auto"/>
                  <w:tcMar>
                    <w:left w:w="28" w:type="dxa"/>
                    <w:right w:w="28" w:type="dxa"/>
                  </w:tcMar>
                  <w:vAlign w:val="center"/>
                </w:tcPr>
                <w:p>
                  <w:pPr>
                    <w:adjustRightInd w:val="0"/>
                    <w:snapToGrid w:val="0"/>
                    <w:jc w:val="center"/>
                    <w:rPr>
                      <w:szCs w:val="21"/>
                    </w:rPr>
                  </w:pPr>
                  <w:r>
                    <w:rPr>
                      <w:rFonts w:hint="eastAsia"/>
                      <w:szCs w:val="21"/>
                    </w:rPr>
                    <w:t>注塑废气排气筒D</w:t>
                  </w:r>
                  <w:r>
                    <w:rPr>
                      <w:szCs w:val="21"/>
                    </w:rPr>
                    <w:t>A001</w:t>
                  </w:r>
                </w:p>
              </w:tc>
              <w:tc>
                <w:tcPr>
                  <w:tcW w:w="0" w:type="auto"/>
                  <w:tcBorders>
                    <w:right w:val="single" w:color="auto" w:sz="4" w:space="0"/>
                  </w:tcBorders>
                  <w:tcMar>
                    <w:left w:w="28" w:type="dxa"/>
                    <w:right w:w="28" w:type="dxa"/>
                  </w:tcMar>
                  <w:vAlign w:val="center"/>
                </w:tcPr>
                <w:p>
                  <w:pPr>
                    <w:adjustRightInd w:val="0"/>
                    <w:snapToGrid w:val="0"/>
                    <w:jc w:val="center"/>
                    <w:rPr>
                      <w:szCs w:val="21"/>
                    </w:rPr>
                  </w:pPr>
                  <w:r>
                    <w:rPr>
                      <w:szCs w:val="21"/>
                    </w:rPr>
                    <w:t>非甲烷总烃</w:t>
                  </w:r>
                </w:p>
              </w:tc>
              <w:tc>
                <w:tcPr>
                  <w:tcW w:w="0" w:type="auto"/>
                  <w:tcBorders>
                    <w:right w:val="single" w:color="auto" w:sz="4" w:space="0"/>
                  </w:tcBorders>
                  <w:vAlign w:val="center"/>
                </w:tcPr>
                <w:p>
                  <w:pPr>
                    <w:adjustRightInd w:val="0"/>
                    <w:snapToGrid w:val="0"/>
                    <w:jc w:val="center"/>
                    <w:rPr>
                      <w:szCs w:val="21"/>
                    </w:rPr>
                  </w:pPr>
                  <w:r>
                    <w:rPr>
                      <w:szCs w:val="21"/>
                    </w:rPr>
                    <w:t>60 mg/m</w:t>
                  </w:r>
                  <w:r>
                    <w:rPr>
                      <w:szCs w:val="21"/>
                      <w:vertAlign w:val="superscript"/>
                    </w:rPr>
                    <w:t>3</w:t>
                  </w:r>
                </w:p>
              </w:tc>
              <w:tc>
                <w:tcPr>
                  <w:tcW w:w="0" w:type="auto"/>
                  <w:tcBorders>
                    <w:left w:val="single" w:color="auto" w:sz="4" w:space="0"/>
                    <w:right w:val="single" w:color="auto" w:sz="4" w:space="0"/>
                  </w:tcBorders>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）表5，同时满足</w:t>
                  </w:r>
                  <w:r>
                    <w:rPr>
                      <w:bCs/>
                      <w:szCs w:val="21"/>
                    </w:rPr>
                    <w:t>《工业企业挥发性有机物排放控制标准》（DB13/2322-2016）</w:t>
                  </w:r>
                  <w:r>
                    <w:rPr>
                      <w:rFonts w:hint="eastAsia"/>
                      <w:bCs/>
                      <w:szCs w:val="21"/>
                    </w:rPr>
                    <w:t>表1中“其他行业”要求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0" w:type="auto"/>
                  <w:vMerge w:val="restart"/>
                  <w:tcMar>
                    <w:left w:w="28" w:type="dxa"/>
                    <w:right w:w="28" w:type="dxa"/>
                  </w:tcMar>
                  <w:vAlign w:val="center"/>
                </w:tcPr>
                <w:p>
                  <w:pPr>
                    <w:adjustRightInd w:val="0"/>
                    <w:snapToGrid w:val="0"/>
                    <w:jc w:val="center"/>
                    <w:rPr>
                      <w:szCs w:val="21"/>
                    </w:rPr>
                  </w:pPr>
                  <w:r>
                    <w:rPr>
                      <w:szCs w:val="21"/>
                    </w:rPr>
                    <w:t>厂界无组织</w:t>
                  </w:r>
                </w:p>
              </w:tc>
              <w:tc>
                <w:tcPr>
                  <w:tcW w:w="0" w:type="auto"/>
                  <w:tcBorders>
                    <w:right w:val="single" w:color="auto" w:sz="4" w:space="0"/>
                  </w:tcBorders>
                  <w:tcMar>
                    <w:left w:w="28" w:type="dxa"/>
                    <w:right w:w="28" w:type="dxa"/>
                  </w:tcMar>
                  <w:vAlign w:val="center"/>
                </w:tcPr>
                <w:p>
                  <w:pPr>
                    <w:adjustRightInd w:val="0"/>
                    <w:snapToGrid w:val="0"/>
                    <w:jc w:val="center"/>
                    <w:rPr>
                      <w:szCs w:val="21"/>
                    </w:rPr>
                  </w:pPr>
                  <w:r>
                    <w:rPr>
                      <w:szCs w:val="21"/>
                    </w:rPr>
                    <w:t>非甲烷总烃</w:t>
                  </w:r>
                </w:p>
              </w:tc>
              <w:tc>
                <w:tcPr>
                  <w:tcW w:w="0" w:type="auto"/>
                  <w:tcBorders>
                    <w:right w:val="single" w:color="auto" w:sz="4" w:space="0"/>
                  </w:tcBorders>
                  <w:vAlign w:val="center"/>
                </w:tcPr>
                <w:p>
                  <w:pPr>
                    <w:adjustRightInd w:val="0"/>
                    <w:snapToGrid w:val="0"/>
                    <w:jc w:val="center"/>
                    <w:rPr>
                      <w:bCs/>
                      <w:szCs w:val="21"/>
                    </w:rPr>
                  </w:pPr>
                  <w:r>
                    <w:rPr>
                      <w:rFonts w:hint="eastAsia"/>
                      <w:bCs/>
                      <w:szCs w:val="21"/>
                    </w:rPr>
                    <w:t>2</w:t>
                  </w:r>
                  <w:r>
                    <w:rPr>
                      <w:bCs/>
                      <w:szCs w:val="21"/>
                    </w:rPr>
                    <w:t>.0</w:t>
                  </w:r>
                  <w:r>
                    <w:rPr>
                      <w:szCs w:val="21"/>
                    </w:rPr>
                    <w:t xml:space="preserve"> mg/m</w:t>
                  </w:r>
                  <w:r>
                    <w:rPr>
                      <w:szCs w:val="21"/>
                      <w:vertAlign w:val="superscript"/>
                    </w:rPr>
                    <w:t>3</w:t>
                  </w:r>
                </w:p>
              </w:tc>
              <w:tc>
                <w:tcPr>
                  <w:tcW w:w="0" w:type="auto"/>
                  <w:tcBorders>
                    <w:left w:val="single" w:color="auto" w:sz="4" w:space="0"/>
                    <w:right w:val="single" w:color="auto" w:sz="4" w:space="0"/>
                  </w:tcBorders>
                  <w:vAlign w:val="center"/>
                </w:tcPr>
                <w:p>
                  <w:pPr>
                    <w:adjustRightInd w:val="0"/>
                    <w:snapToGrid w:val="0"/>
                    <w:jc w:val="center"/>
                    <w:rPr>
                      <w:bCs/>
                      <w:szCs w:val="21"/>
                    </w:rPr>
                  </w:pPr>
                  <w:r>
                    <w:rPr>
                      <w:bCs/>
                      <w:szCs w:val="21"/>
                    </w:rPr>
                    <w:t>《工业企业挥发性有机物排放控制标准》（DB13/2322-2016）表2中“其他企业”要求</w:t>
                  </w:r>
                  <w:r>
                    <w:rPr>
                      <w:rFonts w:hint="eastAsia"/>
                      <w:bCs/>
                      <w:szCs w:val="21"/>
                    </w:rPr>
                    <w:t>，同时满足</w:t>
                  </w:r>
                  <w:r>
                    <w:rPr>
                      <w:rFonts w:hint="eastAsia"/>
                      <w:szCs w:val="21"/>
                    </w:rPr>
                    <w:t>《合成树脂工业污染物排放标准》（</w:t>
                  </w:r>
                  <w:r>
                    <w:rPr>
                      <w:szCs w:val="21"/>
                    </w:rPr>
                    <w:t>GB31572-2015</w:t>
                  </w:r>
                  <w:r>
                    <w:rPr>
                      <w:rFonts w:hint="eastAsia"/>
                      <w:szCs w:val="21"/>
                    </w:rPr>
                    <w:t>）表</w:t>
                  </w:r>
                  <w:r>
                    <w:rPr>
                      <w:szCs w:val="21"/>
                    </w:rPr>
                    <w:t>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0" w:type="auto"/>
                  <w:vMerge w:val="continue"/>
                  <w:tcMar>
                    <w:left w:w="28" w:type="dxa"/>
                    <w:right w:w="28" w:type="dxa"/>
                  </w:tcMar>
                  <w:vAlign w:val="center"/>
                </w:tcPr>
                <w:p>
                  <w:pPr>
                    <w:adjustRightInd w:val="0"/>
                    <w:snapToGrid w:val="0"/>
                    <w:jc w:val="center"/>
                    <w:rPr>
                      <w:szCs w:val="21"/>
                    </w:rPr>
                  </w:pPr>
                </w:p>
              </w:tc>
              <w:tc>
                <w:tcPr>
                  <w:tcW w:w="0" w:type="auto"/>
                  <w:tcBorders>
                    <w:right w:val="single" w:color="auto" w:sz="4" w:space="0"/>
                  </w:tcBorders>
                  <w:tcMar>
                    <w:left w:w="28" w:type="dxa"/>
                    <w:right w:w="28" w:type="dxa"/>
                  </w:tcMar>
                  <w:vAlign w:val="center"/>
                </w:tcPr>
                <w:p>
                  <w:pPr>
                    <w:adjustRightInd w:val="0"/>
                    <w:snapToGrid w:val="0"/>
                    <w:jc w:val="center"/>
                    <w:rPr>
                      <w:szCs w:val="21"/>
                    </w:rPr>
                  </w:pPr>
                  <w:r>
                    <w:rPr>
                      <w:rFonts w:hint="eastAsia"/>
                      <w:szCs w:val="21"/>
                    </w:rPr>
                    <w:t>颗粒物</w:t>
                  </w:r>
                </w:p>
              </w:tc>
              <w:tc>
                <w:tcPr>
                  <w:tcW w:w="0" w:type="auto"/>
                  <w:tcBorders>
                    <w:right w:val="single" w:color="auto" w:sz="4" w:space="0"/>
                  </w:tcBorders>
                  <w:vAlign w:val="center"/>
                </w:tcPr>
                <w:p>
                  <w:pPr>
                    <w:adjustRightInd w:val="0"/>
                    <w:snapToGrid w:val="0"/>
                    <w:jc w:val="center"/>
                    <w:rPr>
                      <w:szCs w:val="21"/>
                    </w:rPr>
                  </w:pPr>
                  <w:r>
                    <w:rPr>
                      <w:rFonts w:hint="eastAsia"/>
                      <w:szCs w:val="21"/>
                    </w:rPr>
                    <w:t>0</w:t>
                  </w:r>
                  <w:r>
                    <w:rPr>
                      <w:szCs w:val="21"/>
                    </w:rPr>
                    <w:t>.3 mg/m</w:t>
                  </w:r>
                  <w:r>
                    <w:rPr>
                      <w:szCs w:val="21"/>
                      <w:vertAlign w:val="superscript"/>
                    </w:rPr>
                    <w:t>3</w:t>
                  </w:r>
                </w:p>
              </w:tc>
              <w:tc>
                <w:tcPr>
                  <w:tcW w:w="0" w:type="auto"/>
                  <w:tcBorders>
                    <w:left w:val="single" w:color="auto" w:sz="4" w:space="0"/>
                    <w:right w:val="single" w:color="auto" w:sz="4" w:space="0"/>
                  </w:tcBorders>
                  <w:vAlign w:val="center"/>
                </w:tcPr>
                <w:p>
                  <w:pPr>
                    <w:adjustRightInd w:val="0"/>
                    <w:snapToGrid w:val="0"/>
                    <w:jc w:val="center"/>
                    <w:rPr>
                      <w:bCs/>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，同时满足</w:t>
                  </w:r>
                  <w:r>
                    <w:rPr>
                      <w:rFonts w:hint="eastAsia"/>
                      <w:bCs/>
                      <w:szCs w:val="21"/>
                    </w:rPr>
                    <w:t>《秦皇岛市人民政府办公室关于执行钢铁等行业大气污染物特别要求的通知》（2021-10）中无组织排放限值要求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0" w:type="auto"/>
                  <w:vMerge w:val="restart"/>
                  <w:tcMar>
                    <w:left w:w="28" w:type="dxa"/>
                    <w:right w:w="28" w:type="dxa"/>
                  </w:tcMar>
                  <w:vAlign w:val="center"/>
                </w:tcPr>
                <w:p>
                  <w:pPr>
                    <w:adjustRightInd w:val="0"/>
                    <w:snapToGrid w:val="0"/>
                    <w:jc w:val="center"/>
                    <w:rPr>
                      <w:szCs w:val="21"/>
                    </w:rPr>
                  </w:pPr>
                  <w:r>
                    <w:rPr>
                      <w:szCs w:val="21"/>
                    </w:rPr>
                    <w:t>厂房外</w:t>
                  </w:r>
                </w:p>
              </w:tc>
              <w:tc>
                <w:tcPr>
                  <w:tcW w:w="0" w:type="auto"/>
                  <w:vMerge w:val="restart"/>
                  <w:tcBorders>
                    <w:right w:val="single" w:color="auto" w:sz="4" w:space="0"/>
                  </w:tcBorders>
                  <w:tcMar>
                    <w:left w:w="28" w:type="dxa"/>
                    <w:right w:w="28" w:type="dxa"/>
                  </w:tcMar>
                  <w:vAlign w:val="center"/>
                </w:tcPr>
                <w:p>
                  <w:pPr>
                    <w:adjustRightInd w:val="0"/>
                    <w:snapToGrid w:val="0"/>
                    <w:jc w:val="center"/>
                    <w:rPr>
                      <w:szCs w:val="21"/>
                    </w:rPr>
                  </w:pPr>
                  <w:r>
                    <w:rPr>
                      <w:szCs w:val="21"/>
                    </w:rPr>
                    <w:t>非甲烷总烃</w:t>
                  </w:r>
                </w:p>
              </w:tc>
              <w:tc>
                <w:tcPr>
                  <w:tcW w:w="0" w:type="auto"/>
                  <w:tcBorders>
                    <w:right w:val="single" w:color="auto" w:sz="4" w:space="0"/>
                  </w:tcBorders>
                  <w:vAlign w:val="center"/>
                </w:tcPr>
                <w:p>
                  <w:pPr>
                    <w:adjustRightInd w:val="0"/>
                    <w:snapToGrid w:val="0"/>
                    <w:jc w:val="center"/>
                    <w:rPr>
                      <w:szCs w:val="21"/>
                    </w:rPr>
                  </w:pPr>
                  <w:r>
                    <w:rPr>
                      <w:rFonts w:hint="eastAsia"/>
                      <w:szCs w:val="21"/>
                    </w:rPr>
                    <w:t>监控点处1</w:t>
                  </w:r>
                  <w:r>
                    <w:rPr>
                      <w:szCs w:val="21"/>
                    </w:rPr>
                    <w:t>h</w:t>
                  </w:r>
                  <w:r>
                    <w:rPr>
                      <w:rFonts w:hint="eastAsia"/>
                      <w:szCs w:val="21"/>
                    </w:rPr>
                    <w:t>平均浓度6</w:t>
                  </w:r>
                  <w:r>
                    <w:rPr>
                      <w:szCs w:val="21"/>
                    </w:rPr>
                    <w:t xml:space="preserve"> mg/m</w:t>
                  </w:r>
                  <w:r>
                    <w:rPr>
                      <w:szCs w:val="21"/>
                      <w:vertAlign w:val="superscript"/>
                    </w:rPr>
                    <w:t>3</w:t>
                  </w:r>
                </w:p>
              </w:tc>
              <w:tc>
                <w:tcPr>
                  <w:tcW w:w="0" w:type="auto"/>
                  <w:vMerge w:val="restart"/>
                  <w:tcBorders>
                    <w:left w:val="single" w:color="auto" w:sz="4" w:space="0"/>
                    <w:right w:val="single" w:color="auto" w:sz="4" w:space="0"/>
                  </w:tcBorders>
                  <w:vAlign w:val="center"/>
                </w:tcPr>
                <w:p>
                  <w:pPr>
                    <w:adjustRightInd w:val="0"/>
                    <w:snapToGrid w:val="0"/>
                    <w:jc w:val="center"/>
                    <w:rPr>
                      <w:bCs/>
                      <w:szCs w:val="21"/>
                    </w:rPr>
                  </w:pPr>
                  <w:r>
                    <w:rPr>
                      <w:bCs/>
                      <w:szCs w:val="21"/>
                    </w:rPr>
                    <w:t>《</w:t>
                  </w:r>
                  <w:r>
                    <w:rPr>
                      <w:rFonts w:hint="eastAsia"/>
                      <w:bCs/>
                      <w:szCs w:val="21"/>
                    </w:rPr>
                    <w:t>挥发性有机物无组织</w:t>
                  </w:r>
                  <w:r>
                    <w:rPr>
                      <w:bCs/>
                      <w:szCs w:val="21"/>
                    </w:rPr>
                    <w:t>排放</w:t>
                  </w:r>
                  <w:r>
                    <w:rPr>
                      <w:rFonts w:hint="eastAsia"/>
                      <w:bCs/>
                      <w:szCs w:val="21"/>
                    </w:rPr>
                    <w:t>控制</w:t>
                  </w:r>
                  <w:r>
                    <w:rPr>
                      <w:bCs/>
                      <w:szCs w:val="21"/>
                    </w:rPr>
                    <w:t>标准》（GB37822-2019）表A.1要求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0" w:type="auto"/>
                  <w:vMerge w:val="continue"/>
                  <w:tcMar>
                    <w:left w:w="28" w:type="dxa"/>
                    <w:right w:w="28" w:type="dxa"/>
                  </w:tcMar>
                  <w:vAlign w:val="center"/>
                </w:tcPr>
                <w:p>
                  <w:pPr>
                    <w:adjustRightInd w:val="0"/>
                    <w:snapToGrid w:val="0"/>
                    <w:jc w:val="center"/>
                    <w:rPr>
                      <w:szCs w:val="21"/>
                    </w:rPr>
                  </w:pPr>
                </w:p>
              </w:tc>
              <w:tc>
                <w:tcPr>
                  <w:tcW w:w="0" w:type="auto"/>
                  <w:vMerge w:val="continue"/>
                  <w:tcBorders>
                    <w:right w:val="single" w:color="auto" w:sz="4" w:space="0"/>
                  </w:tcBorders>
                  <w:tcMar>
                    <w:left w:w="28" w:type="dxa"/>
                    <w:right w:w="28" w:type="dxa"/>
                  </w:tcMar>
                  <w:vAlign w:val="center"/>
                </w:tcPr>
                <w:p>
                  <w:pPr>
                    <w:adjustRightInd w:val="0"/>
                    <w:snapToGrid w:val="0"/>
                    <w:jc w:val="center"/>
                    <w:rPr>
                      <w:szCs w:val="21"/>
                    </w:rPr>
                  </w:pPr>
                </w:p>
              </w:tc>
              <w:tc>
                <w:tcPr>
                  <w:tcW w:w="0" w:type="auto"/>
                  <w:tcBorders>
                    <w:right w:val="single" w:color="auto" w:sz="4" w:space="0"/>
                  </w:tcBorders>
                  <w:vAlign w:val="center"/>
                </w:tcPr>
                <w:p>
                  <w:pPr>
                    <w:adjustRightInd w:val="0"/>
                    <w:snapToGrid w:val="0"/>
                    <w:jc w:val="center"/>
                    <w:rPr>
                      <w:szCs w:val="21"/>
                    </w:rPr>
                  </w:pPr>
                  <w:r>
                    <w:rPr>
                      <w:rFonts w:hint="eastAsia"/>
                      <w:szCs w:val="21"/>
                    </w:rPr>
                    <w:t>监控点处任意1次浓度</w:t>
                  </w:r>
                  <w:r>
                    <w:rPr>
                      <w:szCs w:val="21"/>
                    </w:rPr>
                    <w:t>20 mg/m</w:t>
                  </w:r>
                  <w:r>
                    <w:rPr>
                      <w:szCs w:val="21"/>
                      <w:vertAlign w:val="superscript"/>
                    </w:rPr>
                    <w:t>3</w:t>
                  </w:r>
                </w:p>
              </w:tc>
              <w:tc>
                <w:tcPr>
                  <w:tcW w:w="0" w:type="auto"/>
                  <w:vMerge w:val="continue"/>
                  <w:tcBorders>
                    <w:left w:val="single" w:color="auto" w:sz="4" w:space="0"/>
                    <w:right w:val="single" w:color="auto" w:sz="4" w:space="0"/>
                  </w:tcBorders>
                  <w:vAlign w:val="center"/>
                </w:tcPr>
                <w:p>
                  <w:pPr>
                    <w:adjustRightInd w:val="0"/>
                    <w:snapToGrid w:val="0"/>
                    <w:jc w:val="center"/>
                    <w:rPr>
                      <w:bCs/>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0" w:type="auto"/>
                  <w:tcMar>
                    <w:left w:w="28" w:type="dxa"/>
                    <w:right w:w="28" w:type="dxa"/>
                  </w:tcMar>
                  <w:vAlign w:val="center"/>
                </w:tcPr>
                <w:p>
                  <w:pPr>
                    <w:adjustRightInd w:val="0"/>
                    <w:snapToGrid w:val="0"/>
                    <w:jc w:val="center"/>
                    <w:rPr>
                      <w:szCs w:val="21"/>
                    </w:rPr>
                  </w:pPr>
                  <w:r>
                    <w:rPr>
                      <w:rFonts w:hint="eastAsia"/>
                      <w:szCs w:val="21"/>
                    </w:rPr>
                    <w:t>/</w:t>
                  </w:r>
                </w:p>
              </w:tc>
              <w:tc>
                <w:tcPr>
                  <w:tcW w:w="0" w:type="auto"/>
                  <w:tcBorders>
                    <w:right w:val="single" w:color="auto" w:sz="4" w:space="0"/>
                  </w:tcBorders>
                  <w:tcMar>
                    <w:left w:w="28" w:type="dxa"/>
                    <w:right w:w="28" w:type="dxa"/>
                  </w:tcMar>
                  <w:vAlign w:val="center"/>
                </w:tcPr>
                <w:p>
                  <w:pPr>
                    <w:adjustRightInd w:val="0"/>
                    <w:snapToGrid w:val="0"/>
                    <w:jc w:val="center"/>
                    <w:rPr>
                      <w:szCs w:val="21"/>
                    </w:rPr>
                  </w:pPr>
                  <w:r>
                    <w:rPr>
                      <w:rFonts w:hint="eastAsia"/>
                      <w:szCs w:val="21"/>
                    </w:rPr>
                    <w:t>单位产品非甲烷总烃排放量</w:t>
                  </w:r>
                </w:p>
              </w:tc>
              <w:tc>
                <w:tcPr>
                  <w:tcW w:w="0" w:type="auto"/>
                  <w:tcBorders>
                    <w:right w:val="single" w:color="auto" w:sz="4" w:space="0"/>
                  </w:tcBorders>
                  <w:vAlign w:val="center"/>
                </w:tcPr>
                <w:p>
                  <w:pPr>
                    <w:adjustRightInd w:val="0"/>
                    <w:snapToGrid w:val="0"/>
                    <w:jc w:val="center"/>
                    <w:rPr>
                      <w:szCs w:val="21"/>
                    </w:rPr>
                  </w:pPr>
                  <w:r>
                    <w:rPr>
                      <w:rFonts w:hint="eastAsia"/>
                      <w:szCs w:val="21"/>
                    </w:rPr>
                    <w:t>0</w:t>
                  </w:r>
                  <w:r>
                    <w:rPr>
                      <w:szCs w:val="21"/>
                    </w:rPr>
                    <w:t>.3 kg/t</w:t>
                  </w:r>
                  <w:r>
                    <w:rPr>
                      <w:rFonts w:hint="eastAsia"/>
                      <w:szCs w:val="21"/>
                    </w:rPr>
                    <w:t>产品</w:t>
                  </w:r>
                </w:p>
              </w:tc>
              <w:tc>
                <w:tcPr>
                  <w:tcW w:w="0" w:type="auto"/>
                  <w:tcBorders>
                    <w:left w:val="single" w:color="auto" w:sz="4" w:space="0"/>
                    <w:right w:val="single" w:color="auto" w:sz="4" w:space="0"/>
                  </w:tcBorders>
                  <w:vAlign w:val="center"/>
                </w:tcPr>
                <w:p>
                  <w:pPr>
                    <w:adjustRightInd w:val="0"/>
                    <w:snapToGrid w:val="0"/>
                    <w:jc w:val="center"/>
                    <w:rPr>
                      <w:bCs/>
                      <w:szCs w:val="21"/>
                    </w:rPr>
                  </w:pPr>
                  <w:r>
                    <w:rPr>
                      <w:rFonts w:hint="eastAsia"/>
                      <w:szCs w:val="21"/>
                    </w:rPr>
                    <w:t>《合成树脂工业污染物排放标准》（</w:t>
                  </w:r>
                  <w:r>
                    <w:rPr>
                      <w:szCs w:val="21"/>
                    </w:rPr>
                    <w:t>GB31572-2015</w:t>
                  </w:r>
                  <w:r>
                    <w:rPr>
                      <w:rFonts w:hint="eastAsia"/>
                      <w:szCs w:val="21"/>
                    </w:rPr>
                    <w:t>）表5</w:t>
                  </w:r>
                </w:p>
              </w:tc>
            </w:tr>
            <w:bookmarkEnd w:id="6"/>
          </w:tbl>
          <w:p>
            <w:pPr>
              <w:adjustRightInd w:val="0"/>
              <w:snapToGrid w:val="0"/>
              <w:spacing w:line="400" w:lineRule="exact"/>
              <w:ind w:firstLine="422" w:firstLineChars="200"/>
              <w:rPr>
                <w:bCs/>
                <w:szCs w:val="21"/>
              </w:rPr>
            </w:pPr>
            <w:r>
              <w:rPr>
                <w:rFonts w:hint="eastAsia"/>
                <w:b/>
                <w:szCs w:val="21"/>
              </w:rPr>
              <w:t>2、废水：</w:t>
            </w:r>
            <w:r>
              <w:rPr>
                <w:rFonts w:hint="eastAsia"/>
                <w:bCs/>
                <w:szCs w:val="21"/>
              </w:rPr>
              <w:t>项目生活污水厂区内泼洒抑尘，不外排，循环冷却水重复利用，无废水产生。</w:t>
            </w:r>
          </w:p>
          <w:p>
            <w:pPr>
              <w:adjustRightInd w:val="0"/>
              <w:snapToGrid w:val="0"/>
              <w:spacing w:line="400" w:lineRule="exact"/>
              <w:ind w:firstLine="422" w:firstLineChars="200"/>
              <w:rPr>
                <w:b/>
                <w:szCs w:val="21"/>
              </w:rPr>
            </w:pPr>
            <w:r>
              <w:rPr>
                <w:b/>
                <w:szCs w:val="21"/>
              </w:rPr>
              <w:t>3、噪声：</w:t>
            </w:r>
          </w:p>
          <w:p>
            <w:pPr>
              <w:adjustRightInd w:val="0"/>
              <w:snapToGrid w:val="0"/>
              <w:spacing w:line="400" w:lineRule="exact"/>
              <w:ind w:firstLine="420" w:firstLineChars="200"/>
              <w:rPr>
                <w:bCs/>
                <w:szCs w:val="21"/>
              </w:rPr>
            </w:pPr>
            <w:r>
              <w:rPr>
                <w:bCs/>
                <w:szCs w:val="21"/>
              </w:rPr>
              <w:t>厂界噪声执行《工业企业厂界环境噪声排放标准》(GB12348-2008)3</w:t>
            </w:r>
            <w:r>
              <w:rPr>
                <w:rFonts w:hint="eastAsia"/>
                <w:bCs/>
                <w:szCs w:val="21"/>
              </w:rPr>
              <w:t>类</w:t>
            </w:r>
            <w:r>
              <w:rPr>
                <w:bCs/>
                <w:szCs w:val="21"/>
              </w:rPr>
              <w:t>区标准，即昼间≤65dB(A)，夜间≤55dB(A)</w:t>
            </w:r>
            <w:r>
              <w:rPr>
                <w:rFonts w:hint="eastAsia"/>
                <w:bCs/>
                <w:szCs w:val="21"/>
              </w:rPr>
              <w:t>。</w:t>
            </w:r>
          </w:p>
          <w:p>
            <w:pPr>
              <w:adjustRightInd w:val="0"/>
              <w:snapToGrid w:val="0"/>
              <w:spacing w:line="400" w:lineRule="exact"/>
              <w:ind w:firstLine="422" w:firstLineChars="200"/>
              <w:rPr>
                <w:b/>
                <w:szCs w:val="21"/>
              </w:rPr>
            </w:pPr>
            <w:r>
              <w:rPr>
                <w:rFonts w:hint="eastAsia"/>
                <w:b/>
                <w:szCs w:val="21"/>
              </w:rPr>
              <w:t xml:space="preserve"> </w:t>
            </w:r>
            <w:r>
              <w:rPr>
                <w:b/>
                <w:szCs w:val="21"/>
              </w:rPr>
              <w:t>4</w:t>
            </w:r>
            <w:r>
              <w:rPr>
                <w:rFonts w:hint="eastAsia"/>
                <w:b/>
                <w:szCs w:val="21"/>
              </w:rPr>
              <w:t>、</w:t>
            </w:r>
            <w:r>
              <w:rPr>
                <w:b/>
                <w:szCs w:val="21"/>
              </w:rPr>
              <w:t>固废：</w:t>
            </w:r>
          </w:p>
          <w:p>
            <w:pPr>
              <w:adjustRightInd w:val="0"/>
              <w:snapToGrid w:val="0"/>
              <w:spacing w:line="400" w:lineRule="exact"/>
              <w:ind w:firstLine="420" w:firstLineChars="200"/>
              <w:rPr>
                <w:bCs/>
                <w:szCs w:val="21"/>
              </w:rPr>
            </w:pPr>
            <w:r>
              <w:rPr>
                <w:rFonts w:hint="eastAsia"/>
                <w:bCs/>
                <w:szCs w:val="21"/>
              </w:rPr>
              <w:t>一般工业固废依据《中华人民共和国固体废物污染环境防治法》第十六条规定：收集、贮存、运输、利用、处置固体废物的单位和个人，必须采取防扬散、防流失、防渗漏或者其他防止污染环境的措施。不得在运输过程中沿途丢弃、遗撒固体废物。</w:t>
            </w:r>
          </w:p>
          <w:p>
            <w:pPr>
              <w:adjustRightInd w:val="0"/>
              <w:snapToGrid w:val="0"/>
              <w:spacing w:line="400" w:lineRule="exact"/>
              <w:ind w:firstLine="420" w:firstLineChars="200"/>
              <w:rPr>
                <w:bCs/>
                <w:szCs w:val="21"/>
              </w:rPr>
            </w:pPr>
            <w:r>
              <w:rPr>
                <w:bCs/>
                <w:szCs w:val="21"/>
              </w:rPr>
              <w:t>危险废物执行《危险废物贮存污染控制标准》(GB18597-2023)要求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98" w:hRule="atLeast"/>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总量</w:t>
            </w:r>
          </w:p>
          <w:p>
            <w:pPr>
              <w:adjustRightInd w:val="0"/>
              <w:snapToGrid w:val="0"/>
              <w:jc w:val="center"/>
              <w:rPr>
                <w:rFonts w:ascii="宋体" w:hAnsi="宋体" w:cs="宋体"/>
                <w:kern w:val="0"/>
                <w:szCs w:val="21"/>
              </w:rPr>
            </w:pPr>
            <w:r>
              <w:rPr>
                <w:rFonts w:hint="eastAsia" w:ascii="宋体" w:hAnsi="宋体" w:cs="宋体"/>
                <w:kern w:val="0"/>
                <w:szCs w:val="21"/>
              </w:rPr>
              <w:t>控制</w:t>
            </w:r>
          </w:p>
          <w:p>
            <w:pPr>
              <w:adjustRightInd w:val="0"/>
              <w:snapToGrid w:val="0"/>
              <w:jc w:val="center"/>
              <w:rPr>
                <w:rFonts w:ascii="宋体" w:hAnsi="宋体" w:cs="宋体"/>
                <w:kern w:val="0"/>
                <w:szCs w:val="21"/>
              </w:rPr>
            </w:pPr>
            <w:r>
              <w:rPr>
                <w:rFonts w:hint="eastAsia" w:ascii="宋体" w:hAnsi="宋体" w:cs="宋体"/>
                <w:kern w:val="0"/>
                <w:szCs w:val="21"/>
              </w:rPr>
              <w:t>指标</w:t>
            </w:r>
          </w:p>
        </w:tc>
        <w:tc>
          <w:tcPr>
            <w:tcW w:w="8190" w:type="dxa"/>
            <w:vAlign w:val="center"/>
          </w:tcPr>
          <w:p>
            <w:pPr>
              <w:adjustRightInd w:val="0"/>
              <w:snapToGrid w:val="0"/>
              <w:spacing w:line="400" w:lineRule="exact"/>
              <w:ind w:firstLine="420" w:firstLineChars="200"/>
              <w:rPr>
                <w:kern w:val="0"/>
                <w:szCs w:val="21"/>
              </w:rPr>
            </w:pPr>
            <w:r>
              <w:rPr>
                <w:rFonts w:hint="eastAsia"/>
                <w:kern w:val="0"/>
                <w:szCs w:val="21"/>
              </w:rPr>
              <w:t>本项目</w:t>
            </w:r>
            <w:r>
              <w:rPr>
                <w:rFonts w:hint="eastAsia"/>
                <w:bCs/>
                <w:szCs w:val="21"/>
              </w:rPr>
              <w:t>项目生活污水厂区内泼洒抑尘，不外排，循环冷却水重复利用，无废水产生。同时</w:t>
            </w:r>
            <w:r>
              <w:rPr>
                <w:rFonts w:hint="eastAsia"/>
                <w:kern w:val="0"/>
                <w:szCs w:val="21"/>
              </w:rPr>
              <w:t>无二氧化硫、氮氧化物排放，根据工程分析核算项目污染物排放情况如下表：</w:t>
            </w:r>
          </w:p>
          <w:p>
            <w:pPr>
              <w:spacing w:line="400" w:lineRule="exact"/>
              <w:jc w:val="center"/>
              <w:rPr>
                <w:b/>
                <w:szCs w:val="21"/>
              </w:rPr>
            </w:pPr>
            <w:r>
              <w:rPr>
                <w:rFonts w:hint="eastAsia"/>
                <w:b/>
                <w:szCs w:val="21"/>
              </w:rPr>
              <w:t>表</w:t>
            </w:r>
            <w:r>
              <w:rPr>
                <w:b/>
                <w:szCs w:val="21"/>
              </w:rPr>
              <w:t xml:space="preserve">3-5    </w:t>
            </w:r>
            <w:r>
              <w:rPr>
                <w:rFonts w:hint="eastAsia"/>
                <w:b/>
                <w:szCs w:val="21"/>
              </w:rPr>
              <w:t>根据工程分析核算总量</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1668"/>
              <w:gridCol w:w="1669"/>
              <w:gridCol w:w="1669"/>
              <w:gridCol w:w="1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00" w:type="pct"/>
                  <w:vAlign w:val="center"/>
                </w:tcPr>
                <w:p>
                  <w:pPr>
                    <w:adjustRightInd w:val="0"/>
                    <w:snapToGrid w:val="0"/>
                    <w:jc w:val="center"/>
                    <w:rPr>
                      <w:bCs/>
                      <w:szCs w:val="21"/>
                    </w:rPr>
                  </w:pPr>
                  <w:r>
                    <w:rPr>
                      <w:rFonts w:hint="eastAsia"/>
                      <w:bCs/>
                      <w:szCs w:val="21"/>
                    </w:rPr>
                    <w:t>序号</w:t>
                  </w:r>
                </w:p>
              </w:tc>
              <w:tc>
                <w:tcPr>
                  <w:tcW w:w="1000" w:type="pct"/>
                  <w:vAlign w:val="center"/>
                </w:tcPr>
                <w:p>
                  <w:pPr>
                    <w:adjustRightInd w:val="0"/>
                    <w:snapToGrid w:val="0"/>
                    <w:jc w:val="center"/>
                    <w:rPr>
                      <w:bCs/>
                      <w:szCs w:val="21"/>
                    </w:rPr>
                  </w:pPr>
                  <w:r>
                    <w:rPr>
                      <w:bCs/>
                      <w:szCs w:val="21"/>
                    </w:rPr>
                    <w:t>污染物</w:t>
                  </w:r>
                </w:p>
              </w:tc>
              <w:tc>
                <w:tcPr>
                  <w:tcW w:w="1000" w:type="pct"/>
                  <w:vAlign w:val="center"/>
                </w:tcPr>
                <w:p>
                  <w:pPr>
                    <w:adjustRightInd w:val="0"/>
                    <w:snapToGrid w:val="0"/>
                    <w:jc w:val="center"/>
                    <w:rPr>
                      <w:bCs/>
                      <w:szCs w:val="21"/>
                    </w:rPr>
                  </w:pPr>
                  <w:r>
                    <w:rPr>
                      <w:rFonts w:hint="eastAsia"/>
                      <w:bCs/>
                      <w:szCs w:val="21"/>
                    </w:rPr>
                    <w:t>排放形式</w:t>
                  </w:r>
                </w:p>
              </w:tc>
              <w:tc>
                <w:tcPr>
                  <w:tcW w:w="1000" w:type="pct"/>
                  <w:vAlign w:val="center"/>
                </w:tcPr>
                <w:p>
                  <w:pPr>
                    <w:adjustRightInd w:val="0"/>
                    <w:snapToGrid w:val="0"/>
                    <w:jc w:val="center"/>
                    <w:rPr>
                      <w:bCs/>
                      <w:szCs w:val="21"/>
                    </w:rPr>
                  </w:pPr>
                  <w:r>
                    <w:rPr>
                      <w:bCs/>
                      <w:szCs w:val="21"/>
                    </w:rPr>
                    <w:t>排放情况</w:t>
                  </w:r>
                </w:p>
              </w:tc>
              <w:tc>
                <w:tcPr>
                  <w:tcW w:w="1000" w:type="pct"/>
                  <w:vAlign w:val="center"/>
                </w:tcPr>
                <w:p>
                  <w:pPr>
                    <w:adjustRightInd w:val="0"/>
                    <w:snapToGrid w:val="0"/>
                    <w:jc w:val="center"/>
                    <w:rPr>
                      <w:bCs/>
                      <w:szCs w:val="21"/>
                    </w:rPr>
                  </w:pPr>
                  <w:r>
                    <w:rPr>
                      <w:rFonts w:hint="eastAsia"/>
                      <w:bCs/>
                      <w:szCs w:val="21"/>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00" w:type="pct"/>
                  <w:vAlign w:val="center"/>
                </w:tcPr>
                <w:p>
                  <w:pPr>
                    <w:adjustRightInd w:val="0"/>
                    <w:snapToGrid w:val="0"/>
                    <w:jc w:val="center"/>
                    <w:rPr>
                      <w:bCs/>
                      <w:szCs w:val="21"/>
                    </w:rPr>
                  </w:pPr>
                  <w:r>
                    <w:rPr>
                      <w:rFonts w:hint="eastAsia"/>
                      <w:bCs/>
                      <w:szCs w:val="21"/>
                    </w:rPr>
                    <w:t>1</w:t>
                  </w:r>
                </w:p>
              </w:tc>
              <w:tc>
                <w:tcPr>
                  <w:tcW w:w="1000" w:type="pct"/>
                  <w:vMerge w:val="restart"/>
                  <w:vAlign w:val="center"/>
                </w:tcPr>
                <w:p>
                  <w:pPr>
                    <w:adjustRightInd w:val="0"/>
                    <w:snapToGrid w:val="0"/>
                    <w:jc w:val="center"/>
                    <w:rPr>
                      <w:bCs/>
                      <w:szCs w:val="21"/>
                    </w:rPr>
                  </w:pPr>
                  <w:r>
                    <w:rPr>
                      <w:rFonts w:hint="eastAsia"/>
                      <w:bCs/>
                      <w:szCs w:val="21"/>
                    </w:rPr>
                    <w:t>非甲烷总烃</w:t>
                  </w:r>
                </w:p>
              </w:tc>
              <w:tc>
                <w:tcPr>
                  <w:tcW w:w="1000" w:type="pct"/>
                  <w:vAlign w:val="center"/>
                </w:tcPr>
                <w:p>
                  <w:pPr>
                    <w:adjustRightInd w:val="0"/>
                    <w:snapToGrid w:val="0"/>
                    <w:jc w:val="center"/>
                  </w:pPr>
                  <w:r>
                    <w:t>有组织</w:t>
                  </w:r>
                </w:p>
              </w:tc>
              <w:tc>
                <w:tcPr>
                  <w:tcW w:w="1000" w:type="pct"/>
                  <w:vAlign w:val="center"/>
                </w:tcPr>
                <w:p>
                  <w:pPr>
                    <w:adjustRightInd w:val="0"/>
                    <w:snapToGrid w:val="0"/>
                    <w:jc w:val="center"/>
                    <w:rPr>
                      <w:szCs w:val="21"/>
                    </w:rPr>
                  </w:pPr>
                  <w:r>
                    <w:rPr>
                      <w:szCs w:val="21"/>
                    </w:rPr>
                    <w:t>0.041 t/a</w:t>
                  </w:r>
                </w:p>
              </w:tc>
              <w:tc>
                <w:tcPr>
                  <w:tcW w:w="1000" w:type="pct"/>
                  <w:vMerge w:val="restart"/>
                  <w:vAlign w:val="center"/>
                </w:tcPr>
                <w:p>
                  <w:pPr>
                    <w:adjustRightInd w:val="0"/>
                    <w:snapToGrid w:val="0"/>
                    <w:jc w:val="center"/>
                    <w:rPr>
                      <w:szCs w:val="21"/>
                    </w:rPr>
                  </w:pPr>
                  <w:r>
                    <w:rPr>
                      <w:rFonts w:hint="eastAsia"/>
                      <w:szCs w:val="21"/>
                    </w:rPr>
                    <w:t>工程分析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00" w:type="pct"/>
                  <w:vAlign w:val="center"/>
                </w:tcPr>
                <w:p>
                  <w:pPr>
                    <w:adjustRightInd w:val="0"/>
                    <w:snapToGrid w:val="0"/>
                    <w:jc w:val="center"/>
                    <w:rPr>
                      <w:bCs/>
                      <w:szCs w:val="21"/>
                    </w:rPr>
                  </w:pPr>
                  <w:r>
                    <w:rPr>
                      <w:rFonts w:hint="eastAsia"/>
                      <w:bCs/>
                      <w:szCs w:val="21"/>
                    </w:rPr>
                    <w:t>2</w:t>
                  </w:r>
                </w:p>
              </w:tc>
              <w:tc>
                <w:tcPr>
                  <w:tcW w:w="1000" w:type="pct"/>
                  <w:vMerge w:val="continue"/>
                  <w:vAlign w:val="center"/>
                </w:tcPr>
                <w:p>
                  <w:pPr>
                    <w:adjustRightInd w:val="0"/>
                    <w:snapToGrid w:val="0"/>
                    <w:jc w:val="center"/>
                    <w:rPr>
                      <w:bCs/>
                      <w:szCs w:val="21"/>
                    </w:rPr>
                  </w:pPr>
                </w:p>
              </w:tc>
              <w:tc>
                <w:tcPr>
                  <w:tcW w:w="1000" w:type="pct"/>
                  <w:vAlign w:val="center"/>
                </w:tcPr>
                <w:p>
                  <w:pPr>
                    <w:adjustRightInd w:val="0"/>
                    <w:snapToGrid w:val="0"/>
                    <w:jc w:val="center"/>
                  </w:pPr>
                  <w:r>
                    <w:rPr>
                      <w:rFonts w:hint="eastAsia"/>
                    </w:rPr>
                    <w:t>无组织</w:t>
                  </w:r>
                </w:p>
              </w:tc>
              <w:tc>
                <w:tcPr>
                  <w:tcW w:w="1000" w:type="pct"/>
                  <w:vAlign w:val="center"/>
                </w:tcPr>
                <w:p>
                  <w:pPr>
                    <w:adjustRightInd w:val="0"/>
                    <w:snapToGrid w:val="0"/>
                    <w:jc w:val="center"/>
                    <w:rPr>
                      <w:szCs w:val="21"/>
                    </w:rPr>
                  </w:pPr>
                  <w:r>
                    <w:rPr>
                      <w:rFonts w:hint="eastAsia"/>
                      <w:szCs w:val="21"/>
                    </w:rPr>
                    <w:t>0</w:t>
                  </w:r>
                  <w:r>
                    <w:rPr>
                      <w:szCs w:val="21"/>
                    </w:rPr>
                    <w:t>.021 t/a</w:t>
                  </w:r>
                </w:p>
              </w:tc>
              <w:tc>
                <w:tcPr>
                  <w:tcW w:w="1000" w:type="pct"/>
                  <w:vMerge w:val="continue"/>
                  <w:vAlign w:val="center"/>
                </w:tcPr>
                <w:p>
                  <w:pPr>
                    <w:adjustRightInd w:val="0"/>
                    <w:snapToGrid w:val="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00" w:type="pct"/>
                  <w:vAlign w:val="center"/>
                </w:tcPr>
                <w:p>
                  <w:pPr>
                    <w:adjustRightInd w:val="0"/>
                    <w:snapToGrid w:val="0"/>
                    <w:jc w:val="center"/>
                    <w:rPr>
                      <w:bCs/>
                      <w:szCs w:val="21"/>
                    </w:rPr>
                  </w:pPr>
                  <w:r>
                    <w:rPr>
                      <w:bCs/>
                      <w:szCs w:val="21"/>
                    </w:rPr>
                    <w:t>3</w:t>
                  </w:r>
                </w:p>
              </w:tc>
              <w:tc>
                <w:tcPr>
                  <w:tcW w:w="1000" w:type="pct"/>
                  <w:vAlign w:val="center"/>
                </w:tcPr>
                <w:p>
                  <w:pPr>
                    <w:adjustRightInd w:val="0"/>
                    <w:snapToGrid w:val="0"/>
                    <w:jc w:val="center"/>
                    <w:rPr>
                      <w:bCs/>
                      <w:szCs w:val="21"/>
                    </w:rPr>
                  </w:pPr>
                  <w:r>
                    <w:rPr>
                      <w:rFonts w:hint="eastAsia"/>
                      <w:bCs/>
                      <w:szCs w:val="21"/>
                    </w:rPr>
                    <w:t>颗粒物</w:t>
                  </w:r>
                </w:p>
              </w:tc>
              <w:tc>
                <w:tcPr>
                  <w:tcW w:w="1000" w:type="pct"/>
                  <w:vAlign w:val="center"/>
                </w:tcPr>
                <w:p>
                  <w:pPr>
                    <w:adjustRightInd w:val="0"/>
                    <w:snapToGrid w:val="0"/>
                    <w:jc w:val="center"/>
                  </w:pPr>
                  <w:r>
                    <w:rPr>
                      <w:rFonts w:hint="eastAsia"/>
                    </w:rPr>
                    <w:t>无组织</w:t>
                  </w:r>
                </w:p>
              </w:tc>
              <w:tc>
                <w:tcPr>
                  <w:tcW w:w="1000" w:type="pct"/>
                  <w:vAlign w:val="center"/>
                </w:tcPr>
                <w:p>
                  <w:pPr>
                    <w:adjustRightInd w:val="0"/>
                    <w:snapToGrid w:val="0"/>
                    <w:jc w:val="center"/>
                    <w:rPr>
                      <w:szCs w:val="21"/>
                    </w:rPr>
                  </w:pPr>
                  <w:r>
                    <w:rPr>
                      <w:rFonts w:hint="eastAsia"/>
                      <w:szCs w:val="21"/>
                    </w:rPr>
                    <w:t>0</w:t>
                  </w:r>
                  <w:r>
                    <w:rPr>
                      <w:szCs w:val="21"/>
                    </w:rPr>
                    <w:t>.0909 t/a</w:t>
                  </w:r>
                </w:p>
              </w:tc>
              <w:tc>
                <w:tcPr>
                  <w:tcW w:w="1000" w:type="pct"/>
                  <w:vMerge w:val="continue"/>
                  <w:vAlign w:val="center"/>
                </w:tcPr>
                <w:p>
                  <w:pPr>
                    <w:adjustRightInd w:val="0"/>
                    <w:snapToGrid w:val="0"/>
                    <w:jc w:val="center"/>
                    <w:rPr>
                      <w:szCs w:val="21"/>
                    </w:rPr>
                  </w:pPr>
                </w:p>
              </w:tc>
            </w:tr>
          </w:tbl>
          <w:p>
            <w:pPr>
              <w:adjustRightInd w:val="0"/>
              <w:snapToGrid w:val="0"/>
              <w:spacing w:line="400" w:lineRule="exact"/>
              <w:ind w:firstLine="420" w:firstLineChars="200"/>
              <w:rPr>
                <w:bCs/>
                <w:szCs w:val="21"/>
              </w:rPr>
            </w:pPr>
            <w:r>
              <w:rPr>
                <w:rFonts w:hint="eastAsia"/>
                <w:bCs/>
                <w:szCs w:val="21"/>
              </w:rPr>
              <w:t>本项目污染物排放量为：</w:t>
            </w:r>
            <w:r>
              <w:rPr>
                <w:rFonts w:hint="eastAsia"/>
                <w:kern w:val="0"/>
                <w:szCs w:val="21"/>
              </w:rPr>
              <w:t>二氧化硫：0</w:t>
            </w:r>
            <w:r>
              <w:rPr>
                <w:kern w:val="0"/>
                <w:szCs w:val="21"/>
              </w:rPr>
              <w:t xml:space="preserve"> </w:t>
            </w:r>
            <w:r>
              <w:rPr>
                <w:bCs/>
                <w:szCs w:val="21"/>
              </w:rPr>
              <w:t>t/a</w:t>
            </w:r>
            <w:r>
              <w:rPr>
                <w:rFonts w:hint="eastAsia"/>
                <w:bCs/>
                <w:szCs w:val="21"/>
              </w:rPr>
              <w:t>、</w:t>
            </w:r>
            <w:r>
              <w:rPr>
                <w:rFonts w:hint="eastAsia"/>
                <w:kern w:val="0"/>
                <w:szCs w:val="21"/>
              </w:rPr>
              <w:t>氮氧化物：0</w:t>
            </w:r>
            <w:r>
              <w:rPr>
                <w:kern w:val="0"/>
                <w:szCs w:val="21"/>
              </w:rPr>
              <w:t xml:space="preserve"> </w:t>
            </w:r>
            <w:r>
              <w:rPr>
                <w:bCs/>
                <w:szCs w:val="21"/>
              </w:rPr>
              <w:t>t/a</w:t>
            </w:r>
            <w:r>
              <w:rPr>
                <w:rFonts w:hint="eastAsia"/>
                <w:bCs/>
                <w:szCs w:val="21"/>
              </w:rPr>
              <w:t>、非甲烷总烃：</w:t>
            </w:r>
            <w:r>
              <w:rPr>
                <w:szCs w:val="21"/>
              </w:rPr>
              <w:t>0.041</w:t>
            </w:r>
            <w:r>
              <w:rPr>
                <w:bCs/>
                <w:szCs w:val="21"/>
              </w:rPr>
              <w:t xml:space="preserve"> t/a</w:t>
            </w:r>
            <w:r>
              <w:rPr>
                <w:rFonts w:hint="eastAsia"/>
                <w:bCs/>
                <w:szCs w:val="21"/>
              </w:rPr>
              <w:t>、C</w:t>
            </w:r>
            <w:r>
              <w:rPr>
                <w:bCs/>
                <w:szCs w:val="21"/>
              </w:rPr>
              <w:t>OD</w:t>
            </w:r>
            <w:r>
              <w:rPr>
                <w:rFonts w:hint="eastAsia"/>
                <w:bCs/>
                <w:szCs w:val="21"/>
              </w:rPr>
              <w:t>：</w:t>
            </w:r>
            <w:r>
              <w:rPr>
                <w:bCs/>
                <w:szCs w:val="21"/>
              </w:rPr>
              <w:t>0 t/a</w:t>
            </w:r>
            <w:r>
              <w:rPr>
                <w:rFonts w:hint="eastAsia"/>
                <w:bCs/>
                <w:szCs w:val="21"/>
              </w:rPr>
              <w:t>、氨氮：</w:t>
            </w:r>
            <w:r>
              <w:rPr>
                <w:bCs/>
                <w:szCs w:val="21"/>
              </w:rPr>
              <w:t>0 t/a</w:t>
            </w:r>
            <w:r>
              <w:rPr>
                <w:rFonts w:hint="eastAsia"/>
                <w:bCs/>
                <w:szCs w:val="21"/>
              </w:rPr>
              <w:t>。</w:t>
            </w:r>
          </w:p>
        </w:tc>
      </w:tr>
    </w:tbl>
    <w:p>
      <w:pPr>
        <w:pStyle w:val="13"/>
        <w:jc w:val="center"/>
        <w:outlineLvl w:val="0"/>
        <w:rPr>
          <w:rFonts w:ascii="黑体" w:hAnsi="黑体" w:eastAsia="黑体"/>
          <w:snapToGrid w:val="0"/>
          <w:sz w:val="30"/>
          <w:szCs w:val="30"/>
        </w:rPr>
      </w:pPr>
      <w:r>
        <w:rPr>
          <w:rFonts w:ascii="黑体" w:hAnsi="黑体" w:eastAsia="黑体"/>
          <w:snapToGrid w:val="0"/>
          <w:sz w:val="36"/>
          <w:szCs w:val="36"/>
        </w:rPr>
        <w:br w:type="page"/>
      </w:r>
      <w:r>
        <w:rPr>
          <w:rFonts w:hint="eastAsia" w:ascii="黑体" w:hAnsi="黑体" w:eastAsia="黑体"/>
          <w:snapToGrid w:val="0"/>
          <w:sz w:val="30"/>
          <w:szCs w:val="30"/>
        </w:rPr>
        <w:t>四、主要环境影响和保护措施</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46"/>
        <w:gridCol w:w="816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66" w:hRule="atLeast"/>
          <w:jc w:val="center"/>
        </w:trPr>
        <w:tc>
          <w:tcPr>
            <w:tcW w:w="746" w:type="dxa"/>
            <w:tcMar>
              <w:left w:w="28" w:type="dxa"/>
              <w:right w:w="28" w:type="dxa"/>
            </w:tcMar>
            <w:vAlign w:val="center"/>
          </w:tcPr>
          <w:p>
            <w:pPr>
              <w:pStyle w:val="13"/>
              <w:adjustRightInd w:val="0"/>
              <w:snapToGrid w:val="0"/>
              <w:spacing w:before="0" w:beforeAutospacing="0" w:after="0" w:afterAutospacing="0"/>
              <w:jc w:val="center"/>
              <w:rPr>
                <w:rFonts w:cs="宋体"/>
                <w:kern w:val="2"/>
                <w:sz w:val="21"/>
                <w:szCs w:val="21"/>
              </w:rPr>
            </w:pPr>
            <w:r>
              <w:rPr>
                <w:rFonts w:hint="eastAsia" w:cs="宋体"/>
                <w:kern w:val="2"/>
                <w:sz w:val="21"/>
                <w:szCs w:val="21"/>
              </w:rPr>
              <w:t>施工</w:t>
            </w:r>
          </w:p>
          <w:p>
            <w:pPr>
              <w:pStyle w:val="13"/>
              <w:adjustRightInd w:val="0"/>
              <w:snapToGrid w:val="0"/>
              <w:spacing w:before="0" w:beforeAutospacing="0" w:after="0" w:afterAutospacing="0"/>
              <w:jc w:val="center"/>
              <w:rPr>
                <w:rFonts w:cs="宋体"/>
                <w:kern w:val="2"/>
                <w:sz w:val="21"/>
                <w:szCs w:val="21"/>
              </w:rPr>
            </w:pPr>
            <w:r>
              <w:rPr>
                <w:rFonts w:hint="eastAsia" w:cs="宋体"/>
                <w:kern w:val="2"/>
                <w:sz w:val="21"/>
                <w:szCs w:val="21"/>
              </w:rPr>
              <w:t>期环</w:t>
            </w:r>
          </w:p>
          <w:p>
            <w:pPr>
              <w:pStyle w:val="13"/>
              <w:adjustRightInd w:val="0"/>
              <w:snapToGrid w:val="0"/>
              <w:spacing w:before="0" w:beforeAutospacing="0" w:after="0" w:afterAutospacing="0"/>
              <w:jc w:val="center"/>
              <w:rPr>
                <w:rFonts w:cs="宋体"/>
                <w:kern w:val="2"/>
                <w:sz w:val="21"/>
                <w:szCs w:val="21"/>
              </w:rPr>
            </w:pPr>
            <w:r>
              <w:rPr>
                <w:rFonts w:hint="eastAsia" w:cs="宋体"/>
                <w:kern w:val="2"/>
                <w:sz w:val="21"/>
                <w:szCs w:val="21"/>
              </w:rPr>
              <w:t>境保</w:t>
            </w:r>
          </w:p>
          <w:p>
            <w:pPr>
              <w:pStyle w:val="13"/>
              <w:adjustRightInd w:val="0"/>
              <w:snapToGrid w:val="0"/>
              <w:spacing w:before="0" w:beforeAutospacing="0" w:after="0" w:afterAutospacing="0"/>
              <w:jc w:val="center"/>
              <w:rPr>
                <w:rFonts w:cs="宋体"/>
                <w:kern w:val="2"/>
                <w:sz w:val="21"/>
                <w:szCs w:val="21"/>
              </w:rPr>
            </w:pPr>
            <w:r>
              <w:rPr>
                <w:rFonts w:hint="eastAsia" w:cs="宋体"/>
                <w:kern w:val="2"/>
                <w:sz w:val="21"/>
                <w:szCs w:val="21"/>
              </w:rPr>
              <w:t>护措</w:t>
            </w:r>
          </w:p>
          <w:p>
            <w:pPr>
              <w:pStyle w:val="13"/>
              <w:adjustRightInd w:val="0"/>
              <w:snapToGrid w:val="0"/>
              <w:spacing w:before="0" w:beforeAutospacing="0" w:after="0" w:afterAutospacing="0"/>
              <w:jc w:val="center"/>
              <w:rPr>
                <w:rFonts w:cs="宋体"/>
                <w:bCs/>
                <w:kern w:val="2"/>
                <w:sz w:val="21"/>
                <w:szCs w:val="21"/>
              </w:rPr>
            </w:pPr>
            <w:r>
              <w:rPr>
                <w:rFonts w:hint="eastAsia" w:cs="宋体"/>
                <w:kern w:val="2"/>
                <w:sz w:val="21"/>
                <w:szCs w:val="21"/>
              </w:rPr>
              <w:t>施</w:t>
            </w:r>
          </w:p>
        </w:tc>
        <w:tc>
          <w:tcPr>
            <w:tcW w:w="8162" w:type="dxa"/>
            <w:vAlign w:val="center"/>
          </w:tcPr>
          <w:p>
            <w:pPr>
              <w:adjustRightInd w:val="0"/>
              <w:snapToGrid w:val="0"/>
              <w:spacing w:line="400" w:lineRule="exact"/>
              <w:ind w:firstLine="420" w:firstLineChars="200"/>
              <w:rPr>
                <w:bCs/>
                <w:szCs w:val="21"/>
              </w:rPr>
            </w:pPr>
            <w:bookmarkStart w:id="7" w:name="_Hlk112165895"/>
            <w:r>
              <w:rPr>
                <w:bCs/>
                <w:szCs w:val="21"/>
              </w:rPr>
              <w:t>本项目施工期环境影响主要为施工扬尘、施工废水和生活污水、噪声和固废等</w:t>
            </w:r>
            <w:r>
              <w:rPr>
                <w:rFonts w:hint="eastAsia"/>
                <w:bCs/>
                <w:szCs w:val="21"/>
              </w:rPr>
              <w:t>。</w:t>
            </w:r>
          </w:p>
          <w:p>
            <w:pPr>
              <w:adjustRightInd w:val="0"/>
              <w:snapToGrid w:val="0"/>
              <w:spacing w:line="400" w:lineRule="exact"/>
              <w:ind w:firstLine="420" w:firstLineChars="200"/>
              <w:rPr>
                <w:bCs/>
                <w:szCs w:val="21"/>
              </w:rPr>
            </w:pPr>
            <w:r>
              <w:rPr>
                <w:bCs/>
                <w:szCs w:val="21"/>
              </w:rPr>
              <w:t>针对上述污染，《河北省扬尘污染防治办法》</w:t>
            </w:r>
            <w:r>
              <w:rPr>
                <w:rFonts w:hint="eastAsia"/>
                <w:bCs/>
                <w:szCs w:val="21"/>
              </w:rPr>
              <w:t>、《河北省2</w:t>
            </w:r>
            <w:r>
              <w:rPr>
                <w:bCs/>
                <w:szCs w:val="21"/>
              </w:rPr>
              <w:t>023</w:t>
            </w:r>
            <w:r>
              <w:rPr>
                <w:rFonts w:hint="eastAsia"/>
                <w:bCs/>
                <w:szCs w:val="21"/>
              </w:rPr>
              <w:t>年建筑施工扬尘污染防治工作方案》（冀建质安函【2</w:t>
            </w:r>
            <w:r>
              <w:rPr>
                <w:bCs/>
                <w:szCs w:val="21"/>
              </w:rPr>
              <w:t>023</w:t>
            </w:r>
            <w:r>
              <w:rPr>
                <w:rFonts w:hint="eastAsia"/>
                <w:bCs/>
                <w:szCs w:val="21"/>
              </w:rPr>
              <w:t>】1</w:t>
            </w:r>
            <w:r>
              <w:rPr>
                <w:bCs/>
                <w:szCs w:val="21"/>
              </w:rPr>
              <w:t>05</w:t>
            </w:r>
            <w:r>
              <w:rPr>
                <w:rFonts w:hint="eastAsia"/>
                <w:bCs/>
                <w:szCs w:val="21"/>
              </w:rPr>
              <w:t>号）</w:t>
            </w:r>
            <w:r>
              <w:rPr>
                <w:bCs/>
                <w:szCs w:val="21"/>
              </w:rPr>
              <w:t>和</w:t>
            </w:r>
            <w:r>
              <w:rPr>
                <w:rFonts w:hint="eastAsia"/>
                <w:bCs/>
                <w:szCs w:val="21"/>
              </w:rPr>
              <w:t>《秦皇岛市扬尘综合整治专项实施方案》</w:t>
            </w:r>
            <w:r>
              <w:rPr>
                <w:bCs/>
                <w:szCs w:val="21"/>
              </w:rPr>
              <w:t>要求做好以下工作：其施工期拟采取的主要环保措施如下：</w:t>
            </w:r>
          </w:p>
          <w:p>
            <w:pPr>
              <w:spacing w:line="400" w:lineRule="exact"/>
              <w:jc w:val="center"/>
              <w:rPr>
                <w:b/>
                <w:szCs w:val="21"/>
              </w:rPr>
            </w:pPr>
            <w:r>
              <w:rPr>
                <w:rFonts w:hint="eastAsia"/>
                <w:b/>
                <w:szCs w:val="21"/>
              </w:rPr>
              <w:t>表</w:t>
            </w:r>
            <w:r>
              <w:rPr>
                <w:b/>
                <w:szCs w:val="21"/>
              </w:rPr>
              <w:t xml:space="preserve">4-1    </w:t>
            </w:r>
            <w:r>
              <w:rPr>
                <w:rFonts w:hint="eastAsia"/>
                <w:b/>
                <w:szCs w:val="21"/>
              </w:rPr>
              <w:t>施工期环保措施</w:t>
            </w:r>
          </w:p>
          <w:bookmarkEnd w:id="7"/>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6"/>
              <w:gridCol w:w="636"/>
              <w:gridCol w:w="940"/>
              <w:gridCol w:w="5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5" w:hRule="atLeast"/>
              </w:trPr>
              <w:tc>
                <w:tcPr>
                  <w:tcW w:w="401" w:type="pct"/>
                  <w:vAlign w:val="center"/>
                </w:tcPr>
                <w:p>
                  <w:pPr>
                    <w:pStyle w:val="49"/>
                    <w:adjustRightInd w:val="0"/>
                    <w:snapToGrid w:val="0"/>
                    <w:spacing w:line="240" w:lineRule="auto"/>
                    <w:ind w:firstLine="0" w:firstLineChars="0"/>
                    <w:jc w:val="center"/>
                    <w:rPr>
                      <w:rFonts w:ascii="Times New Roman" w:hAnsi="Times New Roman"/>
                      <w:b/>
                      <w:snapToGrid w:val="0"/>
                      <w:sz w:val="21"/>
                    </w:rPr>
                  </w:pPr>
                  <w:r>
                    <w:rPr>
                      <w:rFonts w:ascii="Times New Roman" w:hAnsi="Times New Roman"/>
                      <w:b/>
                      <w:snapToGrid w:val="0"/>
                      <w:sz w:val="21"/>
                    </w:rPr>
                    <w:t>污染类别</w:t>
                  </w:r>
                </w:p>
              </w:tc>
              <w:tc>
                <w:tcPr>
                  <w:tcW w:w="401" w:type="pct"/>
                  <w:vAlign w:val="center"/>
                </w:tcPr>
                <w:p>
                  <w:pPr>
                    <w:pStyle w:val="49"/>
                    <w:adjustRightInd w:val="0"/>
                    <w:snapToGrid w:val="0"/>
                    <w:spacing w:line="240" w:lineRule="auto"/>
                    <w:ind w:firstLine="0" w:firstLineChars="0"/>
                    <w:jc w:val="center"/>
                    <w:rPr>
                      <w:rFonts w:ascii="Times New Roman" w:hAnsi="Times New Roman"/>
                      <w:b/>
                      <w:snapToGrid w:val="0"/>
                      <w:sz w:val="21"/>
                    </w:rPr>
                  </w:pPr>
                  <w:r>
                    <w:rPr>
                      <w:rFonts w:ascii="Times New Roman" w:hAnsi="Times New Roman"/>
                      <w:b/>
                      <w:snapToGrid w:val="0"/>
                      <w:sz w:val="21"/>
                    </w:rPr>
                    <w:t>污染工序</w:t>
                  </w:r>
                </w:p>
              </w:tc>
              <w:tc>
                <w:tcPr>
                  <w:tcW w:w="592" w:type="pct"/>
                  <w:vAlign w:val="center"/>
                </w:tcPr>
                <w:p>
                  <w:pPr>
                    <w:pStyle w:val="49"/>
                    <w:adjustRightInd w:val="0"/>
                    <w:snapToGrid w:val="0"/>
                    <w:spacing w:line="240" w:lineRule="auto"/>
                    <w:ind w:firstLine="0" w:firstLineChars="0"/>
                    <w:jc w:val="center"/>
                    <w:rPr>
                      <w:rFonts w:ascii="Times New Roman" w:hAnsi="Times New Roman"/>
                      <w:b/>
                      <w:snapToGrid w:val="0"/>
                      <w:sz w:val="21"/>
                    </w:rPr>
                  </w:pPr>
                  <w:r>
                    <w:rPr>
                      <w:rFonts w:ascii="Times New Roman" w:hAnsi="Times New Roman"/>
                      <w:b/>
                      <w:snapToGrid w:val="0"/>
                      <w:sz w:val="21"/>
                    </w:rPr>
                    <w:t>污染因子</w:t>
                  </w:r>
                </w:p>
              </w:tc>
              <w:tc>
                <w:tcPr>
                  <w:tcW w:w="3606" w:type="pct"/>
                  <w:vAlign w:val="center"/>
                </w:tcPr>
                <w:p>
                  <w:pPr>
                    <w:pStyle w:val="49"/>
                    <w:adjustRightInd w:val="0"/>
                    <w:snapToGrid w:val="0"/>
                    <w:spacing w:line="240" w:lineRule="auto"/>
                    <w:ind w:firstLine="0" w:firstLineChars="0"/>
                    <w:jc w:val="center"/>
                    <w:rPr>
                      <w:rFonts w:ascii="Times New Roman" w:hAnsi="Times New Roman"/>
                      <w:b/>
                      <w:snapToGrid w:val="0"/>
                      <w:sz w:val="21"/>
                    </w:rPr>
                  </w:pPr>
                  <w:r>
                    <w:rPr>
                      <w:rFonts w:ascii="Times New Roman" w:hAnsi="Times New Roman"/>
                      <w:b/>
                      <w:snapToGrid w:val="0"/>
                      <w:sz w:val="21"/>
                    </w:rPr>
                    <w:t>处理、处置措施及排放去向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401"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废气</w:t>
                  </w:r>
                </w:p>
              </w:tc>
              <w:tc>
                <w:tcPr>
                  <w:tcW w:w="401"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建筑施工</w:t>
                  </w:r>
                </w:p>
              </w:tc>
              <w:tc>
                <w:tcPr>
                  <w:tcW w:w="592"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扬尘</w:t>
                  </w:r>
                </w:p>
              </w:tc>
              <w:tc>
                <w:tcPr>
                  <w:tcW w:w="3606" w:type="pct"/>
                  <w:vAlign w:val="center"/>
                </w:tcPr>
                <w:p>
                  <w:pPr>
                    <w:widowControl/>
                    <w:jc w:val="left"/>
                  </w:pPr>
                  <w:r>
                    <w:t>1、施工现场出入口明显</w:t>
                  </w:r>
                  <w:r>
                    <w:rPr>
                      <w:rFonts w:hint="eastAsia"/>
                    </w:rPr>
                    <w:t>位置</w:t>
                  </w:r>
                  <w:r>
                    <w:t>设置公示牌，公示施工现场负责人、环保监督员、防尘措施、扬尘监督管理部门、举报投诉电话等信息；</w:t>
                  </w:r>
                </w:p>
                <w:p>
                  <w:pPr>
                    <w:widowControl/>
                    <w:jc w:val="left"/>
                  </w:pPr>
                  <w:r>
                    <w:t>2、施工现场周边设置硬质封闭围挡或者围墙，高度不低于2.5米，并在围挡底端设置不低于0.2米的防溢座；</w:t>
                  </w:r>
                </w:p>
                <w:p>
                  <w:pPr>
                    <w:widowControl/>
                    <w:jc w:val="left"/>
                  </w:pPr>
                  <w:r>
                    <w:t xml:space="preserve">3、对施工现场出入口、场内施工道路、材料加工堆放区、办公区、生活区进行硬化处理，并保持地面整洁； </w:t>
                  </w:r>
                </w:p>
                <w:p>
                  <w:pPr>
                    <w:widowControl/>
                    <w:jc w:val="left"/>
                  </w:pPr>
                  <w:r>
                    <w:t>4、采用预拌砂浆、预拌混凝土；</w:t>
                  </w:r>
                </w:p>
                <w:p>
                  <w:pPr>
                    <w:widowControl/>
                    <w:jc w:val="left"/>
                  </w:pPr>
                  <w:r>
                    <w:t>5、堆放水泥、灰土、砂石、建筑土方等易产生扬尘的粉状、粒状建筑材料，采取遮盖方式，装卸、搬运文明作业；</w:t>
                  </w:r>
                </w:p>
                <w:p>
                  <w:pPr>
                    <w:widowControl/>
                    <w:jc w:val="left"/>
                  </w:pPr>
                  <w:r>
                    <w:t>6、建筑垃圾应当及时清运，在场地内暂存时，应当集中堆放并遮盖；</w:t>
                  </w:r>
                </w:p>
                <w:p>
                  <w:pPr>
                    <w:widowControl/>
                    <w:jc w:val="left"/>
                  </w:pPr>
                  <w:r>
                    <w:t>7、施工工地同步安装视频监控设备和扬尘污染物在线监测设备，分别与建设主管部门、生态环境主管部门的监控设备联网，并保证系统正常运行，发生故障应当在24h内修复；</w:t>
                  </w:r>
                </w:p>
                <w:p>
                  <w:pPr>
                    <w:widowControl/>
                    <w:jc w:val="left"/>
                  </w:pPr>
                  <w:r>
                    <w:t>8、土方施工作业过程中，合理控制土方开挖和存留时间，作业面采取洒水等防尘措施，堆放超过八小时不扰动的裸土应当进行遮盖</w:t>
                  </w:r>
                </w:p>
                <w:p>
                  <w:pPr>
                    <w:pStyle w:val="49"/>
                    <w:adjustRightInd w:val="0"/>
                    <w:snapToGrid w:val="0"/>
                    <w:spacing w:line="240" w:lineRule="auto"/>
                    <w:ind w:firstLine="0" w:firstLineChars="0"/>
                    <w:jc w:val="left"/>
                    <w:rPr>
                      <w:rFonts w:ascii="Times New Roman" w:hAnsi="Times New Roman"/>
                      <w:sz w:val="21"/>
                    </w:rPr>
                  </w:pPr>
                  <w:r>
                    <w:rPr>
                      <w:rFonts w:ascii="Times New Roman" w:hAnsi="Times New Roman"/>
                      <w:sz w:val="21"/>
                    </w:rPr>
                    <w:t>9、工程主体作业层应当使用密目式安全网进行封闭。</w:t>
                  </w:r>
                </w:p>
                <w:p>
                  <w:pPr>
                    <w:widowControl/>
                    <w:jc w:val="left"/>
                  </w:pPr>
                  <w:r>
                    <w:rPr>
                      <w:rFonts w:hint="eastAsia"/>
                    </w:rPr>
                    <w:t>1</w:t>
                  </w:r>
                  <w:r>
                    <w:t>0</w:t>
                  </w:r>
                  <w:r>
                    <w:rPr>
                      <w:rFonts w:hint="eastAsia"/>
                    </w:rPr>
                    <w:t>、在线监测设置：在厂界四周设置不少于4个P</w:t>
                  </w:r>
                  <w:r>
                    <w:t>M</w:t>
                  </w:r>
                  <w:r>
                    <w:rPr>
                      <w:vertAlign w:val="subscript"/>
                    </w:rPr>
                    <w:t>10</w:t>
                  </w:r>
                  <w:r>
                    <w:rPr>
                      <w:rFonts w:hint="eastAsia"/>
                    </w:rPr>
                    <w:t>监测点，设于施工围护结构安全范围内，并优先设于车辆进出口处，采样高度3</w:t>
                  </w:r>
                  <w:r>
                    <w:t>~5m</w:t>
                  </w:r>
                </w:p>
                <w:p>
                  <w:pPr>
                    <w:widowControl/>
                    <w:jc w:val="left"/>
                    <w:rPr>
                      <w:b/>
                    </w:rPr>
                  </w:pPr>
                  <w:r>
                    <w:rPr>
                      <w:rFonts w:hint="eastAsia"/>
                    </w:rPr>
                    <w:t>1</w:t>
                  </w:r>
                  <w:r>
                    <w:t>1</w:t>
                  </w:r>
                  <w:r>
                    <w:rPr>
                      <w:rFonts w:hint="eastAsia"/>
                    </w:rPr>
                    <w:t>、施工场地出入口设置洗车平台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1" w:hRule="atLeast"/>
              </w:trPr>
              <w:tc>
                <w:tcPr>
                  <w:tcW w:w="401"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废水</w:t>
                  </w:r>
                </w:p>
              </w:tc>
              <w:tc>
                <w:tcPr>
                  <w:tcW w:w="401"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建筑施工、人员生活</w:t>
                  </w:r>
                </w:p>
              </w:tc>
              <w:tc>
                <w:tcPr>
                  <w:tcW w:w="592"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SS、BOD</w:t>
                  </w:r>
                  <w:r>
                    <w:rPr>
                      <w:rFonts w:ascii="Times New Roman" w:hAnsi="Times New Roman"/>
                      <w:snapToGrid w:val="0"/>
                      <w:sz w:val="21"/>
                      <w:vertAlign w:val="subscript"/>
                    </w:rPr>
                    <w:t>5</w:t>
                  </w:r>
                  <w:r>
                    <w:rPr>
                      <w:rFonts w:ascii="Times New Roman" w:hAnsi="Times New Roman"/>
                      <w:snapToGrid w:val="0"/>
                      <w:sz w:val="21"/>
                    </w:rPr>
                    <w:t>、COD、氨氮等</w:t>
                  </w:r>
                </w:p>
              </w:tc>
              <w:tc>
                <w:tcPr>
                  <w:tcW w:w="3606" w:type="pct"/>
                  <w:vAlign w:val="center"/>
                </w:tcPr>
                <w:p>
                  <w:pPr>
                    <w:pStyle w:val="49"/>
                    <w:adjustRightInd w:val="0"/>
                    <w:snapToGrid w:val="0"/>
                    <w:spacing w:line="240" w:lineRule="auto"/>
                    <w:ind w:firstLine="0" w:firstLineChars="0"/>
                    <w:jc w:val="left"/>
                    <w:rPr>
                      <w:rFonts w:ascii="Times New Roman" w:hAnsi="Times New Roman"/>
                      <w:snapToGrid w:val="0"/>
                      <w:sz w:val="21"/>
                    </w:rPr>
                  </w:pPr>
                  <w:r>
                    <w:rPr>
                      <w:rFonts w:ascii="Times New Roman" w:hAnsi="Times New Roman"/>
                      <w:sz w:val="21"/>
                    </w:rPr>
                    <w:t>施工期无生产废水产生；员工生活污水泼洒抑尘，不外排；</w:t>
                  </w:r>
                  <w:r>
                    <w:rPr>
                      <w:rFonts w:hint="eastAsia" w:ascii="Times New Roman" w:hAnsi="Times New Roman"/>
                      <w:sz w:val="21"/>
                    </w:rPr>
                    <w:t>如厕利用附近场所卫生间</w:t>
                  </w:r>
                  <w:r>
                    <w:rPr>
                      <w:rFonts w:ascii="Times New Roman" w:hAnsi="Times New Roman"/>
                      <w:sz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401"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噪声</w:t>
                  </w:r>
                </w:p>
              </w:tc>
              <w:tc>
                <w:tcPr>
                  <w:tcW w:w="401"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建筑施工</w:t>
                  </w:r>
                </w:p>
              </w:tc>
              <w:tc>
                <w:tcPr>
                  <w:tcW w:w="592"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等效声级</w:t>
                  </w:r>
                </w:p>
              </w:tc>
              <w:tc>
                <w:tcPr>
                  <w:tcW w:w="3606" w:type="pct"/>
                  <w:vAlign w:val="center"/>
                </w:tcPr>
                <w:p>
                  <w:pPr>
                    <w:widowControl/>
                    <w:jc w:val="left"/>
                  </w:pPr>
                </w:p>
                <w:p>
                  <w:pPr>
                    <w:widowControl/>
                    <w:jc w:val="left"/>
                  </w:pPr>
                  <w:r>
                    <w:t>1、文明施工，禁止粗暴作业；</w:t>
                  </w:r>
                </w:p>
                <w:p>
                  <w:pPr>
                    <w:widowControl/>
                    <w:jc w:val="left"/>
                  </w:pPr>
                  <w:r>
                    <w:t>2、施工前15日向所在地县以上主管部门申报项目施工情况；</w:t>
                  </w:r>
                </w:p>
                <w:p>
                  <w:pPr>
                    <w:widowControl/>
                    <w:jc w:val="left"/>
                  </w:pPr>
                  <w:r>
                    <w:t>3、如需夜间作业，需向有关部门申请，并公告</w:t>
                  </w:r>
                  <w:r>
                    <w:rPr>
                      <w:rFonts w:hint="eastAsia"/>
                    </w:rPr>
                    <w:t>附近</w:t>
                  </w:r>
                  <w:r>
                    <w:t>居民；</w:t>
                  </w:r>
                </w:p>
                <w:p>
                  <w:pPr>
                    <w:widowControl/>
                    <w:jc w:val="left"/>
                  </w:pPr>
                  <w:r>
                    <w:t>4、使用低噪声设备，高噪声设备作业避开中午12：00~14：00和夜间22:00~06:00时段；</w:t>
                  </w:r>
                </w:p>
                <w:p>
                  <w:pPr>
                    <w:pStyle w:val="49"/>
                    <w:adjustRightInd w:val="0"/>
                    <w:snapToGrid w:val="0"/>
                    <w:spacing w:line="240" w:lineRule="auto"/>
                    <w:ind w:firstLine="0" w:firstLineChars="0"/>
                    <w:jc w:val="left"/>
                    <w:rPr>
                      <w:rFonts w:ascii="Times New Roman" w:hAnsi="Times New Roman"/>
                      <w:sz w:val="21"/>
                    </w:rPr>
                  </w:pPr>
                  <w:r>
                    <w:rPr>
                      <w:rFonts w:ascii="Times New Roman" w:hAnsi="Times New Roman"/>
                      <w:sz w:val="21"/>
                    </w:rPr>
                    <w:t>5、厂界周边设置硬质围挡。</w:t>
                  </w:r>
                </w:p>
                <w:p>
                  <w:pPr>
                    <w:pStyle w:val="49"/>
                    <w:adjustRightInd w:val="0"/>
                    <w:snapToGrid w:val="0"/>
                    <w:spacing w:line="240" w:lineRule="auto"/>
                    <w:ind w:firstLine="0" w:firstLineChars="0"/>
                    <w:jc w:val="left"/>
                    <w:rPr>
                      <w:rFonts w:ascii="Times New Roman" w:hAnsi="Times New Roman"/>
                      <w:snapToGrid w:val="0"/>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4" w:hRule="atLeast"/>
              </w:trPr>
              <w:tc>
                <w:tcPr>
                  <w:tcW w:w="401"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固体废物</w:t>
                  </w:r>
                </w:p>
              </w:tc>
              <w:tc>
                <w:tcPr>
                  <w:tcW w:w="401"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建筑施工、人员生活</w:t>
                  </w:r>
                </w:p>
              </w:tc>
              <w:tc>
                <w:tcPr>
                  <w:tcW w:w="592" w:type="pc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建筑垃圾、土方、生活垃圾</w:t>
                  </w:r>
                </w:p>
              </w:tc>
              <w:tc>
                <w:tcPr>
                  <w:tcW w:w="3606" w:type="pct"/>
                  <w:vAlign w:val="center"/>
                </w:tcPr>
                <w:p>
                  <w:pPr>
                    <w:widowControl/>
                    <w:jc w:val="left"/>
                  </w:pPr>
                  <w:r>
                    <w:t>1、生活垃圾收集后环卫部门处理；</w:t>
                  </w:r>
                </w:p>
                <w:p>
                  <w:pPr>
                    <w:widowControl/>
                    <w:jc w:val="left"/>
                  </w:pPr>
                  <w:r>
                    <w:t>2、建筑土方需要暂存的需遮盖；</w:t>
                  </w:r>
                </w:p>
                <w:p>
                  <w:pPr>
                    <w:pStyle w:val="49"/>
                    <w:adjustRightInd w:val="0"/>
                    <w:snapToGrid w:val="0"/>
                    <w:spacing w:line="240" w:lineRule="auto"/>
                    <w:ind w:firstLine="0" w:firstLineChars="0"/>
                    <w:jc w:val="left"/>
                    <w:rPr>
                      <w:rFonts w:ascii="Times New Roman" w:hAnsi="Times New Roman"/>
                      <w:sz w:val="21"/>
                    </w:rPr>
                  </w:pPr>
                  <w:r>
                    <w:rPr>
                      <w:rFonts w:ascii="Times New Roman" w:hAnsi="Times New Roman"/>
                      <w:sz w:val="21"/>
                    </w:rPr>
                    <w:t>3、建筑材料包装等收集后外售处理；</w:t>
                  </w:r>
                </w:p>
              </w:tc>
            </w:tr>
          </w:tbl>
          <w:p>
            <w:pPr>
              <w:adjustRightInd w:val="0"/>
              <w:snapToGrid w:val="0"/>
              <w:spacing w:line="400" w:lineRule="exact"/>
              <w:ind w:firstLine="420" w:firstLineChars="200"/>
              <w:rPr>
                <w:bCs/>
                <w:szCs w:val="21"/>
              </w:rPr>
            </w:pPr>
            <w:r>
              <w:rPr>
                <w:rFonts w:hint="eastAsia"/>
                <w:bCs/>
                <w:szCs w:val="21"/>
              </w:rPr>
              <w:t>同时，项目施工期还需按照《河北省2</w:t>
            </w:r>
            <w:r>
              <w:rPr>
                <w:bCs/>
                <w:szCs w:val="21"/>
              </w:rPr>
              <w:t>023</w:t>
            </w:r>
            <w:r>
              <w:rPr>
                <w:rFonts w:hint="eastAsia"/>
                <w:bCs/>
                <w:szCs w:val="21"/>
              </w:rPr>
              <w:t>年建筑施工扬尘污染防治工作方案》（冀建质安函【2</w:t>
            </w:r>
            <w:r>
              <w:rPr>
                <w:bCs/>
                <w:szCs w:val="21"/>
              </w:rPr>
              <w:t>023</w:t>
            </w:r>
            <w:r>
              <w:rPr>
                <w:rFonts w:hint="eastAsia"/>
                <w:bCs/>
                <w:szCs w:val="21"/>
              </w:rPr>
              <w:t>】1</w:t>
            </w:r>
            <w:r>
              <w:rPr>
                <w:bCs/>
                <w:szCs w:val="21"/>
              </w:rPr>
              <w:t>05</w:t>
            </w:r>
            <w:r>
              <w:rPr>
                <w:rFonts w:hint="eastAsia"/>
                <w:bCs/>
                <w:szCs w:val="21"/>
              </w:rPr>
              <w:t>号）的要求严格落实，如下：</w:t>
            </w:r>
          </w:p>
          <w:p>
            <w:pPr>
              <w:adjustRightInd w:val="0"/>
              <w:snapToGrid w:val="0"/>
              <w:spacing w:line="400" w:lineRule="exact"/>
              <w:ind w:firstLine="420" w:firstLineChars="200"/>
              <w:rPr>
                <w:bCs/>
                <w:szCs w:val="21"/>
              </w:rPr>
            </w:pPr>
            <w:r>
              <w:rPr>
                <w:rFonts w:hint="eastAsia"/>
                <w:bCs/>
                <w:szCs w:val="21"/>
              </w:rPr>
              <w:t>1、施工现场主要道路及地面需硬化，并保持地面整洁；</w:t>
            </w:r>
          </w:p>
          <w:p>
            <w:pPr>
              <w:adjustRightInd w:val="0"/>
              <w:snapToGrid w:val="0"/>
              <w:spacing w:line="400" w:lineRule="exact"/>
              <w:ind w:firstLine="420" w:firstLineChars="200"/>
              <w:rPr>
                <w:bCs/>
                <w:szCs w:val="21"/>
              </w:rPr>
            </w:pPr>
            <w:r>
              <w:rPr>
                <w:rFonts w:hint="eastAsia"/>
                <w:bCs/>
                <w:szCs w:val="21"/>
              </w:rPr>
              <w:t>2、规范设置公示牌、周边围挡和车辆清洗设施；</w:t>
            </w:r>
          </w:p>
          <w:p>
            <w:pPr>
              <w:adjustRightInd w:val="0"/>
              <w:snapToGrid w:val="0"/>
              <w:spacing w:line="400" w:lineRule="exact"/>
              <w:ind w:firstLine="420" w:firstLineChars="200"/>
              <w:rPr>
                <w:bCs/>
                <w:szCs w:val="21"/>
              </w:rPr>
            </w:pPr>
            <w:r>
              <w:rPr>
                <w:rFonts w:hint="eastAsia"/>
                <w:bCs/>
                <w:szCs w:val="21"/>
              </w:rPr>
              <w:t>3、渣土车车厢封闭严密，冲洗干净；</w:t>
            </w:r>
          </w:p>
          <w:p>
            <w:pPr>
              <w:adjustRightInd w:val="0"/>
              <w:snapToGrid w:val="0"/>
              <w:spacing w:line="400" w:lineRule="exact"/>
              <w:ind w:firstLine="420" w:firstLineChars="200"/>
              <w:rPr>
                <w:bCs/>
                <w:szCs w:val="21"/>
              </w:rPr>
            </w:pPr>
            <w:r>
              <w:rPr>
                <w:rFonts w:hint="eastAsia"/>
                <w:bCs/>
                <w:szCs w:val="21"/>
              </w:rPr>
              <w:t>4、土石方作业和清扫时落实洒水和喷雾降尘、抑尘措施；</w:t>
            </w:r>
          </w:p>
          <w:p>
            <w:pPr>
              <w:adjustRightInd w:val="0"/>
              <w:snapToGrid w:val="0"/>
              <w:spacing w:line="400" w:lineRule="exact"/>
              <w:ind w:firstLine="420" w:firstLineChars="200"/>
              <w:rPr>
                <w:bCs/>
                <w:szCs w:val="21"/>
              </w:rPr>
            </w:pPr>
            <w:r>
              <w:rPr>
                <w:rFonts w:hint="eastAsia"/>
                <w:bCs/>
                <w:szCs w:val="21"/>
              </w:rPr>
              <w:t>5、工程主体作业层采取密目式安全网封闭措施；</w:t>
            </w:r>
          </w:p>
          <w:p>
            <w:pPr>
              <w:adjustRightInd w:val="0"/>
              <w:snapToGrid w:val="0"/>
              <w:spacing w:line="400" w:lineRule="exact"/>
              <w:ind w:firstLine="420" w:firstLineChars="200"/>
              <w:rPr>
                <w:bCs/>
                <w:szCs w:val="21"/>
              </w:rPr>
            </w:pPr>
            <w:r>
              <w:rPr>
                <w:rFonts w:hint="eastAsia"/>
                <w:bCs/>
                <w:szCs w:val="21"/>
              </w:rPr>
              <w:t>6、土方和物料等采取遮盖堆放，遮盖块状物料的防尘网，网目密度不得少于8</w:t>
            </w:r>
            <w:r>
              <w:rPr>
                <w:bCs/>
                <w:szCs w:val="21"/>
              </w:rPr>
              <w:t>00</w:t>
            </w:r>
            <w:r>
              <w:rPr>
                <w:rFonts w:hint="eastAsia"/>
                <w:bCs/>
                <w:szCs w:val="21"/>
              </w:rPr>
              <w:t>目/</w:t>
            </w:r>
            <w:r>
              <w:rPr>
                <w:bCs/>
                <w:szCs w:val="21"/>
              </w:rPr>
              <w:t>100</w:t>
            </w:r>
            <w:r>
              <w:rPr>
                <w:rFonts w:hint="eastAsia"/>
                <w:bCs/>
                <w:szCs w:val="21"/>
              </w:rPr>
              <w:t>平方厘米，遮盖粒状、粉状物料、裸露地面等的防尘网，网目密度不得少于2</w:t>
            </w:r>
            <w:r>
              <w:rPr>
                <w:bCs/>
                <w:szCs w:val="21"/>
              </w:rPr>
              <w:t>000</w:t>
            </w:r>
            <w:r>
              <w:rPr>
                <w:rFonts w:hint="eastAsia"/>
                <w:bCs/>
                <w:szCs w:val="21"/>
              </w:rPr>
              <w:t>目/</w:t>
            </w:r>
            <w:r>
              <w:rPr>
                <w:bCs/>
                <w:szCs w:val="21"/>
              </w:rPr>
              <w:t>100</w:t>
            </w:r>
            <w:r>
              <w:rPr>
                <w:rFonts w:hint="eastAsia"/>
                <w:bCs/>
                <w:szCs w:val="21"/>
              </w:rPr>
              <w:t>平方厘米，防尘网应保持完整无损，并采取防风加固措施；</w:t>
            </w:r>
          </w:p>
          <w:p>
            <w:pPr>
              <w:adjustRightInd w:val="0"/>
              <w:snapToGrid w:val="0"/>
              <w:spacing w:line="400" w:lineRule="exact"/>
              <w:ind w:firstLine="420" w:firstLineChars="200"/>
              <w:rPr>
                <w:bCs/>
                <w:szCs w:val="21"/>
              </w:rPr>
            </w:pPr>
            <w:r>
              <w:rPr>
                <w:rFonts w:hint="eastAsia"/>
                <w:bCs/>
                <w:szCs w:val="21"/>
              </w:rPr>
              <w:t>7、施工层建筑垃圾采用封闭式管道运送或者装袋用垂直升降机械运送，禁止高空抛掷、杨撒；</w:t>
            </w:r>
          </w:p>
          <w:p>
            <w:pPr>
              <w:adjustRightInd w:val="0"/>
              <w:snapToGrid w:val="0"/>
              <w:spacing w:line="400" w:lineRule="exact"/>
              <w:ind w:firstLine="420" w:firstLineChars="200"/>
              <w:rPr>
                <w:bCs/>
                <w:szCs w:val="21"/>
              </w:rPr>
            </w:pPr>
            <w:r>
              <w:rPr>
                <w:rFonts w:hint="eastAsia"/>
                <w:bCs/>
                <w:szCs w:val="21"/>
              </w:rPr>
              <w:t>8、施工现场设置垃圾临时存放点，建筑垃圾及时清运；</w:t>
            </w:r>
          </w:p>
          <w:p>
            <w:pPr>
              <w:adjustRightInd w:val="0"/>
              <w:snapToGrid w:val="0"/>
              <w:spacing w:line="400" w:lineRule="exact"/>
              <w:ind w:firstLine="420" w:firstLineChars="200"/>
              <w:rPr>
                <w:bCs/>
                <w:szCs w:val="21"/>
              </w:rPr>
            </w:pPr>
            <w:r>
              <w:rPr>
                <w:rFonts w:hint="eastAsia"/>
                <w:bCs/>
                <w:szCs w:val="21"/>
              </w:rPr>
              <w:t>9、按规定使用预拌混凝土、预拌砂浆等建筑材料。</w:t>
            </w:r>
          </w:p>
          <w:p>
            <w:pPr>
              <w:adjustRightInd w:val="0"/>
              <w:snapToGrid w:val="0"/>
              <w:spacing w:line="400" w:lineRule="exact"/>
              <w:ind w:firstLine="420" w:firstLineChars="200"/>
              <w:rPr>
                <w:bCs/>
                <w:szCs w:val="21"/>
              </w:rPr>
            </w:pPr>
            <w:r>
              <w:rPr>
                <w:rFonts w:hint="eastAsia"/>
                <w:bCs/>
                <w:szCs w:val="21"/>
              </w:rPr>
              <w:t>1</w:t>
            </w:r>
            <w:r>
              <w:rPr>
                <w:bCs/>
                <w:szCs w:val="21"/>
              </w:rPr>
              <w:t>0</w:t>
            </w:r>
            <w:r>
              <w:rPr>
                <w:rFonts w:hint="eastAsia"/>
                <w:bCs/>
                <w:szCs w:val="21"/>
              </w:rPr>
              <w:t>、施工现场视频监控和在线监测设备安装联网全覆盖，监控视频和在线监测数据接入主管部门监控平台，并保证系统正常运行。</w:t>
            </w:r>
          </w:p>
          <w:p>
            <w:pPr>
              <w:adjustRightInd w:val="0"/>
              <w:snapToGrid w:val="0"/>
              <w:spacing w:line="400" w:lineRule="exact"/>
              <w:ind w:firstLine="420" w:firstLineChars="200"/>
              <w:rPr>
                <w:bCs/>
                <w:szCs w:val="21"/>
              </w:rPr>
            </w:pPr>
            <w:r>
              <w:rPr>
                <w:rFonts w:hint="eastAsia"/>
                <w:bCs/>
                <w:szCs w:val="21"/>
              </w:rPr>
              <w:t>1</w:t>
            </w:r>
            <w:r>
              <w:rPr>
                <w:bCs/>
                <w:szCs w:val="21"/>
              </w:rPr>
              <w:t>1</w:t>
            </w:r>
            <w:r>
              <w:rPr>
                <w:rFonts w:hint="eastAsia"/>
                <w:bCs/>
                <w:szCs w:val="21"/>
              </w:rPr>
              <w:t>、非道路移动机械进出施工现场进行信息登记，严禁未取得信息编码的非道路移动机械进入施工现场。</w:t>
            </w:r>
          </w:p>
          <w:p>
            <w:pPr>
              <w:adjustRightInd w:val="0"/>
              <w:snapToGrid w:val="0"/>
              <w:spacing w:line="400" w:lineRule="exact"/>
              <w:ind w:firstLine="420" w:firstLineChars="200"/>
              <w:rPr>
                <w:bCs/>
                <w:szCs w:val="21"/>
              </w:rPr>
            </w:pPr>
            <w:r>
              <w:rPr>
                <w:rFonts w:hint="eastAsia"/>
                <w:bCs/>
                <w:szCs w:val="21"/>
              </w:rPr>
              <w:t>另外，按照</w:t>
            </w:r>
            <w:r>
              <w:rPr>
                <w:rFonts w:hint="eastAsia"/>
              </w:rPr>
              <w:t>“六个百分百”和“两个全覆盖”要求，做到如下：</w:t>
            </w:r>
          </w:p>
          <w:p>
            <w:pPr>
              <w:adjustRightInd w:val="0"/>
              <w:snapToGrid w:val="0"/>
              <w:spacing w:line="400" w:lineRule="exact"/>
              <w:ind w:firstLine="420" w:firstLineChars="200"/>
              <w:rPr>
                <w:bCs/>
                <w:szCs w:val="21"/>
              </w:rPr>
            </w:pPr>
            <w:r>
              <w:rPr>
                <w:rFonts w:hint="eastAsia"/>
                <w:bCs/>
                <w:szCs w:val="21"/>
              </w:rPr>
              <w:t xml:space="preserve">（1）施工工地周边100%围挡； </w:t>
            </w:r>
          </w:p>
          <w:p>
            <w:pPr>
              <w:adjustRightInd w:val="0"/>
              <w:snapToGrid w:val="0"/>
              <w:spacing w:line="400" w:lineRule="exact"/>
              <w:ind w:firstLine="420" w:firstLineChars="200"/>
              <w:rPr>
                <w:bCs/>
                <w:szCs w:val="21"/>
              </w:rPr>
            </w:pPr>
            <w:r>
              <w:rPr>
                <w:rFonts w:hint="eastAsia"/>
                <w:bCs/>
                <w:szCs w:val="21"/>
              </w:rPr>
              <w:t>（2）物料堆放100%覆盖；</w:t>
            </w:r>
          </w:p>
          <w:p>
            <w:pPr>
              <w:adjustRightInd w:val="0"/>
              <w:snapToGrid w:val="0"/>
              <w:spacing w:line="400" w:lineRule="exact"/>
              <w:ind w:firstLine="420" w:firstLineChars="200"/>
              <w:rPr>
                <w:bCs/>
                <w:szCs w:val="21"/>
              </w:rPr>
            </w:pPr>
            <w:r>
              <w:rPr>
                <w:rFonts w:hint="eastAsia"/>
                <w:bCs/>
                <w:szCs w:val="21"/>
              </w:rPr>
              <w:t>（3）出入车辆100%冲洗；</w:t>
            </w:r>
          </w:p>
          <w:p>
            <w:pPr>
              <w:adjustRightInd w:val="0"/>
              <w:snapToGrid w:val="0"/>
              <w:spacing w:line="400" w:lineRule="exact"/>
              <w:ind w:firstLine="420" w:firstLineChars="200"/>
              <w:rPr>
                <w:bCs/>
                <w:szCs w:val="21"/>
              </w:rPr>
            </w:pPr>
            <w:r>
              <w:rPr>
                <w:rFonts w:hint="eastAsia"/>
                <w:bCs/>
                <w:szCs w:val="21"/>
              </w:rPr>
              <w:t>（4）施工现场地面100%硬化或绿化遮盖等；</w:t>
            </w:r>
          </w:p>
          <w:p>
            <w:pPr>
              <w:adjustRightInd w:val="0"/>
              <w:snapToGrid w:val="0"/>
              <w:spacing w:line="400" w:lineRule="exact"/>
              <w:ind w:firstLine="420" w:firstLineChars="200"/>
              <w:rPr>
                <w:bCs/>
                <w:szCs w:val="21"/>
              </w:rPr>
            </w:pPr>
            <w:r>
              <w:rPr>
                <w:rFonts w:hint="eastAsia"/>
                <w:bCs/>
                <w:szCs w:val="21"/>
              </w:rPr>
              <w:t>（5）拆迁工地100%湿法作业；</w:t>
            </w:r>
          </w:p>
          <w:p>
            <w:pPr>
              <w:adjustRightInd w:val="0"/>
              <w:snapToGrid w:val="0"/>
              <w:spacing w:line="400" w:lineRule="exact"/>
              <w:ind w:firstLine="420" w:firstLineChars="200"/>
              <w:rPr>
                <w:bCs/>
                <w:szCs w:val="21"/>
              </w:rPr>
            </w:pPr>
            <w:r>
              <w:rPr>
                <w:rFonts w:hint="eastAsia"/>
                <w:bCs/>
                <w:szCs w:val="21"/>
              </w:rPr>
              <w:t>（6）渣土车辆100%密闭运输；</w:t>
            </w:r>
          </w:p>
          <w:p>
            <w:pPr>
              <w:adjustRightInd w:val="0"/>
              <w:snapToGrid w:val="0"/>
              <w:spacing w:line="400" w:lineRule="exact"/>
              <w:ind w:firstLine="420" w:firstLineChars="200"/>
              <w:rPr>
                <w:bCs/>
                <w:szCs w:val="21"/>
              </w:rPr>
            </w:pPr>
            <w:r>
              <w:rPr>
                <w:rFonts w:hint="eastAsia"/>
                <w:bCs/>
                <w:szCs w:val="21"/>
              </w:rPr>
              <w:t>（7）视频监控全覆盖和PM</w:t>
            </w:r>
            <w:r>
              <w:rPr>
                <w:rFonts w:hint="eastAsia"/>
                <w:bCs/>
                <w:szCs w:val="21"/>
                <w:vertAlign w:val="subscript"/>
              </w:rPr>
              <w:t>10</w:t>
            </w:r>
            <w:r>
              <w:rPr>
                <w:rFonts w:hint="eastAsia"/>
                <w:bCs/>
                <w:szCs w:val="21"/>
              </w:rPr>
              <w:t>在线监测设备安装并联网。</w:t>
            </w: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46" w:type="dxa"/>
            <w:tcMar>
              <w:left w:w="28" w:type="dxa"/>
              <w:right w:w="28" w:type="dxa"/>
            </w:tcMar>
            <w:vAlign w:val="center"/>
          </w:tcPr>
          <w:p>
            <w:pPr>
              <w:adjustRightInd w:val="0"/>
              <w:snapToGrid w:val="0"/>
              <w:jc w:val="center"/>
              <w:rPr>
                <w:rFonts w:ascii="宋体" w:hAnsi="宋体" w:cs="宋体"/>
                <w:bCs/>
                <w:szCs w:val="21"/>
              </w:rPr>
            </w:pPr>
            <w:r>
              <w:rPr>
                <w:rFonts w:hint="eastAsia" w:ascii="宋体" w:hAnsi="宋体" w:cs="宋体"/>
                <w:bCs/>
                <w:szCs w:val="21"/>
              </w:rPr>
              <w:t>运营</w:t>
            </w:r>
          </w:p>
          <w:p>
            <w:pPr>
              <w:adjustRightInd w:val="0"/>
              <w:snapToGrid w:val="0"/>
              <w:jc w:val="center"/>
              <w:rPr>
                <w:rFonts w:ascii="宋体" w:hAnsi="宋体" w:cs="宋体"/>
                <w:bCs/>
                <w:szCs w:val="21"/>
              </w:rPr>
            </w:pPr>
            <w:r>
              <w:rPr>
                <w:rFonts w:hint="eastAsia" w:ascii="宋体" w:hAnsi="宋体" w:cs="宋体"/>
                <w:bCs/>
                <w:szCs w:val="21"/>
              </w:rPr>
              <w:t>期环</w:t>
            </w:r>
          </w:p>
          <w:p>
            <w:pPr>
              <w:adjustRightInd w:val="0"/>
              <w:snapToGrid w:val="0"/>
              <w:jc w:val="center"/>
              <w:rPr>
                <w:rFonts w:ascii="宋体" w:hAnsi="宋体" w:cs="宋体"/>
                <w:bCs/>
                <w:szCs w:val="21"/>
              </w:rPr>
            </w:pPr>
            <w:r>
              <w:rPr>
                <w:rFonts w:hint="eastAsia" w:ascii="宋体" w:hAnsi="宋体" w:cs="宋体"/>
                <w:bCs/>
                <w:szCs w:val="21"/>
              </w:rPr>
              <w:t>境影</w:t>
            </w:r>
          </w:p>
          <w:p>
            <w:pPr>
              <w:adjustRightInd w:val="0"/>
              <w:snapToGrid w:val="0"/>
              <w:jc w:val="center"/>
              <w:rPr>
                <w:rFonts w:ascii="宋体" w:hAnsi="宋体" w:cs="宋体"/>
                <w:bCs/>
                <w:szCs w:val="21"/>
              </w:rPr>
            </w:pPr>
            <w:r>
              <w:rPr>
                <w:rFonts w:hint="eastAsia" w:ascii="宋体" w:hAnsi="宋体" w:cs="宋体"/>
                <w:bCs/>
                <w:szCs w:val="21"/>
              </w:rPr>
              <w:t>响和</w:t>
            </w:r>
          </w:p>
          <w:p>
            <w:pPr>
              <w:adjustRightInd w:val="0"/>
              <w:snapToGrid w:val="0"/>
              <w:jc w:val="center"/>
              <w:rPr>
                <w:rFonts w:ascii="宋体" w:hAnsi="宋体" w:cs="宋体"/>
                <w:bCs/>
                <w:szCs w:val="21"/>
              </w:rPr>
            </w:pPr>
            <w:r>
              <w:rPr>
                <w:rFonts w:hint="eastAsia" w:ascii="宋体" w:hAnsi="宋体" w:cs="宋体"/>
                <w:bCs/>
                <w:szCs w:val="21"/>
              </w:rPr>
              <w:t>保护</w:t>
            </w:r>
          </w:p>
          <w:p>
            <w:pPr>
              <w:adjustRightInd w:val="0"/>
              <w:snapToGrid w:val="0"/>
              <w:jc w:val="center"/>
              <w:rPr>
                <w:rFonts w:ascii="宋体" w:hAnsi="宋体" w:cs="宋体"/>
                <w:bCs/>
                <w:szCs w:val="21"/>
              </w:rPr>
            </w:pPr>
            <w:r>
              <w:rPr>
                <w:rFonts w:hint="eastAsia" w:ascii="宋体" w:hAnsi="宋体" w:cs="宋体"/>
                <w:bCs/>
                <w:szCs w:val="21"/>
              </w:rPr>
              <w:t>措施</w:t>
            </w:r>
          </w:p>
        </w:tc>
        <w:tc>
          <w:tcPr>
            <w:tcW w:w="8162" w:type="dxa"/>
            <w:vAlign w:val="center"/>
          </w:tcPr>
          <w:p>
            <w:pPr>
              <w:adjustRightInd w:val="0"/>
              <w:snapToGrid w:val="0"/>
              <w:spacing w:line="400" w:lineRule="exact"/>
              <w:ind w:firstLine="422" w:firstLineChars="200"/>
              <w:rPr>
                <w:b/>
                <w:szCs w:val="21"/>
              </w:rPr>
            </w:pPr>
            <w:r>
              <w:rPr>
                <w:rFonts w:hint="eastAsia"/>
                <w:b/>
                <w:szCs w:val="21"/>
              </w:rPr>
              <w:t>1、废气</w:t>
            </w:r>
          </w:p>
          <w:p>
            <w:pPr>
              <w:pStyle w:val="51"/>
              <w:snapToGrid w:val="0"/>
              <w:spacing w:line="400" w:lineRule="exact"/>
              <w:ind w:firstLine="420" w:firstLineChars="200"/>
              <w:rPr>
                <w:kern w:val="0"/>
                <w:sz w:val="21"/>
                <w:szCs w:val="21"/>
              </w:rPr>
            </w:pPr>
            <w:r>
              <w:rPr>
                <w:kern w:val="0"/>
                <w:sz w:val="21"/>
                <w:szCs w:val="21"/>
              </w:rPr>
              <w:t>（1）污染源强核算</w:t>
            </w:r>
          </w:p>
          <w:p>
            <w:pPr>
              <w:pStyle w:val="51"/>
              <w:snapToGrid w:val="0"/>
              <w:spacing w:line="400" w:lineRule="exact"/>
              <w:ind w:firstLine="422" w:firstLineChars="200"/>
              <w:rPr>
                <w:rFonts w:ascii="宋体" w:hAnsi="宋体" w:cs="宋体"/>
                <w:b/>
                <w:bCs/>
                <w:kern w:val="0"/>
                <w:sz w:val="21"/>
                <w:szCs w:val="21"/>
              </w:rPr>
            </w:pPr>
            <w:r>
              <w:rPr>
                <w:rFonts w:hint="eastAsia" w:ascii="宋体" w:hAnsi="宋体" w:cs="宋体"/>
                <w:b/>
                <w:bCs/>
                <w:kern w:val="0"/>
                <w:sz w:val="21"/>
                <w:szCs w:val="21"/>
              </w:rPr>
              <w:t>正常工况</w:t>
            </w:r>
          </w:p>
          <w:p>
            <w:pPr>
              <w:pStyle w:val="51"/>
              <w:snapToGrid w:val="0"/>
              <w:spacing w:line="400" w:lineRule="exact"/>
              <w:ind w:firstLine="420" w:firstLineChars="200"/>
              <w:rPr>
                <w:kern w:val="0"/>
                <w:sz w:val="21"/>
                <w:szCs w:val="21"/>
              </w:rPr>
            </w:pPr>
            <w:r>
              <w:rPr>
                <w:rFonts w:hint="eastAsia"/>
                <w:kern w:val="0"/>
                <w:sz w:val="21"/>
                <w:szCs w:val="21"/>
              </w:rPr>
              <w:t>①注塑废气</w:t>
            </w:r>
          </w:p>
          <w:p>
            <w:pPr>
              <w:pStyle w:val="51"/>
              <w:snapToGrid w:val="0"/>
              <w:spacing w:line="400" w:lineRule="exact"/>
              <w:ind w:firstLine="420" w:firstLineChars="200"/>
              <w:rPr>
                <w:kern w:val="0"/>
                <w:sz w:val="21"/>
                <w:szCs w:val="21"/>
              </w:rPr>
            </w:pPr>
            <w:r>
              <w:rPr>
                <w:rFonts w:hint="eastAsia"/>
                <w:kern w:val="0"/>
                <w:sz w:val="21"/>
                <w:szCs w:val="21"/>
              </w:rPr>
              <w:t>注塑的原料主要为聚丙烯和聚乙烯颗粒，其操作温度（</w:t>
            </w:r>
            <w:r>
              <w:rPr>
                <w:kern w:val="0"/>
                <w:sz w:val="21"/>
                <w:szCs w:val="21"/>
              </w:rPr>
              <w:t>180</w:t>
            </w:r>
            <w:r>
              <w:rPr>
                <w:rFonts w:hint="eastAsia"/>
                <w:kern w:val="0"/>
                <w:sz w:val="21"/>
                <w:szCs w:val="21"/>
              </w:rPr>
              <w:t>摄氏度）小于各自分解温度（3</w:t>
            </w:r>
            <w:r>
              <w:rPr>
                <w:kern w:val="0"/>
                <w:sz w:val="21"/>
                <w:szCs w:val="21"/>
              </w:rPr>
              <w:t>00</w:t>
            </w:r>
            <w:r>
              <w:rPr>
                <w:rFonts w:hint="eastAsia"/>
                <w:kern w:val="0"/>
                <w:sz w:val="21"/>
                <w:szCs w:val="21"/>
              </w:rPr>
              <w:t>摄氏度以上），识别本次注塑废气污染物为非甲烷总烃。</w:t>
            </w:r>
          </w:p>
          <w:p>
            <w:pPr>
              <w:pStyle w:val="51"/>
              <w:snapToGrid w:val="0"/>
              <w:spacing w:line="400" w:lineRule="exact"/>
              <w:ind w:firstLine="420" w:firstLineChars="200"/>
              <w:rPr>
                <w:kern w:val="0"/>
                <w:sz w:val="21"/>
                <w:szCs w:val="21"/>
              </w:rPr>
            </w:pPr>
            <w:r>
              <w:rPr>
                <w:rFonts w:hint="eastAsia"/>
                <w:kern w:val="0"/>
                <w:sz w:val="21"/>
                <w:szCs w:val="21"/>
              </w:rPr>
              <w:t>源强采用类比法，秦皇岛妤瑄纸制品加工有限公司注塑车间与本项目所消耗的原料相同，工艺完全一致，源强类比条件及源强确定如下表：</w:t>
            </w:r>
          </w:p>
          <w:p>
            <w:pPr>
              <w:adjustRightInd w:val="0"/>
              <w:snapToGrid w:val="0"/>
              <w:spacing w:line="400" w:lineRule="exact"/>
              <w:jc w:val="center"/>
              <w:rPr>
                <w:b/>
                <w:szCs w:val="21"/>
              </w:rPr>
            </w:pPr>
            <w:r>
              <w:rPr>
                <w:rFonts w:hint="eastAsia"/>
                <w:b/>
                <w:szCs w:val="21"/>
              </w:rPr>
              <w:t>表</w:t>
            </w:r>
            <w:r>
              <w:rPr>
                <w:b/>
                <w:szCs w:val="21"/>
              </w:rPr>
              <w:t xml:space="preserve">4-2    </w:t>
            </w:r>
            <w:r>
              <w:rPr>
                <w:rFonts w:hint="eastAsia"/>
                <w:b/>
                <w:szCs w:val="21"/>
              </w:rPr>
              <w:t>源强核算表</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18"/>
              <w:gridCol w:w="868"/>
              <w:gridCol w:w="473"/>
              <w:gridCol w:w="1019"/>
              <w:gridCol w:w="1356"/>
              <w:gridCol w:w="1283"/>
              <w:gridCol w:w="948"/>
              <w:gridCol w:w="7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trPr>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类别</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原料</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工艺</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规模</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有组织废气排放情况</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废气治理措施及效率</w:t>
                  </w:r>
                </w:p>
              </w:tc>
              <w:tc>
                <w:tcPr>
                  <w:tcW w:w="0" w:type="auto"/>
                  <w:gridSpan w:val="2"/>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反推产生源强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trPr>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收集效率/净化效率</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产生源强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kern w:val="0"/>
                      <w:sz w:val="21"/>
                    </w:rPr>
                    <w:t>秦皇岛妤瑄纸制品加工有限公司注塑车间</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聚丙烯、聚乙烯</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注塑</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塑料包装箱及容器200万套</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2.26mg/m</w:t>
                  </w:r>
                  <w:r>
                    <w:rPr>
                      <w:rFonts w:ascii="Times New Roman" w:hAnsi="Times New Roman"/>
                      <w:snapToGrid w:val="0"/>
                      <w:sz w:val="21"/>
                      <w:vertAlign w:val="superscript"/>
                    </w:rPr>
                    <w:t>3</w:t>
                  </w:r>
                </w:p>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5615m</w:t>
                  </w:r>
                  <w:r>
                    <w:rPr>
                      <w:rFonts w:ascii="Times New Roman" w:hAnsi="Times New Roman"/>
                      <w:snapToGrid w:val="0"/>
                      <w:sz w:val="21"/>
                      <w:vertAlign w:val="superscript"/>
                    </w:rPr>
                    <w:t>3</w:t>
                  </w:r>
                  <w:r>
                    <w:rPr>
                      <w:rFonts w:ascii="Times New Roman" w:hAnsi="Times New Roman"/>
                      <w:snapToGrid w:val="0"/>
                      <w:sz w:val="21"/>
                    </w:rPr>
                    <w:t>/h</w:t>
                  </w:r>
                </w:p>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0</w:t>
                  </w:r>
                  <w:r>
                    <w:rPr>
                      <w:rFonts w:ascii="Times New Roman" w:hAnsi="Times New Roman"/>
                      <w:snapToGrid w:val="0"/>
                      <w:sz w:val="21"/>
                    </w:rPr>
                    <w:t>.013 kg/h</w:t>
                  </w:r>
                </w:p>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0</w:t>
                  </w:r>
                  <w:r>
                    <w:rPr>
                      <w:rFonts w:ascii="Times New Roman" w:hAnsi="Times New Roman"/>
                      <w:snapToGrid w:val="0"/>
                      <w:sz w:val="21"/>
                    </w:rPr>
                    <w:t>.027 t/a</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集气罩收集+</w:t>
                  </w:r>
                  <w:r>
                    <w:rPr>
                      <w:rFonts w:ascii="Times New Roman" w:hAnsi="Times New Roman"/>
                      <w:snapToGrid w:val="0"/>
                      <w:sz w:val="21"/>
                    </w:rPr>
                    <w:t>UV</w:t>
                  </w:r>
                  <w:r>
                    <w:rPr>
                      <w:rFonts w:hint="eastAsia" w:ascii="Times New Roman" w:hAnsi="Times New Roman"/>
                      <w:snapToGrid w:val="0"/>
                      <w:sz w:val="21"/>
                    </w:rPr>
                    <w:t>光解+活性炭吸附</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9</w:t>
                  </w:r>
                  <w:r>
                    <w:rPr>
                      <w:rFonts w:ascii="Times New Roman" w:hAnsi="Times New Roman"/>
                      <w:snapToGrid w:val="0"/>
                      <w:sz w:val="21"/>
                    </w:rPr>
                    <w:t>5</w:t>
                  </w:r>
                  <w:r>
                    <w:rPr>
                      <w:rFonts w:hint="eastAsia" w:ascii="Times New Roman" w:hAnsi="Times New Roman"/>
                      <w:snapToGrid w:val="0"/>
                      <w:sz w:val="21"/>
                    </w:rPr>
                    <w:t>%</w:t>
                  </w:r>
                  <w:r>
                    <w:rPr>
                      <w:rFonts w:ascii="Times New Roman" w:hAnsi="Times New Roman"/>
                      <w:snapToGrid w:val="0"/>
                      <w:sz w:val="21"/>
                    </w:rPr>
                    <w:t>/</w:t>
                  </w:r>
                </w:p>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90</w:t>
                  </w:r>
                  <w:r>
                    <w:rPr>
                      <w:rFonts w:hint="eastAsia" w:ascii="Times New Roman" w:hAnsi="Times New Roman"/>
                      <w:snapToGrid w:val="0"/>
                      <w:sz w:val="21"/>
                    </w:rPr>
                    <w:t>%</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0</w:t>
                  </w:r>
                  <w:r>
                    <w:rPr>
                      <w:rFonts w:ascii="Times New Roman" w:hAnsi="Times New Roman"/>
                      <w:snapToGrid w:val="0"/>
                      <w:sz w:val="21"/>
                    </w:rPr>
                    <w:t>.284 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本项目</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聚丙烯、聚乙烯</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注塑</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塑料包装箱及容器</w:t>
                  </w:r>
                  <w:r>
                    <w:rPr>
                      <w:rFonts w:ascii="Times New Roman" w:hAnsi="Times New Roman"/>
                      <w:snapToGrid w:val="0"/>
                      <w:sz w:val="21"/>
                    </w:rPr>
                    <w:t>3</w:t>
                  </w:r>
                  <w:r>
                    <w:rPr>
                      <w:rFonts w:hint="eastAsia" w:ascii="Times New Roman" w:hAnsi="Times New Roman"/>
                      <w:snapToGrid w:val="0"/>
                      <w:sz w:val="21"/>
                    </w:rPr>
                    <w:t>00万套</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集气罩收集+过滤棉+2级活性炭吸附</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0</w:t>
                  </w:r>
                  <w:r>
                    <w:rPr>
                      <w:rFonts w:ascii="Times New Roman" w:hAnsi="Times New Roman"/>
                      <w:snapToGrid w:val="0"/>
                      <w:sz w:val="21"/>
                    </w:rPr>
                    <w:t>.426 t/a</w:t>
                  </w:r>
                </w:p>
              </w:tc>
            </w:tr>
          </w:tbl>
          <w:p>
            <w:pPr>
              <w:pStyle w:val="51"/>
              <w:snapToGrid w:val="0"/>
              <w:spacing w:line="240" w:lineRule="auto"/>
              <w:ind w:firstLine="422" w:firstLineChars="200"/>
              <w:rPr>
                <w:b/>
                <w:bCs/>
                <w:kern w:val="0"/>
                <w:sz w:val="21"/>
                <w:szCs w:val="21"/>
              </w:rPr>
            </w:pPr>
            <w:r>
              <w:rPr>
                <w:rFonts w:hint="eastAsia"/>
                <w:b/>
                <w:bCs/>
                <w:kern w:val="0"/>
                <w:sz w:val="21"/>
                <w:szCs w:val="21"/>
              </w:rPr>
              <w:t>注：类别数据详见附件6。</w:t>
            </w:r>
          </w:p>
          <w:p>
            <w:pPr>
              <w:pStyle w:val="51"/>
              <w:snapToGrid w:val="0"/>
              <w:spacing w:line="400" w:lineRule="exact"/>
              <w:ind w:firstLine="420" w:firstLineChars="200"/>
              <w:rPr>
                <w:kern w:val="0"/>
                <w:sz w:val="21"/>
                <w:szCs w:val="21"/>
              </w:rPr>
            </w:pPr>
            <w:r>
              <w:rPr>
                <w:rFonts w:hint="eastAsia"/>
                <w:kern w:val="0"/>
                <w:sz w:val="21"/>
                <w:szCs w:val="21"/>
              </w:rPr>
              <w:t>由上可知，预计本项目注塑废气（非甲烷总烃）产生情况为0</w:t>
            </w:r>
            <w:r>
              <w:rPr>
                <w:kern w:val="0"/>
                <w:sz w:val="21"/>
                <w:szCs w:val="21"/>
              </w:rPr>
              <w:t>.426 t/a</w:t>
            </w:r>
            <w:r>
              <w:rPr>
                <w:rFonts w:hint="eastAsia"/>
                <w:kern w:val="0"/>
                <w:sz w:val="21"/>
                <w:szCs w:val="21"/>
              </w:rPr>
              <w:t>，项目年工作2</w:t>
            </w:r>
            <w:r>
              <w:rPr>
                <w:kern w:val="0"/>
                <w:sz w:val="21"/>
                <w:szCs w:val="21"/>
              </w:rPr>
              <w:t>400 h</w:t>
            </w:r>
            <w:r>
              <w:rPr>
                <w:rFonts w:hint="eastAsia"/>
                <w:kern w:val="0"/>
                <w:sz w:val="21"/>
                <w:szCs w:val="21"/>
              </w:rPr>
              <w:t>，则产生速率为0</w:t>
            </w:r>
            <w:r>
              <w:rPr>
                <w:kern w:val="0"/>
                <w:sz w:val="21"/>
                <w:szCs w:val="21"/>
              </w:rPr>
              <w:t>.178 kg/h</w:t>
            </w:r>
            <w:r>
              <w:rPr>
                <w:rFonts w:hint="eastAsia"/>
                <w:kern w:val="0"/>
                <w:sz w:val="21"/>
                <w:szCs w:val="21"/>
              </w:rPr>
              <w:t>。拟采用过滤棉+</w:t>
            </w:r>
            <w:r>
              <w:rPr>
                <w:rFonts w:hint="eastAsia"/>
                <w:snapToGrid w:val="0"/>
                <w:sz w:val="21"/>
              </w:rPr>
              <w:t>2级</w:t>
            </w:r>
            <w:r>
              <w:rPr>
                <w:rFonts w:hint="eastAsia"/>
                <w:kern w:val="0"/>
                <w:sz w:val="21"/>
                <w:szCs w:val="21"/>
              </w:rPr>
              <w:t>活性炭吸附处理后，经1</w:t>
            </w:r>
            <w:r>
              <w:rPr>
                <w:kern w:val="0"/>
                <w:sz w:val="21"/>
                <w:szCs w:val="21"/>
              </w:rPr>
              <w:t>5m</w:t>
            </w:r>
            <w:r>
              <w:rPr>
                <w:rFonts w:hint="eastAsia"/>
                <w:kern w:val="0"/>
                <w:sz w:val="21"/>
                <w:szCs w:val="21"/>
              </w:rPr>
              <w:t>排气筒排放。</w:t>
            </w:r>
          </w:p>
          <w:p>
            <w:pPr>
              <w:pStyle w:val="51"/>
              <w:snapToGrid w:val="0"/>
              <w:spacing w:line="400" w:lineRule="exact"/>
              <w:ind w:firstLine="420" w:firstLineChars="200"/>
              <w:rPr>
                <w:kern w:val="0"/>
                <w:sz w:val="21"/>
                <w:szCs w:val="21"/>
              </w:rPr>
            </w:pPr>
            <w:r>
              <w:rPr>
                <w:rFonts w:hint="eastAsia"/>
                <w:kern w:val="0"/>
                <w:sz w:val="21"/>
                <w:szCs w:val="21"/>
              </w:rPr>
              <w:t>②废料处理废气</w:t>
            </w:r>
          </w:p>
          <w:p>
            <w:pPr>
              <w:pStyle w:val="51"/>
              <w:snapToGrid w:val="0"/>
              <w:spacing w:line="400" w:lineRule="exact"/>
              <w:ind w:firstLine="420" w:firstLineChars="200"/>
              <w:rPr>
                <w:kern w:val="0"/>
                <w:sz w:val="21"/>
                <w:szCs w:val="21"/>
              </w:rPr>
            </w:pPr>
            <w:r>
              <w:rPr>
                <w:rFonts w:hint="eastAsia"/>
                <w:kern w:val="0"/>
                <w:sz w:val="21"/>
                <w:szCs w:val="21"/>
              </w:rPr>
              <w:t>在注塑生产中将产生部分机头料、切口料以及不合格产品，约占原料的</w:t>
            </w:r>
            <w:r>
              <w:rPr>
                <w:kern w:val="0"/>
                <w:sz w:val="21"/>
                <w:szCs w:val="21"/>
              </w:rPr>
              <w:t xml:space="preserve">1 </w:t>
            </w:r>
            <w:r>
              <w:rPr>
                <w:rFonts w:hint="eastAsia"/>
                <w:kern w:val="0"/>
                <w:sz w:val="21"/>
                <w:szCs w:val="21"/>
              </w:rPr>
              <w:t>%左右。本项目注塑原料用量为</w:t>
            </w:r>
            <w:r>
              <w:rPr>
                <w:kern w:val="0"/>
                <w:sz w:val="21"/>
                <w:szCs w:val="21"/>
              </w:rPr>
              <w:t>1500 t/a</w:t>
            </w:r>
            <w:r>
              <w:rPr>
                <w:rFonts w:hint="eastAsia"/>
                <w:kern w:val="0"/>
                <w:sz w:val="21"/>
                <w:szCs w:val="21"/>
              </w:rPr>
              <w:t>，不考虑损耗，产品按1</w:t>
            </w:r>
            <w:r>
              <w:rPr>
                <w:kern w:val="0"/>
                <w:sz w:val="21"/>
                <w:szCs w:val="21"/>
              </w:rPr>
              <w:t>500 t/a</w:t>
            </w:r>
            <w:r>
              <w:rPr>
                <w:rFonts w:hint="eastAsia"/>
                <w:kern w:val="0"/>
                <w:sz w:val="21"/>
                <w:szCs w:val="21"/>
              </w:rPr>
              <w:t>计算，则废料产生量为</w:t>
            </w:r>
            <w:r>
              <w:rPr>
                <w:kern w:val="0"/>
                <w:sz w:val="21"/>
                <w:szCs w:val="21"/>
              </w:rPr>
              <w:t>15 t/a</w:t>
            </w:r>
            <w:r>
              <w:rPr>
                <w:rFonts w:hint="eastAsia"/>
                <w:kern w:val="0"/>
                <w:sz w:val="21"/>
                <w:szCs w:val="21"/>
              </w:rPr>
              <w:t>。废气源强采用《排放源统计调查产排污核算方法和系数手册》“2</w:t>
            </w:r>
            <w:r>
              <w:rPr>
                <w:kern w:val="0"/>
                <w:sz w:val="21"/>
                <w:szCs w:val="21"/>
              </w:rPr>
              <w:t>92</w:t>
            </w:r>
            <w:r>
              <w:rPr>
                <w:rFonts w:hint="eastAsia"/>
                <w:kern w:val="0"/>
                <w:sz w:val="21"/>
                <w:szCs w:val="21"/>
              </w:rPr>
              <w:t>塑料制品行业系数手册”中“</w:t>
            </w:r>
            <w:r>
              <w:rPr>
                <w:kern w:val="0"/>
                <w:sz w:val="21"/>
                <w:szCs w:val="21"/>
              </w:rPr>
              <w:t>4220</w:t>
            </w:r>
            <w:r>
              <w:rPr>
                <w:rFonts w:hint="eastAsia"/>
                <w:kern w:val="0"/>
                <w:sz w:val="21"/>
                <w:szCs w:val="21"/>
              </w:rPr>
              <w:t>非金属废料和碎屑加工处理行业系数表”中以废P</w:t>
            </w:r>
            <w:r>
              <w:rPr>
                <w:kern w:val="0"/>
                <w:sz w:val="21"/>
                <w:szCs w:val="21"/>
              </w:rPr>
              <w:t>P</w:t>
            </w:r>
            <w:r>
              <w:rPr>
                <w:rFonts w:hint="eastAsia"/>
                <w:kern w:val="0"/>
                <w:sz w:val="21"/>
                <w:szCs w:val="21"/>
              </w:rPr>
              <w:t>、A</w:t>
            </w:r>
            <w:r>
              <w:rPr>
                <w:kern w:val="0"/>
                <w:sz w:val="21"/>
                <w:szCs w:val="21"/>
              </w:rPr>
              <w:t>BS</w:t>
            </w:r>
            <w:r>
              <w:rPr>
                <w:rFonts w:hint="eastAsia"/>
                <w:kern w:val="0"/>
                <w:sz w:val="21"/>
                <w:szCs w:val="21"/>
              </w:rPr>
              <w:t>为原料，颗粒物废气产污系数为3</w:t>
            </w:r>
            <w:r>
              <w:rPr>
                <w:kern w:val="0"/>
                <w:sz w:val="21"/>
                <w:szCs w:val="21"/>
              </w:rPr>
              <w:t>75</w:t>
            </w:r>
            <w:r>
              <w:rPr>
                <w:rFonts w:hint="eastAsia"/>
                <w:kern w:val="0"/>
                <w:sz w:val="21"/>
                <w:szCs w:val="21"/>
              </w:rPr>
              <w:t>~</w:t>
            </w:r>
            <w:r>
              <w:rPr>
                <w:kern w:val="0"/>
                <w:sz w:val="21"/>
                <w:szCs w:val="21"/>
              </w:rPr>
              <w:t>425 g/t-</w:t>
            </w:r>
            <w:r>
              <w:rPr>
                <w:rFonts w:hint="eastAsia"/>
                <w:kern w:val="0"/>
                <w:sz w:val="21"/>
                <w:szCs w:val="21"/>
              </w:rPr>
              <w:t>产品，本次取最大为</w:t>
            </w:r>
            <w:r>
              <w:rPr>
                <w:kern w:val="0"/>
                <w:sz w:val="21"/>
                <w:szCs w:val="21"/>
              </w:rPr>
              <w:t>425 g/t-</w:t>
            </w:r>
            <w:r>
              <w:rPr>
                <w:rFonts w:hint="eastAsia"/>
                <w:kern w:val="0"/>
                <w:sz w:val="21"/>
                <w:szCs w:val="21"/>
              </w:rPr>
              <w:t>产品，项目年处理废料</w:t>
            </w:r>
            <w:r>
              <w:rPr>
                <w:kern w:val="0"/>
                <w:sz w:val="21"/>
                <w:szCs w:val="21"/>
              </w:rPr>
              <w:t>15 t</w:t>
            </w:r>
            <w:r>
              <w:rPr>
                <w:rFonts w:hint="eastAsia"/>
                <w:kern w:val="0"/>
                <w:sz w:val="21"/>
                <w:szCs w:val="21"/>
              </w:rPr>
              <w:t>，计算颗粒物废气产生量为</w:t>
            </w:r>
            <w:r>
              <w:rPr>
                <w:kern w:val="0"/>
                <w:sz w:val="21"/>
                <w:szCs w:val="21"/>
              </w:rPr>
              <w:t>0.006 t/a</w:t>
            </w:r>
            <w:r>
              <w:rPr>
                <w:rFonts w:hint="eastAsia"/>
                <w:kern w:val="0"/>
                <w:sz w:val="21"/>
                <w:szCs w:val="21"/>
              </w:rPr>
              <w:t>，废料处理工作时间按</w:t>
            </w:r>
            <w:r>
              <w:rPr>
                <w:kern w:val="0"/>
                <w:sz w:val="21"/>
                <w:szCs w:val="21"/>
              </w:rPr>
              <w:t>300 h/a</w:t>
            </w:r>
            <w:r>
              <w:rPr>
                <w:rFonts w:hint="eastAsia"/>
                <w:kern w:val="0"/>
                <w:sz w:val="21"/>
                <w:szCs w:val="21"/>
              </w:rPr>
              <w:t>计算，则产生速率为</w:t>
            </w:r>
            <w:r>
              <w:rPr>
                <w:kern w:val="0"/>
                <w:sz w:val="21"/>
                <w:szCs w:val="21"/>
              </w:rPr>
              <w:t>0.02 kg/h</w:t>
            </w:r>
            <w:r>
              <w:rPr>
                <w:rFonts w:hint="eastAsia"/>
                <w:kern w:val="0"/>
                <w:sz w:val="21"/>
                <w:szCs w:val="21"/>
              </w:rPr>
              <w:t>，采用滤筒除尘器处理后排放量很小。</w:t>
            </w:r>
          </w:p>
          <w:p>
            <w:pPr>
              <w:pStyle w:val="51"/>
              <w:snapToGrid w:val="0"/>
              <w:spacing w:line="400" w:lineRule="exact"/>
              <w:ind w:firstLine="420" w:firstLineChars="200"/>
              <w:rPr>
                <w:kern w:val="0"/>
                <w:sz w:val="21"/>
                <w:szCs w:val="21"/>
              </w:rPr>
            </w:pPr>
            <w:r>
              <w:rPr>
                <w:rFonts w:hint="eastAsia"/>
                <w:kern w:val="0"/>
                <w:sz w:val="21"/>
                <w:szCs w:val="21"/>
              </w:rPr>
              <w:t>③烘干废气</w:t>
            </w:r>
          </w:p>
          <w:p>
            <w:pPr>
              <w:pStyle w:val="51"/>
              <w:snapToGrid w:val="0"/>
              <w:spacing w:line="400" w:lineRule="exact"/>
              <w:ind w:firstLine="420" w:firstLineChars="200"/>
              <w:rPr>
                <w:kern w:val="0"/>
                <w:sz w:val="21"/>
                <w:szCs w:val="21"/>
              </w:rPr>
            </w:pPr>
            <w:r>
              <w:rPr>
                <w:rFonts w:hint="eastAsia"/>
                <w:kern w:val="0"/>
                <w:sz w:val="21"/>
                <w:szCs w:val="21"/>
              </w:rPr>
              <w:t>需要烘干的原料主要为聚丙烯，其年用量为9</w:t>
            </w:r>
            <w:r>
              <w:rPr>
                <w:kern w:val="0"/>
                <w:sz w:val="21"/>
                <w:szCs w:val="21"/>
              </w:rPr>
              <w:t>00 t</w:t>
            </w:r>
            <w:r>
              <w:rPr>
                <w:rFonts w:hint="eastAsia"/>
                <w:kern w:val="0"/>
                <w:sz w:val="21"/>
                <w:szCs w:val="21"/>
              </w:rPr>
              <w:t>，烘干过程产生的颗粒物主要产生于颗粒摩擦粉末，以及其他过程混入的尘土等。其颗粒物按原料投入量的0</w:t>
            </w:r>
            <w:r>
              <w:rPr>
                <w:kern w:val="0"/>
                <w:sz w:val="21"/>
                <w:szCs w:val="21"/>
              </w:rPr>
              <w:t>.1</w:t>
            </w:r>
            <w:r>
              <w:rPr>
                <w:rFonts w:hint="eastAsia"/>
                <w:kern w:val="0"/>
                <w:sz w:val="21"/>
                <w:szCs w:val="21"/>
              </w:rPr>
              <w:t>%核算，则颗粒物产生量为</w:t>
            </w:r>
            <w:r>
              <w:rPr>
                <w:kern w:val="0"/>
                <w:sz w:val="21"/>
                <w:szCs w:val="21"/>
              </w:rPr>
              <w:t>0.9 t/a</w:t>
            </w:r>
            <w:r>
              <w:rPr>
                <w:rFonts w:hint="eastAsia"/>
                <w:kern w:val="0"/>
                <w:sz w:val="21"/>
                <w:szCs w:val="21"/>
              </w:rPr>
              <w:t>，工作时间按</w:t>
            </w:r>
            <w:r>
              <w:rPr>
                <w:kern w:val="0"/>
                <w:sz w:val="21"/>
                <w:szCs w:val="21"/>
              </w:rPr>
              <w:t>600 h/a</w:t>
            </w:r>
            <w:r>
              <w:rPr>
                <w:rFonts w:hint="eastAsia"/>
                <w:kern w:val="0"/>
                <w:sz w:val="21"/>
                <w:szCs w:val="21"/>
              </w:rPr>
              <w:t>计算，则产生速率为</w:t>
            </w:r>
            <w:r>
              <w:rPr>
                <w:kern w:val="0"/>
                <w:sz w:val="21"/>
                <w:szCs w:val="21"/>
              </w:rPr>
              <w:t>1.5 kg/h</w:t>
            </w:r>
            <w:r>
              <w:rPr>
                <w:rFonts w:hint="eastAsia"/>
                <w:kern w:val="0"/>
                <w:sz w:val="21"/>
                <w:szCs w:val="21"/>
              </w:rPr>
              <w:t>，其出气口密闭链接滤筒除尘器，处理后车间内排放。收集效率按1</w:t>
            </w:r>
            <w:r>
              <w:rPr>
                <w:kern w:val="0"/>
                <w:sz w:val="21"/>
                <w:szCs w:val="21"/>
              </w:rPr>
              <w:t>00</w:t>
            </w:r>
            <w:r>
              <w:rPr>
                <w:rFonts w:hint="eastAsia"/>
                <w:kern w:val="0"/>
                <w:sz w:val="21"/>
                <w:szCs w:val="21"/>
              </w:rPr>
              <w:t>%计。</w:t>
            </w:r>
          </w:p>
          <w:p>
            <w:pPr>
              <w:pStyle w:val="51"/>
              <w:snapToGrid w:val="0"/>
              <w:spacing w:line="400" w:lineRule="exact"/>
              <w:ind w:firstLine="420" w:firstLineChars="200"/>
              <w:rPr>
                <w:kern w:val="0"/>
                <w:sz w:val="21"/>
                <w:szCs w:val="21"/>
              </w:rPr>
            </w:pPr>
            <w:r>
              <w:rPr>
                <w:rFonts w:hint="eastAsia"/>
                <w:kern w:val="0"/>
                <w:sz w:val="21"/>
                <w:szCs w:val="21"/>
              </w:rPr>
              <w:t>④源强产生情况汇总</w:t>
            </w:r>
          </w:p>
          <w:p>
            <w:pPr>
              <w:adjustRightInd w:val="0"/>
              <w:snapToGrid w:val="0"/>
              <w:spacing w:line="400" w:lineRule="exact"/>
              <w:jc w:val="center"/>
              <w:rPr>
                <w:b/>
                <w:szCs w:val="21"/>
              </w:rPr>
            </w:pPr>
            <w:r>
              <w:rPr>
                <w:b/>
                <w:szCs w:val="21"/>
              </w:rPr>
              <w:t xml:space="preserve">表4-3 </w:t>
            </w:r>
            <w:r>
              <w:rPr>
                <w:rFonts w:hint="eastAsia"/>
                <w:b/>
                <w:szCs w:val="21"/>
              </w:rPr>
              <w:t xml:space="preserve"> </w:t>
            </w:r>
            <w:r>
              <w:rPr>
                <w:b/>
                <w:szCs w:val="21"/>
              </w:rPr>
              <w:t>废气产生</w:t>
            </w:r>
            <w:r>
              <w:rPr>
                <w:rFonts w:hint="eastAsia"/>
                <w:b/>
                <w:szCs w:val="21"/>
              </w:rPr>
              <w:t>、治理</w:t>
            </w:r>
            <w:r>
              <w:rPr>
                <w:b/>
                <w:szCs w:val="21"/>
              </w:rPr>
              <w:t>及</w:t>
            </w:r>
            <w:r>
              <w:rPr>
                <w:rFonts w:hint="eastAsia"/>
                <w:b/>
                <w:szCs w:val="21"/>
              </w:rPr>
              <w:t>预计</w:t>
            </w:r>
            <w:r>
              <w:rPr>
                <w:b/>
                <w:szCs w:val="21"/>
              </w:rPr>
              <w:t>排放情况</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6"/>
              <w:gridCol w:w="736"/>
              <w:gridCol w:w="1065"/>
              <w:gridCol w:w="1079"/>
              <w:gridCol w:w="2052"/>
              <w:gridCol w:w="113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4" w:type="pct"/>
                  <w:shd w:val="clear" w:color="auto" w:fill="auto"/>
                  <w:vAlign w:val="center"/>
                </w:tcPr>
                <w:p>
                  <w:pPr>
                    <w:jc w:val="center"/>
                    <w:rPr>
                      <w:szCs w:val="21"/>
                    </w:rPr>
                  </w:pPr>
                  <w:r>
                    <w:rPr>
                      <w:rFonts w:hint="eastAsia"/>
                      <w:szCs w:val="21"/>
                    </w:rPr>
                    <w:t>类别</w:t>
                  </w:r>
                </w:p>
              </w:tc>
              <w:tc>
                <w:tcPr>
                  <w:tcW w:w="464" w:type="pct"/>
                  <w:vAlign w:val="center"/>
                </w:tcPr>
                <w:p>
                  <w:pPr>
                    <w:jc w:val="center"/>
                    <w:rPr>
                      <w:szCs w:val="21"/>
                    </w:rPr>
                  </w:pPr>
                  <w:r>
                    <w:rPr>
                      <w:rFonts w:hint="eastAsia"/>
                      <w:szCs w:val="21"/>
                    </w:rPr>
                    <w:t>污染物</w:t>
                  </w:r>
                </w:p>
              </w:tc>
              <w:tc>
                <w:tcPr>
                  <w:tcW w:w="671" w:type="pct"/>
                  <w:shd w:val="clear" w:color="auto" w:fill="auto"/>
                  <w:vAlign w:val="center"/>
                </w:tcPr>
                <w:p>
                  <w:pPr>
                    <w:jc w:val="center"/>
                    <w:rPr>
                      <w:szCs w:val="21"/>
                    </w:rPr>
                  </w:pPr>
                  <w:r>
                    <w:rPr>
                      <w:szCs w:val="21"/>
                    </w:rPr>
                    <w:t>源强</w:t>
                  </w:r>
                </w:p>
              </w:tc>
              <w:tc>
                <w:tcPr>
                  <w:tcW w:w="680" w:type="pct"/>
                  <w:vAlign w:val="center"/>
                </w:tcPr>
                <w:p>
                  <w:pPr>
                    <w:jc w:val="center"/>
                    <w:rPr>
                      <w:szCs w:val="21"/>
                    </w:rPr>
                  </w:pPr>
                  <w:r>
                    <w:rPr>
                      <w:rFonts w:hint="eastAsia"/>
                      <w:szCs w:val="21"/>
                    </w:rPr>
                    <w:t>收集情况</w:t>
                  </w:r>
                </w:p>
              </w:tc>
              <w:tc>
                <w:tcPr>
                  <w:tcW w:w="1293" w:type="pct"/>
                  <w:shd w:val="clear" w:color="auto" w:fill="auto"/>
                  <w:vAlign w:val="center"/>
                </w:tcPr>
                <w:p>
                  <w:pPr>
                    <w:jc w:val="center"/>
                    <w:rPr>
                      <w:szCs w:val="21"/>
                    </w:rPr>
                  </w:pPr>
                  <w:r>
                    <w:rPr>
                      <w:szCs w:val="21"/>
                    </w:rPr>
                    <w:t>处理</w:t>
                  </w:r>
                  <w:r>
                    <w:rPr>
                      <w:rFonts w:hint="eastAsia"/>
                      <w:szCs w:val="21"/>
                    </w:rPr>
                    <w:t>措施/</w:t>
                  </w:r>
                  <w:r>
                    <w:rPr>
                      <w:szCs w:val="21"/>
                    </w:rPr>
                    <w:t>效率</w:t>
                  </w:r>
                </w:p>
              </w:tc>
              <w:tc>
                <w:tcPr>
                  <w:tcW w:w="1428" w:type="pct"/>
                  <w:gridSpan w:val="2"/>
                  <w:shd w:val="clear" w:color="auto" w:fill="auto"/>
                  <w:vAlign w:val="center"/>
                </w:tcPr>
                <w:p>
                  <w:pPr>
                    <w:jc w:val="center"/>
                    <w:rPr>
                      <w:szCs w:val="21"/>
                    </w:rPr>
                  </w:pPr>
                  <w:r>
                    <w:rPr>
                      <w:szCs w:val="21"/>
                    </w:rPr>
                    <w:t>排放情况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4" w:type="pct"/>
                  <w:vMerge w:val="restart"/>
                  <w:shd w:val="clear" w:color="auto" w:fill="auto"/>
                  <w:vAlign w:val="center"/>
                </w:tcPr>
                <w:p>
                  <w:pPr>
                    <w:jc w:val="center"/>
                    <w:rPr>
                      <w:szCs w:val="21"/>
                    </w:rPr>
                  </w:pPr>
                  <w:r>
                    <w:rPr>
                      <w:rFonts w:hint="eastAsia"/>
                      <w:kern w:val="0"/>
                      <w:szCs w:val="21"/>
                    </w:rPr>
                    <w:t>注塑工序</w:t>
                  </w:r>
                </w:p>
              </w:tc>
              <w:tc>
                <w:tcPr>
                  <w:tcW w:w="464" w:type="pct"/>
                  <w:vMerge w:val="restart"/>
                  <w:vAlign w:val="center"/>
                </w:tcPr>
                <w:p>
                  <w:pPr>
                    <w:jc w:val="center"/>
                    <w:rPr>
                      <w:szCs w:val="21"/>
                    </w:rPr>
                  </w:pPr>
                  <w:r>
                    <w:rPr>
                      <w:rFonts w:hint="eastAsia"/>
                      <w:szCs w:val="21"/>
                    </w:rPr>
                    <w:t>非甲烷总烃</w:t>
                  </w:r>
                </w:p>
              </w:tc>
              <w:tc>
                <w:tcPr>
                  <w:tcW w:w="671" w:type="pct"/>
                  <w:vMerge w:val="restart"/>
                  <w:shd w:val="clear" w:color="auto" w:fill="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0.426 t/a</w:t>
                  </w:r>
                </w:p>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 xml:space="preserve"> </w:t>
                  </w:r>
                  <w:r>
                    <w:rPr>
                      <w:rFonts w:ascii="Times New Roman" w:hAnsi="Times New Roman"/>
                      <w:snapToGrid w:val="0"/>
                      <w:sz w:val="21"/>
                    </w:rPr>
                    <w:t>0.18 kg/h</w:t>
                  </w:r>
                </w:p>
              </w:tc>
              <w:tc>
                <w:tcPr>
                  <w:tcW w:w="680" w:type="pct"/>
                  <w:vAlign w:val="center"/>
                </w:tcPr>
                <w:p>
                  <w:pPr>
                    <w:jc w:val="center"/>
                    <w:rPr>
                      <w:szCs w:val="21"/>
                    </w:rPr>
                  </w:pPr>
                  <w:r>
                    <w:rPr>
                      <w:rFonts w:hint="eastAsia"/>
                      <w:szCs w:val="21"/>
                    </w:rPr>
                    <w:t>9</w:t>
                  </w:r>
                  <w:r>
                    <w:rPr>
                      <w:szCs w:val="21"/>
                    </w:rPr>
                    <w:t>5</w:t>
                  </w:r>
                  <w:r>
                    <w:rPr>
                      <w:rFonts w:hint="eastAsia"/>
                      <w:szCs w:val="21"/>
                    </w:rPr>
                    <w:t>%收集</w:t>
                  </w:r>
                </w:p>
                <w:p>
                  <w:pPr>
                    <w:jc w:val="center"/>
                    <w:rPr>
                      <w:szCs w:val="21"/>
                    </w:rPr>
                  </w:pPr>
                  <w:r>
                    <w:rPr>
                      <w:rFonts w:hint="eastAsia"/>
                      <w:szCs w:val="21"/>
                    </w:rPr>
                    <w:t>0</w:t>
                  </w:r>
                  <w:r>
                    <w:rPr>
                      <w:szCs w:val="21"/>
                    </w:rPr>
                    <w:t>.405 t/a</w:t>
                  </w:r>
                </w:p>
              </w:tc>
              <w:tc>
                <w:tcPr>
                  <w:tcW w:w="1293" w:type="pct"/>
                  <w:shd w:val="clear" w:color="auto" w:fill="auto"/>
                  <w:vAlign w:val="center"/>
                </w:tcPr>
                <w:p>
                  <w:pPr>
                    <w:jc w:val="center"/>
                    <w:rPr>
                      <w:szCs w:val="21"/>
                    </w:rPr>
                  </w:pPr>
                  <w:r>
                    <w:rPr>
                      <w:rFonts w:hint="eastAsia"/>
                      <w:szCs w:val="21"/>
                    </w:rPr>
                    <w:t>过滤</w:t>
                  </w:r>
                  <w:r>
                    <w:rPr>
                      <w:rFonts w:hint="eastAsia"/>
                    </w:rPr>
                    <w:t>棉</w:t>
                  </w:r>
                  <w:r>
                    <w:rPr>
                      <w:rFonts w:hint="eastAsia"/>
                      <w:szCs w:val="21"/>
                    </w:rPr>
                    <w:t>+</w:t>
                  </w:r>
                  <w:r>
                    <w:t>2</w:t>
                  </w:r>
                  <w:r>
                    <w:rPr>
                      <w:rFonts w:hint="eastAsia"/>
                    </w:rPr>
                    <w:t>级</w:t>
                  </w:r>
                  <w:r>
                    <w:rPr>
                      <w:rFonts w:hint="eastAsia"/>
                      <w:szCs w:val="21"/>
                    </w:rPr>
                    <w:t>活性炭吸附净化</w:t>
                  </w:r>
                  <w:r>
                    <w:rPr>
                      <w:szCs w:val="21"/>
                    </w:rPr>
                    <w:t>效率90 %</w:t>
                  </w:r>
                  <w:r>
                    <w:rPr>
                      <w:rFonts w:hint="eastAsia"/>
                      <w:szCs w:val="21"/>
                    </w:rPr>
                    <w:t>，废气量</w:t>
                  </w:r>
                  <w:r>
                    <w:rPr>
                      <w:szCs w:val="21"/>
                    </w:rPr>
                    <w:t>5000 m</w:t>
                  </w:r>
                  <w:r>
                    <w:rPr>
                      <w:szCs w:val="21"/>
                      <w:vertAlign w:val="superscript"/>
                    </w:rPr>
                    <w:t>3</w:t>
                  </w:r>
                  <w:r>
                    <w:rPr>
                      <w:szCs w:val="21"/>
                    </w:rPr>
                    <w:t>/h</w:t>
                  </w:r>
                </w:p>
              </w:tc>
              <w:tc>
                <w:tcPr>
                  <w:tcW w:w="1428" w:type="pct"/>
                  <w:gridSpan w:val="2"/>
                  <w:shd w:val="clear" w:color="auto" w:fill="auto"/>
                  <w:vAlign w:val="center"/>
                </w:tcPr>
                <w:p>
                  <w:pPr>
                    <w:jc w:val="center"/>
                    <w:rPr>
                      <w:szCs w:val="21"/>
                    </w:rPr>
                  </w:pPr>
                  <w:r>
                    <w:rPr>
                      <w:rFonts w:hint="eastAsia"/>
                      <w:szCs w:val="21"/>
                    </w:rPr>
                    <w:t>0</w:t>
                  </w:r>
                  <w:r>
                    <w:rPr>
                      <w:szCs w:val="21"/>
                    </w:rPr>
                    <w:t>.041 t/a</w:t>
                  </w:r>
                </w:p>
                <w:p>
                  <w:pPr>
                    <w:jc w:val="center"/>
                    <w:rPr>
                      <w:szCs w:val="21"/>
                    </w:rPr>
                  </w:pPr>
                  <w:r>
                    <w:rPr>
                      <w:rFonts w:hint="eastAsia"/>
                      <w:szCs w:val="21"/>
                    </w:rPr>
                    <w:t>0</w:t>
                  </w:r>
                  <w:r>
                    <w:rPr>
                      <w:szCs w:val="21"/>
                    </w:rPr>
                    <w:t>.024 kg/h</w:t>
                  </w:r>
                </w:p>
                <w:p>
                  <w:pPr>
                    <w:jc w:val="center"/>
                    <w:rPr>
                      <w:szCs w:val="21"/>
                    </w:rPr>
                  </w:pPr>
                  <w:r>
                    <w:rPr>
                      <w:szCs w:val="21"/>
                    </w:rPr>
                    <w:t>4.82 mg/m</w:t>
                  </w:r>
                  <w:r>
                    <w:rPr>
                      <w:szCs w:val="21"/>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4" w:type="pct"/>
                  <w:vMerge w:val="continue"/>
                  <w:shd w:val="clear" w:color="auto" w:fill="auto"/>
                  <w:vAlign w:val="center"/>
                </w:tcPr>
                <w:p>
                  <w:pPr>
                    <w:jc w:val="center"/>
                    <w:rPr>
                      <w:szCs w:val="21"/>
                    </w:rPr>
                  </w:pPr>
                </w:p>
              </w:tc>
              <w:tc>
                <w:tcPr>
                  <w:tcW w:w="464" w:type="pct"/>
                  <w:vMerge w:val="continue"/>
                  <w:vAlign w:val="center"/>
                </w:tcPr>
                <w:p>
                  <w:pPr>
                    <w:jc w:val="center"/>
                    <w:rPr>
                      <w:szCs w:val="21"/>
                    </w:rPr>
                  </w:pPr>
                </w:p>
              </w:tc>
              <w:tc>
                <w:tcPr>
                  <w:tcW w:w="671" w:type="pct"/>
                  <w:vMerge w:val="continue"/>
                  <w:shd w:val="clear" w:color="auto" w:fill="auto"/>
                  <w:vAlign w:val="center"/>
                </w:tcPr>
                <w:p>
                  <w:pPr>
                    <w:jc w:val="center"/>
                    <w:rPr>
                      <w:szCs w:val="21"/>
                    </w:rPr>
                  </w:pPr>
                </w:p>
              </w:tc>
              <w:tc>
                <w:tcPr>
                  <w:tcW w:w="680" w:type="pct"/>
                  <w:vAlign w:val="center"/>
                </w:tcPr>
                <w:p>
                  <w:pPr>
                    <w:jc w:val="center"/>
                    <w:rPr>
                      <w:szCs w:val="21"/>
                    </w:rPr>
                  </w:pPr>
                  <w:r>
                    <w:rPr>
                      <w:rFonts w:hint="eastAsia"/>
                      <w:szCs w:val="21"/>
                    </w:rPr>
                    <w:t>5%未收集</w:t>
                  </w:r>
                </w:p>
                <w:p>
                  <w:pPr>
                    <w:jc w:val="center"/>
                    <w:rPr>
                      <w:szCs w:val="21"/>
                    </w:rPr>
                  </w:pPr>
                  <w:r>
                    <w:rPr>
                      <w:rFonts w:hint="eastAsia"/>
                      <w:szCs w:val="21"/>
                    </w:rPr>
                    <w:t>0</w:t>
                  </w:r>
                  <w:r>
                    <w:rPr>
                      <w:szCs w:val="21"/>
                    </w:rPr>
                    <w:t>.021 t/a</w:t>
                  </w:r>
                </w:p>
              </w:tc>
              <w:tc>
                <w:tcPr>
                  <w:tcW w:w="1293" w:type="pct"/>
                  <w:shd w:val="clear" w:color="auto" w:fill="auto"/>
                  <w:vAlign w:val="center"/>
                </w:tcPr>
                <w:p>
                  <w:pPr>
                    <w:jc w:val="center"/>
                    <w:rPr>
                      <w:szCs w:val="21"/>
                    </w:rPr>
                  </w:pPr>
                  <w:r>
                    <w:rPr>
                      <w:rFonts w:hint="eastAsia"/>
                      <w:szCs w:val="21"/>
                    </w:rPr>
                    <w:t>车间内作业</w:t>
                  </w:r>
                </w:p>
              </w:tc>
              <w:tc>
                <w:tcPr>
                  <w:tcW w:w="1428" w:type="pct"/>
                  <w:gridSpan w:val="2"/>
                  <w:shd w:val="clear" w:color="auto" w:fill="auto"/>
                  <w:vAlign w:val="center"/>
                </w:tcPr>
                <w:p>
                  <w:pPr>
                    <w:jc w:val="center"/>
                    <w:rPr>
                      <w:szCs w:val="21"/>
                    </w:rPr>
                  </w:pPr>
                  <w:r>
                    <w:rPr>
                      <w:rFonts w:hint="eastAsia"/>
                      <w:szCs w:val="21"/>
                    </w:rPr>
                    <w:t>0</w:t>
                  </w:r>
                  <w:r>
                    <w:rPr>
                      <w:szCs w:val="21"/>
                    </w:rPr>
                    <w:t>.021 t/a</w:t>
                  </w:r>
                  <w:r>
                    <w:rPr>
                      <w:rFonts w:hint="eastAsia"/>
                      <w:szCs w:val="21"/>
                    </w:rPr>
                    <w:t xml:space="preserve"> </w:t>
                  </w:r>
                </w:p>
                <w:p>
                  <w:pPr>
                    <w:jc w:val="center"/>
                    <w:rPr>
                      <w:szCs w:val="21"/>
                    </w:rPr>
                  </w:pPr>
                  <w:r>
                    <w:rPr>
                      <w:rFonts w:hint="eastAsia"/>
                      <w:szCs w:val="21"/>
                    </w:rPr>
                    <w:t>0</w:t>
                  </w:r>
                  <w:r>
                    <w:rPr>
                      <w:szCs w:val="21"/>
                    </w:rPr>
                    <w:t>.013 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4" w:type="pct"/>
                  <w:vMerge w:val="restart"/>
                  <w:shd w:val="clear" w:color="auto" w:fill="auto"/>
                  <w:vAlign w:val="center"/>
                </w:tcPr>
                <w:p>
                  <w:pPr>
                    <w:jc w:val="center"/>
                    <w:rPr>
                      <w:szCs w:val="21"/>
                    </w:rPr>
                  </w:pPr>
                  <w:r>
                    <w:rPr>
                      <w:rFonts w:hint="eastAsia"/>
                      <w:szCs w:val="21"/>
                    </w:rPr>
                    <w:t>废料处理</w:t>
                  </w:r>
                </w:p>
              </w:tc>
              <w:tc>
                <w:tcPr>
                  <w:tcW w:w="464" w:type="pct"/>
                  <w:vMerge w:val="restart"/>
                  <w:vAlign w:val="center"/>
                </w:tcPr>
                <w:p>
                  <w:pPr>
                    <w:jc w:val="center"/>
                    <w:rPr>
                      <w:kern w:val="0"/>
                      <w:szCs w:val="21"/>
                    </w:rPr>
                  </w:pPr>
                  <w:r>
                    <w:rPr>
                      <w:rFonts w:hint="eastAsia"/>
                      <w:kern w:val="0"/>
                      <w:szCs w:val="21"/>
                    </w:rPr>
                    <w:t>颗粒物</w:t>
                  </w:r>
                </w:p>
              </w:tc>
              <w:tc>
                <w:tcPr>
                  <w:tcW w:w="671" w:type="pct"/>
                  <w:vMerge w:val="restart"/>
                  <w:shd w:val="clear" w:color="auto" w:fill="auto"/>
                  <w:vAlign w:val="center"/>
                </w:tcPr>
                <w:p>
                  <w:pPr>
                    <w:jc w:val="center"/>
                    <w:rPr>
                      <w:szCs w:val="21"/>
                    </w:rPr>
                  </w:pPr>
                  <w:r>
                    <w:rPr>
                      <w:kern w:val="0"/>
                      <w:szCs w:val="21"/>
                    </w:rPr>
                    <w:t>0.006 t/a</w:t>
                  </w:r>
                  <w:r>
                    <w:rPr>
                      <w:rFonts w:hint="eastAsia"/>
                      <w:kern w:val="0"/>
                      <w:szCs w:val="21"/>
                    </w:rPr>
                    <w:t xml:space="preserve"> 0</w:t>
                  </w:r>
                  <w:r>
                    <w:rPr>
                      <w:kern w:val="0"/>
                      <w:szCs w:val="21"/>
                    </w:rPr>
                    <w:t xml:space="preserve">.02 kg/h </w:t>
                  </w:r>
                </w:p>
              </w:tc>
              <w:tc>
                <w:tcPr>
                  <w:tcW w:w="680" w:type="pct"/>
                  <w:vAlign w:val="center"/>
                </w:tcPr>
                <w:p>
                  <w:pPr>
                    <w:jc w:val="center"/>
                    <w:rPr>
                      <w:szCs w:val="21"/>
                    </w:rPr>
                  </w:pPr>
                  <w:r>
                    <w:rPr>
                      <w:szCs w:val="21"/>
                    </w:rPr>
                    <w:t>95</w:t>
                  </w:r>
                  <w:r>
                    <w:rPr>
                      <w:rFonts w:hint="eastAsia"/>
                      <w:szCs w:val="21"/>
                    </w:rPr>
                    <w:t>%收集</w:t>
                  </w:r>
                </w:p>
                <w:p>
                  <w:pPr>
                    <w:jc w:val="center"/>
                    <w:rPr>
                      <w:szCs w:val="21"/>
                    </w:rPr>
                  </w:pPr>
                  <w:r>
                    <w:rPr>
                      <w:rFonts w:hint="eastAsia"/>
                      <w:szCs w:val="21"/>
                    </w:rPr>
                    <w:t>0</w:t>
                  </w:r>
                  <w:r>
                    <w:rPr>
                      <w:szCs w:val="21"/>
                    </w:rPr>
                    <w:t>.0057 t/a</w:t>
                  </w:r>
                </w:p>
              </w:tc>
              <w:tc>
                <w:tcPr>
                  <w:tcW w:w="1293" w:type="pct"/>
                  <w:shd w:val="clear" w:color="auto" w:fill="auto"/>
                  <w:vAlign w:val="center"/>
                </w:tcPr>
                <w:p>
                  <w:pPr>
                    <w:jc w:val="center"/>
                    <w:rPr>
                      <w:szCs w:val="21"/>
                    </w:rPr>
                  </w:pPr>
                  <w:r>
                    <w:rPr>
                      <w:rFonts w:hint="eastAsia"/>
                      <w:szCs w:val="21"/>
                    </w:rPr>
                    <w:t>滤筒除尘器处理效率9</w:t>
                  </w:r>
                  <w:r>
                    <w:rPr>
                      <w:szCs w:val="21"/>
                    </w:rPr>
                    <w:t>0</w:t>
                  </w:r>
                  <w:r>
                    <w:rPr>
                      <w:rFonts w:hint="eastAsia"/>
                      <w:szCs w:val="21"/>
                    </w:rPr>
                    <w:t>%</w:t>
                  </w:r>
                </w:p>
              </w:tc>
              <w:tc>
                <w:tcPr>
                  <w:tcW w:w="714" w:type="pct"/>
                  <w:vMerge w:val="restart"/>
                  <w:shd w:val="clear" w:color="auto" w:fill="auto"/>
                  <w:vAlign w:val="center"/>
                </w:tcPr>
                <w:p>
                  <w:pPr>
                    <w:jc w:val="center"/>
                    <w:rPr>
                      <w:szCs w:val="21"/>
                    </w:rPr>
                  </w:pPr>
                  <w:r>
                    <w:rPr>
                      <w:rFonts w:hint="eastAsia"/>
                      <w:szCs w:val="21"/>
                    </w:rPr>
                    <w:t>0</w:t>
                  </w:r>
                  <w:r>
                    <w:rPr>
                      <w:szCs w:val="21"/>
                    </w:rPr>
                    <w:t>.0009 t/a</w:t>
                  </w:r>
                  <w:r>
                    <w:rPr>
                      <w:rFonts w:hint="eastAsia"/>
                      <w:szCs w:val="21"/>
                    </w:rPr>
                    <w:t xml:space="preserve"> 0</w:t>
                  </w:r>
                  <w:r>
                    <w:rPr>
                      <w:szCs w:val="21"/>
                    </w:rPr>
                    <w:t>.0004 kg/h</w:t>
                  </w:r>
                </w:p>
              </w:tc>
              <w:tc>
                <w:tcPr>
                  <w:tcW w:w="714" w:type="pct"/>
                  <w:vMerge w:val="restart"/>
                  <w:vAlign w:val="center"/>
                </w:tcPr>
                <w:p>
                  <w:pPr>
                    <w:jc w:val="center"/>
                    <w:rPr>
                      <w:szCs w:val="21"/>
                    </w:rPr>
                  </w:pPr>
                  <w:r>
                    <w:rPr>
                      <w:rFonts w:hint="eastAsia"/>
                      <w:szCs w:val="21"/>
                    </w:rPr>
                    <w:t>0</w:t>
                  </w:r>
                  <w:r>
                    <w:rPr>
                      <w:szCs w:val="21"/>
                    </w:rPr>
                    <w:t>.0909 t/a</w:t>
                  </w:r>
                </w:p>
                <w:p>
                  <w:pPr>
                    <w:jc w:val="center"/>
                    <w:rPr>
                      <w:szCs w:val="21"/>
                    </w:rPr>
                  </w:pPr>
                  <w:r>
                    <w:rPr>
                      <w:rFonts w:hint="eastAsia"/>
                      <w:szCs w:val="21"/>
                    </w:rPr>
                    <w:t>0</w:t>
                  </w:r>
                  <w:r>
                    <w:rPr>
                      <w:szCs w:val="21"/>
                    </w:rPr>
                    <w:t>.1504 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4" w:type="pct"/>
                  <w:vMerge w:val="continue"/>
                  <w:shd w:val="clear" w:color="auto" w:fill="auto"/>
                  <w:vAlign w:val="center"/>
                </w:tcPr>
                <w:p>
                  <w:pPr>
                    <w:jc w:val="center"/>
                    <w:rPr>
                      <w:szCs w:val="21"/>
                    </w:rPr>
                  </w:pPr>
                </w:p>
              </w:tc>
              <w:tc>
                <w:tcPr>
                  <w:tcW w:w="464" w:type="pct"/>
                  <w:vMerge w:val="continue"/>
                  <w:vAlign w:val="center"/>
                </w:tcPr>
                <w:p>
                  <w:pPr>
                    <w:jc w:val="center"/>
                    <w:rPr>
                      <w:kern w:val="0"/>
                      <w:szCs w:val="21"/>
                    </w:rPr>
                  </w:pPr>
                </w:p>
              </w:tc>
              <w:tc>
                <w:tcPr>
                  <w:tcW w:w="671" w:type="pct"/>
                  <w:vMerge w:val="continue"/>
                  <w:shd w:val="clear" w:color="auto" w:fill="auto"/>
                  <w:vAlign w:val="center"/>
                </w:tcPr>
                <w:p>
                  <w:pPr>
                    <w:jc w:val="center"/>
                    <w:rPr>
                      <w:kern w:val="0"/>
                      <w:szCs w:val="21"/>
                    </w:rPr>
                  </w:pPr>
                </w:p>
              </w:tc>
              <w:tc>
                <w:tcPr>
                  <w:tcW w:w="680" w:type="pct"/>
                  <w:vAlign w:val="center"/>
                </w:tcPr>
                <w:p>
                  <w:pPr>
                    <w:jc w:val="center"/>
                    <w:rPr>
                      <w:szCs w:val="21"/>
                    </w:rPr>
                  </w:pPr>
                  <w:r>
                    <w:rPr>
                      <w:rFonts w:hint="eastAsia"/>
                      <w:szCs w:val="21"/>
                    </w:rPr>
                    <w:t>5%未收集</w:t>
                  </w:r>
                </w:p>
                <w:p>
                  <w:pPr>
                    <w:jc w:val="center"/>
                    <w:rPr>
                      <w:szCs w:val="21"/>
                    </w:rPr>
                  </w:pPr>
                  <w:r>
                    <w:rPr>
                      <w:rFonts w:hint="eastAsia"/>
                      <w:szCs w:val="21"/>
                    </w:rPr>
                    <w:t>0</w:t>
                  </w:r>
                  <w:r>
                    <w:rPr>
                      <w:szCs w:val="21"/>
                    </w:rPr>
                    <w:t>.0003 t/a</w:t>
                  </w:r>
                </w:p>
              </w:tc>
              <w:tc>
                <w:tcPr>
                  <w:tcW w:w="1293" w:type="pct"/>
                  <w:shd w:val="clear" w:color="auto" w:fill="auto"/>
                  <w:vAlign w:val="center"/>
                </w:tcPr>
                <w:p>
                  <w:pPr>
                    <w:jc w:val="center"/>
                    <w:rPr>
                      <w:szCs w:val="21"/>
                    </w:rPr>
                  </w:pPr>
                  <w:r>
                    <w:rPr>
                      <w:rFonts w:hint="eastAsia"/>
                      <w:szCs w:val="21"/>
                    </w:rPr>
                    <w:t>车间内作业</w:t>
                  </w:r>
                </w:p>
              </w:tc>
              <w:tc>
                <w:tcPr>
                  <w:tcW w:w="714" w:type="pct"/>
                  <w:vMerge w:val="continue"/>
                  <w:shd w:val="clear" w:color="auto" w:fill="auto"/>
                  <w:vAlign w:val="center"/>
                </w:tcPr>
                <w:p>
                  <w:pPr>
                    <w:jc w:val="center"/>
                    <w:rPr>
                      <w:szCs w:val="21"/>
                    </w:rPr>
                  </w:pPr>
                </w:p>
              </w:tc>
              <w:tc>
                <w:tcPr>
                  <w:tcW w:w="714" w:type="pct"/>
                  <w:vMerge w:val="continue"/>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64" w:type="pct"/>
                  <w:shd w:val="clear" w:color="auto" w:fill="auto"/>
                  <w:vAlign w:val="center"/>
                </w:tcPr>
                <w:p>
                  <w:pPr>
                    <w:jc w:val="center"/>
                    <w:rPr>
                      <w:szCs w:val="21"/>
                    </w:rPr>
                  </w:pPr>
                  <w:r>
                    <w:rPr>
                      <w:rFonts w:hint="eastAsia"/>
                      <w:szCs w:val="21"/>
                    </w:rPr>
                    <w:t>烘干</w:t>
                  </w:r>
                </w:p>
              </w:tc>
              <w:tc>
                <w:tcPr>
                  <w:tcW w:w="464" w:type="pct"/>
                  <w:vAlign w:val="center"/>
                </w:tcPr>
                <w:p>
                  <w:pPr>
                    <w:jc w:val="center"/>
                    <w:rPr>
                      <w:kern w:val="0"/>
                      <w:szCs w:val="21"/>
                    </w:rPr>
                  </w:pPr>
                  <w:r>
                    <w:rPr>
                      <w:rFonts w:hint="eastAsia"/>
                      <w:kern w:val="0"/>
                      <w:szCs w:val="21"/>
                    </w:rPr>
                    <w:t>颗粒物</w:t>
                  </w:r>
                </w:p>
              </w:tc>
              <w:tc>
                <w:tcPr>
                  <w:tcW w:w="671" w:type="pct"/>
                  <w:shd w:val="clear" w:color="auto" w:fill="auto"/>
                  <w:vAlign w:val="center"/>
                </w:tcPr>
                <w:p>
                  <w:pPr>
                    <w:jc w:val="center"/>
                    <w:rPr>
                      <w:kern w:val="0"/>
                      <w:szCs w:val="21"/>
                    </w:rPr>
                  </w:pPr>
                  <w:r>
                    <w:rPr>
                      <w:kern w:val="0"/>
                      <w:szCs w:val="21"/>
                    </w:rPr>
                    <w:t>0.9 t/a</w:t>
                  </w:r>
                </w:p>
                <w:p>
                  <w:pPr>
                    <w:jc w:val="center"/>
                    <w:rPr>
                      <w:kern w:val="0"/>
                      <w:szCs w:val="21"/>
                    </w:rPr>
                  </w:pPr>
                  <w:r>
                    <w:rPr>
                      <w:kern w:val="0"/>
                      <w:szCs w:val="21"/>
                    </w:rPr>
                    <w:t>1.5 kg/h</w:t>
                  </w:r>
                </w:p>
              </w:tc>
              <w:tc>
                <w:tcPr>
                  <w:tcW w:w="680" w:type="pct"/>
                  <w:vAlign w:val="center"/>
                </w:tcPr>
                <w:p>
                  <w:pPr>
                    <w:jc w:val="center"/>
                    <w:rPr>
                      <w:kern w:val="0"/>
                      <w:szCs w:val="21"/>
                    </w:rPr>
                  </w:pPr>
                  <w:r>
                    <w:rPr>
                      <w:rFonts w:hint="eastAsia"/>
                      <w:szCs w:val="21"/>
                    </w:rPr>
                    <w:t>1</w:t>
                  </w:r>
                  <w:r>
                    <w:rPr>
                      <w:szCs w:val="21"/>
                    </w:rPr>
                    <w:t>00</w:t>
                  </w:r>
                  <w:r>
                    <w:rPr>
                      <w:rFonts w:hint="eastAsia"/>
                      <w:szCs w:val="21"/>
                    </w:rPr>
                    <w:t>%收集</w:t>
                  </w:r>
                  <w:r>
                    <w:rPr>
                      <w:kern w:val="0"/>
                      <w:szCs w:val="21"/>
                    </w:rPr>
                    <w:t>0.9 t/a</w:t>
                  </w:r>
                </w:p>
              </w:tc>
              <w:tc>
                <w:tcPr>
                  <w:tcW w:w="1293" w:type="pct"/>
                  <w:shd w:val="clear" w:color="auto" w:fill="auto"/>
                  <w:vAlign w:val="center"/>
                </w:tcPr>
                <w:p>
                  <w:pPr>
                    <w:jc w:val="center"/>
                    <w:rPr>
                      <w:szCs w:val="21"/>
                    </w:rPr>
                  </w:pPr>
                  <w:r>
                    <w:rPr>
                      <w:rFonts w:hint="eastAsia"/>
                      <w:szCs w:val="21"/>
                    </w:rPr>
                    <w:t>滤筒除尘器处理效率9</w:t>
                  </w:r>
                  <w:r>
                    <w:rPr>
                      <w:szCs w:val="21"/>
                    </w:rPr>
                    <w:t>0</w:t>
                  </w:r>
                  <w:r>
                    <w:rPr>
                      <w:rFonts w:hint="eastAsia"/>
                      <w:szCs w:val="21"/>
                    </w:rPr>
                    <w:t>%</w:t>
                  </w:r>
                </w:p>
              </w:tc>
              <w:tc>
                <w:tcPr>
                  <w:tcW w:w="714" w:type="pct"/>
                  <w:shd w:val="clear" w:color="auto" w:fill="auto"/>
                  <w:vAlign w:val="center"/>
                </w:tcPr>
                <w:p>
                  <w:pPr>
                    <w:jc w:val="center"/>
                    <w:rPr>
                      <w:szCs w:val="21"/>
                    </w:rPr>
                  </w:pPr>
                  <w:r>
                    <w:rPr>
                      <w:rFonts w:hint="eastAsia"/>
                      <w:szCs w:val="21"/>
                    </w:rPr>
                    <w:t>0</w:t>
                  </w:r>
                  <w:r>
                    <w:rPr>
                      <w:szCs w:val="21"/>
                    </w:rPr>
                    <w:t>.09 t/a</w:t>
                  </w:r>
                </w:p>
                <w:p>
                  <w:pPr>
                    <w:jc w:val="center"/>
                    <w:rPr>
                      <w:szCs w:val="21"/>
                    </w:rPr>
                  </w:pPr>
                  <w:r>
                    <w:rPr>
                      <w:rFonts w:hint="eastAsia"/>
                      <w:szCs w:val="21"/>
                    </w:rPr>
                    <w:t>0</w:t>
                  </w:r>
                  <w:r>
                    <w:rPr>
                      <w:szCs w:val="21"/>
                    </w:rPr>
                    <w:t>.15 kg/h</w:t>
                  </w:r>
                </w:p>
              </w:tc>
              <w:tc>
                <w:tcPr>
                  <w:tcW w:w="714" w:type="pct"/>
                  <w:vMerge w:val="continue"/>
                  <w:vAlign w:val="center"/>
                </w:tcPr>
                <w:p>
                  <w:pPr>
                    <w:jc w:val="center"/>
                    <w:rPr>
                      <w:szCs w:val="21"/>
                    </w:rPr>
                  </w:pPr>
                </w:p>
              </w:tc>
            </w:tr>
          </w:tbl>
          <w:p>
            <w:pPr>
              <w:adjustRightInd w:val="0"/>
              <w:snapToGrid w:val="0"/>
              <w:spacing w:line="400" w:lineRule="exact"/>
              <w:ind w:firstLine="422" w:firstLineChars="200"/>
              <w:rPr>
                <w:b/>
                <w:szCs w:val="21"/>
              </w:rPr>
            </w:pPr>
            <w:r>
              <w:rPr>
                <w:rFonts w:hint="eastAsia"/>
                <w:b/>
                <w:szCs w:val="21"/>
              </w:rPr>
              <w:t>非正常工况</w:t>
            </w:r>
          </w:p>
          <w:p>
            <w:pPr>
              <w:adjustRightInd w:val="0"/>
              <w:snapToGrid w:val="0"/>
              <w:spacing w:line="400" w:lineRule="exact"/>
              <w:ind w:firstLine="420" w:firstLineChars="200"/>
              <w:rPr>
                <w:bCs/>
                <w:szCs w:val="21"/>
              </w:rPr>
            </w:pPr>
            <w:r>
              <w:rPr>
                <w:rFonts w:hint="eastAsia"/>
                <w:bCs/>
                <w:szCs w:val="21"/>
              </w:rPr>
              <w:t>非正常工况主要考虑环保设施异常或达不到应有效率的情况。考虑最不利情形，异常期间环保设施完全失去效果的情况，持续时间按</w:t>
            </w:r>
            <w:r>
              <w:rPr>
                <w:bCs/>
                <w:szCs w:val="21"/>
              </w:rPr>
              <w:t>1 h</w:t>
            </w:r>
            <w:r>
              <w:rPr>
                <w:rFonts w:hint="eastAsia"/>
                <w:bCs/>
                <w:szCs w:val="21"/>
              </w:rPr>
              <w:t>计，否则采取相应防止污染扩散的措施，直至停产，则项目非正常工况废气排放情况如下：</w:t>
            </w:r>
            <w:r>
              <w:rPr>
                <w:rFonts w:hint="eastAsia"/>
                <w:snapToGrid w:val="0"/>
              </w:rPr>
              <w:t>，去除效率按</w:t>
            </w:r>
            <w:r>
              <w:rPr>
                <w:snapToGrid w:val="0"/>
              </w:rPr>
              <w:t>90</w:t>
            </w:r>
            <w:r>
              <w:rPr>
                <w:rFonts w:hint="eastAsia"/>
                <w:snapToGrid w:val="0"/>
              </w:rPr>
              <w:t>%</w:t>
            </w:r>
          </w:p>
          <w:p>
            <w:pPr>
              <w:adjustRightInd w:val="0"/>
              <w:snapToGrid w:val="0"/>
              <w:spacing w:line="400" w:lineRule="exact"/>
              <w:jc w:val="center"/>
              <w:rPr>
                <w:b/>
                <w:szCs w:val="21"/>
              </w:rPr>
            </w:pPr>
            <w:r>
              <w:rPr>
                <w:rFonts w:hint="eastAsia"/>
                <w:b/>
                <w:szCs w:val="21"/>
              </w:rPr>
              <w:t>表</w:t>
            </w:r>
            <w:r>
              <w:rPr>
                <w:b/>
                <w:szCs w:val="21"/>
              </w:rPr>
              <w:t xml:space="preserve">4-4   </w:t>
            </w:r>
            <w:r>
              <w:rPr>
                <w:rFonts w:hint="eastAsia"/>
                <w:b/>
                <w:szCs w:val="21"/>
              </w:rPr>
              <w:t>非正常工况废气排放情况一览表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98"/>
              <w:gridCol w:w="1351"/>
              <w:gridCol w:w="1189"/>
              <w:gridCol w:w="1349"/>
              <w:gridCol w:w="1125"/>
              <w:gridCol w:w="11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133" w:type="pct"/>
                  <w:shd w:val="clear" w:color="auto" w:fill="auto"/>
                  <w:vAlign w:val="center"/>
                </w:tcPr>
                <w:p>
                  <w:pPr>
                    <w:jc w:val="center"/>
                    <w:rPr>
                      <w:szCs w:val="21"/>
                    </w:rPr>
                  </w:pPr>
                  <w:r>
                    <w:rPr>
                      <w:rFonts w:hint="eastAsia"/>
                      <w:szCs w:val="21"/>
                    </w:rPr>
                    <w:t>产污环节</w:t>
                  </w:r>
                </w:p>
              </w:tc>
              <w:tc>
                <w:tcPr>
                  <w:tcW w:w="851" w:type="pct"/>
                  <w:vAlign w:val="center"/>
                </w:tcPr>
                <w:p>
                  <w:pPr>
                    <w:jc w:val="center"/>
                    <w:rPr>
                      <w:szCs w:val="21"/>
                    </w:rPr>
                  </w:pPr>
                  <w:r>
                    <w:rPr>
                      <w:rFonts w:hint="eastAsia"/>
                      <w:szCs w:val="21"/>
                    </w:rPr>
                    <w:t>污染物种类</w:t>
                  </w:r>
                </w:p>
              </w:tc>
              <w:tc>
                <w:tcPr>
                  <w:tcW w:w="749" w:type="pct"/>
                  <w:shd w:val="clear" w:color="auto" w:fill="auto"/>
                  <w:vAlign w:val="center"/>
                </w:tcPr>
                <w:p>
                  <w:pPr>
                    <w:jc w:val="center"/>
                    <w:rPr>
                      <w:szCs w:val="21"/>
                    </w:rPr>
                  </w:pPr>
                  <w:r>
                    <w:rPr>
                      <w:szCs w:val="21"/>
                    </w:rPr>
                    <w:t>源强</w:t>
                  </w:r>
                </w:p>
              </w:tc>
              <w:tc>
                <w:tcPr>
                  <w:tcW w:w="850" w:type="pct"/>
                  <w:shd w:val="clear" w:color="auto" w:fill="auto"/>
                  <w:vAlign w:val="center"/>
                </w:tcPr>
                <w:p>
                  <w:pPr>
                    <w:jc w:val="center"/>
                    <w:rPr>
                      <w:szCs w:val="21"/>
                    </w:rPr>
                  </w:pPr>
                  <w:r>
                    <w:rPr>
                      <w:szCs w:val="21"/>
                    </w:rPr>
                    <w:t>处理措施</w:t>
                  </w:r>
                </w:p>
              </w:tc>
              <w:tc>
                <w:tcPr>
                  <w:tcW w:w="709" w:type="pct"/>
                  <w:shd w:val="clear" w:color="auto" w:fill="auto"/>
                  <w:vAlign w:val="center"/>
                </w:tcPr>
                <w:p>
                  <w:pPr>
                    <w:jc w:val="center"/>
                    <w:rPr>
                      <w:szCs w:val="21"/>
                    </w:rPr>
                  </w:pPr>
                  <w:r>
                    <w:rPr>
                      <w:szCs w:val="21"/>
                    </w:rPr>
                    <w:t>处理效率</w:t>
                  </w:r>
                </w:p>
              </w:tc>
              <w:tc>
                <w:tcPr>
                  <w:tcW w:w="709" w:type="pct"/>
                  <w:shd w:val="clear" w:color="auto" w:fill="auto"/>
                  <w:vAlign w:val="center"/>
                </w:tcPr>
                <w:p>
                  <w:pPr>
                    <w:jc w:val="center"/>
                    <w:rPr>
                      <w:szCs w:val="21"/>
                    </w:rPr>
                  </w:pPr>
                  <w:r>
                    <w:rPr>
                      <w:szCs w:val="21"/>
                    </w:rPr>
                    <w:t>排放情况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133" w:type="pct"/>
                  <w:shd w:val="clear" w:color="auto" w:fill="auto"/>
                  <w:vAlign w:val="center"/>
                </w:tcPr>
                <w:p>
                  <w:pPr>
                    <w:jc w:val="center"/>
                    <w:rPr>
                      <w:kern w:val="0"/>
                      <w:szCs w:val="21"/>
                    </w:rPr>
                  </w:pPr>
                  <w:r>
                    <w:rPr>
                      <w:rFonts w:hint="eastAsia"/>
                      <w:kern w:val="0"/>
                      <w:szCs w:val="21"/>
                    </w:rPr>
                    <w:t>注塑工序</w:t>
                  </w:r>
                </w:p>
              </w:tc>
              <w:tc>
                <w:tcPr>
                  <w:tcW w:w="851" w:type="pct"/>
                  <w:vAlign w:val="center"/>
                </w:tcPr>
                <w:p>
                  <w:pPr>
                    <w:pStyle w:val="3"/>
                    <w:ind w:firstLine="0"/>
                    <w:jc w:val="center"/>
                    <w:rPr>
                      <w:kern w:val="0"/>
                      <w:szCs w:val="21"/>
                    </w:rPr>
                  </w:pPr>
                  <w:r>
                    <w:rPr>
                      <w:rFonts w:hint="eastAsia"/>
                      <w:kern w:val="0"/>
                      <w:szCs w:val="21"/>
                    </w:rPr>
                    <w:t>非甲烷总烃</w:t>
                  </w:r>
                </w:p>
              </w:tc>
              <w:tc>
                <w:tcPr>
                  <w:tcW w:w="749" w:type="pct"/>
                  <w:shd w:val="clear" w:color="auto" w:fill="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0.18 kg/h</w:t>
                  </w:r>
                </w:p>
              </w:tc>
              <w:tc>
                <w:tcPr>
                  <w:tcW w:w="850" w:type="pct"/>
                  <w:vMerge w:val="restart"/>
                  <w:shd w:val="clear" w:color="auto" w:fill="auto"/>
                  <w:vAlign w:val="center"/>
                </w:tcPr>
                <w:p>
                  <w:pPr>
                    <w:jc w:val="center"/>
                    <w:rPr>
                      <w:szCs w:val="21"/>
                    </w:rPr>
                  </w:pPr>
                  <w:r>
                    <w:rPr>
                      <w:rFonts w:hint="eastAsia"/>
                      <w:szCs w:val="21"/>
                    </w:rPr>
                    <w:t>车间内作业</w:t>
                  </w:r>
                </w:p>
              </w:tc>
              <w:tc>
                <w:tcPr>
                  <w:tcW w:w="709" w:type="pct"/>
                  <w:shd w:val="clear" w:color="auto" w:fill="auto"/>
                  <w:vAlign w:val="center"/>
                </w:tcPr>
                <w:p>
                  <w:pPr>
                    <w:jc w:val="center"/>
                    <w:rPr>
                      <w:szCs w:val="21"/>
                    </w:rPr>
                  </w:pPr>
                  <w:r>
                    <w:rPr>
                      <w:rFonts w:hint="eastAsia"/>
                      <w:szCs w:val="21"/>
                    </w:rPr>
                    <w:t>/</w:t>
                  </w:r>
                </w:p>
              </w:tc>
              <w:tc>
                <w:tcPr>
                  <w:tcW w:w="709" w:type="pct"/>
                  <w:shd w:val="clear" w:color="auto" w:fill="auto"/>
                  <w:vAlign w:val="center"/>
                </w:tcPr>
                <w:p>
                  <w:pPr>
                    <w:jc w:val="center"/>
                    <w:rPr>
                      <w:snapToGrid w:val="0"/>
                    </w:rPr>
                  </w:pPr>
                  <w:r>
                    <w:rPr>
                      <w:snapToGrid w:val="0"/>
                    </w:rPr>
                    <w:t>0.18 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133" w:type="pct"/>
                  <w:shd w:val="clear" w:color="auto" w:fill="auto"/>
                  <w:vAlign w:val="center"/>
                </w:tcPr>
                <w:p>
                  <w:pPr>
                    <w:jc w:val="center"/>
                    <w:rPr>
                      <w:kern w:val="0"/>
                      <w:szCs w:val="21"/>
                    </w:rPr>
                  </w:pPr>
                  <w:r>
                    <w:rPr>
                      <w:rFonts w:hint="eastAsia"/>
                      <w:szCs w:val="21"/>
                    </w:rPr>
                    <w:t>废料处理</w:t>
                  </w:r>
                </w:p>
              </w:tc>
              <w:tc>
                <w:tcPr>
                  <w:tcW w:w="851" w:type="pct"/>
                  <w:vAlign w:val="center"/>
                </w:tcPr>
                <w:p>
                  <w:pPr>
                    <w:pStyle w:val="3"/>
                    <w:ind w:firstLine="0"/>
                    <w:jc w:val="center"/>
                    <w:rPr>
                      <w:kern w:val="0"/>
                      <w:szCs w:val="21"/>
                    </w:rPr>
                  </w:pPr>
                  <w:r>
                    <w:rPr>
                      <w:rFonts w:hint="eastAsia"/>
                      <w:kern w:val="0"/>
                      <w:szCs w:val="21"/>
                    </w:rPr>
                    <w:t>颗粒物</w:t>
                  </w:r>
                </w:p>
              </w:tc>
              <w:tc>
                <w:tcPr>
                  <w:tcW w:w="749" w:type="pct"/>
                  <w:shd w:val="clear" w:color="auto" w:fill="auto"/>
                  <w:vAlign w:val="center"/>
                </w:tcPr>
                <w:p>
                  <w:pPr>
                    <w:pStyle w:val="3"/>
                    <w:ind w:firstLine="0"/>
                    <w:jc w:val="center"/>
                    <w:rPr>
                      <w:kern w:val="0"/>
                      <w:szCs w:val="21"/>
                    </w:rPr>
                  </w:pPr>
                  <w:r>
                    <w:rPr>
                      <w:rFonts w:hint="eastAsia"/>
                      <w:kern w:val="0"/>
                      <w:szCs w:val="21"/>
                    </w:rPr>
                    <w:t>0</w:t>
                  </w:r>
                  <w:r>
                    <w:rPr>
                      <w:kern w:val="0"/>
                      <w:szCs w:val="21"/>
                    </w:rPr>
                    <w:t>.02 kg/h</w:t>
                  </w:r>
                </w:p>
              </w:tc>
              <w:tc>
                <w:tcPr>
                  <w:tcW w:w="850" w:type="pct"/>
                  <w:vMerge w:val="continue"/>
                  <w:shd w:val="clear" w:color="auto" w:fill="auto"/>
                  <w:vAlign w:val="center"/>
                </w:tcPr>
                <w:p>
                  <w:pPr>
                    <w:jc w:val="center"/>
                    <w:rPr>
                      <w:szCs w:val="21"/>
                    </w:rPr>
                  </w:pPr>
                </w:p>
              </w:tc>
              <w:tc>
                <w:tcPr>
                  <w:tcW w:w="709" w:type="pct"/>
                  <w:shd w:val="clear" w:color="auto" w:fill="auto"/>
                  <w:vAlign w:val="center"/>
                </w:tcPr>
                <w:p>
                  <w:pPr>
                    <w:jc w:val="center"/>
                    <w:rPr>
                      <w:szCs w:val="21"/>
                    </w:rPr>
                  </w:pPr>
                  <w:r>
                    <w:rPr>
                      <w:rFonts w:hint="eastAsia"/>
                      <w:szCs w:val="21"/>
                    </w:rPr>
                    <w:t>/</w:t>
                  </w:r>
                </w:p>
              </w:tc>
              <w:tc>
                <w:tcPr>
                  <w:tcW w:w="709" w:type="pct"/>
                  <w:shd w:val="clear" w:color="auto" w:fill="auto"/>
                  <w:vAlign w:val="center"/>
                </w:tcPr>
                <w:p>
                  <w:pPr>
                    <w:jc w:val="center"/>
                    <w:rPr>
                      <w:kern w:val="0"/>
                      <w:szCs w:val="21"/>
                    </w:rPr>
                  </w:pPr>
                  <w:r>
                    <w:rPr>
                      <w:rFonts w:hint="eastAsia"/>
                      <w:kern w:val="0"/>
                      <w:szCs w:val="21"/>
                    </w:rPr>
                    <w:t>0</w:t>
                  </w:r>
                  <w:r>
                    <w:rPr>
                      <w:kern w:val="0"/>
                      <w:szCs w:val="21"/>
                    </w:rPr>
                    <w:t>.02 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133" w:type="pct"/>
                  <w:shd w:val="clear" w:color="auto" w:fill="auto"/>
                  <w:vAlign w:val="center"/>
                </w:tcPr>
                <w:p>
                  <w:pPr>
                    <w:jc w:val="center"/>
                    <w:rPr>
                      <w:szCs w:val="21"/>
                    </w:rPr>
                  </w:pPr>
                  <w:r>
                    <w:rPr>
                      <w:rFonts w:hint="eastAsia"/>
                      <w:szCs w:val="21"/>
                    </w:rPr>
                    <w:t>烘干</w:t>
                  </w:r>
                </w:p>
              </w:tc>
              <w:tc>
                <w:tcPr>
                  <w:tcW w:w="851" w:type="pct"/>
                  <w:vAlign w:val="center"/>
                </w:tcPr>
                <w:p>
                  <w:pPr>
                    <w:pStyle w:val="3"/>
                    <w:ind w:firstLine="0"/>
                    <w:jc w:val="center"/>
                    <w:rPr>
                      <w:kern w:val="0"/>
                      <w:szCs w:val="21"/>
                    </w:rPr>
                  </w:pPr>
                  <w:r>
                    <w:rPr>
                      <w:rFonts w:hint="eastAsia"/>
                      <w:kern w:val="0"/>
                      <w:szCs w:val="21"/>
                    </w:rPr>
                    <w:t>颗粒物</w:t>
                  </w:r>
                </w:p>
              </w:tc>
              <w:tc>
                <w:tcPr>
                  <w:tcW w:w="749" w:type="pct"/>
                  <w:shd w:val="clear" w:color="auto" w:fill="auto"/>
                  <w:vAlign w:val="center"/>
                </w:tcPr>
                <w:p>
                  <w:pPr>
                    <w:pStyle w:val="3"/>
                    <w:ind w:firstLine="0"/>
                    <w:jc w:val="center"/>
                    <w:rPr>
                      <w:kern w:val="0"/>
                      <w:szCs w:val="21"/>
                    </w:rPr>
                  </w:pPr>
                  <w:r>
                    <w:rPr>
                      <w:kern w:val="0"/>
                      <w:szCs w:val="21"/>
                    </w:rPr>
                    <w:t>1.5 kg/h</w:t>
                  </w:r>
                </w:p>
              </w:tc>
              <w:tc>
                <w:tcPr>
                  <w:tcW w:w="850" w:type="pct"/>
                  <w:vMerge w:val="continue"/>
                  <w:shd w:val="clear" w:color="auto" w:fill="auto"/>
                  <w:vAlign w:val="center"/>
                </w:tcPr>
                <w:p>
                  <w:pPr>
                    <w:jc w:val="center"/>
                    <w:rPr>
                      <w:szCs w:val="21"/>
                    </w:rPr>
                  </w:pPr>
                </w:p>
              </w:tc>
              <w:tc>
                <w:tcPr>
                  <w:tcW w:w="709" w:type="pct"/>
                  <w:shd w:val="clear" w:color="auto" w:fill="auto"/>
                  <w:vAlign w:val="center"/>
                </w:tcPr>
                <w:p>
                  <w:pPr>
                    <w:jc w:val="center"/>
                    <w:rPr>
                      <w:szCs w:val="21"/>
                    </w:rPr>
                  </w:pPr>
                  <w:r>
                    <w:rPr>
                      <w:rFonts w:hint="eastAsia"/>
                      <w:szCs w:val="21"/>
                    </w:rPr>
                    <w:t>/</w:t>
                  </w:r>
                </w:p>
              </w:tc>
              <w:tc>
                <w:tcPr>
                  <w:tcW w:w="709" w:type="pct"/>
                  <w:shd w:val="clear" w:color="auto" w:fill="auto"/>
                  <w:vAlign w:val="center"/>
                </w:tcPr>
                <w:p>
                  <w:pPr>
                    <w:jc w:val="center"/>
                    <w:rPr>
                      <w:kern w:val="0"/>
                      <w:szCs w:val="21"/>
                    </w:rPr>
                  </w:pPr>
                  <w:r>
                    <w:rPr>
                      <w:kern w:val="0"/>
                      <w:szCs w:val="21"/>
                    </w:rPr>
                    <w:t>1.5 kg</w:t>
                  </w:r>
                </w:p>
              </w:tc>
            </w:tr>
          </w:tbl>
          <w:p>
            <w:pPr>
              <w:adjustRightInd w:val="0"/>
              <w:snapToGrid w:val="0"/>
              <w:spacing w:line="400" w:lineRule="exact"/>
              <w:ind w:firstLine="420" w:firstLineChars="200"/>
              <w:rPr>
                <w:bCs/>
                <w:szCs w:val="21"/>
              </w:rPr>
            </w:pPr>
            <w:r>
              <w:rPr>
                <w:rFonts w:hint="eastAsia"/>
                <w:bCs/>
                <w:szCs w:val="21"/>
              </w:rPr>
              <w:t>（2）废气治理可行性分析：</w:t>
            </w:r>
          </w:p>
          <w:p>
            <w:pPr>
              <w:adjustRightInd w:val="0"/>
              <w:snapToGrid w:val="0"/>
              <w:spacing w:line="400" w:lineRule="exact"/>
              <w:ind w:firstLine="420" w:firstLineChars="200"/>
              <w:rPr>
                <w:bCs/>
                <w:szCs w:val="21"/>
              </w:rPr>
            </w:pPr>
            <w:r>
              <w:rPr>
                <w:rFonts w:hint="eastAsia"/>
                <w:bCs/>
                <w:szCs w:val="21"/>
              </w:rPr>
              <w:t>对照</w:t>
            </w:r>
            <w:r>
              <w:rPr>
                <w:bCs/>
                <w:szCs w:val="21"/>
              </w:rPr>
              <w:t>《排污许可证申请与核发技术规范  橡胶和塑料制品工业》（HJ1122-2020）</w:t>
            </w:r>
            <w:r>
              <w:rPr>
                <w:rFonts w:hint="eastAsia"/>
                <w:bCs/>
                <w:szCs w:val="21"/>
              </w:rPr>
              <w:t>，本项目颗粒物和非甲烷总烃废气处理技术可行性判定如下：</w:t>
            </w:r>
          </w:p>
          <w:p>
            <w:pPr>
              <w:adjustRightInd w:val="0"/>
              <w:snapToGrid w:val="0"/>
              <w:spacing w:line="400" w:lineRule="exact"/>
              <w:jc w:val="center"/>
              <w:rPr>
                <w:b/>
                <w:szCs w:val="21"/>
              </w:rPr>
            </w:pPr>
            <w:r>
              <w:rPr>
                <w:rFonts w:hint="eastAsia"/>
                <w:b/>
                <w:szCs w:val="21"/>
              </w:rPr>
              <w:t>表</w:t>
            </w:r>
            <w:r>
              <w:rPr>
                <w:b/>
                <w:szCs w:val="21"/>
              </w:rPr>
              <w:t xml:space="preserve">4-5   </w:t>
            </w:r>
            <w:r>
              <w:rPr>
                <w:rFonts w:hint="eastAsia"/>
                <w:b/>
                <w:szCs w:val="21"/>
              </w:rPr>
              <w:t>废气治理可行技术判定表</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6"/>
              <w:gridCol w:w="3794"/>
              <w:gridCol w:w="2165"/>
              <w:gridCol w:w="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pStyle w:val="51"/>
                    <w:snapToGrid w:val="0"/>
                    <w:spacing w:line="240" w:lineRule="auto"/>
                    <w:ind w:firstLine="0"/>
                    <w:jc w:val="center"/>
                    <w:rPr>
                      <w:sz w:val="21"/>
                      <w:szCs w:val="21"/>
                    </w:rPr>
                  </w:pPr>
                  <w:r>
                    <w:rPr>
                      <w:rFonts w:hint="eastAsia"/>
                      <w:sz w:val="21"/>
                      <w:szCs w:val="21"/>
                    </w:rPr>
                    <w:t>污染物</w:t>
                  </w:r>
                </w:p>
              </w:tc>
              <w:tc>
                <w:tcPr>
                  <w:tcW w:w="0" w:type="auto"/>
                  <w:vAlign w:val="center"/>
                </w:tcPr>
                <w:p>
                  <w:pPr>
                    <w:pStyle w:val="51"/>
                    <w:snapToGrid w:val="0"/>
                    <w:spacing w:line="240" w:lineRule="auto"/>
                    <w:ind w:firstLine="0"/>
                    <w:jc w:val="center"/>
                    <w:rPr>
                      <w:sz w:val="21"/>
                      <w:szCs w:val="21"/>
                    </w:rPr>
                  </w:pPr>
                  <w:r>
                    <w:rPr>
                      <w:rFonts w:hint="eastAsia"/>
                      <w:sz w:val="21"/>
                      <w:szCs w:val="21"/>
                    </w:rPr>
                    <w:t>可行技术</w:t>
                  </w:r>
                </w:p>
              </w:tc>
              <w:tc>
                <w:tcPr>
                  <w:tcW w:w="0" w:type="auto"/>
                  <w:vAlign w:val="center"/>
                </w:tcPr>
                <w:p>
                  <w:pPr>
                    <w:pStyle w:val="51"/>
                    <w:snapToGrid w:val="0"/>
                    <w:spacing w:line="240" w:lineRule="auto"/>
                    <w:ind w:firstLine="0"/>
                    <w:jc w:val="center"/>
                    <w:rPr>
                      <w:sz w:val="21"/>
                      <w:szCs w:val="21"/>
                    </w:rPr>
                  </w:pPr>
                  <w:r>
                    <w:rPr>
                      <w:rFonts w:hint="eastAsia"/>
                      <w:sz w:val="21"/>
                      <w:szCs w:val="21"/>
                    </w:rPr>
                    <w:t>本项目</w:t>
                  </w:r>
                </w:p>
              </w:tc>
              <w:tc>
                <w:tcPr>
                  <w:tcW w:w="0" w:type="auto"/>
                  <w:vAlign w:val="center"/>
                </w:tcPr>
                <w:p>
                  <w:pPr>
                    <w:pStyle w:val="51"/>
                    <w:snapToGrid w:val="0"/>
                    <w:spacing w:line="240" w:lineRule="auto"/>
                    <w:ind w:firstLine="0"/>
                    <w:jc w:val="center"/>
                    <w:rPr>
                      <w:sz w:val="21"/>
                      <w:szCs w:val="21"/>
                    </w:rPr>
                  </w:pPr>
                  <w:r>
                    <w:rPr>
                      <w:rFonts w:hint="eastAsia"/>
                      <w:sz w:val="21"/>
                      <w:szCs w:val="21"/>
                    </w:rPr>
                    <w:t>可行性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pStyle w:val="51"/>
                    <w:snapToGrid w:val="0"/>
                    <w:spacing w:line="240" w:lineRule="auto"/>
                    <w:ind w:firstLine="0"/>
                    <w:jc w:val="center"/>
                    <w:rPr>
                      <w:sz w:val="21"/>
                      <w:szCs w:val="21"/>
                    </w:rPr>
                  </w:pPr>
                  <w:r>
                    <w:rPr>
                      <w:sz w:val="21"/>
                      <w:szCs w:val="21"/>
                    </w:rPr>
                    <w:t>非甲烷总烃</w:t>
                  </w:r>
                </w:p>
              </w:tc>
              <w:tc>
                <w:tcPr>
                  <w:tcW w:w="0" w:type="auto"/>
                  <w:vAlign w:val="center"/>
                </w:tcPr>
                <w:p>
                  <w:pPr>
                    <w:pStyle w:val="51"/>
                    <w:snapToGrid w:val="0"/>
                    <w:spacing w:line="240" w:lineRule="auto"/>
                    <w:ind w:firstLine="0"/>
                    <w:jc w:val="center"/>
                    <w:rPr>
                      <w:sz w:val="21"/>
                      <w:szCs w:val="21"/>
                    </w:rPr>
                  </w:pPr>
                  <w:r>
                    <w:rPr>
                      <w:sz w:val="21"/>
                      <w:szCs w:val="21"/>
                    </w:rPr>
                    <w:t>喷淋、吸附、吸附浓缩+热力燃烧/催化燃烧</w:t>
                  </w:r>
                </w:p>
              </w:tc>
              <w:tc>
                <w:tcPr>
                  <w:tcW w:w="0" w:type="auto"/>
                  <w:vAlign w:val="center"/>
                </w:tcPr>
                <w:p>
                  <w:pPr>
                    <w:pStyle w:val="51"/>
                    <w:snapToGrid w:val="0"/>
                    <w:spacing w:line="240" w:lineRule="auto"/>
                    <w:ind w:firstLine="0"/>
                    <w:jc w:val="center"/>
                    <w:rPr>
                      <w:sz w:val="21"/>
                      <w:szCs w:val="21"/>
                    </w:rPr>
                  </w:pPr>
                  <w:r>
                    <w:rPr>
                      <w:rFonts w:hint="eastAsia"/>
                      <w:sz w:val="21"/>
                      <w:szCs w:val="21"/>
                    </w:rPr>
                    <w:t>过滤棉+</w:t>
                  </w:r>
                  <w:r>
                    <w:rPr>
                      <w:sz w:val="21"/>
                      <w:szCs w:val="21"/>
                    </w:rPr>
                    <w:t>2</w:t>
                  </w:r>
                  <w:r>
                    <w:rPr>
                      <w:rFonts w:hint="eastAsia"/>
                      <w:sz w:val="21"/>
                      <w:szCs w:val="21"/>
                    </w:rPr>
                    <w:t>级活性炭吸附</w:t>
                  </w:r>
                </w:p>
              </w:tc>
              <w:tc>
                <w:tcPr>
                  <w:tcW w:w="0" w:type="auto"/>
                  <w:vAlign w:val="center"/>
                </w:tcPr>
                <w:p>
                  <w:pPr>
                    <w:pStyle w:val="51"/>
                    <w:snapToGrid w:val="0"/>
                    <w:spacing w:line="240" w:lineRule="auto"/>
                    <w:ind w:firstLine="0"/>
                    <w:jc w:val="center"/>
                    <w:rPr>
                      <w:sz w:val="21"/>
                      <w:szCs w:val="21"/>
                    </w:rPr>
                  </w:pPr>
                  <w:r>
                    <w:rPr>
                      <w:rFonts w:hint="eastAsia"/>
                      <w:sz w:val="21"/>
                      <w:szCs w:val="21"/>
                    </w:rPr>
                    <w:t>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pStyle w:val="51"/>
                    <w:snapToGrid w:val="0"/>
                    <w:spacing w:line="240" w:lineRule="auto"/>
                    <w:ind w:firstLine="0"/>
                    <w:jc w:val="center"/>
                    <w:rPr>
                      <w:sz w:val="21"/>
                      <w:szCs w:val="21"/>
                    </w:rPr>
                  </w:pPr>
                  <w:r>
                    <w:rPr>
                      <w:rFonts w:hint="eastAsia"/>
                      <w:sz w:val="21"/>
                      <w:szCs w:val="21"/>
                    </w:rPr>
                    <w:t>颗粒物</w:t>
                  </w:r>
                </w:p>
              </w:tc>
              <w:tc>
                <w:tcPr>
                  <w:tcW w:w="0" w:type="auto"/>
                  <w:vAlign w:val="center"/>
                </w:tcPr>
                <w:p>
                  <w:pPr>
                    <w:pStyle w:val="51"/>
                    <w:snapToGrid w:val="0"/>
                    <w:spacing w:line="240" w:lineRule="auto"/>
                    <w:ind w:firstLine="0"/>
                    <w:jc w:val="center"/>
                    <w:rPr>
                      <w:sz w:val="21"/>
                      <w:szCs w:val="21"/>
                    </w:rPr>
                  </w:pPr>
                  <w:r>
                    <w:rPr>
                      <w:rFonts w:hint="eastAsia"/>
                      <w:sz w:val="21"/>
                      <w:szCs w:val="21"/>
                    </w:rPr>
                    <w:t>袋式除尘；滤筒/滤芯除尘</w:t>
                  </w:r>
                </w:p>
              </w:tc>
              <w:tc>
                <w:tcPr>
                  <w:tcW w:w="0" w:type="auto"/>
                  <w:vAlign w:val="center"/>
                </w:tcPr>
                <w:p>
                  <w:pPr>
                    <w:pStyle w:val="51"/>
                    <w:snapToGrid w:val="0"/>
                    <w:spacing w:line="240" w:lineRule="auto"/>
                    <w:ind w:firstLine="0"/>
                    <w:jc w:val="center"/>
                    <w:rPr>
                      <w:sz w:val="21"/>
                      <w:szCs w:val="21"/>
                    </w:rPr>
                  </w:pPr>
                  <w:r>
                    <w:rPr>
                      <w:rFonts w:hint="eastAsia"/>
                      <w:sz w:val="21"/>
                      <w:szCs w:val="21"/>
                    </w:rPr>
                    <w:t>滤筒除尘</w:t>
                  </w:r>
                </w:p>
              </w:tc>
              <w:tc>
                <w:tcPr>
                  <w:tcW w:w="0" w:type="auto"/>
                  <w:vAlign w:val="center"/>
                </w:tcPr>
                <w:p>
                  <w:pPr>
                    <w:pStyle w:val="51"/>
                    <w:snapToGrid w:val="0"/>
                    <w:spacing w:line="240" w:lineRule="auto"/>
                    <w:ind w:firstLine="0"/>
                    <w:jc w:val="center"/>
                    <w:rPr>
                      <w:sz w:val="21"/>
                      <w:szCs w:val="21"/>
                    </w:rPr>
                  </w:pPr>
                  <w:r>
                    <w:rPr>
                      <w:rFonts w:hint="eastAsia"/>
                      <w:sz w:val="21"/>
                      <w:szCs w:val="21"/>
                    </w:rPr>
                    <w:t>可行</w:t>
                  </w:r>
                </w:p>
              </w:tc>
            </w:tr>
          </w:tbl>
          <w:p>
            <w:pPr>
              <w:adjustRightInd w:val="0"/>
              <w:snapToGrid w:val="0"/>
              <w:spacing w:line="400" w:lineRule="exact"/>
              <w:ind w:firstLine="420" w:firstLineChars="200"/>
              <w:rPr>
                <w:bCs/>
                <w:szCs w:val="21"/>
              </w:rPr>
            </w:pPr>
            <w:r>
              <w:rPr>
                <w:rFonts w:hint="eastAsia"/>
                <w:bCs/>
                <w:szCs w:val="21"/>
              </w:rPr>
              <w:t>由上可知，本项目非甲烷总烃和颗粒物废气处理工艺，属于</w:t>
            </w:r>
            <w:r>
              <w:rPr>
                <w:bCs/>
                <w:szCs w:val="21"/>
              </w:rPr>
              <w:t>《排污许可证申请与核发技术规范  橡胶和塑料制品工业》（HJ1122-2020）</w:t>
            </w:r>
            <w:r>
              <w:rPr>
                <w:rFonts w:hint="eastAsia"/>
                <w:bCs/>
                <w:szCs w:val="21"/>
              </w:rPr>
              <w:t>中的可行技术。</w:t>
            </w:r>
          </w:p>
          <w:p>
            <w:pPr>
              <w:adjustRightInd w:val="0"/>
              <w:snapToGrid w:val="0"/>
              <w:spacing w:line="400" w:lineRule="exact"/>
              <w:ind w:firstLine="420" w:firstLineChars="200"/>
              <w:rPr>
                <w:bCs/>
                <w:szCs w:val="21"/>
              </w:rPr>
            </w:pPr>
            <w:r>
              <w:rPr>
                <w:rFonts w:hint="eastAsia"/>
                <w:bCs/>
                <w:szCs w:val="21"/>
              </w:rPr>
              <w:t>另外排风罩（集气罩）的设计需满足《排风罩的分类及技术条件》（G</w:t>
            </w:r>
            <w:r>
              <w:rPr>
                <w:bCs/>
                <w:szCs w:val="21"/>
              </w:rPr>
              <w:t>B/T16758-2008</w:t>
            </w:r>
            <w:r>
              <w:rPr>
                <w:rFonts w:hint="eastAsia"/>
                <w:bCs/>
                <w:szCs w:val="21"/>
              </w:rPr>
              <w:t>）的要求，当悬挂高度H≤1</w:t>
            </w:r>
            <w:r>
              <w:rPr>
                <w:bCs/>
                <w:szCs w:val="21"/>
              </w:rPr>
              <w:t>.5</w:t>
            </w:r>
            <m:oMath>
              <m:rad>
                <m:radPr>
                  <m:degHide m:val="1"/>
                  <m:ctrlPr>
                    <w:rPr>
                      <w:rFonts w:ascii="Cambria Math" w:hAnsi="Cambria Math"/>
                      <w:bCs/>
                      <w:i/>
                      <w:szCs w:val="21"/>
                    </w:rPr>
                  </m:ctrlPr>
                </m:radPr>
                <m:deg>
                  <m:ctrlPr>
                    <w:rPr>
                      <w:rFonts w:ascii="Cambria Math" w:hAnsi="Cambria Math"/>
                      <w:bCs/>
                      <w:i/>
                      <w:szCs w:val="21"/>
                    </w:rPr>
                  </m:ctrlPr>
                </m:deg>
                <m:e>
                  <m:r>
                    <m:rPr>
                      <m:sty m:val="p"/>
                    </m:rPr>
                    <w:rPr>
                      <w:rFonts w:ascii="Cambria Math" w:hAnsi="Cambria Math"/>
                      <w:szCs w:val="21"/>
                    </w:rPr>
                    <m:t>F</m:t>
                  </m:r>
                  <m:ctrlPr>
                    <w:rPr>
                      <w:rFonts w:ascii="Cambria Math" w:hAnsi="Cambria Math"/>
                      <w:bCs/>
                      <w:i/>
                      <w:szCs w:val="21"/>
                    </w:rPr>
                  </m:ctrlPr>
                </m:e>
              </m:rad>
            </m:oMath>
            <w:r>
              <w:rPr>
                <w:bCs/>
                <w:szCs w:val="21"/>
              </w:rPr>
              <w:t>（</w:t>
            </w:r>
            <w:r>
              <w:rPr>
                <w:rFonts w:hint="eastAsia"/>
                <w:bCs/>
                <w:szCs w:val="21"/>
              </w:rPr>
              <w:t>H</w:t>
            </w:r>
            <w:r>
              <w:rPr>
                <w:bCs/>
                <w:szCs w:val="21"/>
              </w:rPr>
              <w:t>为罩口至源上沿的距离，</w:t>
            </w:r>
            <w:r>
              <w:rPr>
                <w:rFonts w:hint="eastAsia"/>
                <w:bCs/>
                <w:szCs w:val="21"/>
              </w:rPr>
              <w:t>F</w:t>
            </w:r>
            <w:r>
              <w:rPr>
                <w:bCs/>
                <w:szCs w:val="21"/>
              </w:rPr>
              <w:t>为源水平投影面积）或</w:t>
            </w:r>
            <w:r>
              <w:rPr>
                <w:rFonts w:hint="eastAsia"/>
                <w:bCs/>
                <w:szCs w:val="21"/>
              </w:rPr>
              <w:t>H</w:t>
            </w:r>
            <w:r>
              <w:rPr>
                <w:bCs/>
                <w:szCs w:val="21"/>
              </w:rPr>
              <w:t>≤1m的接受罩，罩口尺寸应比源尺寸每边外扩</w:t>
            </w:r>
            <w:r>
              <w:rPr>
                <w:rFonts w:hint="eastAsia"/>
                <w:bCs/>
                <w:szCs w:val="21"/>
              </w:rPr>
              <w:t>1</w:t>
            </w:r>
            <w:r>
              <w:rPr>
                <w:bCs/>
                <w:szCs w:val="21"/>
              </w:rPr>
              <w:t>50 ~200 mm。并要求距排风罩开口面最远处控制风速不低于</w:t>
            </w:r>
            <w:r>
              <w:rPr>
                <w:rFonts w:hint="eastAsia"/>
                <w:bCs/>
                <w:szCs w:val="21"/>
              </w:rPr>
              <w:t>0</w:t>
            </w:r>
            <w:r>
              <w:rPr>
                <w:bCs/>
                <w:szCs w:val="21"/>
              </w:rPr>
              <w:t>.3 m/s。</w:t>
            </w:r>
          </w:p>
          <w:p>
            <w:pPr>
              <w:adjustRightInd w:val="0"/>
              <w:snapToGrid w:val="0"/>
              <w:spacing w:line="400" w:lineRule="exact"/>
              <w:ind w:firstLine="420" w:firstLineChars="200"/>
              <w:rPr>
                <w:bCs/>
                <w:szCs w:val="21"/>
              </w:rPr>
            </w:pPr>
            <w:r>
              <w:rPr>
                <w:rFonts w:hint="eastAsia"/>
                <w:bCs/>
                <w:szCs w:val="21"/>
              </w:rPr>
              <w:t>（3）达标分析</w:t>
            </w:r>
          </w:p>
          <w:p>
            <w:pPr>
              <w:adjustRightInd w:val="0"/>
              <w:snapToGrid w:val="0"/>
              <w:spacing w:line="400" w:lineRule="exact"/>
              <w:jc w:val="center"/>
              <w:rPr>
                <w:b/>
                <w:szCs w:val="21"/>
              </w:rPr>
            </w:pPr>
            <w:r>
              <w:rPr>
                <w:rFonts w:hint="eastAsia"/>
                <w:b/>
                <w:szCs w:val="21"/>
              </w:rPr>
              <w:t>表</w:t>
            </w:r>
            <w:r>
              <w:rPr>
                <w:b/>
                <w:szCs w:val="21"/>
              </w:rPr>
              <w:t xml:space="preserve">4-6  </w:t>
            </w:r>
            <w:r>
              <w:rPr>
                <w:rFonts w:hint="eastAsia"/>
                <w:b/>
                <w:szCs w:val="21"/>
              </w:rPr>
              <w:t xml:space="preserve"> 废气达标分析一览表</w:t>
            </w:r>
          </w:p>
          <w:tbl>
            <w:tblPr>
              <w:tblStyle w:val="16"/>
              <w:tblpPr w:leftFromText="180" w:rightFromText="180" w:vertAnchor="text" w:horzAnchor="margin" w:tblpY="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6"/>
              <w:gridCol w:w="531"/>
              <w:gridCol w:w="505"/>
              <w:gridCol w:w="847"/>
              <w:gridCol w:w="3397"/>
              <w:gridCol w:w="1075"/>
              <w:gridCol w:w="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pStyle w:val="51"/>
                    <w:snapToGrid w:val="0"/>
                    <w:spacing w:line="240" w:lineRule="auto"/>
                    <w:ind w:firstLine="0"/>
                    <w:jc w:val="center"/>
                    <w:rPr>
                      <w:sz w:val="21"/>
                      <w:szCs w:val="21"/>
                    </w:rPr>
                  </w:pPr>
                  <w:r>
                    <w:rPr>
                      <w:sz w:val="21"/>
                      <w:szCs w:val="21"/>
                    </w:rPr>
                    <w:t>排放口编号</w:t>
                  </w:r>
                </w:p>
              </w:tc>
              <w:tc>
                <w:tcPr>
                  <w:tcW w:w="0" w:type="auto"/>
                  <w:vAlign w:val="center"/>
                </w:tcPr>
                <w:p>
                  <w:pPr>
                    <w:pStyle w:val="51"/>
                    <w:snapToGrid w:val="0"/>
                    <w:spacing w:line="240" w:lineRule="auto"/>
                    <w:ind w:firstLine="0"/>
                    <w:jc w:val="center"/>
                    <w:rPr>
                      <w:sz w:val="21"/>
                      <w:szCs w:val="21"/>
                    </w:rPr>
                  </w:pPr>
                  <w:r>
                    <w:rPr>
                      <w:sz w:val="21"/>
                      <w:szCs w:val="21"/>
                    </w:rPr>
                    <w:t>污染物</w:t>
                  </w:r>
                </w:p>
              </w:tc>
              <w:tc>
                <w:tcPr>
                  <w:tcW w:w="0" w:type="auto"/>
                  <w:vAlign w:val="center"/>
                </w:tcPr>
                <w:p>
                  <w:pPr>
                    <w:pStyle w:val="51"/>
                    <w:snapToGrid w:val="0"/>
                    <w:spacing w:line="240" w:lineRule="auto"/>
                    <w:ind w:firstLine="0"/>
                    <w:jc w:val="center"/>
                    <w:rPr>
                      <w:sz w:val="21"/>
                      <w:szCs w:val="21"/>
                    </w:rPr>
                  </w:pPr>
                  <w:r>
                    <w:rPr>
                      <w:sz w:val="21"/>
                      <w:szCs w:val="21"/>
                    </w:rPr>
                    <w:t>排放形式</w:t>
                  </w:r>
                </w:p>
              </w:tc>
              <w:tc>
                <w:tcPr>
                  <w:tcW w:w="0" w:type="auto"/>
                  <w:vAlign w:val="center"/>
                </w:tcPr>
                <w:p>
                  <w:pPr>
                    <w:pStyle w:val="51"/>
                    <w:snapToGrid w:val="0"/>
                    <w:spacing w:line="240" w:lineRule="auto"/>
                    <w:ind w:firstLine="0"/>
                    <w:jc w:val="center"/>
                    <w:rPr>
                      <w:sz w:val="21"/>
                      <w:szCs w:val="21"/>
                    </w:rPr>
                  </w:pPr>
                  <w:r>
                    <w:rPr>
                      <w:sz w:val="21"/>
                      <w:szCs w:val="21"/>
                    </w:rPr>
                    <w:t>排放情况</w:t>
                  </w:r>
                </w:p>
              </w:tc>
              <w:tc>
                <w:tcPr>
                  <w:tcW w:w="0" w:type="auto"/>
                  <w:vAlign w:val="center"/>
                </w:tcPr>
                <w:p>
                  <w:pPr>
                    <w:pStyle w:val="51"/>
                    <w:snapToGrid w:val="0"/>
                    <w:spacing w:line="240" w:lineRule="auto"/>
                    <w:ind w:firstLine="0"/>
                    <w:jc w:val="center"/>
                    <w:rPr>
                      <w:sz w:val="21"/>
                      <w:szCs w:val="21"/>
                    </w:rPr>
                  </w:pPr>
                  <w:r>
                    <w:rPr>
                      <w:sz w:val="21"/>
                      <w:szCs w:val="21"/>
                    </w:rPr>
                    <w:t>执行标准</w:t>
                  </w:r>
                </w:p>
              </w:tc>
              <w:tc>
                <w:tcPr>
                  <w:tcW w:w="0" w:type="auto"/>
                  <w:vAlign w:val="center"/>
                </w:tcPr>
                <w:p>
                  <w:pPr>
                    <w:pStyle w:val="51"/>
                    <w:snapToGrid w:val="0"/>
                    <w:spacing w:line="240" w:lineRule="auto"/>
                    <w:ind w:firstLine="0"/>
                    <w:jc w:val="center"/>
                    <w:rPr>
                      <w:sz w:val="21"/>
                      <w:szCs w:val="21"/>
                    </w:rPr>
                  </w:pPr>
                  <w:r>
                    <w:rPr>
                      <w:sz w:val="21"/>
                      <w:szCs w:val="21"/>
                    </w:rPr>
                    <w:t>限值mg/m</w:t>
                  </w:r>
                  <w:r>
                    <w:rPr>
                      <w:sz w:val="21"/>
                      <w:szCs w:val="21"/>
                      <w:vertAlign w:val="superscript"/>
                    </w:rPr>
                    <w:t>3</w:t>
                  </w:r>
                </w:p>
              </w:tc>
              <w:tc>
                <w:tcPr>
                  <w:tcW w:w="0" w:type="auto"/>
                  <w:vAlign w:val="center"/>
                </w:tcPr>
                <w:p>
                  <w:pPr>
                    <w:pStyle w:val="51"/>
                    <w:snapToGrid w:val="0"/>
                    <w:spacing w:line="240" w:lineRule="auto"/>
                    <w:ind w:firstLine="0"/>
                    <w:jc w:val="center"/>
                    <w:rPr>
                      <w:sz w:val="21"/>
                      <w:szCs w:val="21"/>
                    </w:rPr>
                  </w:pPr>
                  <w:r>
                    <w:rPr>
                      <w:sz w:val="21"/>
                      <w:szCs w:val="21"/>
                    </w:rPr>
                    <w:t>达标分析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Align w:val="center"/>
                </w:tcPr>
                <w:p>
                  <w:pPr>
                    <w:pStyle w:val="51"/>
                    <w:snapToGrid w:val="0"/>
                    <w:spacing w:line="240" w:lineRule="auto"/>
                    <w:ind w:firstLine="0"/>
                    <w:jc w:val="center"/>
                    <w:rPr>
                      <w:sz w:val="21"/>
                      <w:szCs w:val="21"/>
                    </w:rPr>
                  </w:pPr>
                  <w:r>
                    <w:rPr>
                      <w:rFonts w:hint="eastAsia"/>
                      <w:sz w:val="21"/>
                      <w:szCs w:val="21"/>
                    </w:rPr>
                    <w:t>注塑车间废气</w:t>
                  </w:r>
                  <w:r>
                    <w:rPr>
                      <w:sz w:val="21"/>
                      <w:szCs w:val="21"/>
                    </w:rPr>
                    <w:t>排气筒DA001</w:t>
                  </w:r>
                </w:p>
              </w:tc>
              <w:tc>
                <w:tcPr>
                  <w:tcW w:w="0" w:type="auto"/>
                  <w:vMerge w:val="restart"/>
                  <w:vAlign w:val="center"/>
                </w:tcPr>
                <w:p>
                  <w:pPr>
                    <w:pStyle w:val="51"/>
                    <w:snapToGrid w:val="0"/>
                    <w:spacing w:line="240" w:lineRule="auto"/>
                    <w:ind w:firstLine="0"/>
                    <w:jc w:val="center"/>
                    <w:rPr>
                      <w:sz w:val="21"/>
                      <w:szCs w:val="21"/>
                    </w:rPr>
                  </w:pPr>
                  <w:r>
                    <w:rPr>
                      <w:sz w:val="21"/>
                      <w:szCs w:val="21"/>
                    </w:rPr>
                    <w:t>非甲烷总烃</w:t>
                  </w:r>
                </w:p>
              </w:tc>
              <w:tc>
                <w:tcPr>
                  <w:tcW w:w="0" w:type="auto"/>
                  <w:vAlign w:val="center"/>
                </w:tcPr>
                <w:p>
                  <w:pPr>
                    <w:pStyle w:val="51"/>
                    <w:snapToGrid w:val="0"/>
                    <w:spacing w:line="240" w:lineRule="auto"/>
                    <w:ind w:firstLine="0"/>
                    <w:jc w:val="center"/>
                    <w:rPr>
                      <w:sz w:val="21"/>
                      <w:szCs w:val="21"/>
                    </w:rPr>
                  </w:pPr>
                  <w:r>
                    <w:rPr>
                      <w:rFonts w:hint="eastAsia"/>
                      <w:sz w:val="21"/>
                      <w:szCs w:val="21"/>
                    </w:rPr>
                    <w:t>有组织</w:t>
                  </w:r>
                </w:p>
              </w:tc>
              <w:tc>
                <w:tcPr>
                  <w:tcW w:w="0" w:type="auto"/>
                  <w:vAlign w:val="center"/>
                </w:tcPr>
                <w:p>
                  <w:pPr>
                    <w:adjustRightInd w:val="0"/>
                    <w:snapToGrid w:val="0"/>
                    <w:jc w:val="center"/>
                    <w:rPr>
                      <w:szCs w:val="21"/>
                    </w:rPr>
                  </w:pPr>
                  <w:r>
                    <w:rPr>
                      <w:szCs w:val="21"/>
                    </w:rPr>
                    <w:t>4.82</w:t>
                  </w:r>
                </w:p>
                <w:p>
                  <w:pPr>
                    <w:adjustRightInd w:val="0"/>
                    <w:snapToGrid w:val="0"/>
                    <w:jc w:val="center"/>
                    <w:rPr>
                      <w:szCs w:val="21"/>
                    </w:rPr>
                  </w:pPr>
                  <w:r>
                    <w:rPr>
                      <w:szCs w:val="21"/>
                    </w:rPr>
                    <w:t>mg/m</w:t>
                  </w:r>
                  <w:r>
                    <w:rPr>
                      <w:szCs w:val="21"/>
                      <w:vertAlign w:val="superscript"/>
                    </w:rPr>
                    <w:t>3</w:t>
                  </w:r>
                </w:p>
              </w:tc>
              <w:tc>
                <w:tcPr>
                  <w:tcW w:w="0" w:type="auto"/>
                  <w:vAlign w:val="center"/>
                </w:tcPr>
                <w:p>
                  <w:pPr>
                    <w:pStyle w:val="51"/>
                    <w:snapToGrid w:val="0"/>
                    <w:spacing w:line="240" w:lineRule="auto"/>
                    <w:ind w:firstLine="0"/>
                    <w:jc w:val="center"/>
                    <w:rPr>
                      <w:sz w:val="21"/>
                      <w:szCs w:val="21"/>
                    </w:rPr>
                  </w:pPr>
                  <w:r>
                    <w:rPr>
                      <w:rFonts w:hint="eastAsia"/>
                      <w:sz w:val="21"/>
                      <w:szCs w:val="21"/>
                    </w:rPr>
                    <w:t>《合成树脂工业污染物排放标准》（GB31572-2015）表5，同时满足《工业企业挥发性有机物排放控制标准》（DB13/2322-2016）表1中“其他行业”要求</w:t>
                  </w:r>
                </w:p>
              </w:tc>
              <w:tc>
                <w:tcPr>
                  <w:tcW w:w="0" w:type="auto"/>
                  <w:vAlign w:val="center"/>
                </w:tcPr>
                <w:p>
                  <w:pPr>
                    <w:pStyle w:val="51"/>
                    <w:snapToGrid w:val="0"/>
                    <w:spacing w:line="240" w:lineRule="auto"/>
                    <w:ind w:firstLine="0"/>
                    <w:jc w:val="center"/>
                    <w:rPr>
                      <w:sz w:val="21"/>
                      <w:szCs w:val="21"/>
                    </w:rPr>
                  </w:pPr>
                  <w:r>
                    <w:rPr>
                      <w:sz w:val="21"/>
                      <w:szCs w:val="21"/>
                    </w:rPr>
                    <w:t xml:space="preserve">60 </w:t>
                  </w:r>
                </w:p>
              </w:tc>
              <w:tc>
                <w:tcPr>
                  <w:tcW w:w="0" w:type="auto"/>
                  <w:vAlign w:val="center"/>
                </w:tcPr>
                <w:p>
                  <w:pPr>
                    <w:pStyle w:val="51"/>
                    <w:snapToGrid w:val="0"/>
                    <w:spacing w:line="240" w:lineRule="auto"/>
                    <w:ind w:firstLine="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Merge w:val="restart"/>
                  <w:vAlign w:val="center"/>
                </w:tcPr>
                <w:p>
                  <w:pPr>
                    <w:pStyle w:val="51"/>
                    <w:snapToGrid w:val="0"/>
                    <w:spacing w:line="240" w:lineRule="auto"/>
                    <w:ind w:firstLine="0"/>
                    <w:jc w:val="center"/>
                    <w:rPr>
                      <w:sz w:val="21"/>
                      <w:szCs w:val="21"/>
                    </w:rPr>
                  </w:pPr>
                  <w:r>
                    <w:rPr>
                      <w:rFonts w:hint="eastAsia"/>
                      <w:sz w:val="21"/>
                      <w:szCs w:val="21"/>
                    </w:rPr>
                    <w:t>厂界无组织</w:t>
                  </w:r>
                </w:p>
              </w:tc>
              <w:tc>
                <w:tcPr>
                  <w:tcW w:w="0" w:type="auto"/>
                  <w:vMerge w:val="continue"/>
                  <w:vAlign w:val="center"/>
                </w:tcPr>
                <w:p>
                  <w:pPr>
                    <w:pStyle w:val="51"/>
                    <w:snapToGrid w:val="0"/>
                    <w:spacing w:line="240" w:lineRule="auto"/>
                    <w:ind w:firstLine="0"/>
                    <w:jc w:val="center"/>
                    <w:rPr>
                      <w:sz w:val="21"/>
                      <w:szCs w:val="21"/>
                    </w:rPr>
                  </w:pPr>
                </w:p>
              </w:tc>
              <w:tc>
                <w:tcPr>
                  <w:tcW w:w="0" w:type="auto"/>
                  <w:vMerge w:val="restart"/>
                  <w:vAlign w:val="center"/>
                </w:tcPr>
                <w:p>
                  <w:pPr>
                    <w:pStyle w:val="51"/>
                    <w:snapToGrid w:val="0"/>
                    <w:spacing w:line="240" w:lineRule="auto"/>
                    <w:ind w:firstLine="0"/>
                    <w:jc w:val="center"/>
                    <w:rPr>
                      <w:sz w:val="21"/>
                      <w:szCs w:val="21"/>
                    </w:rPr>
                  </w:pPr>
                  <w:r>
                    <w:rPr>
                      <w:rFonts w:hint="eastAsia"/>
                      <w:sz w:val="21"/>
                      <w:szCs w:val="21"/>
                    </w:rPr>
                    <w:t>无组织</w:t>
                  </w:r>
                </w:p>
              </w:tc>
              <w:tc>
                <w:tcPr>
                  <w:tcW w:w="0" w:type="auto"/>
                  <w:vAlign w:val="center"/>
                </w:tcPr>
                <w:p>
                  <w:pPr>
                    <w:jc w:val="center"/>
                    <w:rPr>
                      <w:szCs w:val="21"/>
                    </w:rPr>
                  </w:pPr>
                  <w:r>
                    <w:rPr>
                      <w:rFonts w:hint="eastAsia"/>
                      <w:szCs w:val="21"/>
                    </w:rPr>
                    <w:t>0</w:t>
                  </w:r>
                  <w:r>
                    <w:rPr>
                      <w:szCs w:val="21"/>
                    </w:rPr>
                    <w:t>.021 t/a</w:t>
                  </w:r>
                  <w:r>
                    <w:rPr>
                      <w:rFonts w:hint="eastAsia"/>
                      <w:szCs w:val="21"/>
                    </w:rPr>
                    <w:t xml:space="preserve"> </w:t>
                  </w:r>
                </w:p>
                <w:p>
                  <w:pPr>
                    <w:adjustRightInd w:val="0"/>
                    <w:snapToGrid w:val="0"/>
                    <w:jc w:val="center"/>
                    <w:rPr>
                      <w:szCs w:val="21"/>
                    </w:rPr>
                  </w:pPr>
                  <w:r>
                    <w:rPr>
                      <w:rFonts w:hint="eastAsia"/>
                      <w:szCs w:val="21"/>
                    </w:rPr>
                    <w:t>0</w:t>
                  </w:r>
                  <w:r>
                    <w:rPr>
                      <w:szCs w:val="21"/>
                    </w:rPr>
                    <w:t>.013 kg/h</w:t>
                  </w:r>
                </w:p>
              </w:tc>
              <w:tc>
                <w:tcPr>
                  <w:tcW w:w="0" w:type="auto"/>
                  <w:vAlign w:val="center"/>
                </w:tcPr>
                <w:p>
                  <w:pPr>
                    <w:pStyle w:val="51"/>
                    <w:snapToGrid w:val="0"/>
                    <w:spacing w:line="240" w:lineRule="auto"/>
                    <w:ind w:firstLine="0"/>
                    <w:jc w:val="center"/>
                    <w:rPr>
                      <w:sz w:val="21"/>
                      <w:szCs w:val="21"/>
                    </w:rPr>
                  </w:pPr>
                  <w:r>
                    <w:rPr>
                      <w:rFonts w:hint="eastAsia"/>
                      <w:bCs/>
                      <w:sz w:val="21"/>
                      <w:szCs w:val="21"/>
                    </w:rPr>
                    <w:t>《工业企业挥发性有机物排放控制标准》（</w:t>
                  </w:r>
                  <w:r>
                    <w:rPr>
                      <w:bCs/>
                      <w:sz w:val="21"/>
                      <w:szCs w:val="21"/>
                    </w:rPr>
                    <w:t>DB13/2322-2016</w:t>
                  </w:r>
                  <w:r>
                    <w:rPr>
                      <w:rFonts w:hint="eastAsia"/>
                      <w:bCs/>
                      <w:sz w:val="21"/>
                      <w:szCs w:val="21"/>
                    </w:rPr>
                    <w:t>）表</w:t>
                  </w:r>
                  <w:r>
                    <w:rPr>
                      <w:bCs/>
                      <w:sz w:val="21"/>
                      <w:szCs w:val="21"/>
                    </w:rPr>
                    <w:t>2</w:t>
                  </w:r>
                  <w:r>
                    <w:rPr>
                      <w:rFonts w:hint="eastAsia"/>
                      <w:bCs/>
                      <w:sz w:val="21"/>
                      <w:szCs w:val="21"/>
                    </w:rPr>
                    <w:t>中</w:t>
                  </w:r>
                  <w:r>
                    <w:rPr>
                      <w:bCs/>
                      <w:sz w:val="21"/>
                      <w:szCs w:val="21"/>
                    </w:rPr>
                    <w:t>“</w:t>
                  </w:r>
                  <w:r>
                    <w:rPr>
                      <w:rFonts w:hint="eastAsia"/>
                      <w:bCs/>
                      <w:sz w:val="21"/>
                      <w:szCs w:val="21"/>
                    </w:rPr>
                    <w:t>其他企业</w:t>
                  </w:r>
                  <w:r>
                    <w:rPr>
                      <w:bCs/>
                      <w:sz w:val="21"/>
                      <w:szCs w:val="21"/>
                    </w:rPr>
                    <w:t>”</w:t>
                  </w:r>
                  <w:r>
                    <w:rPr>
                      <w:rFonts w:hint="eastAsia"/>
                      <w:bCs/>
                      <w:sz w:val="21"/>
                      <w:szCs w:val="21"/>
                    </w:rPr>
                    <w:t>，同时满足</w:t>
                  </w:r>
                  <w:r>
                    <w:rPr>
                      <w:rFonts w:hint="eastAsia"/>
                      <w:sz w:val="21"/>
                      <w:szCs w:val="21"/>
                    </w:rPr>
                    <w:t>《合成树脂工业污染物排放标准》（GB31572-2015）表9</w:t>
                  </w:r>
                </w:p>
              </w:tc>
              <w:tc>
                <w:tcPr>
                  <w:tcW w:w="0" w:type="auto"/>
                  <w:vAlign w:val="center"/>
                </w:tcPr>
                <w:p>
                  <w:pPr>
                    <w:pStyle w:val="51"/>
                    <w:snapToGrid w:val="0"/>
                    <w:spacing w:line="240" w:lineRule="auto"/>
                    <w:ind w:firstLine="0"/>
                    <w:jc w:val="center"/>
                    <w:rPr>
                      <w:sz w:val="21"/>
                      <w:szCs w:val="21"/>
                    </w:rPr>
                  </w:pPr>
                  <w:r>
                    <w:rPr>
                      <w:rFonts w:hint="eastAsia"/>
                      <w:sz w:val="21"/>
                      <w:szCs w:val="21"/>
                    </w:rPr>
                    <w:t>2</w:t>
                  </w:r>
                  <w:r>
                    <w:rPr>
                      <w:sz w:val="21"/>
                      <w:szCs w:val="21"/>
                    </w:rPr>
                    <w:t>.0</w:t>
                  </w:r>
                </w:p>
              </w:tc>
              <w:tc>
                <w:tcPr>
                  <w:tcW w:w="0" w:type="auto"/>
                  <w:vAlign w:val="center"/>
                </w:tcPr>
                <w:p>
                  <w:pPr>
                    <w:pStyle w:val="51"/>
                    <w:snapToGrid w:val="0"/>
                    <w:spacing w:line="240" w:lineRule="auto"/>
                    <w:ind w:firstLine="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Merge w:val="continue"/>
                  <w:vAlign w:val="center"/>
                </w:tcPr>
                <w:p>
                  <w:pPr>
                    <w:pStyle w:val="51"/>
                    <w:snapToGrid w:val="0"/>
                    <w:spacing w:line="240" w:lineRule="auto"/>
                    <w:ind w:firstLine="0"/>
                    <w:jc w:val="center"/>
                    <w:rPr>
                      <w:sz w:val="21"/>
                      <w:szCs w:val="21"/>
                    </w:rPr>
                  </w:pPr>
                </w:p>
              </w:tc>
              <w:tc>
                <w:tcPr>
                  <w:tcW w:w="0" w:type="auto"/>
                  <w:vAlign w:val="center"/>
                </w:tcPr>
                <w:p>
                  <w:pPr>
                    <w:pStyle w:val="51"/>
                    <w:snapToGrid w:val="0"/>
                    <w:spacing w:line="240" w:lineRule="auto"/>
                    <w:ind w:firstLine="0"/>
                    <w:jc w:val="center"/>
                    <w:rPr>
                      <w:sz w:val="21"/>
                      <w:szCs w:val="21"/>
                    </w:rPr>
                  </w:pPr>
                  <w:r>
                    <w:rPr>
                      <w:rFonts w:hint="eastAsia"/>
                      <w:sz w:val="21"/>
                      <w:szCs w:val="21"/>
                    </w:rPr>
                    <w:t>颗粒物</w:t>
                  </w:r>
                </w:p>
              </w:tc>
              <w:tc>
                <w:tcPr>
                  <w:tcW w:w="0" w:type="auto"/>
                  <w:vMerge w:val="continue"/>
                  <w:vAlign w:val="center"/>
                </w:tcPr>
                <w:p>
                  <w:pPr>
                    <w:pStyle w:val="51"/>
                    <w:snapToGrid w:val="0"/>
                    <w:spacing w:line="240" w:lineRule="auto"/>
                    <w:ind w:firstLine="0"/>
                    <w:jc w:val="center"/>
                    <w:rPr>
                      <w:sz w:val="21"/>
                      <w:szCs w:val="21"/>
                    </w:rPr>
                  </w:pPr>
                </w:p>
              </w:tc>
              <w:tc>
                <w:tcPr>
                  <w:tcW w:w="0" w:type="auto"/>
                  <w:vAlign w:val="center"/>
                </w:tcPr>
                <w:p>
                  <w:pPr>
                    <w:jc w:val="center"/>
                    <w:rPr>
                      <w:szCs w:val="21"/>
                    </w:rPr>
                  </w:pPr>
                  <w:r>
                    <w:rPr>
                      <w:rFonts w:hint="eastAsia"/>
                      <w:szCs w:val="21"/>
                    </w:rPr>
                    <w:t>0</w:t>
                  </w:r>
                  <w:r>
                    <w:rPr>
                      <w:szCs w:val="21"/>
                    </w:rPr>
                    <w:t>.0909 t/a</w:t>
                  </w:r>
                </w:p>
                <w:p>
                  <w:pPr>
                    <w:jc w:val="center"/>
                    <w:rPr>
                      <w:szCs w:val="21"/>
                    </w:rPr>
                  </w:pPr>
                  <w:r>
                    <w:rPr>
                      <w:rFonts w:hint="eastAsia"/>
                      <w:szCs w:val="21"/>
                    </w:rPr>
                    <w:t>0</w:t>
                  </w:r>
                  <w:r>
                    <w:rPr>
                      <w:szCs w:val="21"/>
                    </w:rPr>
                    <w:t>.1504 kg/h</w:t>
                  </w:r>
                </w:p>
              </w:tc>
              <w:tc>
                <w:tcPr>
                  <w:tcW w:w="0" w:type="auto"/>
                  <w:vAlign w:val="center"/>
                </w:tcPr>
                <w:p>
                  <w:pPr>
                    <w:pStyle w:val="51"/>
                    <w:snapToGrid w:val="0"/>
                    <w:spacing w:line="240" w:lineRule="auto"/>
                    <w:ind w:firstLine="0"/>
                    <w:jc w:val="center"/>
                    <w:rPr>
                      <w:sz w:val="21"/>
                      <w:szCs w:val="21"/>
                    </w:rPr>
                  </w:pPr>
                  <w:r>
                    <w:rPr>
                      <w:rFonts w:hint="eastAsia"/>
                      <w:sz w:val="21"/>
                      <w:szCs w:val="21"/>
                    </w:rPr>
                    <w:t>《合成树脂工业污染物排放标准》（GB31572-2015）表9，同时满足《秦皇岛市人民政府办公室关于执行钢铁等行业大气污染物特别要求的通知》（2021-10）中无组织排放限值要求</w:t>
                  </w:r>
                </w:p>
              </w:tc>
              <w:tc>
                <w:tcPr>
                  <w:tcW w:w="0" w:type="auto"/>
                  <w:vAlign w:val="center"/>
                </w:tcPr>
                <w:p>
                  <w:pPr>
                    <w:pStyle w:val="51"/>
                    <w:snapToGrid w:val="0"/>
                    <w:spacing w:line="240" w:lineRule="auto"/>
                    <w:ind w:firstLine="0"/>
                    <w:jc w:val="center"/>
                    <w:rPr>
                      <w:sz w:val="21"/>
                      <w:szCs w:val="21"/>
                    </w:rPr>
                  </w:pPr>
                  <w:r>
                    <w:rPr>
                      <w:rFonts w:hint="eastAsia"/>
                      <w:sz w:val="21"/>
                      <w:szCs w:val="21"/>
                    </w:rPr>
                    <w:t>0</w:t>
                  </w:r>
                  <w:r>
                    <w:rPr>
                      <w:sz w:val="21"/>
                      <w:szCs w:val="21"/>
                    </w:rPr>
                    <w:t>.3</w:t>
                  </w:r>
                </w:p>
              </w:tc>
              <w:tc>
                <w:tcPr>
                  <w:tcW w:w="0" w:type="auto"/>
                  <w:vAlign w:val="center"/>
                </w:tcPr>
                <w:p>
                  <w:pPr>
                    <w:pStyle w:val="51"/>
                    <w:snapToGrid w:val="0"/>
                    <w:spacing w:line="240" w:lineRule="auto"/>
                    <w:ind w:firstLine="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Merge w:val="restart"/>
                  <w:vAlign w:val="center"/>
                </w:tcPr>
                <w:p>
                  <w:pPr>
                    <w:pStyle w:val="51"/>
                    <w:snapToGrid w:val="0"/>
                    <w:spacing w:line="240" w:lineRule="auto"/>
                    <w:ind w:firstLine="0"/>
                    <w:jc w:val="center"/>
                    <w:rPr>
                      <w:sz w:val="21"/>
                      <w:szCs w:val="21"/>
                    </w:rPr>
                  </w:pPr>
                  <w:r>
                    <w:rPr>
                      <w:rFonts w:hint="eastAsia"/>
                      <w:sz w:val="21"/>
                      <w:szCs w:val="21"/>
                    </w:rPr>
                    <w:t>厂房外</w:t>
                  </w:r>
                </w:p>
              </w:tc>
              <w:tc>
                <w:tcPr>
                  <w:tcW w:w="0" w:type="auto"/>
                  <w:vMerge w:val="restart"/>
                  <w:vAlign w:val="center"/>
                </w:tcPr>
                <w:p>
                  <w:pPr>
                    <w:pStyle w:val="51"/>
                    <w:snapToGrid w:val="0"/>
                    <w:spacing w:line="240" w:lineRule="auto"/>
                    <w:ind w:firstLine="0"/>
                    <w:jc w:val="center"/>
                    <w:rPr>
                      <w:sz w:val="21"/>
                      <w:szCs w:val="21"/>
                    </w:rPr>
                  </w:pPr>
                  <w:r>
                    <w:rPr>
                      <w:rFonts w:hint="eastAsia"/>
                      <w:sz w:val="21"/>
                      <w:szCs w:val="21"/>
                    </w:rPr>
                    <w:t>非甲烷总烃</w:t>
                  </w:r>
                </w:p>
              </w:tc>
              <w:tc>
                <w:tcPr>
                  <w:tcW w:w="0" w:type="auto"/>
                  <w:vMerge w:val="continue"/>
                  <w:vAlign w:val="center"/>
                </w:tcPr>
                <w:p>
                  <w:pPr>
                    <w:pStyle w:val="51"/>
                    <w:snapToGrid w:val="0"/>
                    <w:spacing w:line="240" w:lineRule="auto"/>
                    <w:ind w:firstLine="0"/>
                    <w:jc w:val="center"/>
                    <w:rPr>
                      <w:sz w:val="21"/>
                      <w:szCs w:val="21"/>
                    </w:rPr>
                  </w:pPr>
                </w:p>
              </w:tc>
              <w:tc>
                <w:tcPr>
                  <w:tcW w:w="0" w:type="auto"/>
                  <w:vMerge w:val="restart"/>
                  <w:vAlign w:val="center"/>
                </w:tcPr>
                <w:p>
                  <w:pPr>
                    <w:jc w:val="center"/>
                    <w:rPr>
                      <w:szCs w:val="21"/>
                    </w:rPr>
                  </w:pPr>
                  <w:r>
                    <w:rPr>
                      <w:rFonts w:hint="eastAsia"/>
                      <w:szCs w:val="21"/>
                    </w:rPr>
                    <w:t>0</w:t>
                  </w:r>
                  <w:r>
                    <w:rPr>
                      <w:szCs w:val="21"/>
                    </w:rPr>
                    <w:t>.021 t/a</w:t>
                  </w:r>
                  <w:r>
                    <w:rPr>
                      <w:rFonts w:hint="eastAsia"/>
                      <w:szCs w:val="21"/>
                    </w:rPr>
                    <w:t xml:space="preserve"> </w:t>
                  </w:r>
                </w:p>
                <w:p>
                  <w:pPr>
                    <w:adjustRightInd w:val="0"/>
                    <w:snapToGrid w:val="0"/>
                    <w:jc w:val="center"/>
                    <w:rPr>
                      <w:szCs w:val="21"/>
                    </w:rPr>
                  </w:pPr>
                  <w:r>
                    <w:rPr>
                      <w:rFonts w:hint="eastAsia"/>
                      <w:szCs w:val="21"/>
                    </w:rPr>
                    <w:t>0</w:t>
                  </w:r>
                  <w:r>
                    <w:rPr>
                      <w:szCs w:val="21"/>
                    </w:rPr>
                    <w:t>.013 kg/h</w:t>
                  </w:r>
                </w:p>
              </w:tc>
              <w:tc>
                <w:tcPr>
                  <w:tcW w:w="0" w:type="auto"/>
                  <w:vMerge w:val="restart"/>
                  <w:vAlign w:val="center"/>
                </w:tcPr>
                <w:p>
                  <w:pPr>
                    <w:pStyle w:val="51"/>
                    <w:snapToGrid w:val="0"/>
                    <w:spacing w:line="240" w:lineRule="auto"/>
                    <w:ind w:firstLine="0"/>
                    <w:jc w:val="center"/>
                    <w:rPr>
                      <w:sz w:val="21"/>
                      <w:szCs w:val="21"/>
                    </w:rPr>
                  </w:pPr>
                  <w:r>
                    <w:rPr>
                      <w:rFonts w:hint="eastAsia"/>
                      <w:bCs/>
                      <w:sz w:val="21"/>
                      <w:szCs w:val="21"/>
                    </w:rPr>
                    <w:t>《挥发性有机物无组织排放控制标准》（</w:t>
                  </w:r>
                  <w:r>
                    <w:rPr>
                      <w:bCs/>
                      <w:sz w:val="21"/>
                      <w:szCs w:val="21"/>
                    </w:rPr>
                    <w:t>GB37822-2019</w:t>
                  </w:r>
                  <w:r>
                    <w:rPr>
                      <w:rFonts w:hint="eastAsia"/>
                      <w:bCs/>
                      <w:sz w:val="21"/>
                      <w:szCs w:val="21"/>
                    </w:rPr>
                    <w:t>）表</w:t>
                  </w:r>
                  <w:r>
                    <w:rPr>
                      <w:bCs/>
                      <w:sz w:val="21"/>
                      <w:szCs w:val="21"/>
                    </w:rPr>
                    <w:t>A.1</w:t>
                  </w:r>
                  <w:r>
                    <w:rPr>
                      <w:rFonts w:hint="eastAsia"/>
                      <w:bCs/>
                      <w:sz w:val="21"/>
                      <w:szCs w:val="21"/>
                    </w:rPr>
                    <w:t>要求</w:t>
                  </w:r>
                </w:p>
              </w:tc>
              <w:tc>
                <w:tcPr>
                  <w:tcW w:w="0" w:type="auto"/>
                  <w:vAlign w:val="center"/>
                </w:tcPr>
                <w:p>
                  <w:pPr>
                    <w:pStyle w:val="51"/>
                    <w:snapToGrid w:val="0"/>
                    <w:spacing w:line="240" w:lineRule="auto"/>
                    <w:ind w:firstLine="0"/>
                    <w:jc w:val="center"/>
                    <w:rPr>
                      <w:sz w:val="21"/>
                      <w:szCs w:val="21"/>
                    </w:rPr>
                  </w:pPr>
                  <w:r>
                    <w:rPr>
                      <w:rFonts w:hint="eastAsia"/>
                      <w:sz w:val="21"/>
                      <w:szCs w:val="21"/>
                    </w:rPr>
                    <w:t>监控点处</w:t>
                  </w:r>
                  <w:r>
                    <w:rPr>
                      <w:sz w:val="21"/>
                      <w:szCs w:val="21"/>
                    </w:rPr>
                    <w:t>1h</w:t>
                  </w:r>
                  <w:r>
                    <w:rPr>
                      <w:rFonts w:hint="eastAsia"/>
                      <w:sz w:val="21"/>
                      <w:szCs w:val="21"/>
                    </w:rPr>
                    <w:t>平均浓度</w:t>
                  </w:r>
                  <w:r>
                    <w:rPr>
                      <w:sz w:val="21"/>
                      <w:szCs w:val="21"/>
                    </w:rPr>
                    <w:t>6 mg/m</w:t>
                  </w:r>
                  <w:r>
                    <w:rPr>
                      <w:sz w:val="21"/>
                      <w:szCs w:val="21"/>
                      <w:vertAlign w:val="superscript"/>
                    </w:rPr>
                    <w:t>3</w:t>
                  </w:r>
                </w:p>
              </w:tc>
              <w:tc>
                <w:tcPr>
                  <w:tcW w:w="0" w:type="auto"/>
                  <w:vAlign w:val="center"/>
                </w:tcPr>
                <w:p>
                  <w:pPr>
                    <w:pStyle w:val="51"/>
                    <w:snapToGrid w:val="0"/>
                    <w:spacing w:line="240" w:lineRule="auto"/>
                    <w:ind w:firstLine="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0" w:type="auto"/>
                  <w:vMerge w:val="continue"/>
                  <w:vAlign w:val="center"/>
                </w:tcPr>
                <w:p>
                  <w:pPr>
                    <w:pStyle w:val="51"/>
                    <w:snapToGrid w:val="0"/>
                    <w:spacing w:line="240" w:lineRule="auto"/>
                    <w:ind w:firstLine="0"/>
                    <w:jc w:val="center"/>
                    <w:rPr>
                      <w:sz w:val="21"/>
                      <w:szCs w:val="21"/>
                    </w:rPr>
                  </w:pPr>
                </w:p>
              </w:tc>
              <w:tc>
                <w:tcPr>
                  <w:tcW w:w="0" w:type="auto"/>
                  <w:vMerge w:val="continue"/>
                  <w:vAlign w:val="center"/>
                </w:tcPr>
                <w:p>
                  <w:pPr>
                    <w:pStyle w:val="51"/>
                    <w:snapToGrid w:val="0"/>
                    <w:spacing w:line="240" w:lineRule="auto"/>
                    <w:ind w:firstLine="0"/>
                    <w:jc w:val="center"/>
                    <w:rPr>
                      <w:sz w:val="21"/>
                      <w:szCs w:val="21"/>
                    </w:rPr>
                  </w:pPr>
                </w:p>
              </w:tc>
              <w:tc>
                <w:tcPr>
                  <w:tcW w:w="0" w:type="auto"/>
                  <w:vMerge w:val="continue"/>
                  <w:vAlign w:val="center"/>
                </w:tcPr>
                <w:p>
                  <w:pPr>
                    <w:pStyle w:val="51"/>
                    <w:snapToGrid w:val="0"/>
                    <w:spacing w:line="240" w:lineRule="auto"/>
                    <w:ind w:firstLine="0"/>
                    <w:jc w:val="center"/>
                    <w:rPr>
                      <w:sz w:val="21"/>
                      <w:szCs w:val="21"/>
                    </w:rPr>
                  </w:pPr>
                </w:p>
              </w:tc>
              <w:tc>
                <w:tcPr>
                  <w:tcW w:w="0" w:type="auto"/>
                  <w:vMerge w:val="continue"/>
                  <w:vAlign w:val="center"/>
                </w:tcPr>
                <w:p>
                  <w:pPr>
                    <w:adjustRightInd w:val="0"/>
                    <w:snapToGrid w:val="0"/>
                    <w:jc w:val="center"/>
                    <w:rPr>
                      <w:szCs w:val="21"/>
                    </w:rPr>
                  </w:pPr>
                </w:p>
              </w:tc>
              <w:tc>
                <w:tcPr>
                  <w:tcW w:w="0" w:type="auto"/>
                  <w:vMerge w:val="continue"/>
                  <w:vAlign w:val="center"/>
                </w:tcPr>
                <w:p>
                  <w:pPr>
                    <w:pStyle w:val="51"/>
                    <w:snapToGrid w:val="0"/>
                    <w:spacing w:line="240" w:lineRule="auto"/>
                    <w:ind w:firstLine="0"/>
                    <w:jc w:val="center"/>
                    <w:rPr>
                      <w:sz w:val="21"/>
                      <w:szCs w:val="21"/>
                    </w:rPr>
                  </w:pPr>
                </w:p>
              </w:tc>
              <w:tc>
                <w:tcPr>
                  <w:tcW w:w="0" w:type="auto"/>
                  <w:vAlign w:val="center"/>
                </w:tcPr>
                <w:p>
                  <w:pPr>
                    <w:pStyle w:val="51"/>
                    <w:snapToGrid w:val="0"/>
                    <w:spacing w:line="240" w:lineRule="auto"/>
                    <w:ind w:firstLine="0"/>
                    <w:jc w:val="center"/>
                    <w:rPr>
                      <w:sz w:val="21"/>
                      <w:szCs w:val="21"/>
                    </w:rPr>
                  </w:pPr>
                  <w:r>
                    <w:rPr>
                      <w:rFonts w:hint="eastAsia"/>
                      <w:sz w:val="21"/>
                      <w:szCs w:val="21"/>
                    </w:rPr>
                    <w:t>监控点处任意</w:t>
                  </w:r>
                  <w:r>
                    <w:rPr>
                      <w:sz w:val="21"/>
                      <w:szCs w:val="21"/>
                    </w:rPr>
                    <w:t>1</w:t>
                  </w:r>
                  <w:r>
                    <w:rPr>
                      <w:rFonts w:hint="eastAsia"/>
                      <w:sz w:val="21"/>
                      <w:szCs w:val="21"/>
                    </w:rPr>
                    <w:t>次浓度</w:t>
                  </w:r>
                  <w:r>
                    <w:rPr>
                      <w:sz w:val="21"/>
                      <w:szCs w:val="21"/>
                    </w:rPr>
                    <w:t>20 mg/m</w:t>
                  </w:r>
                  <w:r>
                    <w:rPr>
                      <w:sz w:val="21"/>
                      <w:szCs w:val="21"/>
                      <w:vertAlign w:val="superscript"/>
                    </w:rPr>
                    <w:t>3</w:t>
                  </w:r>
                </w:p>
              </w:tc>
              <w:tc>
                <w:tcPr>
                  <w:tcW w:w="0" w:type="auto"/>
                  <w:vAlign w:val="center"/>
                </w:tcPr>
                <w:p>
                  <w:pPr>
                    <w:pStyle w:val="51"/>
                    <w:snapToGrid w:val="0"/>
                    <w:spacing w:line="240" w:lineRule="auto"/>
                    <w:ind w:firstLine="0"/>
                    <w:jc w:val="center"/>
                    <w:rPr>
                      <w:sz w:val="21"/>
                      <w:szCs w:val="21"/>
                    </w:rPr>
                  </w:pPr>
                  <w:r>
                    <w:rPr>
                      <w:sz w:val="21"/>
                      <w:szCs w:val="21"/>
                    </w:rPr>
                    <w:t>达标</w:t>
                  </w:r>
                </w:p>
              </w:tc>
            </w:tr>
          </w:tbl>
          <w:p>
            <w:pPr>
              <w:adjustRightInd w:val="0"/>
              <w:snapToGrid w:val="0"/>
              <w:spacing w:line="400" w:lineRule="exact"/>
              <w:ind w:firstLine="420" w:firstLineChars="200"/>
              <w:rPr>
                <w:bCs/>
                <w:szCs w:val="21"/>
              </w:rPr>
            </w:pPr>
            <w:r>
              <w:rPr>
                <w:rFonts w:hint="eastAsia"/>
                <w:bCs/>
                <w:szCs w:val="21"/>
              </w:rPr>
              <w:t>（4）排放口基本情况</w:t>
            </w:r>
          </w:p>
          <w:p>
            <w:pPr>
              <w:adjustRightInd w:val="0"/>
              <w:snapToGrid w:val="0"/>
              <w:spacing w:line="400" w:lineRule="exact"/>
              <w:ind w:firstLine="420" w:firstLineChars="200"/>
              <w:rPr>
                <w:bCs/>
                <w:szCs w:val="21"/>
              </w:rPr>
            </w:pPr>
            <w:r>
              <w:rPr>
                <w:rFonts w:hint="eastAsia"/>
                <w:bCs/>
                <w:szCs w:val="21"/>
              </w:rPr>
              <w:t>具体如下：</w:t>
            </w:r>
          </w:p>
          <w:p>
            <w:pPr>
              <w:spacing w:line="400" w:lineRule="exact"/>
              <w:jc w:val="center"/>
              <w:rPr>
                <w:b/>
                <w:szCs w:val="21"/>
              </w:rPr>
            </w:pPr>
            <w:r>
              <w:rPr>
                <w:rFonts w:hint="eastAsia"/>
                <w:b/>
                <w:szCs w:val="21"/>
              </w:rPr>
              <w:t>表</w:t>
            </w:r>
            <w:r>
              <w:rPr>
                <w:b/>
                <w:szCs w:val="21"/>
              </w:rPr>
              <w:t xml:space="preserve">4-7    </w:t>
            </w:r>
            <w:r>
              <w:rPr>
                <w:rFonts w:hint="eastAsia"/>
                <w:b/>
                <w:szCs w:val="21"/>
              </w:rPr>
              <w:t>排放口基本情况</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3"/>
              <w:gridCol w:w="1701"/>
              <w:gridCol w:w="3238"/>
              <w:gridCol w:w="1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4" w:hRule="atLeast"/>
              </w:trPr>
              <w:tc>
                <w:tcPr>
                  <w:tcW w:w="638" w:type="pct"/>
                  <w:vAlign w:val="center"/>
                </w:tcPr>
                <w:p>
                  <w:pPr>
                    <w:adjustRightInd w:val="0"/>
                    <w:snapToGrid w:val="0"/>
                    <w:jc w:val="center"/>
                    <w:rPr>
                      <w:bCs/>
                      <w:szCs w:val="21"/>
                    </w:rPr>
                  </w:pPr>
                  <w:r>
                    <w:rPr>
                      <w:bCs/>
                      <w:szCs w:val="21"/>
                    </w:rPr>
                    <w:t>编号</w:t>
                  </w:r>
                </w:p>
              </w:tc>
              <w:tc>
                <w:tcPr>
                  <w:tcW w:w="1072" w:type="pct"/>
                  <w:shd w:val="clear" w:color="auto" w:fill="auto"/>
                  <w:vAlign w:val="center"/>
                </w:tcPr>
                <w:p>
                  <w:pPr>
                    <w:adjustRightInd w:val="0"/>
                    <w:snapToGrid w:val="0"/>
                    <w:jc w:val="center"/>
                    <w:rPr>
                      <w:bCs/>
                      <w:szCs w:val="21"/>
                    </w:rPr>
                  </w:pPr>
                  <w:r>
                    <w:rPr>
                      <w:bCs/>
                      <w:szCs w:val="21"/>
                    </w:rPr>
                    <w:t>名称</w:t>
                  </w:r>
                </w:p>
              </w:tc>
              <w:tc>
                <w:tcPr>
                  <w:tcW w:w="2040" w:type="pct"/>
                  <w:shd w:val="clear" w:color="auto" w:fill="auto"/>
                  <w:vAlign w:val="center"/>
                </w:tcPr>
                <w:p>
                  <w:pPr>
                    <w:adjustRightInd w:val="0"/>
                    <w:snapToGrid w:val="0"/>
                    <w:jc w:val="center"/>
                    <w:rPr>
                      <w:bCs/>
                      <w:szCs w:val="21"/>
                    </w:rPr>
                  </w:pPr>
                  <w:r>
                    <w:rPr>
                      <w:rFonts w:hint="eastAsia"/>
                      <w:bCs/>
                      <w:szCs w:val="21"/>
                    </w:rPr>
                    <w:t>排放参数</w:t>
                  </w:r>
                </w:p>
              </w:tc>
              <w:tc>
                <w:tcPr>
                  <w:tcW w:w="1250" w:type="pct"/>
                  <w:shd w:val="clear" w:color="auto" w:fill="auto"/>
                  <w:vAlign w:val="center"/>
                </w:tcPr>
                <w:p>
                  <w:pPr>
                    <w:adjustRightInd w:val="0"/>
                    <w:snapToGrid w:val="0"/>
                    <w:jc w:val="center"/>
                    <w:rPr>
                      <w:bCs/>
                      <w:szCs w:val="21"/>
                    </w:rPr>
                  </w:pPr>
                  <w:r>
                    <w:rPr>
                      <w:bCs/>
                      <w:szCs w:val="21"/>
                    </w:rPr>
                    <w:t>中心点坐标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638" w:type="pct"/>
                  <w:vAlign w:val="center"/>
                </w:tcPr>
                <w:p>
                  <w:pPr>
                    <w:adjustRightInd w:val="0"/>
                    <w:snapToGrid w:val="0"/>
                    <w:jc w:val="center"/>
                    <w:rPr>
                      <w:bCs/>
                      <w:szCs w:val="21"/>
                    </w:rPr>
                  </w:pPr>
                  <w:r>
                    <w:rPr>
                      <w:bCs/>
                      <w:szCs w:val="21"/>
                    </w:rPr>
                    <w:t>DA001</w:t>
                  </w:r>
                </w:p>
              </w:tc>
              <w:tc>
                <w:tcPr>
                  <w:tcW w:w="1072" w:type="pct"/>
                  <w:shd w:val="clear" w:color="auto" w:fill="auto"/>
                  <w:vAlign w:val="center"/>
                </w:tcPr>
                <w:p>
                  <w:pPr>
                    <w:adjustRightInd w:val="0"/>
                    <w:snapToGrid w:val="0"/>
                    <w:jc w:val="center"/>
                    <w:rPr>
                      <w:bCs/>
                      <w:szCs w:val="21"/>
                    </w:rPr>
                  </w:pPr>
                  <w:r>
                    <w:rPr>
                      <w:rFonts w:hint="eastAsia"/>
                      <w:bCs/>
                      <w:szCs w:val="21"/>
                    </w:rPr>
                    <w:t>注塑车间废气排气筒</w:t>
                  </w:r>
                </w:p>
              </w:tc>
              <w:tc>
                <w:tcPr>
                  <w:tcW w:w="2040" w:type="pct"/>
                  <w:shd w:val="clear" w:color="auto" w:fill="auto"/>
                  <w:vAlign w:val="center"/>
                </w:tcPr>
                <w:p>
                  <w:pPr>
                    <w:adjustRightInd w:val="0"/>
                    <w:snapToGrid w:val="0"/>
                    <w:jc w:val="center"/>
                    <w:rPr>
                      <w:bCs/>
                      <w:szCs w:val="21"/>
                    </w:rPr>
                  </w:pPr>
                  <w:r>
                    <w:rPr>
                      <w:rFonts w:hint="eastAsia"/>
                      <w:bCs/>
                      <w:szCs w:val="21"/>
                    </w:rPr>
                    <w:t>排气筒高度，出口内径0</w:t>
                  </w:r>
                  <w:r>
                    <w:rPr>
                      <w:bCs/>
                      <w:szCs w:val="21"/>
                    </w:rPr>
                    <w:t>.3 m</w:t>
                  </w:r>
                  <w:r>
                    <w:rPr>
                      <w:rFonts w:hint="eastAsia"/>
                      <w:bCs/>
                      <w:szCs w:val="21"/>
                    </w:rPr>
                    <w:t>，排气量</w:t>
                  </w:r>
                  <w:r>
                    <w:rPr>
                      <w:bCs/>
                      <w:szCs w:val="21"/>
                    </w:rPr>
                    <w:t>5000 m</w:t>
                  </w:r>
                  <w:r>
                    <w:rPr>
                      <w:bCs/>
                      <w:szCs w:val="21"/>
                      <w:vertAlign w:val="superscript"/>
                    </w:rPr>
                    <w:t>3</w:t>
                  </w:r>
                  <w:r>
                    <w:rPr>
                      <w:bCs/>
                      <w:szCs w:val="21"/>
                    </w:rPr>
                    <w:t>/h</w:t>
                  </w:r>
                  <w:r>
                    <w:rPr>
                      <w:rFonts w:hint="eastAsia"/>
                      <w:bCs/>
                      <w:szCs w:val="21"/>
                    </w:rPr>
                    <w:t>，常温</w:t>
                  </w:r>
                </w:p>
              </w:tc>
              <w:tc>
                <w:tcPr>
                  <w:tcW w:w="1250" w:type="pct"/>
                  <w:shd w:val="clear" w:color="auto" w:fill="auto"/>
                  <w:vAlign w:val="center"/>
                </w:tcPr>
                <w:p>
                  <w:pPr>
                    <w:adjustRightInd w:val="0"/>
                    <w:snapToGrid w:val="0"/>
                    <w:jc w:val="center"/>
                    <w:rPr>
                      <w:bCs/>
                      <w:szCs w:val="21"/>
                    </w:rPr>
                  </w:pPr>
                  <w:r>
                    <w:rPr>
                      <w:bCs/>
                      <w:szCs w:val="21"/>
                    </w:rPr>
                    <w:t>E119.249011</w:t>
                  </w:r>
                </w:p>
                <w:p>
                  <w:pPr>
                    <w:adjustRightInd w:val="0"/>
                    <w:snapToGrid w:val="0"/>
                    <w:jc w:val="center"/>
                    <w:rPr>
                      <w:bCs/>
                      <w:szCs w:val="21"/>
                    </w:rPr>
                  </w:pPr>
                  <w:r>
                    <w:rPr>
                      <w:bCs/>
                      <w:szCs w:val="21"/>
                    </w:rPr>
                    <w:t>N</w:t>
                  </w:r>
                  <w:r>
                    <w:t xml:space="preserve"> 39.895814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638" w:type="pct"/>
                  <w:vAlign w:val="center"/>
                </w:tcPr>
                <w:p>
                  <w:pPr>
                    <w:adjustRightInd w:val="0"/>
                    <w:snapToGrid w:val="0"/>
                    <w:jc w:val="center"/>
                    <w:rPr>
                      <w:bCs/>
                      <w:szCs w:val="21"/>
                    </w:rPr>
                  </w:pPr>
                  <w:r>
                    <w:rPr>
                      <w:rFonts w:hint="eastAsia"/>
                      <w:bCs/>
                      <w:szCs w:val="21"/>
                    </w:rPr>
                    <w:t>/</w:t>
                  </w:r>
                </w:p>
              </w:tc>
              <w:tc>
                <w:tcPr>
                  <w:tcW w:w="1072" w:type="pct"/>
                  <w:shd w:val="clear" w:color="auto" w:fill="auto"/>
                  <w:vAlign w:val="center"/>
                </w:tcPr>
                <w:p>
                  <w:pPr>
                    <w:adjustRightInd w:val="0"/>
                    <w:snapToGrid w:val="0"/>
                    <w:jc w:val="center"/>
                    <w:rPr>
                      <w:bCs/>
                      <w:szCs w:val="21"/>
                    </w:rPr>
                  </w:pPr>
                  <w:r>
                    <w:rPr>
                      <w:rFonts w:hint="eastAsia"/>
                      <w:bCs/>
                      <w:szCs w:val="21"/>
                    </w:rPr>
                    <w:t>无组织</w:t>
                  </w:r>
                </w:p>
              </w:tc>
              <w:tc>
                <w:tcPr>
                  <w:tcW w:w="2040" w:type="pct"/>
                  <w:shd w:val="clear" w:color="auto" w:fill="auto"/>
                  <w:vAlign w:val="center"/>
                </w:tcPr>
                <w:p>
                  <w:pPr>
                    <w:adjustRightInd w:val="0"/>
                    <w:snapToGrid w:val="0"/>
                    <w:jc w:val="center"/>
                    <w:rPr>
                      <w:bCs/>
                      <w:szCs w:val="21"/>
                    </w:rPr>
                  </w:pPr>
                  <w:r>
                    <w:rPr>
                      <w:rFonts w:hint="eastAsia"/>
                      <w:bCs/>
                      <w:szCs w:val="21"/>
                    </w:rPr>
                    <w:t>长</w:t>
                  </w:r>
                  <w:r>
                    <w:rPr>
                      <w:bCs/>
                      <w:szCs w:val="21"/>
                    </w:rPr>
                    <w:t>32 m</w:t>
                  </w:r>
                  <w:r>
                    <w:rPr>
                      <w:rFonts w:hint="eastAsia"/>
                      <w:bCs/>
                      <w:szCs w:val="21"/>
                    </w:rPr>
                    <w:t>，宽</w:t>
                  </w:r>
                  <w:r>
                    <w:rPr>
                      <w:bCs/>
                      <w:szCs w:val="21"/>
                    </w:rPr>
                    <w:t>14 m</w:t>
                  </w:r>
                  <w:r>
                    <w:rPr>
                      <w:rFonts w:hint="eastAsia"/>
                      <w:bCs/>
                      <w:szCs w:val="21"/>
                    </w:rPr>
                    <w:t>，高</w:t>
                  </w:r>
                  <w:r>
                    <w:rPr>
                      <w:bCs/>
                      <w:szCs w:val="21"/>
                    </w:rPr>
                    <w:t>5 m</w:t>
                  </w:r>
                  <w:r>
                    <w:rPr>
                      <w:rFonts w:hint="eastAsia"/>
                      <w:bCs/>
                      <w:szCs w:val="21"/>
                    </w:rPr>
                    <w:t>，初始排放高度按</w:t>
                  </w:r>
                  <w:r>
                    <w:rPr>
                      <w:bCs/>
                      <w:szCs w:val="21"/>
                    </w:rPr>
                    <w:t>3 m</w:t>
                  </w:r>
                </w:p>
              </w:tc>
              <w:tc>
                <w:tcPr>
                  <w:tcW w:w="1250" w:type="pct"/>
                  <w:shd w:val="clear" w:color="auto" w:fill="auto"/>
                  <w:vAlign w:val="center"/>
                </w:tcPr>
                <w:p>
                  <w:pPr>
                    <w:adjustRightInd w:val="0"/>
                    <w:snapToGrid w:val="0"/>
                    <w:jc w:val="center"/>
                    <w:rPr>
                      <w:bCs/>
                      <w:szCs w:val="21"/>
                    </w:rPr>
                  </w:pPr>
                  <w:r>
                    <w:rPr>
                      <w:bCs/>
                      <w:szCs w:val="21"/>
                    </w:rPr>
                    <w:t>E</w:t>
                  </w:r>
                  <w:r>
                    <w:t xml:space="preserve"> </w:t>
                  </w:r>
                  <w:r>
                    <w:rPr>
                      <w:bCs/>
                      <w:szCs w:val="21"/>
                    </w:rPr>
                    <w:t>119.248906</w:t>
                  </w:r>
                </w:p>
                <w:p>
                  <w:pPr>
                    <w:adjustRightInd w:val="0"/>
                    <w:snapToGrid w:val="0"/>
                    <w:jc w:val="center"/>
                    <w:rPr>
                      <w:bCs/>
                      <w:szCs w:val="21"/>
                    </w:rPr>
                  </w:pPr>
                  <w:r>
                    <w:rPr>
                      <w:bCs/>
                      <w:szCs w:val="21"/>
                    </w:rPr>
                    <w:t>N</w:t>
                  </w:r>
                  <w:r>
                    <w:t xml:space="preserve"> 39.895851</w:t>
                  </w:r>
                </w:p>
              </w:tc>
            </w:tr>
          </w:tbl>
          <w:p>
            <w:pPr>
              <w:adjustRightInd w:val="0"/>
              <w:snapToGrid w:val="0"/>
              <w:spacing w:line="400" w:lineRule="exact"/>
              <w:ind w:firstLine="420" w:firstLineChars="200"/>
              <w:rPr>
                <w:bCs/>
                <w:szCs w:val="21"/>
              </w:rPr>
            </w:pPr>
            <w:r>
              <w:rPr>
                <w:rFonts w:hint="eastAsia"/>
                <w:bCs/>
                <w:szCs w:val="21"/>
              </w:rPr>
              <w:t>（5）小结</w:t>
            </w:r>
          </w:p>
          <w:p>
            <w:pPr>
              <w:adjustRightInd w:val="0"/>
              <w:snapToGrid w:val="0"/>
              <w:spacing w:line="400" w:lineRule="exact"/>
              <w:ind w:firstLine="420" w:firstLineChars="200"/>
              <w:rPr>
                <w:bCs/>
                <w:szCs w:val="21"/>
              </w:rPr>
            </w:pPr>
            <w:r>
              <w:rPr>
                <w:rFonts w:hint="eastAsia"/>
                <w:bCs/>
                <w:szCs w:val="21"/>
              </w:rPr>
              <w:t>项目所在区域S</w:t>
            </w:r>
            <w:r>
              <w:rPr>
                <w:bCs/>
                <w:szCs w:val="21"/>
              </w:rPr>
              <w:t>O</w:t>
            </w:r>
            <w:r>
              <w:rPr>
                <w:bCs/>
                <w:szCs w:val="21"/>
                <w:vertAlign w:val="subscript"/>
              </w:rPr>
              <w:t>2</w:t>
            </w:r>
            <w:r>
              <w:rPr>
                <w:rFonts w:hint="eastAsia"/>
                <w:bCs/>
                <w:szCs w:val="21"/>
              </w:rPr>
              <w:t>、N</w:t>
            </w:r>
            <w:r>
              <w:rPr>
                <w:bCs/>
                <w:szCs w:val="21"/>
              </w:rPr>
              <w:t>O</w:t>
            </w:r>
            <w:r>
              <w:rPr>
                <w:bCs/>
                <w:szCs w:val="21"/>
                <w:vertAlign w:val="subscript"/>
              </w:rPr>
              <w:t>2</w:t>
            </w:r>
            <w:r>
              <w:rPr>
                <w:rFonts w:hint="eastAsia"/>
                <w:bCs/>
                <w:szCs w:val="21"/>
              </w:rPr>
              <w:t>、P</w:t>
            </w:r>
            <w:r>
              <w:rPr>
                <w:bCs/>
                <w:szCs w:val="21"/>
              </w:rPr>
              <w:t>M</w:t>
            </w:r>
            <w:r>
              <w:rPr>
                <w:bCs/>
                <w:szCs w:val="21"/>
                <w:vertAlign w:val="subscript"/>
              </w:rPr>
              <w:t>10</w:t>
            </w:r>
            <w:r>
              <w:rPr>
                <w:rFonts w:hint="eastAsia"/>
                <w:bCs/>
                <w:szCs w:val="21"/>
              </w:rPr>
              <w:t>、P</w:t>
            </w:r>
            <w:r>
              <w:rPr>
                <w:bCs/>
                <w:szCs w:val="21"/>
              </w:rPr>
              <w:t>M</w:t>
            </w:r>
            <w:r>
              <w:rPr>
                <w:bCs/>
                <w:szCs w:val="21"/>
                <w:vertAlign w:val="subscript"/>
              </w:rPr>
              <w:t>2.5</w:t>
            </w:r>
            <w:r>
              <w:rPr>
                <w:rFonts w:hint="eastAsia"/>
                <w:bCs/>
                <w:szCs w:val="21"/>
              </w:rPr>
              <w:t>、C</w:t>
            </w:r>
            <w:r>
              <w:rPr>
                <w:bCs/>
                <w:szCs w:val="21"/>
              </w:rPr>
              <w:t>O满足《环境空气质量标准》(GB3095-2012)二级标准要求及其修改单要求</w:t>
            </w:r>
            <w:r>
              <w:rPr>
                <w:rFonts w:hint="eastAsia"/>
                <w:bCs/>
                <w:szCs w:val="21"/>
              </w:rPr>
              <w:t>，臭氧超标，超标倍数为0</w:t>
            </w:r>
            <w:r>
              <w:rPr>
                <w:bCs/>
                <w:szCs w:val="21"/>
              </w:rPr>
              <w:t>.08</w:t>
            </w:r>
            <w:r>
              <w:rPr>
                <w:rFonts w:hint="eastAsia"/>
                <w:bCs/>
                <w:szCs w:val="21"/>
              </w:rPr>
              <w:t>，其他污染物（非甲烷总烃）现状满足《环境空气质量 非甲烷总烃限值》（D</w:t>
            </w:r>
            <w:r>
              <w:rPr>
                <w:bCs/>
                <w:szCs w:val="21"/>
              </w:rPr>
              <w:t>B13/1577-2012</w:t>
            </w:r>
            <w:r>
              <w:rPr>
                <w:rFonts w:hint="eastAsia"/>
                <w:bCs/>
                <w:szCs w:val="21"/>
              </w:rPr>
              <w:t>）表1中二级限值要求（</w:t>
            </w:r>
            <w:r>
              <w:rPr>
                <w:bCs/>
                <w:szCs w:val="21"/>
              </w:rPr>
              <w:t>2.0 mg/m</w:t>
            </w:r>
            <w:r>
              <w:rPr>
                <w:bCs/>
                <w:szCs w:val="21"/>
                <w:vertAlign w:val="superscript"/>
              </w:rPr>
              <w:t>3</w:t>
            </w:r>
            <w:r>
              <w:rPr>
                <w:rFonts w:hint="eastAsia"/>
                <w:bCs/>
                <w:szCs w:val="21"/>
              </w:rPr>
              <w:t>），本项目废气利用</w:t>
            </w:r>
            <w:r>
              <w:rPr>
                <w:bCs/>
                <w:szCs w:val="21"/>
              </w:rPr>
              <w:t>废气净化</w:t>
            </w:r>
            <w:r>
              <w:rPr>
                <w:rFonts w:hint="eastAsia"/>
                <w:bCs/>
                <w:szCs w:val="21"/>
              </w:rPr>
              <w:t>后可以稳定达标排放，项目实施后对大气环境影响很小。</w:t>
            </w:r>
          </w:p>
          <w:p>
            <w:pPr>
              <w:adjustRightInd w:val="0"/>
              <w:snapToGrid w:val="0"/>
              <w:spacing w:line="400" w:lineRule="exact"/>
              <w:ind w:firstLine="420" w:firstLineChars="200"/>
              <w:rPr>
                <w:bCs/>
                <w:szCs w:val="21"/>
              </w:rPr>
            </w:pPr>
            <w:r>
              <w:rPr>
                <w:rFonts w:hint="eastAsia"/>
                <w:bCs/>
                <w:szCs w:val="21"/>
              </w:rPr>
              <w:t>（6）排放标准及监测要求</w:t>
            </w:r>
          </w:p>
          <w:p>
            <w:pPr>
              <w:adjustRightInd w:val="0"/>
              <w:snapToGrid w:val="0"/>
              <w:spacing w:line="400" w:lineRule="exact"/>
              <w:ind w:firstLine="420" w:firstLineChars="200"/>
              <w:rPr>
                <w:bCs/>
                <w:szCs w:val="21"/>
              </w:rPr>
            </w:pPr>
            <w:r>
              <w:rPr>
                <w:rFonts w:hint="eastAsia"/>
                <w:bCs/>
                <w:szCs w:val="21"/>
              </w:rPr>
              <w:t>根据《固定污染源排污许可分类管理名录》（2</w:t>
            </w:r>
            <w:r>
              <w:rPr>
                <w:bCs/>
                <w:szCs w:val="21"/>
              </w:rPr>
              <w:t>019</w:t>
            </w:r>
            <w:r>
              <w:rPr>
                <w:rFonts w:hint="eastAsia"/>
                <w:bCs/>
                <w:szCs w:val="21"/>
              </w:rPr>
              <w:t>年版），本项目属于登记管理，然后对照《排污单位自行监测技术指南 橡胶和塑料制品》（H</w:t>
            </w:r>
            <w:r>
              <w:rPr>
                <w:bCs/>
                <w:szCs w:val="21"/>
              </w:rPr>
              <w:t>J1207-2021</w:t>
            </w:r>
            <w:r>
              <w:rPr>
                <w:rFonts w:hint="eastAsia"/>
                <w:bCs/>
                <w:szCs w:val="21"/>
              </w:rPr>
              <w:t>），项目自行监测计划及执行标准如下：</w:t>
            </w:r>
          </w:p>
          <w:p>
            <w:pPr>
              <w:spacing w:line="400" w:lineRule="exact"/>
              <w:jc w:val="center"/>
              <w:rPr>
                <w:b/>
                <w:szCs w:val="21"/>
              </w:rPr>
            </w:pPr>
            <w:r>
              <w:rPr>
                <w:rFonts w:hint="eastAsia"/>
                <w:b/>
                <w:szCs w:val="21"/>
              </w:rPr>
              <w:t>表</w:t>
            </w:r>
            <w:r>
              <w:rPr>
                <w:b/>
                <w:szCs w:val="21"/>
              </w:rPr>
              <w:t xml:space="preserve">4-8    </w:t>
            </w:r>
            <w:r>
              <w:rPr>
                <w:rFonts w:hint="eastAsia"/>
                <w:b/>
                <w:szCs w:val="21"/>
              </w:rPr>
              <w:t>排放标准和监测要求</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0"/>
              <w:gridCol w:w="850"/>
              <w:gridCol w:w="1559"/>
              <w:gridCol w:w="709"/>
              <w:gridCol w:w="34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shd w:val="clear" w:color="auto" w:fill="auto"/>
                  <w:vAlign w:val="center"/>
                </w:tcPr>
                <w:p>
                  <w:pPr>
                    <w:adjustRightInd w:val="0"/>
                    <w:snapToGrid w:val="0"/>
                    <w:jc w:val="center"/>
                    <w:rPr>
                      <w:bCs/>
                      <w:szCs w:val="21"/>
                    </w:rPr>
                  </w:pPr>
                  <w:r>
                    <w:rPr>
                      <w:bCs/>
                      <w:szCs w:val="21"/>
                    </w:rPr>
                    <w:t>名称</w:t>
                  </w:r>
                </w:p>
              </w:tc>
              <w:tc>
                <w:tcPr>
                  <w:tcW w:w="850" w:type="dxa"/>
                  <w:shd w:val="clear" w:color="auto" w:fill="auto"/>
                  <w:vAlign w:val="center"/>
                </w:tcPr>
                <w:p>
                  <w:pPr>
                    <w:adjustRightInd w:val="0"/>
                    <w:snapToGrid w:val="0"/>
                    <w:jc w:val="center"/>
                    <w:rPr>
                      <w:bCs/>
                      <w:szCs w:val="21"/>
                    </w:rPr>
                  </w:pPr>
                  <w:r>
                    <w:rPr>
                      <w:bCs/>
                      <w:szCs w:val="21"/>
                    </w:rPr>
                    <w:t>监测点位</w:t>
                  </w:r>
                </w:p>
              </w:tc>
              <w:tc>
                <w:tcPr>
                  <w:tcW w:w="1559" w:type="dxa"/>
                  <w:shd w:val="clear" w:color="auto" w:fill="auto"/>
                  <w:vAlign w:val="center"/>
                </w:tcPr>
                <w:p>
                  <w:pPr>
                    <w:adjustRightInd w:val="0"/>
                    <w:snapToGrid w:val="0"/>
                    <w:jc w:val="center"/>
                    <w:rPr>
                      <w:bCs/>
                      <w:szCs w:val="21"/>
                    </w:rPr>
                  </w:pPr>
                  <w:r>
                    <w:rPr>
                      <w:bCs/>
                      <w:szCs w:val="21"/>
                    </w:rPr>
                    <w:t>监测因子</w:t>
                  </w:r>
                </w:p>
              </w:tc>
              <w:tc>
                <w:tcPr>
                  <w:tcW w:w="709" w:type="dxa"/>
                  <w:shd w:val="clear" w:color="auto" w:fill="auto"/>
                  <w:vAlign w:val="center"/>
                </w:tcPr>
                <w:p>
                  <w:pPr>
                    <w:adjustRightInd w:val="0"/>
                    <w:snapToGrid w:val="0"/>
                    <w:jc w:val="center"/>
                    <w:rPr>
                      <w:bCs/>
                      <w:szCs w:val="21"/>
                    </w:rPr>
                  </w:pPr>
                  <w:r>
                    <w:rPr>
                      <w:bCs/>
                      <w:szCs w:val="21"/>
                    </w:rPr>
                    <w:t>监测频次</w:t>
                  </w:r>
                </w:p>
              </w:tc>
              <w:tc>
                <w:tcPr>
                  <w:tcW w:w="3473" w:type="dxa"/>
                  <w:vAlign w:val="center"/>
                </w:tcPr>
                <w:p>
                  <w:pPr>
                    <w:adjustRightInd w:val="0"/>
                    <w:snapToGrid w:val="0"/>
                    <w:jc w:val="center"/>
                    <w:rPr>
                      <w:bCs/>
                      <w:szCs w:val="21"/>
                    </w:rPr>
                  </w:pPr>
                  <w:r>
                    <w:rPr>
                      <w:bCs/>
                      <w:szCs w:val="21"/>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280" w:type="dxa"/>
                  <w:shd w:val="clear" w:color="auto" w:fill="auto"/>
                  <w:vAlign w:val="center"/>
                </w:tcPr>
                <w:p>
                  <w:pPr>
                    <w:adjustRightInd w:val="0"/>
                    <w:snapToGrid w:val="0"/>
                    <w:jc w:val="center"/>
                    <w:rPr>
                      <w:bCs/>
                      <w:szCs w:val="21"/>
                    </w:rPr>
                  </w:pPr>
                  <w:r>
                    <w:rPr>
                      <w:rFonts w:hint="eastAsia"/>
                      <w:szCs w:val="21"/>
                    </w:rPr>
                    <w:t>注塑废气</w:t>
                  </w:r>
                  <w:r>
                    <w:rPr>
                      <w:szCs w:val="21"/>
                    </w:rPr>
                    <w:t>排气筒DA001</w:t>
                  </w:r>
                </w:p>
              </w:tc>
              <w:tc>
                <w:tcPr>
                  <w:tcW w:w="850" w:type="dxa"/>
                  <w:shd w:val="clear" w:color="auto" w:fill="auto"/>
                  <w:vAlign w:val="center"/>
                </w:tcPr>
                <w:p>
                  <w:pPr>
                    <w:adjustRightInd w:val="0"/>
                    <w:snapToGrid w:val="0"/>
                    <w:jc w:val="center"/>
                    <w:rPr>
                      <w:bCs/>
                      <w:szCs w:val="21"/>
                    </w:rPr>
                  </w:pPr>
                  <w:r>
                    <w:rPr>
                      <w:bCs/>
                      <w:szCs w:val="21"/>
                    </w:rPr>
                    <w:t>排气筒</w:t>
                  </w:r>
                  <w:r>
                    <w:rPr>
                      <w:rFonts w:hint="eastAsia"/>
                      <w:bCs/>
                      <w:szCs w:val="21"/>
                    </w:rPr>
                    <w:t>烟道或</w:t>
                  </w:r>
                  <w:r>
                    <w:rPr>
                      <w:bCs/>
                      <w:szCs w:val="21"/>
                    </w:rPr>
                    <w:t>出口</w:t>
                  </w:r>
                </w:p>
              </w:tc>
              <w:tc>
                <w:tcPr>
                  <w:tcW w:w="1559" w:type="dxa"/>
                  <w:shd w:val="clear" w:color="auto" w:fill="auto"/>
                  <w:vAlign w:val="center"/>
                </w:tcPr>
                <w:p>
                  <w:pPr>
                    <w:pStyle w:val="49"/>
                    <w:adjustRightInd w:val="0"/>
                    <w:snapToGrid w:val="0"/>
                    <w:spacing w:line="240" w:lineRule="auto"/>
                    <w:ind w:firstLine="0" w:firstLineChars="0"/>
                    <w:jc w:val="center"/>
                    <w:rPr>
                      <w:rFonts w:ascii="Times New Roman" w:hAnsi="Times New Roman"/>
                      <w:bCs/>
                      <w:sz w:val="21"/>
                    </w:rPr>
                  </w:pPr>
                  <w:r>
                    <w:rPr>
                      <w:rFonts w:ascii="Times New Roman" w:hAnsi="Times New Roman"/>
                      <w:sz w:val="21"/>
                    </w:rPr>
                    <w:t>非甲烷总烃</w:t>
                  </w:r>
                </w:p>
              </w:tc>
              <w:tc>
                <w:tcPr>
                  <w:tcW w:w="709" w:type="dxa"/>
                  <w:shd w:val="clear" w:color="auto" w:fill="auto"/>
                  <w:vAlign w:val="center"/>
                </w:tcPr>
                <w:p>
                  <w:pPr>
                    <w:adjustRightInd w:val="0"/>
                    <w:snapToGrid w:val="0"/>
                    <w:jc w:val="center"/>
                    <w:rPr>
                      <w:bCs/>
                      <w:szCs w:val="21"/>
                    </w:rPr>
                  </w:pPr>
                  <w:r>
                    <w:rPr>
                      <w:bCs/>
                      <w:szCs w:val="21"/>
                    </w:rPr>
                    <w:t>1次/年</w:t>
                  </w:r>
                </w:p>
              </w:tc>
              <w:tc>
                <w:tcPr>
                  <w:tcW w:w="3473" w:type="dxa"/>
                  <w:vAlign w:val="center"/>
                </w:tcPr>
                <w:p>
                  <w:pPr>
                    <w:adjustRightInd w:val="0"/>
                    <w:snapToGrid w:val="0"/>
                    <w:jc w:val="center"/>
                    <w:rPr>
                      <w:bCs/>
                      <w:szCs w:val="21"/>
                    </w:rPr>
                  </w:pPr>
                  <w:r>
                    <w:rPr>
                      <w:rFonts w:hint="eastAsia"/>
                      <w:szCs w:val="21"/>
                    </w:rPr>
                    <w:t>《合成树脂工业污染物排放标准》（</w:t>
                  </w:r>
                  <w:r>
                    <w:rPr>
                      <w:szCs w:val="21"/>
                    </w:rPr>
                    <w:t>GB31572-2015</w:t>
                  </w:r>
                  <w:r>
                    <w:rPr>
                      <w:rFonts w:hint="eastAsia"/>
                      <w:szCs w:val="21"/>
                    </w:rPr>
                    <w:t>）表5，同时满足</w:t>
                  </w:r>
                  <w:r>
                    <w:rPr>
                      <w:bCs/>
                      <w:szCs w:val="21"/>
                    </w:rPr>
                    <w:t>《工业企业挥发性有机物排放控制标准》（DB13/2322-2016）</w:t>
                  </w:r>
                  <w:r>
                    <w:rPr>
                      <w:rFonts w:hint="eastAsia"/>
                      <w:bCs/>
                      <w:szCs w:val="21"/>
                    </w:rPr>
                    <w:t>表1中“其他行业”要求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vMerge w:val="restart"/>
                  <w:shd w:val="clear" w:color="auto" w:fill="auto"/>
                  <w:vAlign w:val="center"/>
                </w:tcPr>
                <w:p>
                  <w:pPr>
                    <w:adjustRightInd w:val="0"/>
                    <w:snapToGrid w:val="0"/>
                    <w:jc w:val="center"/>
                    <w:rPr>
                      <w:szCs w:val="21"/>
                    </w:rPr>
                  </w:pPr>
                  <w:r>
                    <w:rPr>
                      <w:szCs w:val="21"/>
                    </w:rPr>
                    <w:t>厂界</w:t>
                  </w:r>
                </w:p>
              </w:tc>
              <w:tc>
                <w:tcPr>
                  <w:tcW w:w="850" w:type="dxa"/>
                  <w:vMerge w:val="restart"/>
                  <w:shd w:val="clear" w:color="auto" w:fill="auto"/>
                  <w:vAlign w:val="center"/>
                </w:tcPr>
                <w:p>
                  <w:pPr>
                    <w:adjustRightInd w:val="0"/>
                    <w:snapToGrid w:val="0"/>
                    <w:jc w:val="center"/>
                    <w:rPr>
                      <w:bCs/>
                      <w:szCs w:val="21"/>
                    </w:rPr>
                  </w:pPr>
                  <w:r>
                    <w:rPr>
                      <w:rFonts w:hint="eastAsia"/>
                      <w:bCs/>
                      <w:szCs w:val="21"/>
                    </w:rPr>
                    <w:t>厂界</w:t>
                  </w:r>
                </w:p>
              </w:tc>
              <w:tc>
                <w:tcPr>
                  <w:tcW w:w="1559" w:type="dxa"/>
                  <w:shd w:val="clear" w:color="auto" w:fill="auto"/>
                  <w:vAlign w:val="center"/>
                </w:tcPr>
                <w:p>
                  <w:pPr>
                    <w:adjustRightInd w:val="0"/>
                    <w:snapToGrid w:val="0"/>
                    <w:jc w:val="center"/>
                    <w:rPr>
                      <w:szCs w:val="21"/>
                    </w:rPr>
                  </w:pPr>
                  <w:r>
                    <w:rPr>
                      <w:rFonts w:hint="eastAsia"/>
                      <w:szCs w:val="21"/>
                    </w:rPr>
                    <w:t>颗粒物</w:t>
                  </w:r>
                </w:p>
              </w:tc>
              <w:tc>
                <w:tcPr>
                  <w:tcW w:w="709" w:type="dxa"/>
                  <w:shd w:val="clear" w:color="auto" w:fill="auto"/>
                  <w:vAlign w:val="center"/>
                </w:tcPr>
                <w:p>
                  <w:pPr>
                    <w:adjustRightInd w:val="0"/>
                    <w:snapToGrid w:val="0"/>
                    <w:jc w:val="center"/>
                    <w:rPr>
                      <w:bCs/>
                      <w:szCs w:val="21"/>
                    </w:rPr>
                  </w:pPr>
                  <w:r>
                    <w:rPr>
                      <w:bCs/>
                      <w:szCs w:val="21"/>
                    </w:rPr>
                    <w:t>1次/年</w:t>
                  </w:r>
                </w:p>
              </w:tc>
              <w:tc>
                <w:tcPr>
                  <w:tcW w:w="3473" w:type="dxa"/>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，同时满足</w:t>
                  </w:r>
                  <w:r>
                    <w:rPr>
                      <w:rFonts w:hint="eastAsia"/>
                      <w:bCs/>
                      <w:szCs w:val="21"/>
                    </w:rPr>
                    <w:t>《秦皇岛市人民政府办公室关于执行钢铁等行业大气污染物特别要求的通知》（2021-10）中无组织排放限值要求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vMerge w:val="continue"/>
                  <w:shd w:val="clear" w:color="auto" w:fill="auto"/>
                  <w:vAlign w:val="center"/>
                </w:tcPr>
                <w:p>
                  <w:pPr>
                    <w:adjustRightInd w:val="0"/>
                    <w:snapToGrid w:val="0"/>
                    <w:jc w:val="center"/>
                    <w:rPr>
                      <w:szCs w:val="21"/>
                    </w:rPr>
                  </w:pPr>
                </w:p>
              </w:tc>
              <w:tc>
                <w:tcPr>
                  <w:tcW w:w="850" w:type="dxa"/>
                  <w:vMerge w:val="continue"/>
                  <w:shd w:val="clear" w:color="auto" w:fill="auto"/>
                  <w:vAlign w:val="center"/>
                </w:tcPr>
                <w:p>
                  <w:pPr>
                    <w:adjustRightInd w:val="0"/>
                    <w:snapToGrid w:val="0"/>
                    <w:jc w:val="center"/>
                    <w:rPr>
                      <w:bCs/>
                      <w:szCs w:val="21"/>
                    </w:rPr>
                  </w:pPr>
                </w:p>
              </w:tc>
              <w:tc>
                <w:tcPr>
                  <w:tcW w:w="1559" w:type="dxa"/>
                  <w:shd w:val="clear" w:color="auto" w:fill="auto"/>
                  <w:vAlign w:val="center"/>
                </w:tcPr>
                <w:p>
                  <w:pPr>
                    <w:adjustRightInd w:val="0"/>
                    <w:snapToGrid w:val="0"/>
                    <w:jc w:val="center"/>
                    <w:rPr>
                      <w:szCs w:val="21"/>
                    </w:rPr>
                  </w:pPr>
                  <w:r>
                    <w:rPr>
                      <w:szCs w:val="21"/>
                    </w:rPr>
                    <w:t>非甲烷总烃</w:t>
                  </w:r>
                </w:p>
              </w:tc>
              <w:tc>
                <w:tcPr>
                  <w:tcW w:w="709" w:type="dxa"/>
                  <w:shd w:val="clear" w:color="auto" w:fill="auto"/>
                  <w:vAlign w:val="center"/>
                </w:tcPr>
                <w:p>
                  <w:pPr>
                    <w:adjustRightInd w:val="0"/>
                    <w:snapToGrid w:val="0"/>
                    <w:jc w:val="center"/>
                    <w:rPr>
                      <w:bCs/>
                      <w:szCs w:val="21"/>
                    </w:rPr>
                  </w:pPr>
                  <w:r>
                    <w:rPr>
                      <w:bCs/>
                      <w:szCs w:val="21"/>
                    </w:rPr>
                    <w:t>1次/年</w:t>
                  </w:r>
                </w:p>
              </w:tc>
              <w:tc>
                <w:tcPr>
                  <w:tcW w:w="3473" w:type="dxa"/>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，同时满足</w:t>
                  </w:r>
                  <w:r>
                    <w:rPr>
                      <w:bCs/>
                      <w:szCs w:val="21"/>
                    </w:rPr>
                    <w:t>《工业企业挥发性有机物排放控制标准》（DB13/2322-2016）表2中“其他企业”要求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vMerge w:val="restart"/>
                  <w:shd w:val="clear" w:color="auto" w:fill="auto"/>
                  <w:vAlign w:val="center"/>
                </w:tcPr>
                <w:p>
                  <w:pPr>
                    <w:adjustRightInd w:val="0"/>
                    <w:snapToGrid w:val="0"/>
                    <w:jc w:val="center"/>
                    <w:rPr>
                      <w:bCs/>
                      <w:szCs w:val="21"/>
                    </w:rPr>
                  </w:pPr>
                  <w:r>
                    <w:rPr>
                      <w:szCs w:val="21"/>
                    </w:rPr>
                    <w:t>厂房外</w:t>
                  </w:r>
                </w:p>
              </w:tc>
              <w:tc>
                <w:tcPr>
                  <w:tcW w:w="850" w:type="dxa"/>
                  <w:vMerge w:val="restart"/>
                  <w:shd w:val="clear" w:color="auto" w:fill="auto"/>
                  <w:vAlign w:val="center"/>
                </w:tcPr>
                <w:p>
                  <w:pPr>
                    <w:adjustRightInd w:val="0"/>
                    <w:snapToGrid w:val="0"/>
                    <w:jc w:val="center"/>
                    <w:rPr>
                      <w:bCs/>
                      <w:szCs w:val="21"/>
                    </w:rPr>
                  </w:pPr>
                  <w:r>
                    <w:rPr>
                      <w:szCs w:val="21"/>
                    </w:rPr>
                    <w:t>非甲烷总烃</w:t>
                  </w:r>
                </w:p>
              </w:tc>
              <w:tc>
                <w:tcPr>
                  <w:tcW w:w="1559" w:type="dxa"/>
                  <w:shd w:val="clear" w:color="auto" w:fill="auto"/>
                  <w:vAlign w:val="center"/>
                </w:tcPr>
                <w:p>
                  <w:pPr>
                    <w:pStyle w:val="49"/>
                    <w:adjustRightInd w:val="0"/>
                    <w:snapToGrid w:val="0"/>
                    <w:spacing w:line="240" w:lineRule="auto"/>
                    <w:ind w:firstLine="0" w:firstLineChars="0"/>
                    <w:jc w:val="center"/>
                    <w:rPr>
                      <w:rFonts w:ascii="Times New Roman" w:hAnsi="Times New Roman"/>
                      <w:bCs/>
                      <w:sz w:val="21"/>
                    </w:rPr>
                  </w:pPr>
                  <w:r>
                    <w:rPr>
                      <w:rFonts w:ascii="Times New Roman" w:hAnsi="Times New Roman"/>
                      <w:sz w:val="21"/>
                    </w:rPr>
                    <w:t>监控点处1h平均浓度6 mg/m</w:t>
                  </w:r>
                  <w:r>
                    <w:rPr>
                      <w:rFonts w:ascii="Times New Roman" w:hAnsi="Times New Roman"/>
                      <w:sz w:val="21"/>
                      <w:vertAlign w:val="superscript"/>
                    </w:rPr>
                    <w:t>3</w:t>
                  </w:r>
                </w:p>
              </w:tc>
              <w:tc>
                <w:tcPr>
                  <w:tcW w:w="709" w:type="dxa"/>
                  <w:shd w:val="clear" w:color="auto" w:fill="auto"/>
                  <w:vAlign w:val="center"/>
                </w:tcPr>
                <w:p>
                  <w:pPr>
                    <w:adjustRightInd w:val="0"/>
                    <w:snapToGrid w:val="0"/>
                    <w:jc w:val="center"/>
                    <w:rPr>
                      <w:bCs/>
                      <w:szCs w:val="21"/>
                    </w:rPr>
                  </w:pPr>
                  <w:r>
                    <w:rPr>
                      <w:bCs/>
                      <w:szCs w:val="21"/>
                    </w:rPr>
                    <w:t>1次/年</w:t>
                  </w:r>
                </w:p>
              </w:tc>
              <w:tc>
                <w:tcPr>
                  <w:tcW w:w="3473" w:type="dxa"/>
                  <w:vMerge w:val="restart"/>
                  <w:vAlign w:val="center"/>
                </w:tcPr>
                <w:p>
                  <w:pPr>
                    <w:adjustRightInd w:val="0"/>
                    <w:snapToGrid w:val="0"/>
                    <w:jc w:val="center"/>
                    <w:rPr>
                      <w:bCs/>
                      <w:szCs w:val="21"/>
                    </w:rPr>
                  </w:pPr>
                  <w:r>
                    <w:rPr>
                      <w:bCs/>
                      <w:szCs w:val="21"/>
                    </w:rPr>
                    <w:t>《</w:t>
                  </w:r>
                  <w:r>
                    <w:rPr>
                      <w:rFonts w:hint="eastAsia"/>
                      <w:bCs/>
                      <w:szCs w:val="21"/>
                    </w:rPr>
                    <w:t>挥发性有机物无组织</w:t>
                  </w:r>
                  <w:r>
                    <w:rPr>
                      <w:bCs/>
                      <w:szCs w:val="21"/>
                    </w:rPr>
                    <w:t>排放</w:t>
                  </w:r>
                  <w:r>
                    <w:rPr>
                      <w:rFonts w:hint="eastAsia"/>
                      <w:bCs/>
                      <w:szCs w:val="21"/>
                    </w:rPr>
                    <w:t>控制</w:t>
                  </w:r>
                  <w:r>
                    <w:rPr>
                      <w:bCs/>
                      <w:szCs w:val="21"/>
                    </w:rPr>
                    <w:t>标准》（GB37822-2019）表A.1要求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vMerge w:val="continue"/>
                  <w:shd w:val="clear" w:color="auto" w:fill="auto"/>
                  <w:vAlign w:val="center"/>
                </w:tcPr>
                <w:p>
                  <w:pPr>
                    <w:adjustRightInd w:val="0"/>
                    <w:snapToGrid w:val="0"/>
                    <w:jc w:val="center"/>
                    <w:rPr>
                      <w:bCs/>
                      <w:szCs w:val="21"/>
                    </w:rPr>
                  </w:pPr>
                </w:p>
              </w:tc>
              <w:tc>
                <w:tcPr>
                  <w:tcW w:w="850" w:type="dxa"/>
                  <w:vMerge w:val="continue"/>
                  <w:shd w:val="clear" w:color="auto" w:fill="auto"/>
                  <w:vAlign w:val="center"/>
                </w:tcPr>
                <w:p>
                  <w:pPr>
                    <w:adjustRightInd w:val="0"/>
                    <w:snapToGrid w:val="0"/>
                    <w:jc w:val="center"/>
                    <w:rPr>
                      <w:bCs/>
                      <w:szCs w:val="21"/>
                    </w:rPr>
                  </w:pPr>
                </w:p>
              </w:tc>
              <w:tc>
                <w:tcPr>
                  <w:tcW w:w="1559" w:type="dxa"/>
                  <w:shd w:val="clear" w:color="auto" w:fill="auto"/>
                  <w:vAlign w:val="center"/>
                </w:tcPr>
                <w:p>
                  <w:pPr>
                    <w:pStyle w:val="49"/>
                    <w:adjustRightInd w:val="0"/>
                    <w:snapToGrid w:val="0"/>
                    <w:spacing w:line="240" w:lineRule="auto"/>
                    <w:ind w:firstLine="0" w:firstLineChars="0"/>
                    <w:jc w:val="center"/>
                    <w:rPr>
                      <w:rFonts w:ascii="Times New Roman" w:hAnsi="Times New Roman"/>
                      <w:bCs/>
                      <w:sz w:val="21"/>
                    </w:rPr>
                  </w:pPr>
                  <w:r>
                    <w:rPr>
                      <w:rFonts w:ascii="Times New Roman" w:hAnsi="Times New Roman"/>
                      <w:sz w:val="21"/>
                    </w:rPr>
                    <w:t>监控点处任意1次浓度20 mg/m</w:t>
                  </w:r>
                  <w:r>
                    <w:rPr>
                      <w:rFonts w:ascii="Times New Roman" w:hAnsi="Times New Roman"/>
                      <w:sz w:val="21"/>
                      <w:vertAlign w:val="superscript"/>
                    </w:rPr>
                    <w:t>3</w:t>
                  </w:r>
                </w:p>
              </w:tc>
              <w:tc>
                <w:tcPr>
                  <w:tcW w:w="709" w:type="dxa"/>
                  <w:shd w:val="clear" w:color="auto" w:fill="auto"/>
                  <w:vAlign w:val="center"/>
                </w:tcPr>
                <w:p>
                  <w:pPr>
                    <w:adjustRightInd w:val="0"/>
                    <w:snapToGrid w:val="0"/>
                    <w:jc w:val="center"/>
                    <w:rPr>
                      <w:bCs/>
                      <w:szCs w:val="21"/>
                    </w:rPr>
                  </w:pPr>
                  <w:r>
                    <w:rPr>
                      <w:bCs/>
                      <w:szCs w:val="21"/>
                    </w:rPr>
                    <w:t>1次/年</w:t>
                  </w:r>
                </w:p>
              </w:tc>
              <w:tc>
                <w:tcPr>
                  <w:tcW w:w="3473" w:type="dxa"/>
                  <w:vMerge w:val="continue"/>
                  <w:vAlign w:val="center"/>
                </w:tcPr>
                <w:p>
                  <w:pPr>
                    <w:adjustRightInd w:val="0"/>
                    <w:snapToGrid w:val="0"/>
                    <w:jc w:val="center"/>
                    <w:rPr>
                      <w:bCs/>
                      <w:szCs w:val="21"/>
                    </w:rPr>
                  </w:pPr>
                </w:p>
              </w:tc>
            </w:tr>
          </w:tbl>
          <w:p>
            <w:pPr>
              <w:adjustRightInd w:val="0"/>
              <w:snapToGrid w:val="0"/>
              <w:spacing w:line="400" w:lineRule="exact"/>
              <w:ind w:firstLine="422" w:firstLineChars="200"/>
              <w:rPr>
                <w:b/>
                <w:szCs w:val="21"/>
              </w:rPr>
            </w:pPr>
            <w:r>
              <w:rPr>
                <w:rFonts w:hint="eastAsia"/>
                <w:b/>
                <w:szCs w:val="21"/>
              </w:rPr>
              <w:t>2、废水</w:t>
            </w:r>
          </w:p>
          <w:p>
            <w:pPr>
              <w:adjustRightInd w:val="0"/>
              <w:snapToGrid w:val="0"/>
              <w:spacing w:line="400" w:lineRule="exact"/>
              <w:ind w:firstLine="420" w:firstLineChars="200"/>
              <w:rPr>
                <w:bCs/>
                <w:szCs w:val="21"/>
              </w:rPr>
            </w:pPr>
            <w:r>
              <w:rPr>
                <w:rFonts w:hint="eastAsia"/>
                <w:bCs/>
                <w:szCs w:val="21"/>
              </w:rPr>
              <w:t>项目注塑循环冷却水循环利用，不外排；生活盥洗污水泼洒抑尘</w:t>
            </w:r>
            <w:bookmarkStart w:id="8" w:name="_Hlk70495225"/>
            <w:r>
              <w:rPr>
                <w:rFonts w:hint="eastAsia"/>
                <w:bCs/>
                <w:szCs w:val="21"/>
              </w:rPr>
              <w:t>，不外排</w:t>
            </w:r>
            <w:r>
              <w:rPr>
                <w:bCs/>
                <w:szCs w:val="21"/>
              </w:rPr>
              <w:t>，对水环境影响很小。</w:t>
            </w:r>
          </w:p>
          <w:bookmarkEnd w:id="8"/>
          <w:p>
            <w:pPr>
              <w:adjustRightInd w:val="0"/>
              <w:snapToGrid w:val="0"/>
              <w:spacing w:line="400" w:lineRule="exact"/>
              <w:ind w:firstLine="422" w:firstLineChars="200"/>
              <w:rPr>
                <w:b/>
                <w:szCs w:val="21"/>
              </w:rPr>
            </w:pPr>
            <w:r>
              <w:rPr>
                <w:b/>
                <w:szCs w:val="21"/>
              </w:rPr>
              <w:t>3</w:t>
            </w:r>
            <w:r>
              <w:rPr>
                <w:rFonts w:hint="eastAsia"/>
                <w:b/>
                <w:szCs w:val="21"/>
              </w:rPr>
              <w:t>、噪声</w:t>
            </w:r>
          </w:p>
          <w:p>
            <w:pPr>
              <w:adjustRightInd w:val="0"/>
              <w:snapToGrid w:val="0"/>
              <w:spacing w:line="400" w:lineRule="exact"/>
              <w:ind w:firstLine="420" w:firstLineChars="200"/>
              <w:rPr>
                <w:bCs/>
                <w:szCs w:val="21"/>
              </w:rPr>
            </w:pPr>
            <w:r>
              <w:rPr>
                <w:bCs/>
                <w:szCs w:val="21"/>
              </w:rPr>
              <w:t>项目主要噪声源为</w:t>
            </w:r>
            <w:r>
              <w:rPr>
                <w:rFonts w:hint="eastAsia"/>
                <w:bCs/>
                <w:szCs w:val="21"/>
              </w:rPr>
              <w:t>注塑车间的生产设备和废气处理风机</w:t>
            </w:r>
            <w:r>
              <w:rPr>
                <w:bCs/>
                <w:szCs w:val="21"/>
              </w:rPr>
              <w:t>，项目优先选用低噪设备、基础减振、隔声等措施，项目噪声源及噪声控制措施情况见下表。</w:t>
            </w:r>
          </w:p>
          <w:p>
            <w:pPr>
              <w:spacing w:line="400" w:lineRule="exact"/>
              <w:jc w:val="center"/>
              <w:rPr>
                <w:b/>
                <w:szCs w:val="21"/>
              </w:rPr>
            </w:pPr>
            <w:r>
              <w:rPr>
                <w:b/>
                <w:szCs w:val="21"/>
              </w:rPr>
              <w:t xml:space="preserve">表4-9  </w:t>
            </w:r>
            <w:r>
              <w:rPr>
                <w:rFonts w:hint="eastAsia"/>
                <w:b/>
                <w:szCs w:val="21"/>
              </w:rPr>
              <w:t>室内声源情况</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0"/>
              <w:gridCol w:w="997"/>
              <w:gridCol w:w="1181"/>
              <w:gridCol w:w="1103"/>
              <w:gridCol w:w="1168"/>
              <w:gridCol w:w="1102"/>
              <w:gridCol w:w="1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Merge w:val="restart"/>
                  <w:vAlign w:val="center"/>
                </w:tcPr>
                <w:p>
                  <w:pPr>
                    <w:adjustRightInd w:val="0"/>
                    <w:snapToGrid w:val="0"/>
                    <w:jc w:val="center"/>
                    <w:rPr>
                      <w:bCs/>
                      <w:szCs w:val="21"/>
                    </w:rPr>
                  </w:pPr>
                  <w:r>
                    <w:rPr>
                      <w:rFonts w:hint="eastAsia"/>
                      <w:bCs/>
                      <w:szCs w:val="21"/>
                    </w:rPr>
                    <w:t>声源名称</w:t>
                  </w:r>
                </w:p>
              </w:tc>
              <w:tc>
                <w:tcPr>
                  <w:tcW w:w="2067" w:type="pct"/>
                  <w:gridSpan w:val="3"/>
                  <w:vAlign w:val="center"/>
                </w:tcPr>
                <w:p>
                  <w:pPr>
                    <w:adjustRightInd w:val="0"/>
                    <w:snapToGrid w:val="0"/>
                    <w:jc w:val="center"/>
                    <w:rPr>
                      <w:bCs/>
                      <w:szCs w:val="21"/>
                    </w:rPr>
                  </w:pPr>
                  <w:r>
                    <w:rPr>
                      <w:rFonts w:hint="eastAsia"/>
                      <w:bCs/>
                      <w:szCs w:val="21"/>
                    </w:rPr>
                    <w:t>空间相对位置/m</w:t>
                  </w:r>
                </w:p>
              </w:tc>
              <w:tc>
                <w:tcPr>
                  <w:tcW w:w="736" w:type="pct"/>
                  <w:vMerge w:val="restart"/>
                  <w:vAlign w:val="center"/>
                </w:tcPr>
                <w:p>
                  <w:pPr>
                    <w:adjustRightInd w:val="0"/>
                    <w:snapToGrid w:val="0"/>
                    <w:jc w:val="center"/>
                    <w:rPr>
                      <w:bCs/>
                      <w:szCs w:val="21"/>
                    </w:rPr>
                  </w:pPr>
                  <w:r>
                    <w:rPr>
                      <w:rFonts w:hint="eastAsia"/>
                      <w:bCs/>
                      <w:szCs w:val="21"/>
                    </w:rPr>
                    <w:t>声功率级 /dB(A</w:t>
                  </w:r>
                </w:p>
              </w:tc>
              <w:tc>
                <w:tcPr>
                  <w:tcW w:w="694" w:type="pct"/>
                  <w:vMerge w:val="restart"/>
                  <w:vAlign w:val="center"/>
                </w:tcPr>
                <w:p>
                  <w:pPr>
                    <w:adjustRightInd w:val="0"/>
                    <w:snapToGrid w:val="0"/>
                    <w:jc w:val="center"/>
                    <w:rPr>
                      <w:bCs/>
                      <w:szCs w:val="21"/>
                    </w:rPr>
                  </w:pPr>
                  <w:r>
                    <w:rPr>
                      <w:rFonts w:hint="eastAsia"/>
                      <w:bCs/>
                      <w:szCs w:val="21"/>
                    </w:rPr>
                    <w:t>声源控制措施</w:t>
                  </w:r>
                </w:p>
              </w:tc>
              <w:tc>
                <w:tcPr>
                  <w:tcW w:w="690" w:type="pct"/>
                  <w:vMerge w:val="restart"/>
                  <w:vAlign w:val="center"/>
                </w:tcPr>
                <w:p>
                  <w:pPr>
                    <w:adjustRightInd w:val="0"/>
                    <w:snapToGrid w:val="0"/>
                    <w:jc w:val="center"/>
                    <w:rPr>
                      <w:bCs/>
                      <w:szCs w:val="21"/>
                    </w:rPr>
                  </w:pPr>
                  <w:r>
                    <w:rPr>
                      <w:rFonts w:hint="eastAsia"/>
                      <w:bCs/>
                      <w:szCs w:val="21"/>
                    </w:rPr>
                    <w:t>运行时段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Merge w:val="continue"/>
                  <w:vAlign w:val="center"/>
                </w:tcPr>
                <w:p>
                  <w:pPr>
                    <w:adjustRightInd w:val="0"/>
                    <w:snapToGrid w:val="0"/>
                    <w:jc w:val="center"/>
                    <w:rPr>
                      <w:bCs/>
                      <w:szCs w:val="21"/>
                    </w:rPr>
                  </w:pPr>
                </w:p>
              </w:tc>
              <w:tc>
                <w:tcPr>
                  <w:tcW w:w="628" w:type="pct"/>
                  <w:vAlign w:val="center"/>
                </w:tcPr>
                <w:p>
                  <w:pPr>
                    <w:adjustRightInd w:val="0"/>
                    <w:snapToGrid w:val="0"/>
                    <w:jc w:val="center"/>
                    <w:rPr>
                      <w:bCs/>
                      <w:szCs w:val="21"/>
                    </w:rPr>
                  </w:pPr>
                  <w:r>
                    <w:rPr>
                      <w:rFonts w:hint="eastAsia"/>
                      <w:bCs/>
                      <w:szCs w:val="21"/>
                    </w:rPr>
                    <w:t>X</w:t>
                  </w:r>
                </w:p>
              </w:tc>
              <w:tc>
                <w:tcPr>
                  <w:tcW w:w="744" w:type="pct"/>
                  <w:vAlign w:val="center"/>
                </w:tcPr>
                <w:p>
                  <w:pPr>
                    <w:adjustRightInd w:val="0"/>
                    <w:snapToGrid w:val="0"/>
                    <w:jc w:val="center"/>
                    <w:rPr>
                      <w:bCs/>
                      <w:szCs w:val="21"/>
                    </w:rPr>
                  </w:pPr>
                  <w:r>
                    <w:rPr>
                      <w:rFonts w:hint="eastAsia"/>
                      <w:bCs/>
                      <w:szCs w:val="21"/>
                    </w:rPr>
                    <w:t>Y</w:t>
                  </w:r>
                </w:p>
              </w:tc>
              <w:tc>
                <w:tcPr>
                  <w:tcW w:w="695" w:type="pct"/>
                  <w:vAlign w:val="center"/>
                </w:tcPr>
                <w:p>
                  <w:pPr>
                    <w:adjustRightInd w:val="0"/>
                    <w:snapToGrid w:val="0"/>
                    <w:jc w:val="center"/>
                    <w:rPr>
                      <w:bCs/>
                      <w:szCs w:val="21"/>
                    </w:rPr>
                  </w:pPr>
                  <w:r>
                    <w:rPr>
                      <w:rFonts w:hint="eastAsia"/>
                      <w:bCs/>
                      <w:szCs w:val="21"/>
                    </w:rPr>
                    <w:t>Z</w:t>
                  </w:r>
                </w:p>
              </w:tc>
              <w:tc>
                <w:tcPr>
                  <w:tcW w:w="736" w:type="pct"/>
                  <w:vMerge w:val="continue"/>
                  <w:vAlign w:val="center"/>
                </w:tcPr>
                <w:p>
                  <w:pPr>
                    <w:adjustRightInd w:val="0"/>
                    <w:snapToGrid w:val="0"/>
                    <w:jc w:val="center"/>
                    <w:rPr>
                      <w:bCs/>
                      <w:szCs w:val="21"/>
                    </w:rPr>
                  </w:pP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Align w:val="center"/>
                </w:tcPr>
                <w:p>
                  <w:pPr>
                    <w:adjustRightInd w:val="0"/>
                    <w:snapToGrid w:val="0"/>
                    <w:jc w:val="center"/>
                    <w:rPr>
                      <w:bCs/>
                      <w:szCs w:val="21"/>
                    </w:rPr>
                  </w:pPr>
                  <w:r>
                    <w:rPr>
                      <w:rFonts w:hint="eastAsia"/>
                    </w:rPr>
                    <w:t>上料系统1</w:t>
                  </w:r>
                </w:p>
              </w:tc>
              <w:tc>
                <w:tcPr>
                  <w:tcW w:w="628" w:type="pct"/>
                  <w:vAlign w:val="center"/>
                </w:tcPr>
                <w:p>
                  <w:pPr>
                    <w:adjustRightInd w:val="0"/>
                    <w:snapToGrid w:val="0"/>
                    <w:jc w:val="center"/>
                    <w:rPr>
                      <w:bCs/>
                      <w:szCs w:val="21"/>
                    </w:rPr>
                  </w:pPr>
                  <w:r>
                    <w:rPr>
                      <w:rFonts w:hint="eastAsia"/>
                      <w:bCs/>
                      <w:szCs w:val="21"/>
                    </w:rPr>
                    <w:t>-</w:t>
                  </w:r>
                  <w:r>
                    <w:rPr>
                      <w:bCs/>
                      <w:szCs w:val="21"/>
                    </w:rPr>
                    <w:t>2.32</w:t>
                  </w:r>
                </w:p>
              </w:tc>
              <w:tc>
                <w:tcPr>
                  <w:tcW w:w="744" w:type="pct"/>
                  <w:vAlign w:val="center"/>
                </w:tcPr>
                <w:p>
                  <w:pPr>
                    <w:adjustRightInd w:val="0"/>
                    <w:snapToGrid w:val="0"/>
                    <w:jc w:val="center"/>
                    <w:rPr>
                      <w:bCs/>
                      <w:szCs w:val="21"/>
                    </w:rPr>
                  </w:pPr>
                  <w:r>
                    <w:rPr>
                      <w:rFonts w:hint="eastAsia"/>
                      <w:bCs/>
                      <w:szCs w:val="21"/>
                    </w:rPr>
                    <w:t>-</w:t>
                  </w:r>
                  <w:r>
                    <w:rPr>
                      <w:bCs/>
                      <w:szCs w:val="21"/>
                    </w:rPr>
                    <w:t>4.85</w:t>
                  </w:r>
                </w:p>
              </w:tc>
              <w:tc>
                <w:tcPr>
                  <w:tcW w:w="695" w:type="pct"/>
                  <w:vAlign w:val="center"/>
                </w:tcPr>
                <w:p>
                  <w:pPr>
                    <w:adjustRightInd w:val="0"/>
                    <w:snapToGrid w:val="0"/>
                    <w:jc w:val="center"/>
                    <w:rPr>
                      <w:bCs/>
                      <w:szCs w:val="21"/>
                    </w:rPr>
                  </w:pPr>
                  <w:r>
                    <w:rPr>
                      <w:rFonts w:hint="eastAsia"/>
                      <w:bCs/>
                      <w:szCs w:val="21"/>
                    </w:rPr>
                    <w:t>1</w:t>
                  </w:r>
                </w:p>
              </w:tc>
              <w:tc>
                <w:tcPr>
                  <w:tcW w:w="736" w:type="pct"/>
                  <w:vAlign w:val="center"/>
                </w:tcPr>
                <w:p>
                  <w:pPr>
                    <w:adjustRightInd w:val="0"/>
                    <w:snapToGrid w:val="0"/>
                    <w:jc w:val="center"/>
                    <w:rPr>
                      <w:bCs/>
                      <w:szCs w:val="21"/>
                    </w:rPr>
                  </w:pPr>
                  <w:r>
                    <w:rPr>
                      <w:bCs/>
                      <w:szCs w:val="21"/>
                    </w:rPr>
                    <w:t>80</w:t>
                  </w:r>
                </w:p>
              </w:tc>
              <w:tc>
                <w:tcPr>
                  <w:tcW w:w="694" w:type="pct"/>
                  <w:vMerge w:val="restart"/>
                  <w:vAlign w:val="center"/>
                </w:tcPr>
                <w:p>
                  <w:pPr>
                    <w:adjustRightInd w:val="0"/>
                    <w:snapToGrid w:val="0"/>
                    <w:jc w:val="center"/>
                    <w:rPr>
                      <w:bCs/>
                      <w:szCs w:val="21"/>
                    </w:rPr>
                  </w:pPr>
                  <w:r>
                    <w:rPr>
                      <w:rFonts w:hint="eastAsia"/>
                      <w:bCs/>
                      <w:szCs w:val="21"/>
                    </w:rPr>
                    <w:t>厂房隔声、减振</w:t>
                  </w:r>
                </w:p>
              </w:tc>
              <w:tc>
                <w:tcPr>
                  <w:tcW w:w="690" w:type="pct"/>
                  <w:vMerge w:val="restart"/>
                  <w:vAlign w:val="center"/>
                </w:tcPr>
                <w:p>
                  <w:pPr>
                    <w:adjustRightInd w:val="0"/>
                    <w:snapToGrid w:val="0"/>
                    <w:jc w:val="center"/>
                    <w:rPr>
                      <w:bCs/>
                      <w:szCs w:val="21"/>
                    </w:rPr>
                  </w:pPr>
                  <w:r>
                    <w:rPr>
                      <w:rFonts w:hint="eastAsia"/>
                      <w:bCs/>
                      <w:szCs w:val="21"/>
                    </w:rPr>
                    <w:t>昼间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Align w:val="center"/>
                </w:tcPr>
                <w:p>
                  <w:pPr>
                    <w:adjustRightInd w:val="0"/>
                    <w:snapToGrid w:val="0"/>
                    <w:jc w:val="center"/>
                  </w:pPr>
                  <w:r>
                    <w:rPr>
                      <w:rFonts w:hint="eastAsia"/>
                    </w:rPr>
                    <w:t>上料系统</w:t>
                  </w:r>
                  <w:r>
                    <w:t>2</w:t>
                  </w:r>
                </w:p>
              </w:tc>
              <w:tc>
                <w:tcPr>
                  <w:tcW w:w="628" w:type="pct"/>
                  <w:vAlign w:val="center"/>
                </w:tcPr>
                <w:p>
                  <w:pPr>
                    <w:adjustRightInd w:val="0"/>
                    <w:snapToGrid w:val="0"/>
                    <w:jc w:val="center"/>
                    <w:rPr>
                      <w:bCs/>
                      <w:szCs w:val="21"/>
                    </w:rPr>
                  </w:pPr>
                  <w:r>
                    <w:rPr>
                      <w:rFonts w:hint="eastAsia"/>
                      <w:bCs/>
                      <w:szCs w:val="21"/>
                    </w:rPr>
                    <w:t>2</w:t>
                  </w:r>
                  <w:r>
                    <w:rPr>
                      <w:bCs/>
                      <w:szCs w:val="21"/>
                    </w:rPr>
                    <w:t>.1</w:t>
                  </w:r>
                </w:p>
              </w:tc>
              <w:tc>
                <w:tcPr>
                  <w:tcW w:w="744" w:type="pct"/>
                  <w:vAlign w:val="center"/>
                </w:tcPr>
                <w:p>
                  <w:pPr>
                    <w:adjustRightInd w:val="0"/>
                    <w:snapToGrid w:val="0"/>
                    <w:jc w:val="center"/>
                    <w:rPr>
                      <w:bCs/>
                      <w:szCs w:val="21"/>
                    </w:rPr>
                  </w:pPr>
                  <w:r>
                    <w:rPr>
                      <w:rFonts w:hint="eastAsia"/>
                      <w:bCs/>
                      <w:szCs w:val="21"/>
                    </w:rPr>
                    <w:t>-</w:t>
                  </w:r>
                  <w:r>
                    <w:rPr>
                      <w:bCs/>
                      <w:szCs w:val="21"/>
                    </w:rPr>
                    <w:t>15.93</w:t>
                  </w:r>
                </w:p>
              </w:tc>
              <w:tc>
                <w:tcPr>
                  <w:tcW w:w="695" w:type="pct"/>
                  <w:vAlign w:val="center"/>
                </w:tcPr>
                <w:p>
                  <w:pPr>
                    <w:adjustRightInd w:val="0"/>
                    <w:snapToGrid w:val="0"/>
                    <w:jc w:val="center"/>
                    <w:rPr>
                      <w:bCs/>
                      <w:szCs w:val="21"/>
                    </w:rPr>
                  </w:pPr>
                  <w:r>
                    <w:rPr>
                      <w:rFonts w:hint="eastAsia"/>
                      <w:bCs/>
                      <w:szCs w:val="21"/>
                    </w:rPr>
                    <w:t>1</w:t>
                  </w:r>
                </w:p>
              </w:tc>
              <w:tc>
                <w:tcPr>
                  <w:tcW w:w="736" w:type="pct"/>
                  <w:vAlign w:val="center"/>
                </w:tcPr>
                <w:p>
                  <w:pPr>
                    <w:adjustRightInd w:val="0"/>
                    <w:snapToGrid w:val="0"/>
                    <w:jc w:val="center"/>
                    <w:rPr>
                      <w:bCs/>
                      <w:szCs w:val="21"/>
                    </w:rPr>
                  </w:pPr>
                  <w:r>
                    <w:rPr>
                      <w:rFonts w:hint="eastAsia"/>
                      <w:bCs/>
                      <w:szCs w:val="21"/>
                    </w:rPr>
                    <w:t>8</w:t>
                  </w:r>
                  <w:r>
                    <w:rPr>
                      <w:bCs/>
                      <w:szCs w:val="21"/>
                    </w:rPr>
                    <w:t>0</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Align w:val="center"/>
                </w:tcPr>
                <w:p>
                  <w:pPr>
                    <w:adjustRightInd w:val="0"/>
                    <w:snapToGrid w:val="0"/>
                    <w:jc w:val="center"/>
                  </w:pPr>
                  <w:r>
                    <w:rPr>
                      <w:rFonts w:hint="eastAsia"/>
                    </w:rPr>
                    <w:t>上料系统</w:t>
                  </w:r>
                  <w:r>
                    <w:t>3</w:t>
                  </w:r>
                </w:p>
              </w:tc>
              <w:tc>
                <w:tcPr>
                  <w:tcW w:w="628" w:type="pct"/>
                  <w:vAlign w:val="center"/>
                </w:tcPr>
                <w:p>
                  <w:pPr>
                    <w:adjustRightInd w:val="0"/>
                    <w:snapToGrid w:val="0"/>
                    <w:jc w:val="center"/>
                    <w:rPr>
                      <w:bCs/>
                      <w:szCs w:val="21"/>
                    </w:rPr>
                  </w:pPr>
                  <w:r>
                    <w:rPr>
                      <w:rFonts w:hint="eastAsia"/>
                      <w:bCs/>
                      <w:szCs w:val="21"/>
                    </w:rPr>
                    <w:t>5</w:t>
                  </w:r>
                  <w:r>
                    <w:rPr>
                      <w:bCs/>
                      <w:szCs w:val="21"/>
                    </w:rPr>
                    <w:t>.93</w:t>
                  </w:r>
                </w:p>
              </w:tc>
              <w:tc>
                <w:tcPr>
                  <w:tcW w:w="744" w:type="pct"/>
                  <w:vAlign w:val="center"/>
                </w:tcPr>
                <w:p>
                  <w:pPr>
                    <w:adjustRightInd w:val="0"/>
                    <w:snapToGrid w:val="0"/>
                    <w:jc w:val="center"/>
                    <w:rPr>
                      <w:bCs/>
                      <w:szCs w:val="21"/>
                    </w:rPr>
                  </w:pPr>
                  <w:r>
                    <w:rPr>
                      <w:rFonts w:hint="eastAsia"/>
                      <w:bCs/>
                      <w:szCs w:val="21"/>
                    </w:rPr>
                    <w:t>-</w:t>
                  </w:r>
                  <w:r>
                    <w:rPr>
                      <w:bCs/>
                      <w:szCs w:val="21"/>
                    </w:rPr>
                    <w:t>25.09</w:t>
                  </w:r>
                </w:p>
              </w:tc>
              <w:tc>
                <w:tcPr>
                  <w:tcW w:w="695" w:type="pct"/>
                  <w:vAlign w:val="center"/>
                </w:tcPr>
                <w:p>
                  <w:pPr>
                    <w:adjustRightInd w:val="0"/>
                    <w:snapToGrid w:val="0"/>
                    <w:jc w:val="center"/>
                    <w:rPr>
                      <w:bCs/>
                      <w:szCs w:val="21"/>
                    </w:rPr>
                  </w:pPr>
                  <w:r>
                    <w:rPr>
                      <w:rFonts w:hint="eastAsia"/>
                      <w:bCs/>
                      <w:szCs w:val="21"/>
                    </w:rPr>
                    <w:t>1</w:t>
                  </w:r>
                </w:p>
              </w:tc>
              <w:tc>
                <w:tcPr>
                  <w:tcW w:w="736" w:type="pct"/>
                  <w:vAlign w:val="center"/>
                </w:tcPr>
                <w:p>
                  <w:pPr>
                    <w:adjustRightInd w:val="0"/>
                    <w:snapToGrid w:val="0"/>
                    <w:jc w:val="center"/>
                    <w:rPr>
                      <w:bCs/>
                      <w:szCs w:val="21"/>
                    </w:rPr>
                  </w:pPr>
                  <w:r>
                    <w:rPr>
                      <w:rFonts w:hint="eastAsia"/>
                      <w:bCs/>
                      <w:szCs w:val="21"/>
                    </w:rPr>
                    <w:t>8</w:t>
                  </w:r>
                  <w:r>
                    <w:rPr>
                      <w:bCs/>
                      <w:szCs w:val="21"/>
                    </w:rPr>
                    <w:t>0</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Align w:val="center"/>
                </w:tcPr>
                <w:p>
                  <w:pPr>
                    <w:adjustRightInd w:val="0"/>
                    <w:snapToGrid w:val="0"/>
                    <w:jc w:val="center"/>
                  </w:pPr>
                  <w:r>
                    <w:rPr>
                      <w:rFonts w:hint="eastAsia"/>
                    </w:rPr>
                    <w:t>注塑机1</w:t>
                  </w:r>
                </w:p>
              </w:tc>
              <w:tc>
                <w:tcPr>
                  <w:tcW w:w="628" w:type="pct"/>
                  <w:vAlign w:val="center"/>
                </w:tcPr>
                <w:p>
                  <w:pPr>
                    <w:adjustRightInd w:val="0"/>
                    <w:snapToGrid w:val="0"/>
                    <w:jc w:val="center"/>
                    <w:rPr>
                      <w:bCs/>
                      <w:szCs w:val="21"/>
                    </w:rPr>
                  </w:pPr>
                  <w:r>
                    <w:rPr>
                      <w:rFonts w:hint="eastAsia"/>
                      <w:bCs/>
                      <w:szCs w:val="21"/>
                    </w:rPr>
                    <w:t>-</w:t>
                  </w:r>
                  <w:r>
                    <w:rPr>
                      <w:bCs/>
                      <w:szCs w:val="21"/>
                    </w:rPr>
                    <w:t>0.09</w:t>
                  </w:r>
                </w:p>
              </w:tc>
              <w:tc>
                <w:tcPr>
                  <w:tcW w:w="744" w:type="pct"/>
                  <w:vAlign w:val="center"/>
                </w:tcPr>
                <w:p>
                  <w:pPr>
                    <w:adjustRightInd w:val="0"/>
                    <w:snapToGrid w:val="0"/>
                    <w:jc w:val="center"/>
                    <w:rPr>
                      <w:bCs/>
                      <w:szCs w:val="21"/>
                    </w:rPr>
                  </w:pPr>
                  <w:r>
                    <w:rPr>
                      <w:rFonts w:hint="eastAsia"/>
                      <w:bCs/>
                      <w:szCs w:val="21"/>
                    </w:rPr>
                    <w:t>6</w:t>
                  </w:r>
                  <w:r>
                    <w:rPr>
                      <w:bCs/>
                      <w:szCs w:val="21"/>
                    </w:rPr>
                    <w:t>.81</w:t>
                  </w:r>
                </w:p>
              </w:tc>
              <w:tc>
                <w:tcPr>
                  <w:tcW w:w="695" w:type="pct"/>
                  <w:vAlign w:val="center"/>
                </w:tcPr>
                <w:p>
                  <w:pPr>
                    <w:adjustRightInd w:val="0"/>
                    <w:snapToGrid w:val="0"/>
                    <w:jc w:val="center"/>
                    <w:rPr>
                      <w:bCs/>
                      <w:szCs w:val="21"/>
                    </w:rPr>
                  </w:pPr>
                  <w:r>
                    <w:rPr>
                      <w:rFonts w:hint="eastAsia"/>
                      <w:bCs/>
                      <w:szCs w:val="21"/>
                    </w:rPr>
                    <w:t>0</w:t>
                  </w:r>
                  <w:r>
                    <w:rPr>
                      <w:bCs/>
                      <w:szCs w:val="21"/>
                    </w:rPr>
                    <w:t>.8</w:t>
                  </w:r>
                </w:p>
              </w:tc>
              <w:tc>
                <w:tcPr>
                  <w:tcW w:w="736" w:type="pct"/>
                  <w:vAlign w:val="center"/>
                </w:tcPr>
                <w:p>
                  <w:pPr>
                    <w:adjustRightInd w:val="0"/>
                    <w:snapToGrid w:val="0"/>
                    <w:jc w:val="center"/>
                  </w:pPr>
                  <w:r>
                    <w:rPr>
                      <w:rFonts w:hint="eastAsia"/>
                    </w:rPr>
                    <w:t>7</w:t>
                  </w:r>
                  <w: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Align w:val="center"/>
                </w:tcPr>
                <w:p>
                  <w:pPr>
                    <w:adjustRightInd w:val="0"/>
                    <w:snapToGrid w:val="0"/>
                    <w:jc w:val="center"/>
                  </w:pPr>
                  <w:r>
                    <w:rPr>
                      <w:rFonts w:hint="eastAsia"/>
                    </w:rPr>
                    <w:t>注塑机2</w:t>
                  </w:r>
                </w:p>
              </w:tc>
              <w:tc>
                <w:tcPr>
                  <w:tcW w:w="628" w:type="pct"/>
                  <w:vAlign w:val="center"/>
                </w:tcPr>
                <w:p>
                  <w:pPr>
                    <w:adjustRightInd w:val="0"/>
                    <w:snapToGrid w:val="0"/>
                    <w:jc w:val="center"/>
                    <w:rPr>
                      <w:bCs/>
                      <w:szCs w:val="21"/>
                    </w:rPr>
                  </w:pPr>
                  <w:r>
                    <w:rPr>
                      <w:rFonts w:hint="eastAsia"/>
                      <w:bCs/>
                      <w:szCs w:val="21"/>
                    </w:rPr>
                    <w:t>4</w:t>
                  </w:r>
                  <w:r>
                    <w:rPr>
                      <w:bCs/>
                      <w:szCs w:val="21"/>
                    </w:rPr>
                    <w:t>.2</w:t>
                  </w:r>
                </w:p>
              </w:tc>
              <w:tc>
                <w:tcPr>
                  <w:tcW w:w="744" w:type="pct"/>
                  <w:vAlign w:val="center"/>
                </w:tcPr>
                <w:p>
                  <w:pPr>
                    <w:adjustRightInd w:val="0"/>
                    <w:snapToGrid w:val="0"/>
                    <w:jc w:val="center"/>
                    <w:rPr>
                      <w:bCs/>
                      <w:szCs w:val="21"/>
                    </w:rPr>
                  </w:pPr>
                  <w:r>
                    <w:rPr>
                      <w:rFonts w:hint="eastAsia"/>
                      <w:bCs/>
                      <w:szCs w:val="21"/>
                    </w:rPr>
                    <w:t>-</w:t>
                  </w:r>
                  <w:r>
                    <w:rPr>
                      <w:bCs/>
                      <w:szCs w:val="21"/>
                    </w:rPr>
                    <w:t>17.2</w:t>
                  </w:r>
                </w:p>
              </w:tc>
              <w:tc>
                <w:tcPr>
                  <w:tcW w:w="695" w:type="pct"/>
                  <w:vAlign w:val="center"/>
                </w:tcPr>
                <w:p>
                  <w:pPr>
                    <w:adjustRightInd w:val="0"/>
                    <w:snapToGrid w:val="0"/>
                    <w:jc w:val="center"/>
                    <w:rPr>
                      <w:bCs/>
                      <w:szCs w:val="21"/>
                    </w:rPr>
                  </w:pPr>
                  <w:r>
                    <w:rPr>
                      <w:rFonts w:hint="eastAsia"/>
                      <w:bCs/>
                      <w:szCs w:val="21"/>
                    </w:rPr>
                    <w:t>0</w:t>
                  </w:r>
                  <w:r>
                    <w:rPr>
                      <w:bCs/>
                      <w:szCs w:val="21"/>
                    </w:rPr>
                    <w:t>.8</w:t>
                  </w:r>
                </w:p>
              </w:tc>
              <w:tc>
                <w:tcPr>
                  <w:tcW w:w="736" w:type="pct"/>
                  <w:vAlign w:val="center"/>
                </w:tcPr>
                <w:p>
                  <w:pPr>
                    <w:adjustRightInd w:val="0"/>
                    <w:snapToGrid w:val="0"/>
                    <w:jc w:val="center"/>
                  </w:pPr>
                  <w:r>
                    <w:rPr>
                      <w:rFonts w:hint="eastAsia"/>
                    </w:rPr>
                    <w:t>7</w:t>
                  </w:r>
                  <w: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Align w:val="center"/>
                </w:tcPr>
                <w:p>
                  <w:pPr>
                    <w:adjustRightInd w:val="0"/>
                    <w:snapToGrid w:val="0"/>
                    <w:jc w:val="center"/>
                  </w:pPr>
                  <w:r>
                    <w:rPr>
                      <w:rFonts w:hint="eastAsia"/>
                    </w:rPr>
                    <w:t>注塑机3</w:t>
                  </w:r>
                </w:p>
              </w:tc>
              <w:tc>
                <w:tcPr>
                  <w:tcW w:w="628" w:type="pct"/>
                  <w:vAlign w:val="center"/>
                </w:tcPr>
                <w:p>
                  <w:pPr>
                    <w:adjustRightInd w:val="0"/>
                    <w:snapToGrid w:val="0"/>
                    <w:jc w:val="center"/>
                    <w:rPr>
                      <w:bCs/>
                      <w:szCs w:val="21"/>
                    </w:rPr>
                  </w:pPr>
                  <w:r>
                    <w:rPr>
                      <w:rFonts w:hint="eastAsia"/>
                      <w:bCs/>
                      <w:szCs w:val="21"/>
                    </w:rPr>
                    <w:t>8</w:t>
                  </w:r>
                  <w:r>
                    <w:rPr>
                      <w:bCs/>
                      <w:szCs w:val="21"/>
                    </w:rPr>
                    <w:t>.07</w:t>
                  </w:r>
                </w:p>
              </w:tc>
              <w:tc>
                <w:tcPr>
                  <w:tcW w:w="744" w:type="pct"/>
                  <w:vAlign w:val="center"/>
                </w:tcPr>
                <w:p>
                  <w:pPr>
                    <w:adjustRightInd w:val="0"/>
                    <w:snapToGrid w:val="0"/>
                    <w:jc w:val="center"/>
                    <w:rPr>
                      <w:bCs/>
                      <w:szCs w:val="21"/>
                    </w:rPr>
                  </w:pPr>
                  <w:r>
                    <w:rPr>
                      <w:rFonts w:hint="eastAsia"/>
                      <w:bCs/>
                      <w:szCs w:val="21"/>
                    </w:rPr>
                    <w:t>-</w:t>
                  </w:r>
                  <w:r>
                    <w:rPr>
                      <w:bCs/>
                      <w:szCs w:val="21"/>
                    </w:rPr>
                    <w:t>26.36</w:t>
                  </w:r>
                </w:p>
              </w:tc>
              <w:tc>
                <w:tcPr>
                  <w:tcW w:w="695" w:type="pct"/>
                  <w:vAlign w:val="center"/>
                </w:tcPr>
                <w:p>
                  <w:pPr>
                    <w:adjustRightInd w:val="0"/>
                    <w:snapToGrid w:val="0"/>
                    <w:jc w:val="center"/>
                    <w:rPr>
                      <w:bCs/>
                      <w:szCs w:val="21"/>
                    </w:rPr>
                  </w:pPr>
                  <w:r>
                    <w:rPr>
                      <w:rFonts w:hint="eastAsia"/>
                      <w:bCs/>
                      <w:szCs w:val="21"/>
                    </w:rPr>
                    <w:t>0</w:t>
                  </w:r>
                  <w:r>
                    <w:rPr>
                      <w:bCs/>
                      <w:szCs w:val="21"/>
                    </w:rPr>
                    <w:t>.8</w:t>
                  </w:r>
                </w:p>
              </w:tc>
              <w:tc>
                <w:tcPr>
                  <w:tcW w:w="736" w:type="pct"/>
                  <w:vAlign w:val="center"/>
                </w:tcPr>
                <w:p>
                  <w:pPr>
                    <w:adjustRightInd w:val="0"/>
                    <w:snapToGrid w:val="0"/>
                    <w:jc w:val="center"/>
                  </w:pPr>
                  <w:r>
                    <w:rPr>
                      <w:rFonts w:hint="eastAsia"/>
                    </w:rPr>
                    <w:t>7</w:t>
                  </w:r>
                  <w: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Align w:val="center"/>
                </w:tcPr>
                <w:p>
                  <w:pPr>
                    <w:adjustRightInd w:val="0"/>
                    <w:snapToGrid w:val="0"/>
                    <w:jc w:val="center"/>
                  </w:pPr>
                  <w:r>
                    <w:rPr>
                      <w:rFonts w:hint="eastAsia"/>
                    </w:rPr>
                    <w:t>烘干机1</w:t>
                  </w:r>
                </w:p>
              </w:tc>
              <w:tc>
                <w:tcPr>
                  <w:tcW w:w="628" w:type="pct"/>
                  <w:vAlign w:val="center"/>
                </w:tcPr>
                <w:p>
                  <w:pPr>
                    <w:adjustRightInd w:val="0"/>
                    <w:snapToGrid w:val="0"/>
                    <w:jc w:val="center"/>
                    <w:rPr>
                      <w:bCs/>
                      <w:szCs w:val="21"/>
                    </w:rPr>
                  </w:pPr>
                  <w:r>
                    <w:rPr>
                      <w:rFonts w:hint="eastAsia"/>
                      <w:bCs/>
                      <w:szCs w:val="21"/>
                    </w:rPr>
                    <w:t>-</w:t>
                  </w:r>
                  <w:r>
                    <w:rPr>
                      <w:bCs/>
                      <w:szCs w:val="21"/>
                    </w:rPr>
                    <w:t>5.36</w:t>
                  </w:r>
                </w:p>
              </w:tc>
              <w:tc>
                <w:tcPr>
                  <w:tcW w:w="744" w:type="pct"/>
                  <w:vAlign w:val="center"/>
                </w:tcPr>
                <w:p>
                  <w:pPr>
                    <w:adjustRightInd w:val="0"/>
                    <w:snapToGrid w:val="0"/>
                    <w:jc w:val="center"/>
                    <w:rPr>
                      <w:bCs/>
                      <w:szCs w:val="21"/>
                    </w:rPr>
                  </w:pPr>
                  <w:r>
                    <w:rPr>
                      <w:rFonts w:hint="eastAsia"/>
                      <w:bCs/>
                      <w:szCs w:val="21"/>
                    </w:rPr>
                    <w:t>-</w:t>
                  </w:r>
                  <w:r>
                    <w:rPr>
                      <w:bCs/>
                      <w:szCs w:val="21"/>
                    </w:rPr>
                    <w:t>9.39</w:t>
                  </w:r>
                </w:p>
              </w:tc>
              <w:tc>
                <w:tcPr>
                  <w:tcW w:w="695" w:type="pct"/>
                  <w:vAlign w:val="center"/>
                </w:tcPr>
                <w:p>
                  <w:pPr>
                    <w:adjustRightInd w:val="0"/>
                    <w:snapToGrid w:val="0"/>
                    <w:jc w:val="center"/>
                    <w:rPr>
                      <w:bCs/>
                      <w:szCs w:val="21"/>
                    </w:rPr>
                  </w:pPr>
                  <w:r>
                    <w:rPr>
                      <w:rFonts w:hint="eastAsia"/>
                      <w:bCs/>
                      <w:szCs w:val="21"/>
                    </w:rPr>
                    <w:t>1</w:t>
                  </w:r>
                </w:p>
              </w:tc>
              <w:tc>
                <w:tcPr>
                  <w:tcW w:w="736" w:type="pct"/>
                  <w:vAlign w:val="center"/>
                </w:tcPr>
                <w:p>
                  <w:pPr>
                    <w:adjustRightInd w:val="0"/>
                    <w:snapToGrid w:val="0"/>
                    <w:jc w:val="center"/>
                  </w:pPr>
                  <w:r>
                    <w:rPr>
                      <w:rFonts w:hint="eastAsia"/>
                    </w:rPr>
                    <w:t>8</w:t>
                  </w:r>
                  <w:r>
                    <w:t>0</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Align w:val="center"/>
                </w:tcPr>
                <w:p>
                  <w:pPr>
                    <w:adjustRightInd w:val="0"/>
                    <w:snapToGrid w:val="0"/>
                    <w:jc w:val="center"/>
                  </w:pPr>
                  <w:r>
                    <w:rPr>
                      <w:rFonts w:hint="eastAsia"/>
                    </w:rPr>
                    <w:t>烘干机2</w:t>
                  </w:r>
                </w:p>
              </w:tc>
              <w:tc>
                <w:tcPr>
                  <w:tcW w:w="628" w:type="pct"/>
                  <w:vAlign w:val="center"/>
                </w:tcPr>
                <w:p>
                  <w:pPr>
                    <w:adjustRightInd w:val="0"/>
                    <w:snapToGrid w:val="0"/>
                    <w:jc w:val="center"/>
                    <w:rPr>
                      <w:bCs/>
                      <w:szCs w:val="21"/>
                    </w:rPr>
                  </w:pPr>
                  <w:r>
                    <w:rPr>
                      <w:rFonts w:hint="eastAsia"/>
                      <w:bCs/>
                      <w:szCs w:val="21"/>
                    </w:rPr>
                    <w:t>-</w:t>
                  </w:r>
                  <w:r>
                    <w:rPr>
                      <w:bCs/>
                      <w:szCs w:val="21"/>
                    </w:rPr>
                    <w:t>1.59</w:t>
                  </w:r>
                </w:p>
              </w:tc>
              <w:tc>
                <w:tcPr>
                  <w:tcW w:w="744" w:type="pct"/>
                  <w:vAlign w:val="center"/>
                </w:tcPr>
                <w:p>
                  <w:pPr>
                    <w:adjustRightInd w:val="0"/>
                    <w:snapToGrid w:val="0"/>
                    <w:jc w:val="center"/>
                    <w:rPr>
                      <w:bCs/>
                      <w:szCs w:val="21"/>
                    </w:rPr>
                  </w:pPr>
                  <w:r>
                    <w:rPr>
                      <w:rFonts w:hint="eastAsia"/>
                      <w:bCs/>
                      <w:szCs w:val="21"/>
                    </w:rPr>
                    <w:t>-</w:t>
                  </w:r>
                  <w:r>
                    <w:rPr>
                      <w:bCs/>
                      <w:szCs w:val="21"/>
                    </w:rPr>
                    <w:t>18.16</w:t>
                  </w:r>
                </w:p>
              </w:tc>
              <w:tc>
                <w:tcPr>
                  <w:tcW w:w="695" w:type="pct"/>
                  <w:vAlign w:val="center"/>
                </w:tcPr>
                <w:p>
                  <w:pPr>
                    <w:adjustRightInd w:val="0"/>
                    <w:snapToGrid w:val="0"/>
                    <w:jc w:val="center"/>
                    <w:rPr>
                      <w:bCs/>
                      <w:szCs w:val="21"/>
                    </w:rPr>
                  </w:pPr>
                  <w:r>
                    <w:rPr>
                      <w:rFonts w:hint="eastAsia"/>
                      <w:bCs/>
                      <w:szCs w:val="21"/>
                    </w:rPr>
                    <w:t>1</w:t>
                  </w:r>
                </w:p>
              </w:tc>
              <w:tc>
                <w:tcPr>
                  <w:tcW w:w="736" w:type="pct"/>
                  <w:vAlign w:val="center"/>
                </w:tcPr>
                <w:p>
                  <w:pPr>
                    <w:adjustRightInd w:val="0"/>
                    <w:snapToGrid w:val="0"/>
                    <w:jc w:val="center"/>
                  </w:pPr>
                  <w:r>
                    <w:rPr>
                      <w:rFonts w:hint="eastAsia"/>
                    </w:rPr>
                    <w:t>8</w:t>
                  </w:r>
                  <w:r>
                    <w:t>0</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pct"/>
                  <w:vAlign w:val="center"/>
                </w:tcPr>
                <w:p>
                  <w:pPr>
                    <w:adjustRightInd w:val="0"/>
                    <w:snapToGrid w:val="0"/>
                    <w:jc w:val="center"/>
                  </w:pPr>
                  <w:r>
                    <w:rPr>
                      <w:rFonts w:hint="eastAsia"/>
                    </w:rPr>
                    <w:t>废料处理机及滤筒除尘器</w:t>
                  </w:r>
                </w:p>
              </w:tc>
              <w:tc>
                <w:tcPr>
                  <w:tcW w:w="628" w:type="pct"/>
                  <w:vAlign w:val="center"/>
                </w:tcPr>
                <w:p>
                  <w:pPr>
                    <w:adjustRightInd w:val="0"/>
                    <w:snapToGrid w:val="0"/>
                    <w:jc w:val="center"/>
                    <w:rPr>
                      <w:bCs/>
                      <w:szCs w:val="21"/>
                    </w:rPr>
                  </w:pPr>
                  <w:r>
                    <w:rPr>
                      <w:rFonts w:hint="eastAsia"/>
                      <w:bCs/>
                      <w:szCs w:val="21"/>
                    </w:rPr>
                    <w:t>-</w:t>
                  </w:r>
                  <w:r>
                    <w:rPr>
                      <w:bCs/>
                      <w:szCs w:val="21"/>
                    </w:rPr>
                    <w:t>5.61</w:t>
                  </w:r>
                </w:p>
              </w:tc>
              <w:tc>
                <w:tcPr>
                  <w:tcW w:w="744" w:type="pct"/>
                  <w:vAlign w:val="center"/>
                </w:tcPr>
                <w:p>
                  <w:pPr>
                    <w:adjustRightInd w:val="0"/>
                    <w:snapToGrid w:val="0"/>
                    <w:jc w:val="center"/>
                    <w:rPr>
                      <w:bCs/>
                      <w:szCs w:val="21"/>
                    </w:rPr>
                  </w:pPr>
                  <w:r>
                    <w:rPr>
                      <w:rFonts w:hint="eastAsia"/>
                      <w:bCs/>
                      <w:szCs w:val="21"/>
                    </w:rPr>
                    <w:t>-</w:t>
                  </w:r>
                  <w:r>
                    <w:rPr>
                      <w:bCs/>
                      <w:szCs w:val="21"/>
                    </w:rPr>
                    <w:t>9.34</w:t>
                  </w:r>
                </w:p>
              </w:tc>
              <w:tc>
                <w:tcPr>
                  <w:tcW w:w="695" w:type="pct"/>
                  <w:vAlign w:val="center"/>
                </w:tcPr>
                <w:p>
                  <w:pPr>
                    <w:adjustRightInd w:val="0"/>
                    <w:snapToGrid w:val="0"/>
                    <w:jc w:val="center"/>
                    <w:rPr>
                      <w:bCs/>
                      <w:szCs w:val="21"/>
                    </w:rPr>
                  </w:pPr>
                  <w:r>
                    <w:rPr>
                      <w:rFonts w:hint="eastAsia"/>
                      <w:bCs/>
                      <w:szCs w:val="21"/>
                    </w:rPr>
                    <w:t>1</w:t>
                  </w:r>
                </w:p>
              </w:tc>
              <w:tc>
                <w:tcPr>
                  <w:tcW w:w="736" w:type="pct"/>
                  <w:vAlign w:val="center"/>
                </w:tcPr>
                <w:p>
                  <w:pPr>
                    <w:adjustRightInd w:val="0"/>
                    <w:snapToGrid w:val="0"/>
                    <w:jc w:val="center"/>
                  </w:pPr>
                  <w:r>
                    <w:rPr>
                      <w:rFonts w:hint="eastAsia"/>
                    </w:rPr>
                    <w:t>8</w:t>
                  </w:r>
                  <w: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bl>
          <w:p>
            <w:pPr>
              <w:adjustRightInd w:val="0"/>
              <w:snapToGrid w:val="0"/>
              <w:ind w:firstLine="422" w:firstLineChars="200"/>
              <w:rPr>
                <w:b/>
                <w:szCs w:val="21"/>
              </w:rPr>
            </w:pPr>
            <w:r>
              <w:rPr>
                <w:rFonts w:hint="eastAsia"/>
                <w:b/>
                <w:szCs w:val="21"/>
              </w:rPr>
              <w:t>注：厂房东北角为坐标零点，东西方向为X，东为正方向，南北方向为Y，北为正方向。</w:t>
            </w:r>
          </w:p>
          <w:p>
            <w:pPr>
              <w:spacing w:line="400" w:lineRule="exact"/>
              <w:jc w:val="center"/>
              <w:rPr>
                <w:b/>
                <w:szCs w:val="21"/>
              </w:rPr>
            </w:pPr>
            <w:r>
              <w:rPr>
                <w:b/>
                <w:szCs w:val="21"/>
              </w:rPr>
              <w:t xml:space="preserve">表4-10   </w:t>
            </w:r>
            <w:r>
              <w:rPr>
                <w:rFonts w:hint="eastAsia"/>
                <w:b/>
                <w:szCs w:val="21"/>
              </w:rPr>
              <w:t>室外声源情况</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5"/>
              <w:gridCol w:w="1182"/>
              <w:gridCol w:w="1181"/>
              <w:gridCol w:w="1103"/>
              <w:gridCol w:w="1168"/>
              <w:gridCol w:w="1102"/>
              <w:gridCol w:w="1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Merge w:val="restart"/>
                  <w:vAlign w:val="center"/>
                </w:tcPr>
                <w:p>
                  <w:pPr>
                    <w:adjustRightInd w:val="0"/>
                    <w:snapToGrid w:val="0"/>
                    <w:jc w:val="center"/>
                    <w:rPr>
                      <w:bCs/>
                      <w:szCs w:val="21"/>
                    </w:rPr>
                  </w:pPr>
                  <w:r>
                    <w:rPr>
                      <w:rFonts w:hint="eastAsia"/>
                      <w:bCs/>
                      <w:szCs w:val="21"/>
                    </w:rPr>
                    <w:t>声源名称</w:t>
                  </w:r>
                </w:p>
              </w:tc>
              <w:tc>
                <w:tcPr>
                  <w:tcW w:w="2184" w:type="pct"/>
                  <w:gridSpan w:val="3"/>
                  <w:vAlign w:val="center"/>
                </w:tcPr>
                <w:p>
                  <w:pPr>
                    <w:adjustRightInd w:val="0"/>
                    <w:snapToGrid w:val="0"/>
                    <w:jc w:val="center"/>
                    <w:rPr>
                      <w:bCs/>
                      <w:szCs w:val="21"/>
                    </w:rPr>
                  </w:pPr>
                  <w:r>
                    <w:rPr>
                      <w:rFonts w:hint="eastAsia"/>
                      <w:bCs/>
                      <w:szCs w:val="21"/>
                    </w:rPr>
                    <w:t>空间相对位置/m</w:t>
                  </w:r>
                </w:p>
              </w:tc>
              <w:tc>
                <w:tcPr>
                  <w:tcW w:w="736" w:type="pct"/>
                  <w:vMerge w:val="restart"/>
                  <w:vAlign w:val="center"/>
                </w:tcPr>
                <w:p>
                  <w:pPr>
                    <w:adjustRightInd w:val="0"/>
                    <w:snapToGrid w:val="0"/>
                    <w:jc w:val="center"/>
                    <w:rPr>
                      <w:bCs/>
                      <w:szCs w:val="21"/>
                    </w:rPr>
                  </w:pPr>
                  <w:r>
                    <w:rPr>
                      <w:rFonts w:hint="eastAsia"/>
                      <w:bCs/>
                      <w:szCs w:val="21"/>
                    </w:rPr>
                    <w:t>声功率级 /dB(A</w:t>
                  </w:r>
                </w:p>
              </w:tc>
              <w:tc>
                <w:tcPr>
                  <w:tcW w:w="694" w:type="pct"/>
                  <w:vMerge w:val="restart"/>
                  <w:vAlign w:val="center"/>
                </w:tcPr>
                <w:p>
                  <w:pPr>
                    <w:adjustRightInd w:val="0"/>
                    <w:snapToGrid w:val="0"/>
                    <w:jc w:val="center"/>
                    <w:rPr>
                      <w:bCs/>
                      <w:szCs w:val="21"/>
                    </w:rPr>
                  </w:pPr>
                  <w:r>
                    <w:rPr>
                      <w:rFonts w:hint="eastAsia"/>
                      <w:bCs/>
                      <w:szCs w:val="21"/>
                    </w:rPr>
                    <w:t>声源控制措施</w:t>
                  </w:r>
                </w:p>
              </w:tc>
              <w:tc>
                <w:tcPr>
                  <w:tcW w:w="690" w:type="pct"/>
                  <w:vMerge w:val="restart"/>
                  <w:vAlign w:val="center"/>
                </w:tcPr>
                <w:p>
                  <w:pPr>
                    <w:adjustRightInd w:val="0"/>
                    <w:snapToGrid w:val="0"/>
                    <w:jc w:val="center"/>
                    <w:rPr>
                      <w:bCs/>
                      <w:szCs w:val="21"/>
                    </w:rPr>
                  </w:pPr>
                  <w:r>
                    <w:rPr>
                      <w:rFonts w:hint="eastAsia"/>
                      <w:bCs/>
                      <w:szCs w:val="21"/>
                    </w:rPr>
                    <w:t>运行时段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Merge w:val="continue"/>
                  <w:vAlign w:val="center"/>
                </w:tcPr>
                <w:p>
                  <w:pPr>
                    <w:adjustRightInd w:val="0"/>
                    <w:snapToGrid w:val="0"/>
                    <w:jc w:val="center"/>
                    <w:rPr>
                      <w:bCs/>
                      <w:szCs w:val="21"/>
                    </w:rPr>
                  </w:pPr>
                </w:p>
              </w:tc>
              <w:tc>
                <w:tcPr>
                  <w:tcW w:w="745" w:type="pct"/>
                  <w:vAlign w:val="center"/>
                </w:tcPr>
                <w:p>
                  <w:pPr>
                    <w:adjustRightInd w:val="0"/>
                    <w:snapToGrid w:val="0"/>
                    <w:jc w:val="center"/>
                    <w:rPr>
                      <w:bCs/>
                      <w:szCs w:val="21"/>
                    </w:rPr>
                  </w:pPr>
                  <w:r>
                    <w:rPr>
                      <w:rFonts w:hint="eastAsia"/>
                      <w:bCs/>
                      <w:szCs w:val="21"/>
                    </w:rPr>
                    <w:t>X</w:t>
                  </w:r>
                </w:p>
              </w:tc>
              <w:tc>
                <w:tcPr>
                  <w:tcW w:w="744" w:type="pct"/>
                  <w:vAlign w:val="center"/>
                </w:tcPr>
                <w:p>
                  <w:pPr>
                    <w:adjustRightInd w:val="0"/>
                    <w:snapToGrid w:val="0"/>
                    <w:jc w:val="center"/>
                    <w:rPr>
                      <w:bCs/>
                      <w:szCs w:val="21"/>
                    </w:rPr>
                  </w:pPr>
                  <w:r>
                    <w:rPr>
                      <w:rFonts w:hint="eastAsia"/>
                      <w:bCs/>
                      <w:szCs w:val="21"/>
                    </w:rPr>
                    <w:t>Y</w:t>
                  </w:r>
                </w:p>
              </w:tc>
              <w:tc>
                <w:tcPr>
                  <w:tcW w:w="695" w:type="pct"/>
                  <w:vAlign w:val="center"/>
                </w:tcPr>
                <w:p>
                  <w:pPr>
                    <w:adjustRightInd w:val="0"/>
                    <w:snapToGrid w:val="0"/>
                    <w:jc w:val="center"/>
                    <w:rPr>
                      <w:bCs/>
                      <w:szCs w:val="21"/>
                    </w:rPr>
                  </w:pPr>
                  <w:r>
                    <w:rPr>
                      <w:rFonts w:hint="eastAsia"/>
                      <w:bCs/>
                      <w:szCs w:val="21"/>
                    </w:rPr>
                    <w:t>Z</w:t>
                  </w:r>
                </w:p>
              </w:tc>
              <w:tc>
                <w:tcPr>
                  <w:tcW w:w="736" w:type="pct"/>
                  <w:vMerge w:val="continue"/>
                  <w:vAlign w:val="center"/>
                </w:tcPr>
                <w:p>
                  <w:pPr>
                    <w:adjustRightInd w:val="0"/>
                    <w:snapToGrid w:val="0"/>
                    <w:jc w:val="center"/>
                    <w:rPr>
                      <w:bCs/>
                      <w:szCs w:val="21"/>
                    </w:rPr>
                  </w:pP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96" w:type="pct"/>
                  <w:vAlign w:val="center"/>
                </w:tcPr>
                <w:p>
                  <w:pPr>
                    <w:adjustRightInd w:val="0"/>
                    <w:snapToGrid w:val="0"/>
                    <w:jc w:val="center"/>
                    <w:rPr>
                      <w:bCs/>
                      <w:szCs w:val="21"/>
                    </w:rPr>
                  </w:pPr>
                  <w:r>
                    <w:rPr>
                      <w:rFonts w:hint="eastAsia"/>
                    </w:rPr>
                    <w:t>冷却塔</w:t>
                  </w:r>
                </w:p>
              </w:tc>
              <w:tc>
                <w:tcPr>
                  <w:tcW w:w="745" w:type="pct"/>
                  <w:vAlign w:val="center"/>
                </w:tcPr>
                <w:p>
                  <w:pPr>
                    <w:adjustRightInd w:val="0"/>
                    <w:snapToGrid w:val="0"/>
                    <w:jc w:val="center"/>
                    <w:rPr>
                      <w:bCs/>
                      <w:szCs w:val="21"/>
                    </w:rPr>
                  </w:pPr>
                  <w:r>
                    <w:rPr>
                      <w:rFonts w:hint="eastAsia"/>
                      <w:bCs/>
                      <w:szCs w:val="21"/>
                    </w:rPr>
                    <w:t>-</w:t>
                  </w:r>
                  <w:r>
                    <w:rPr>
                      <w:bCs/>
                      <w:szCs w:val="21"/>
                    </w:rPr>
                    <w:t>7.39</w:t>
                  </w:r>
                </w:p>
              </w:tc>
              <w:tc>
                <w:tcPr>
                  <w:tcW w:w="744" w:type="pct"/>
                  <w:vAlign w:val="center"/>
                </w:tcPr>
                <w:p>
                  <w:pPr>
                    <w:adjustRightInd w:val="0"/>
                    <w:snapToGrid w:val="0"/>
                    <w:jc w:val="center"/>
                    <w:rPr>
                      <w:bCs/>
                      <w:szCs w:val="21"/>
                    </w:rPr>
                  </w:pPr>
                  <w:r>
                    <w:rPr>
                      <w:rFonts w:hint="eastAsia"/>
                      <w:bCs/>
                      <w:szCs w:val="21"/>
                    </w:rPr>
                    <w:t>-</w:t>
                  </w:r>
                  <w:r>
                    <w:rPr>
                      <w:bCs/>
                      <w:szCs w:val="21"/>
                    </w:rPr>
                    <w:t>23.23</w:t>
                  </w:r>
                </w:p>
              </w:tc>
              <w:tc>
                <w:tcPr>
                  <w:tcW w:w="695" w:type="pct"/>
                  <w:vAlign w:val="center"/>
                </w:tcPr>
                <w:p>
                  <w:pPr>
                    <w:adjustRightInd w:val="0"/>
                    <w:snapToGrid w:val="0"/>
                    <w:jc w:val="center"/>
                    <w:rPr>
                      <w:bCs/>
                      <w:szCs w:val="21"/>
                    </w:rPr>
                  </w:pPr>
                  <w:r>
                    <w:rPr>
                      <w:rFonts w:hint="eastAsia"/>
                      <w:bCs/>
                      <w:szCs w:val="21"/>
                    </w:rPr>
                    <w:t>1</w:t>
                  </w:r>
                </w:p>
              </w:tc>
              <w:tc>
                <w:tcPr>
                  <w:tcW w:w="736" w:type="pct"/>
                  <w:vAlign w:val="center"/>
                </w:tcPr>
                <w:p>
                  <w:pPr>
                    <w:adjustRightInd w:val="0"/>
                    <w:snapToGrid w:val="0"/>
                    <w:jc w:val="center"/>
                    <w:rPr>
                      <w:bCs/>
                      <w:szCs w:val="21"/>
                    </w:rPr>
                  </w:pPr>
                  <w:r>
                    <w:rPr>
                      <w:bCs/>
                      <w:szCs w:val="21"/>
                    </w:rPr>
                    <w:t>85</w:t>
                  </w:r>
                </w:p>
              </w:tc>
              <w:tc>
                <w:tcPr>
                  <w:tcW w:w="694" w:type="pct"/>
                  <w:vMerge w:val="restart"/>
                  <w:vAlign w:val="center"/>
                </w:tcPr>
                <w:p>
                  <w:pPr>
                    <w:adjustRightInd w:val="0"/>
                    <w:snapToGrid w:val="0"/>
                    <w:jc w:val="center"/>
                    <w:rPr>
                      <w:bCs/>
                      <w:szCs w:val="21"/>
                    </w:rPr>
                  </w:pPr>
                  <w:r>
                    <w:rPr>
                      <w:rFonts w:hint="eastAsia"/>
                      <w:bCs/>
                      <w:szCs w:val="21"/>
                    </w:rPr>
                    <w:t>隔声、减振</w:t>
                  </w:r>
                </w:p>
              </w:tc>
              <w:tc>
                <w:tcPr>
                  <w:tcW w:w="690" w:type="pct"/>
                  <w:vAlign w:val="center"/>
                </w:tcPr>
                <w:p>
                  <w:pPr>
                    <w:adjustRightInd w:val="0"/>
                    <w:snapToGrid w:val="0"/>
                    <w:jc w:val="center"/>
                    <w:rPr>
                      <w:bCs/>
                      <w:szCs w:val="21"/>
                    </w:rPr>
                  </w:pPr>
                  <w:r>
                    <w:rPr>
                      <w:rFonts w:hint="eastAsia"/>
                      <w:bCs/>
                      <w:szCs w:val="21"/>
                    </w:rPr>
                    <w:t>昼夜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Align w:val="center"/>
                </w:tcPr>
                <w:p>
                  <w:pPr>
                    <w:adjustRightInd w:val="0"/>
                    <w:snapToGrid w:val="0"/>
                    <w:jc w:val="center"/>
                    <w:rPr>
                      <w:bCs/>
                      <w:szCs w:val="21"/>
                    </w:rPr>
                  </w:pPr>
                  <w:r>
                    <w:rPr>
                      <w:rFonts w:hint="eastAsia"/>
                    </w:rPr>
                    <w:t>废气处理装置</w:t>
                  </w:r>
                </w:p>
              </w:tc>
              <w:tc>
                <w:tcPr>
                  <w:tcW w:w="745" w:type="pct"/>
                  <w:vAlign w:val="center"/>
                </w:tcPr>
                <w:p>
                  <w:pPr>
                    <w:adjustRightInd w:val="0"/>
                    <w:snapToGrid w:val="0"/>
                    <w:jc w:val="center"/>
                    <w:rPr>
                      <w:bCs/>
                      <w:szCs w:val="21"/>
                    </w:rPr>
                  </w:pPr>
                  <w:r>
                    <w:rPr>
                      <w:rFonts w:hint="eastAsia"/>
                      <w:bCs/>
                      <w:szCs w:val="21"/>
                    </w:rPr>
                    <w:t>-</w:t>
                  </w:r>
                  <w:r>
                    <w:rPr>
                      <w:bCs/>
                      <w:szCs w:val="21"/>
                    </w:rPr>
                    <w:t>6</w:t>
                  </w:r>
                </w:p>
              </w:tc>
              <w:tc>
                <w:tcPr>
                  <w:tcW w:w="744" w:type="pct"/>
                  <w:vAlign w:val="center"/>
                </w:tcPr>
                <w:p>
                  <w:pPr>
                    <w:adjustRightInd w:val="0"/>
                    <w:snapToGrid w:val="0"/>
                    <w:jc w:val="center"/>
                    <w:rPr>
                      <w:bCs/>
                      <w:szCs w:val="21"/>
                    </w:rPr>
                  </w:pPr>
                  <w:r>
                    <w:rPr>
                      <w:rFonts w:hint="eastAsia"/>
                      <w:bCs/>
                      <w:szCs w:val="21"/>
                    </w:rPr>
                    <w:t>-</w:t>
                  </w:r>
                  <w:r>
                    <w:rPr>
                      <w:bCs/>
                      <w:szCs w:val="21"/>
                    </w:rPr>
                    <w:t>26.54</w:t>
                  </w:r>
                </w:p>
              </w:tc>
              <w:tc>
                <w:tcPr>
                  <w:tcW w:w="695" w:type="pct"/>
                  <w:vAlign w:val="center"/>
                </w:tcPr>
                <w:p>
                  <w:pPr>
                    <w:adjustRightInd w:val="0"/>
                    <w:snapToGrid w:val="0"/>
                    <w:jc w:val="center"/>
                    <w:rPr>
                      <w:bCs/>
                      <w:szCs w:val="21"/>
                    </w:rPr>
                  </w:pPr>
                  <w:r>
                    <w:rPr>
                      <w:rFonts w:hint="eastAsia"/>
                      <w:bCs/>
                      <w:szCs w:val="21"/>
                    </w:rPr>
                    <w:t>0</w:t>
                  </w:r>
                  <w:r>
                    <w:rPr>
                      <w:bCs/>
                      <w:szCs w:val="21"/>
                    </w:rPr>
                    <w:t>.5</w:t>
                  </w:r>
                </w:p>
              </w:tc>
              <w:tc>
                <w:tcPr>
                  <w:tcW w:w="736" w:type="pct"/>
                  <w:vAlign w:val="center"/>
                </w:tcPr>
                <w:p>
                  <w:pPr>
                    <w:adjustRightInd w:val="0"/>
                    <w:snapToGrid w:val="0"/>
                    <w:jc w:val="center"/>
                    <w:rPr>
                      <w:bCs/>
                      <w:szCs w:val="21"/>
                    </w:rPr>
                  </w:pPr>
                  <w:r>
                    <w:rPr>
                      <w:rFonts w:hint="eastAsia"/>
                      <w:bCs/>
                      <w:szCs w:val="21"/>
                    </w:rPr>
                    <w:t>8</w:t>
                  </w:r>
                  <w:r>
                    <w:rPr>
                      <w:bCs/>
                      <w:szCs w:val="21"/>
                    </w:rPr>
                    <w:t>5</w:t>
                  </w:r>
                </w:p>
              </w:tc>
              <w:tc>
                <w:tcPr>
                  <w:tcW w:w="694" w:type="pct"/>
                  <w:vMerge w:val="continue"/>
                  <w:vAlign w:val="center"/>
                </w:tcPr>
                <w:p>
                  <w:pPr>
                    <w:adjustRightInd w:val="0"/>
                    <w:snapToGrid w:val="0"/>
                    <w:jc w:val="center"/>
                    <w:rPr>
                      <w:bCs/>
                      <w:szCs w:val="21"/>
                    </w:rPr>
                  </w:pPr>
                </w:p>
              </w:tc>
              <w:tc>
                <w:tcPr>
                  <w:tcW w:w="690" w:type="pct"/>
                  <w:vAlign w:val="center"/>
                </w:tcPr>
                <w:p>
                  <w:pPr>
                    <w:adjustRightInd w:val="0"/>
                    <w:snapToGrid w:val="0"/>
                    <w:jc w:val="center"/>
                    <w:rPr>
                      <w:bCs/>
                      <w:szCs w:val="21"/>
                    </w:rPr>
                  </w:pPr>
                  <w:r>
                    <w:rPr>
                      <w:rFonts w:hint="eastAsia"/>
                      <w:bCs/>
                      <w:szCs w:val="21"/>
                    </w:rPr>
                    <w:t>昼夜</w:t>
                  </w:r>
                </w:p>
              </w:tc>
            </w:tr>
          </w:tbl>
          <w:p>
            <w:pPr>
              <w:adjustRightInd w:val="0"/>
              <w:snapToGrid w:val="0"/>
              <w:ind w:firstLine="422" w:firstLineChars="200"/>
              <w:rPr>
                <w:b/>
                <w:szCs w:val="21"/>
              </w:rPr>
            </w:pPr>
            <w:r>
              <w:rPr>
                <w:rFonts w:hint="eastAsia"/>
                <w:b/>
                <w:szCs w:val="21"/>
              </w:rPr>
              <w:t>注：厂房东北角为坐标零点，东西方向为X，东为正方向，南北方向为Y，北为正方向。</w:t>
            </w:r>
          </w:p>
          <w:p>
            <w:pPr>
              <w:adjustRightInd w:val="0"/>
              <w:snapToGrid w:val="0"/>
              <w:spacing w:line="400" w:lineRule="exact"/>
              <w:ind w:firstLine="420" w:firstLineChars="200"/>
              <w:rPr>
                <w:bCs/>
                <w:szCs w:val="21"/>
              </w:rPr>
            </w:pPr>
            <w:r>
              <w:rPr>
                <w:rFonts w:hint="eastAsia"/>
                <w:bCs/>
                <w:szCs w:val="21"/>
              </w:rPr>
              <w:t>采用环安噪声环境影响评价系统，进行预测后，厂界噪声贡献值、预测值及达标分析，如下：</w:t>
            </w:r>
          </w:p>
          <w:p>
            <w:pPr>
              <w:spacing w:line="400" w:lineRule="exact"/>
              <w:jc w:val="center"/>
              <w:rPr>
                <w:b/>
                <w:szCs w:val="21"/>
              </w:rPr>
            </w:pPr>
            <w:r>
              <w:rPr>
                <w:b/>
                <w:szCs w:val="21"/>
              </w:rPr>
              <w:t xml:space="preserve">表4-11    </w:t>
            </w:r>
            <w:r>
              <w:rPr>
                <w:rFonts w:hint="eastAsia"/>
                <w:b/>
                <w:szCs w:val="21"/>
              </w:rPr>
              <w:t xml:space="preserve">厂界预测结果及达标分析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4"/>
              <w:gridCol w:w="1984"/>
              <w:gridCol w:w="1984"/>
              <w:gridCol w:w="1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0" w:type="pct"/>
                  <w:vAlign w:val="center"/>
                </w:tcPr>
                <w:p>
                  <w:pPr>
                    <w:adjustRightInd w:val="0"/>
                    <w:snapToGrid w:val="0"/>
                    <w:jc w:val="center"/>
                    <w:rPr>
                      <w:szCs w:val="21"/>
                    </w:rPr>
                  </w:pPr>
                  <w:r>
                    <w:rPr>
                      <w:rFonts w:hint="eastAsia"/>
                      <w:szCs w:val="21"/>
                    </w:rPr>
                    <w:t>位置</w:t>
                  </w:r>
                </w:p>
              </w:tc>
              <w:tc>
                <w:tcPr>
                  <w:tcW w:w="1250" w:type="pct"/>
                  <w:vAlign w:val="center"/>
                </w:tcPr>
                <w:p>
                  <w:pPr>
                    <w:adjustRightInd w:val="0"/>
                    <w:snapToGrid w:val="0"/>
                    <w:jc w:val="center"/>
                    <w:rPr>
                      <w:szCs w:val="21"/>
                    </w:rPr>
                  </w:pPr>
                  <w:r>
                    <w:rPr>
                      <w:rFonts w:hint="eastAsia"/>
                      <w:szCs w:val="21"/>
                    </w:rPr>
                    <w:t>贡献值/dB</w:t>
                  </w:r>
                  <w:r>
                    <w:rPr>
                      <w:bCs/>
                      <w:szCs w:val="21"/>
                    </w:rPr>
                    <w:t>(A)</w:t>
                  </w:r>
                </w:p>
              </w:tc>
              <w:tc>
                <w:tcPr>
                  <w:tcW w:w="1250" w:type="pct"/>
                  <w:vAlign w:val="center"/>
                </w:tcPr>
                <w:p>
                  <w:pPr>
                    <w:adjustRightInd w:val="0"/>
                    <w:snapToGrid w:val="0"/>
                    <w:jc w:val="center"/>
                    <w:rPr>
                      <w:szCs w:val="21"/>
                    </w:rPr>
                  </w:pPr>
                  <w:r>
                    <w:rPr>
                      <w:rFonts w:hint="eastAsia"/>
                      <w:szCs w:val="21"/>
                    </w:rPr>
                    <w:t>标准值（昼间）/dB</w:t>
                  </w:r>
                  <w:r>
                    <w:rPr>
                      <w:bCs/>
                      <w:szCs w:val="21"/>
                    </w:rPr>
                    <w:t>(A)</w:t>
                  </w:r>
                </w:p>
              </w:tc>
              <w:tc>
                <w:tcPr>
                  <w:tcW w:w="1250" w:type="pct"/>
                  <w:vAlign w:val="center"/>
                </w:tcPr>
                <w:p>
                  <w:pPr>
                    <w:adjustRightInd w:val="0"/>
                    <w:snapToGrid w:val="0"/>
                    <w:jc w:val="center"/>
                    <w:rPr>
                      <w:szCs w:val="21"/>
                    </w:rPr>
                  </w:pPr>
                  <w:r>
                    <w:rPr>
                      <w:rFonts w:hint="eastAsia"/>
                      <w:szCs w:val="21"/>
                    </w:rPr>
                    <w:t>达标判定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0" w:type="pct"/>
                  <w:vAlign w:val="center"/>
                </w:tcPr>
                <w:p>
                  <w:pPr>
                    <w:adjustRightInd w:val="0"/>
                    <w:snapToGrid w:val="0"/>
                    <w:jc w:val="center"/>
                    <w:rPr>
                      <w:szCs w:val="21"/>
                    </w:rPr>
                  </w:pPr>
                  <w:r>
                    <w:rPr>
                      <w:rFonts w:hint="eastAsia"/>
                      <w:szCs w:val="21"/>
                    </w:rPr>
                    <w:t>东北厂界</w:t>
                  </w:r>
                </w:p>
              </w:tc>
              <w:tc>
                <w:tcPr>
                  <w:tcW w:w="1250" w:type="pct"/>
                  <w:vAlign w:val="center"/>
                </w:tcPr>
                <w:p>
                  <w:pPr>
                    <w:adjustRightInd w:val="0"/>
                    <w:snapToGrid w:val="0"/>
                    <w:jc w:val="center"/>
                    <w:rPr>
                      <w:szCs w:val="21"/>
                    </w:rPr>
                  </w:pPr>
                  <w:r>
                    <w:rPr>
                      <w:szCs w:val="21"/>
                    </w:rPr>
                    <w:t>59.3</w:t>
                  </w:r>
                </w:p>
              </w:tc>
              <w:tc>
                <w:tcPr>
                  <w:tcW w:w="1250" w:type="pct"/>
                  <w:vAlign w:val="center"/>
                </w:tcPr>
                <w:p>
                  <w:pPr>
                    <w:adjustRightInd w:val="0"/>
                    <w:snapToGrid w:val="0"/>
                    <w:jc w:val="center"/>
                    <w:rPr>
                      <w:szCs w:val="21"/>
                    </w:rPr>
                  </w:pPr>
                  <w:r>
                    <w:rPr>
                      <w:szCs w:val="21"/>
                    </w:rPr>
                    <w:t>65</w:t>
                  </w:r>
                </w:p>
              </w:tc>
              <w:tc>
                <w:tcPr>
                  <w:tcW w:w="1250" w:type="pct"/>
                  <w:vAlign w:val="center"/>
                </w:tcPr>
                <w:p>
                  <w:pPr>
                    <w:adjustRightInd w:val="0"/>
                    <w:snapToGrid w:val="0"/>
                    <w:jc w:val="center"/>
                    <w:rPr>
                      <w:szCs w:val="21"/>
                    </w:rPr>
                  </w:pPr>
                  <w:r>
                    <w:rPr>
                      <w:rFonts w:hint="eastAsia"/>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0" w:type="pct"/>
                  <w:vAlign w:val="center"/>
                </w:tcPr>
                <w:p>
                  <w:pPr>
                    <w:adjustRightInd w:val="0"/>
                    <w:snapToGrid w:val="0"/>
                    <w:jc w:val="center"/>
                    <w:rPr>
                      <w:szCs w:val="21"/>
                    </w:rPr>
                  </w:pPr>
                  <w:r>
                    <w:rPr>
                      <w:rFonts w:hint="eastAsia"/>
                      <w:szCs w:val="21"/>
                    </w:rPr>
                    <w:t>东南厂界</w:t>
                  </w:r>
                </w:p>
              </w:tc>
              <w:tc>
                <w:tcPr>
                  <w:tcW w:w="1250" w:type="pct"/>
                  <w:vAlign w:val="center"/>
                </w:tcPr>
                <w:p>
                  <w:pPr>
                    <w:adjustRightInd w:val="0"/>
                    <w:snapToGrid w:val="0"/>
                    <w:jc w:val="center"/>
                    <w:rPr>
                      <w:szCs w:val="21"/>
                    </w:rPr>
                  </w:pPr>
                  <w:r>
                    <w:rPr>
                      <w:rFonts w:hint="eastAsia"/>
                      <w:szCs w:val="21"/>
                    </w:rPr>
                    <w:t>3</w:t>
                  </w:r>
                  <w:r>
                    <w:rPr>
                      <w:szCs w:val="21"/>
                    </w:rPr>
                    <w:t>4.8</w:t>
                  </w:r>
                </w:p>
              </w:tc>
              <w:tc>
                <w:tcPr>
                  <w:tcW w:w="1250" w:type="pct"/>
                </w:tcPr>
                <w:p>
                  <w:pPr>
                    <w:adjustRightInd w:val="0"/>
                    <w:snapToGrid w:val="0"/>
                    <w:jc w:val="center"/>
                    <w:rPr>
                      <w:szCs w:val="21"/>
                    </w:rPr>
                  </w:pPr>
                  <w:r>
                    <w:rPr>
                      <w:szCs w:val="21"/>
                    </w:rPr>
                    <w:t>65</w:t>
                  </w:r>
                </w:p>
              </w:tc>
              <w:tc>
                <w:tcPr>
                  <w:tcW w:w="1250" w:type="pct"/>
                  <w:vAlign w:val="center"/>
                </w:tcPr>
                <w:p>
                  <w:pPr>
                    <w:adjustRightInd w:val="0"/>
                    <w:snapToGrid w:val="0"/>
                    <w:jc w:val="center"/>
                    <w:rPr>
                      <w:szCs w:val="21"/>
                    </w:rPr>
                  </w:pPr>
                  <w:r>
                    <w:rPr>
                      <w:rFonts w:hint="eastAsia"/>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0" w:type="pct"/>
                  <w:vAlign w:val="center"/>
                </w:tcPr>
                <w:p>
                  <w:pPr>
                    <w:adjustRightInd w:val="0"/>
                    <w:snapToGrid w:val="0"/>
                    <w:jc w:val="center"/>
                    <w:rPr>
                      <w:szCs w:val="21"/>
                    </w:rPr>
                  </w:pPr>
                  <w:r>
                    <w:rPr>
                      <w:rFonts w:hint="eastAsia"/>
                      <w:szCs w:val="21"/>
                    </w:rPr>
                    <w:t>西南厂界</w:t>
                  </w:r>
                </w:p>
              </w:tc>
              <w:tc>
                <w:tcPr>
                  <w:tcW w:w="1250" w:type="pct"/>
                  <w:vAlign w:val="center"/>
                </w:tcPr>
                <w:p>
                  <w:pPr>
                    <w:adjustRightInd w:val="0"/>
                    <w:snapToGrid w:val="0"/>
                    <w:jc w:val="center"/>
                    <w:rPr>
                      <w:szCs w:val="21"/>
                    </w:rPr>
                  </w:pPr>
                  <w:r>
                    <w:rPr>
                      <w:rFonts w:hint="eastAsia"/>
                      <w:szCs w:val="21"/>
                    </w:rPr>
                    <w:t>3</w:t>
                  </w:r>
                  <w:r>
                    <w:rPr>
                      <w:szCs w:val="21"/>
                    </w:rPr>
                    <w:t>8.2</w:t>
                  </w:r>
                </w:p>
              </w:tc>
              <w:tc>
                <w:tcPr>
                  <w:tcW w:w="1250" w:type="pct"/>
                </w:tcPr>
                <w:p>
                  <w:pPr>
                    <w:adjustRightInd w:val="0"/>
                    <w:snapToGrid w:val="0"/>
                    <w:jc w:val="center"/>
                    <w:rPr>
                      <w:szCs w:val="21"/>
                    </w:rPr>
                  </w:pPr>
                  <w:r>
                    <w:rPr>
                      <w:szCs w:val="21"/>
                    </w:rPr>
                    <w:t>65</w:t>
                  </w:r>
                </w:p>
              </w:tc>
              <w:tc>
                <w:tcPr>
                  <w:tcW w:w="1250" w:type="pct"/>
                  <w:vAlign w:val="center"/>
                </w:tcPr>
                <w:p>
                  <w:pPr>
                    <w:adjustRightInd w:val="0"/>
                    <w:snapToGrid w:val="0"/>
                    <w:jc w:val="center"/>
                    <w:rPr>
                      <w:szCs w:val="21"/>
                    </w:rPr>
                  </w:pPr>
                  <w:r>
                    <w:rPr>
                      <w:rFonts w:hint="eastAsia"/>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0" w:type="pct"/>
                  <w:vAlign w:val="center"/>
                </w:tcPr>
                <w:p>
                  <w:pPr>
                    <w:adjustRightInd w:val="0"/>
                    <w:snapToGrid w:val="0"/>
                    <w:jc w:val="center"/>
                    <w:rPr>
                      <w:szCs w:val="21"/>
                    </w:rPr>
                  </w:pPr>
                  <w:r>
                    <w:rPr>
                      <w:rFonts w:hint="eastAsia"/>
                      <w:szCs w:val="21"/>
                    </w:rPr>
                    <w:t>西北厂界</w:t>
                  </w:r>
                </w:p>
              </w:tc>
              <w:tc>
                <w:tcPr>
                  <w:tcW w:w="1250" w:type="pct"/>
                  <w:vAlign w:val="center"/>
                </w:tcPr>
                <w:p>
                  <w:pPr>
                    <w:adjustRightInd w:val="0"/>
                    <w:snapToGrid w:val="0"/>
                    <w:jc w:val="center"/>
                    <w:rPr>
                      <w:szCs w:val="21"/>
                    </w:rPr>
                  </w:pPr>
                  <w:r>
                    <w:rPr>
                      <w:rFonts w:hint="eastAsia"/>
                      <w:szCs w:val="21"/>
                    </w:rPr>
                    <w:t>5</w:t>
                  </w:r>
                  <w:r>
                    <w:rPr>
                      <w:szCs w:val="21"/>
                    </w:rPr>
                    <w:t>2.3</w:t>
                  </w:r>
                </w:p>
              </w:tc>
              <w:tc>
                <w:tcPr>
                  <w:tcW w:w="1250" w:type="pct"/>
                </w:tcPr>
                <w:p>
                  <w:pPr>
                    <w:adjustRightInd w:val="0"/>
                    <w:snapToGrid w:val="0"/>
                    <w:jc w:val="center"/>
                    <w:rPr>
                      <w:szCs w:val="21"/>
                    </w:rPr>
                  </w:pPr>
                  <w:r>
                    <w:rPr>
                      <w:szCs w:val="21"/>
                    </w:rPr>
                    <w:t>65</w:t>
                  </w:r>
                </w:p>
              </w:tc>
              <w:tc>
                <w:tcPr>
                  <w:tcW w:w="1250" w:type="pct"/>
                  <w:vAlign w:val="center"/>
                </w:tcPr>
                <w:p>
                  <w:pPr>
                    <w:adjustRightInd w:val="0"/>
                    <w:snapToGrid w:val="0"/>
                    <w:jc w:val="center"/>
                    <w:rPr>
                      <w:szCs w:val="21"/>
                    </w:rPr>
                  </w:pPr>
                  <w:r>
                    <w:rPr>
                      <w:rFonts w:hint="eastAsia"/>
                      <w:szCs w:val="21"/>
                    </w:rPr>
                    <w:t>达标</w:t>
                  </w:r>
                </w:p>
              </w:tc>
            </w:tr>
          </w:tbl>
          <w:p>
            <w:pPr>
              <w:adjustRightInd w:val="0"/>
              <w:snapToGrid w:val="0"/>
              <w:ind w:firstLine="422" w:firstLineChars="200"/>
              <w:rPr>
                <w:b/>
                <w:szCs w:val="21"/>
              </w:rPr>
            </w:pPr>
            <w:r>
              <w:rPr>
                <w:rFonts w:hint="eastAsia"/>
                <w:b/>
                <w:szCs w:val="21"/>
              </w:rPr>
              <w:t>注：项目夜间不生产。</w:t>
            </w:r>
          </w:p>
          <w:p>
            <w:pPr>
              <w:adjustRightInd w:val="0"/>
              <w:snapToGrid w:val="0"/>
              <w:spacing w:line="400" w:lineRule="exact"/>
              <w:ind w:firstLine="420" w:firstLineChars="200"/>
              <w:rPr>
                <w:bCs/>
                <w:szCs w:val="21"/>
              </w:rPr>
            </w:pPr>
            <w:r>
              <w:rPr>
                <w:rFonts w:hint="eastAsia"/>
                <w:bCs/>
                <w:szCs w:val="21"/>
              </w:rPr>
              <w:t>由上可知，项目厂界噪声可以满足《工业企业厂界环境噪声排放标准》（G</w:t>
            </w:r>
            <w:r>
              <w:rPr>
                <w:bCs/>
                <w:szCs w:val="21"/>
              </w:rPr>
              <w:t>B12348-2008</w:t>
            </w:r>
            <w:r>
              <w:rPr>
                <w:rFonts w:hint="eastAsia"/>
                <w:bCs/>
                <w:szCs w:val="21"/>
              </w:rPr>
              <w:t>）</w:t>
            </w:r>
            <w:r>
              <w:rPr>
                <w:bCs/>
                <w:szCs w:val="21"/>
              </w:rPr>
              <w:t>3</w:t>
            </w:r>
            <w:r>
              <w:rPr>
                <w:rFonts w:hint="eastAsia"/>
                <w:bCs/>
                <w:szCs w:val="21"/>
              </w:rPr>
              <w:t>类标准。同时，项目周边5</w:t>
            </w:r>
            <w:r>
              <w:rPr>
                <w:bCs/>
                <w:szCs w:val="21"/>
              </w:rPr>
              <w:t>0m</w:t>
            </w:r>
            <w:r>
              <w:rPr>
                <w:rFonts w:hint="eastAsia"/>
                <w:bCs/>
                <w:szCs w:val="21"/>
              </w:rPr>
              <w:t>范围内无声环境敏感点，对周边环境影响很小。</w:t>
            </w:r>
          </w:p>
          <w:p>
            <w:pPr>
              <w:adjustRightInd w:val="0"/>
              <w:snapToGrid w:val="0"/>
              <w:spacing w:line="400" w:lineRule="exact"/>
              <w:ind w:firstLine="420" w:firstLineChars="200"/>
              <w:rPr>
                <w:bCs/>
                <w:szCs w:val="21"/>
              </w:rPr>
            </w:pPr>
            <w:r>
              <w:rPr>
                <w:rFonts w:hint="eastAsia"/>
                <w:bCs/>
                <w:szCs w:val="21"/>
              </w:rPr>
              <w:t>下面为本次评价提出的噪声监测要求，如下表：</w:t>
            </w:r>
          </w:p>
          <w:p>
            <w:pPr>
              <w:spacing w:line="400" w:lineRule="exact"/>
              <w:jc w:val="center"/>
              <w:rPr>
                <w:b/>
                <w:szCs w:val="21"/>
              </w:rPr>
            </w:pPr>
            <w:r>
              <w:rPr>
                <w:rFonts w:hint="eastAsia"/>
                <w:b/>
                <w:szCs w:val="21"/>
              </w:rPr>
              <w:t>表</w:t>
            </w:r>
            <w:r>
              <w:rPr>
                <w:b/>
                <w:szCs w:val="21"/>
              </w:rPr>
              <w:t xml:space="preserve">4-12   </w:t>
            </w:r>
            <w:r>
              <w:rPr>
                <w:rFonts w:hint="eastAsia"/>
                <w:b/>
                <w:szCs w:val="21"/>
              </w:rPr>
              <w:t>噪声监测要求</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7"/>
              <w:gridCol w:w="2814"/>
              <w:gridCol w:w="1967"/>
              <w:gridCol w:w="1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7" w:type="pct"/>
                  <w:shd w:val="clear" w:color="auto" w:fill="auto"/>
                  <w:vAlign w:val="center"/>
                </w:tcPr>
                <w:p>
                  <w:pPr>
                    <w:adjustRightInd w:val="0"/>
                    <w:snapToGrid w:val="0"/>
                    <w:jc w:val="center"/>
                    <w:rPr>
                      <w:bCs/>
                      <w:szCs w:val="21"/>
                    </w:rPr>
                  </w:pPr>
                  <w:r>
                    <w:rPr>
                      <w:bCs/>
                      <w:szCs w:val="21"/>
                    </w:rPr>
                    <w:t>名称</w:t>
                  </w:r>
                </w:p>
              </w:tc>
              <w:tc>
                <w:tcPr>
                  <w:tcW w:w="1773" w:type="pct"/>
                  <w:shd w:val="clear" w:color="auto" w:fill="auto"/>
                  <w:vAlign w:val="center"/>
                </w:tcPr>
                <w:p>
                  <w:pPr>
                    <w:adjustRightInd w:val="0"/>
                    <w:snapToGrid w:val="0"/>
                    <w:jc w:val="center"/>
                    <w:rPr>
                      <w:bCs/>
                      <w:szCs w:val="21"/>
                    </w:rPr>
                  </w:pPr>
                  <w:r>
                    <w:rPr>
                      <w:bCs/>
                      <w:szCs w:val="21"/>
                    </w:rPr>
                    <w:t>监测点位</w:t>
                  </w:r>
                </w:p>
              </w:tc>
              <w:tc>
                <w:tcPr>
                  <w:tcW w:w="1239" w:type="pct"/>
                  <w:shd w:val="clear" w:color="auto" w:fill="auto"/>
                  <w:vAlign w:val="center"/>
                </w:tcPr>
                <w:p>
                  <w:pPr>
                    <w:adjustRightInd w:val="0"/>
                    <w:snapToGrid w:val="0"/>
                    <w:jc w:val="center"/>
                    <w:rPr>
                      <w:bCs/>
                      <w:szCs w:val="21"/>
                    </w:rPr>
                  </w:pPr>
                  <w:r>
                    <w:rPr>
                      <w:bCs/>
                      <w:szCs w:val="21"/>
                    </w:rPr>
                    <w:t>监测因子</w:t>
                  </w:r>
                </w:p>
              </w:tc>
              <w:tc>
                <w:tcPr>
                  <w:tcW w:w="1101" w:type="pct"/>
                  <w:shd w:val="clear" w:color="auto" w:fill="auto"/>
                  <w:vAlign w:val="center"/>
                </w:tcPr>
                <w:p>
                  <w:pPr>
                    <w:adjustRightInd w:val="0"/>
                    <w:snapToGrid w:val="0"/>
                    <w:jc w:val="center"/>
                    <w:rPr>
                      <w:bCs/>
                      <w:szCs w:val="21"/>
                    </w:rPr>
                  </w:pPr>
                  <w:r>
                    <w:rPr>
                      <w:bCs/>
                      <w:szCs w:val="21"/>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7" w:type="pct"/>
                  <w:shd w:val="clear" w:color="auto" w:fill="auto"/>
                  <w:vAlign w:val="center"/>
                </w:tcPr>
                <w:p>
                  <w:pPr>
                    <w:adjustRightInd w:val="0"/>
                    <w:snapToGrid w:val="0"/>
                    <w:jc w:val="center"/>
                    <w:rPr>
                      <w:bCs/>
                      <w:szCs w:val="21"/>
                    </w:rPr>
                  </w:pPr>
                  <w:r>
                    <w:rPr>
                      <w:bCs/>
                      <w:szCs w:val="21"/>
                    </w:rPr>
                    <w:t>厂界噪声</w:t>
                  </w:r>
                </w:p>
              </w:tc>
              <w:tc>
                <w:tcPr>
                  <w:tcW w:w="1773" w:type="pct"/>
                  <w:shd w:val="clear" w:color="auto" w:fill="auto"/>
                  <w:vAlign w:val="center"/>
                </w:tcPr>
                <w:p>
                  <w:pPr>
                    <w:adjustRightInd w:val="0"/>
                    <w:snapToGrid w:val="0"/>
                    <w:jc w:val="center"/>
                    <w:rPr>
                      <w:bCs/>
                      <w:szCs w:val="21"/>
                    </w:rPr>
                  </w:pPr>
                  <w:r>
                    <w:rPr>
                      <w:bCs/>
                      <w:szCs w:val="21"/>
                    </w:rPr>
                    <w:t>东、西、南、北厂界外1m</w:t>
                  </w:r>
                </w:p>
              </w:tc>
              <w:tc>
                <w:tcPr>
                  <w:tcW w:w="1239" w:type="pct"/>
                  <w:shd w:val="clear" w:color="auto" w:fill="auto"/>
                  <w:vAlign w:val="center"/>
                </w:tcPr>
                <w:p>
                  <w:pPr>
                    <w:adjustRightInd w:val="0"/>
                    <w:snapToGrid w:val="0"/>
                    <w:jc w:val="center"/>
                    <w:rPr>
                      <w:bCs/>
                      <w:szCs w:val="21"/>
                    </w:rPr>
                  </w:pPr>
                  <w:r>
                    <w:rPr>
                      <w:bCs/>
                      <w:szCs w:val="21"/>
                    </w:rPr>
                    <w:t>等效连续A声级</w:t>
                  </w:r>
                </w:p>
              </w:tc>
              <w:tc>
                <w:tcPr>
                  <w:tcW w:w="1101" w:type="pct"/>
                  <w:shd w:val="clear" w:color="auto" w:fill="auto"/>
                  <w:vAlign w:val="center"/>
                </w:tcPr>
                <w:p>
                  <w:pPr>
                    <w:adjustRightInd w:val="0"/>
                    <w:snapToGrid w:val="0"/>
                    <w:jc w:val="center"/>
                    <w:rPr>
                      <w:bCs/>
                      <w:szCs w:val="21"/>
                    </w:rPr>
                  </w:pPr>
                  <w:r>
                    <w:rPr>
                      <w:bCs/>
                      <w:szCs w:val="21"/>
                    </w:rPr>
                    <w:t>1次/季度</w:t>
                  </w:r>
                </w:p>
              </w:tc>
            </w:tr>
          </w:tbl>
          <w:p>
            <w:pPr>
              <w:adjustRightInd w:val="0"/>
              <w:snapToGrid w:val="0"/>
              <w:spacing w:line="400" w:lineRule="exact"/>
              <w:ind w:firstLine="422" w:firstLineChars="200"/>
              <w:rPr>
                <w:b/>
                <w:szCs w:val="21"/>
              </w:rPr>
            </w:pPr>
            <w:r>
              <w:rPr>
                <w:rFonts w:hint="eastAsia"/>
                <w:b/>
                <w:szCs w:val="21"/>
              </w:rPr>
              <w:t>4、固体废物</w:t>
            </w:r>
          </w:p>
          <w:p>
            <w:pPr>
              <w:adjustRightInd w:val="0"/>
              <w:snapToGrid w:val="0"/>
              <w:spacing w:line="400" w:lineRule="exact"/>
              <w:ind w:firstLine="420" w:firstLineChars="200"/>
              <w:rPr>
                <w:bCs/>
                <w:szCs w:val="21"/>
              </w:rPr>
            </w:pPr>
            <w:r>
              <w:rPr>
                <w:rFonts w:hint="eastAsia"/>
                <w:bCs/>
                <w:szCs w:val="21"/>
              </w:rPr>
              <w:t>（</w:t>
            </w:r>
            <w:r>
              <w:rPr>
                <w:bCs/>
                <w:szCs w:val="21"/>
              </w:rPr>
              <w:t>1</w:t>
            </w:r>
            <w:r>
              <w:rPr>
                <w:rFonts w:hint="eastAsia"/>
                <w:bCs/>
                <w:szCs w:val="21"/>
              </w:rPr>
              <w:t>）固废产生及处置情况</w:t>
            </w:r>
          </w:p>
          <w:p>
            <w:pPr>
              <w:adjustRightInd w:val="0"/>
              <w:snapToGrid w:val="0"/>
              <w:spacing w:line="400" w:lineRule="exact"/>
              <w:ind w:firstLine="420" w:firstLineChars="200"/>
              <w:rPr>
                <w:bCs/>
                <w:szCs w:val="21"/>
              </w:rPr>
            </w:pPr>
            <w:r>
              <w:rPr>
                <w:rFonts w:hint="eastAsia"/>
                <w:bCs/>
                <w:szCs w:val="21"/>
              </w:rPr>
              <w:t>本项目产生的固体废物主要为废包装、除尘灰、废过滤棉、废活性炭、废液压油和废油桶，以及生活垃圾，如下：</w:t>
            </w:r>
          </w:p>
          <w:p>
            <w:pPr>
              <w:spacing w:line="400" w:lineRule="exact"/>
              <w:jc w:val="center"/>
              <w:rPr>
                <w:b/>
                <w:szCs w:val="21"/>
              </w:rPr>
            </w:pPr>
            <w:r>
              <w:rPr>
                <w:rFonts w:hint="eastAsia"/>
                <w:b/>
                <w:szCs w:val="21"/>
              </w:rPr>
              <w:t>表</w:t>
            </w:r>
            <w:r>
              <w:rPr>
                <w:b/>
                <w:szCs w:val="21"/>
              </w:rPr>
              <w:t xml:space="preserve">4-13   </w:t>
            </w:r>
            <w:r>
              <w:rPr>
                <w:rFonts w:hint="eastAsia"/>
                <w:b/>
                <w:szCs w:val="21"/>
              </w:rPr>
              <w:t xml:space="preserve"> 固体废物产生及拟采取的处置措施一览表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1"/>
              <w:gridCol w:w="1114"/>
              <w:gridCol w:w="1262"/>
              <w:gridCol w:w="892"/>
              <w:gridCol w:w="1335"/>
              <w:gridCol w:w="26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23" w:type="pct"/>
                  <w:vAlign w:val="center"/>
                </w:tcPr>
                <w:p>
                  <w:pPr>
                    <w:jc w:val="center"/>
                    <w:rPr>
                      <w:szCs w:val="21"/>
                    </w:rPr>
                  </w:pPr>
                  <w:r>
                    <w:rPr>
                      <w:rFonts w:hint="eastAsia"/>
                      <w:szCs w:val="21"/>
                    </w:rPr>
                    <w:t>序号</w:t>
                  </w:r>
                </w:p>
              </w:tc>
              <w:tc>
                <w:tcPr>
                  <w:tcW w:w="702" w:type="pct"/>
                  <w:vAlign w:val="center"/>
                </w:tcPr>
                <w:p>
                  <w:pPr>
                    <w:jc w:val="center"/>
                    <w:rPr>
                      <w:szCs w:val="21"/>
                    </w:rPr>
                  </w:pPr>
                  <w:r>
                    <w:rPr>
                      <w:rFonts w:hint="eastAsia"/>
                      <w:szCs w:val="21"/>
                    </w:rPr>
                    <w:t>种类</w:t>
                  </w:r>
                </w:p>
              </w:tc>
              <w:tc>
                <w:tcPr>
                  <w:tcW w:w="795" w:type="pct"/>
                  <w:vAlign w:val="center"/>
                </w:tcPr>
                <w:p>
                  <w:pPr>
                    <w:spacing w:line="300" w:lineRule="exact"/>
                    <w:jc w:val="center"/>
                    <w:rPr>
                      <w:szCs w:val="21"/>
                    </w:rPr>
                  </w:pPr>
                  <w:r>
                    <w:rPr>
                      <w:rFonts w:hint="eastAsia"/>
                      <w:szCs w:val="21"/>
                    </w:rPr>
                    <w:t>代码</w:t>
                  </w:r>
                </w:p>
              </w:tc>
              <w:tc>
                <w:tcPr>
                  <w:tcW w:w="562" w:type="pct"/>
                  <w:vAlign w:val="center"/>
                </w:tcPr>
                <w:p>
                  <w:pPr>
                    <w:spacing w:line="300" w:lineRule="exact"/>
                    <w:jc w:val="center"/>
                    <w:rPr>
                      <w:szCs w:val="21"/>
                    </w:rPr>
                  </w:pPr>
                  <w:r>
                    <w:rPr>
                      <w:szCs w:val="21"/>
                    </w:rPr>
                    <w:t>产生量</w:t>
                  </w:r>
                </w:p>
              </w:tc>
              <w:tc>
                <w:tcPr>
                  <w:tcW w:w="841" w:type="pct"/>
                  <w:vAlign w:val="center"/>
                </w:tcPr>
                <w:p>
                  <w:pPr>
                    <w:jc w:val="center"/>
                    <w:rPr>
                      <w:szCs w:val="21"/>
                    </w:rPr>
                  </w:pPr>
                  <w:r>
                    <w:rPr>
                      <w:rFonts w:hint="eastAsia"/>
                      <w:szCs w:val="21"/>
                    </w:rPr>
                    <w:t>暂存措施</w:t>
                  </w:r>
                </w:p>
              </w:tc>
              <w:tc>
                <w:tcPr>
                  <w:tcW w:w="1677" w:type="pct"/>
                  <w:vAlign w:val="center"/>
                </w:tcPr>
                <w:p>
                  <w:pPr>
                    <w:jc w:val="center"/>
                    <w:rPr>
                      <w:szCs w:val="21"/>
                    </w:rPr>
                  </w:pPr>
                  <w:r>
                    <w:rPr>
                      <w:rFonts w:hint="eastAsia"/>
                      <w:szCs w:val="21"/>
                    </w:rPr>
                    <w:t>最终去向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23" w:type="pct"/>
                  <w:vAlign w:val="center"/>
                </w:tcPr>
                <w:p>
                  <w:pPr>
                    <w:jc w:val="center"/>
                    <w:rPr>
                      <w:szCs w:val="21"/>
                    </w:rPr>
                  </w:pPr>
                  <w:r>
                    <w:rPr>
                      <w:rFonts w:hint="eastAsia"/>
                      <w:szCs w:val="21"/>
                    </w:rPr>
                    <w:t>1</w:t>
                  </w:r>
                </w:p>
              </w:tc>
              <w:tc>
                <w:tcPr>
                  <w:tcW w:w="702" w:type="pct"/>
                  <w:vAlign w:val="center"/>
                </w:tcPr>
                <w:p>
                  <w:pPr>
                    <w:jc w:val="center"/>
                    <w:rPr>
                      <w:szCs w:val="21"/>
                    </w:rPr>
                  </w:pPr>
                  <w:r>
                    <w:rPr>
                      <w:rFonts w:hint="eastAsia"/>
                      <w:szCs w:val="21"/>
                    </w:rPr>
                    <w:t>废过滤棉</w:t>
                  </w:r>
                </w:p>
                <w:p>
                  <w:pPr>
                    <w:jc w:val="center"/>
                    <w:rPr>
                      <w:szCs w:val="21"/>
                    </w:rPr>
                  </w:pPr>
                  <w:r>
                    <w:rPr>
                      <w:rFonts w:hint="eastAsia"/>
                      <w:szCs w:val="21"/>
                    </w:rPr>
                    <w:t>废活性炭</w:t>
                  </w:r>
                </w:p>
              </w:tc>
              <w:tc>
                <w:tcPr>
                  <w:tcW w:w="795" w:type="pct"/>
                  <w:vAlign w:val="center"/>
                </w:tcPr>
                <w:p>
                  <w:pPr>
                    <w:spacing w:line="300" w:lineRule="exact"/>
                    <w:jc w:val="center"/>
                    <w:rPr>
                      <w:szCs w:val="21"/>
                    </w:rPr>
                  </w:pPr>
                  <w:r>
                    <w:rPr>
                      <w:szCs w:val="21"/>
                    </w:rPr>
                    <w:t>900-039-49</w:t>
                  </w:r>
                </w:p>
              </w:tc>
              <w:tc>
                <w:tcPr>
                  <w:tcW w:w="562" w:type="pct"/>
                  <w:vAlign w:val="center"/>
                </w:tcPr>
                <w:p>
                  <w:pPr>
                    <w:spacing w:line="300" w:lineRule="exact"/>
                    <w:jc w:val="center"/>
                    <w:rPr>
                      <w:szCs w:val="21"/>
                    </w:rPr>
                  </w:pPr>
                  <w:r>
                    <w:rPr>
                      <w:szCs w:val="21"/>
                    </w:rPr>
                    <w:t>1.2 t/a</w:t>
                  </w:r>
                </w:p>
              </w:tc>
              <w:tc>
                <w:tcPr>
                  <w:tcW w:w="841" w:type="pct"/>
                  <w:vMerge w:val="restart"/>
                  <w:vAlign w:val="center"/>
                </w:tcPr>
                <w:p>
                  <w:pPr>
                    <w:jc w:val="center"/>
                    <w:rPr>
                      <w:szCs w:val="21"/>
                    </w:rPr>
                  </w:pPr>
                  <w:r>
                    <w:rPr>
                      <w:rFonts w:hint="eastAsia"/>
                      <w:szCs w:val="21"/>
                    </w:rPr>
                    <w:t>暂存危废间</w:t>
                  </w:r>
                </w:p>
              </w:tc>
              <w:tc>
                <w:tcPr>
                  <w:tcW w:w="1677" w:type="pct"/>
                  <w:vMerge w:val="restart"/>
                  <w:vAlign w:val="center"/>
                </w:tcPr>
                <w:p>
                  <w:pPr>
                    <w:jc w:val="center"/>
                    <w:rPr>
                      <w:szCs w:val="21"/>
                    </w:rPr>
                  </w:pPr>
                  <w:r>
                    <w:rPr>
                      <w:rFonts w:hint="eastAsia"/>
                      <w:szCs w:val="21"/>
                    </w:rPr>
                    <w:t>委托有资质单位外运处置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23" w:type="pct"/>
                  <w:vAlign w:val="center"/>
                </w:tcPr>
                <w:p>
                  <w:pPr>
                    <w:jc w:val="center"/>
                    <w:rPr>
                      <w:szCs w:val="21"/>
                    </w:rPr>
                  </w:pPr>
                  <w:r>
                    <w:rPr>
                      <w:rFonts w:hint="eastAsia"/>
                      <w:szCs w:val="21"/>
                    </w:rPr>
                    <w:t>2</w:t>
                  </w:r>
                </w:p>
              </w:tc>
              <w:tc>
                <w:tcPr>
                  <w:tcW w:w="702" w:type="pct"/>
                  <w:vAlign w:val="center"/>
                </w:tcPr>
                <w:p>
                  <w:pPr>
                    <w:jc w:val="center"/>
                    <w:rPr>
                      <w:szCs w:val="21"/>
                    </w:rPr>
                  </w:pPr>
                  <w:r>
                    <w:rPr>
                      <w:rFonts w:hint="eastAsia"/>
                      <w:szCs w:val="21"/>
                    </w:rPr>
                    <w:t>废液压油</w:t>
                  </w:r>
                </w:p>
              </w:tc>
              <w:tc>
                <w:tcPr>
                  <w:tcW w:w="795" w:type="pct"/>
                  <w:vMerge w:val="restart"/>
                  <w:vAlign w:val="center"/>
                </w:tcPr>
                <w:p>
                  <w:pPr>
                    <w:spacing w:line="300" w:lineRule="exact"/>
                    <w:jc w:val="center"/>
                    <w:rPr>
                      <w:szCs w:val="21"/>
                    </w:rPr>
                  </w:pPr>
                  <w:r>
                    <w:rPr>
                      <w:szCs w:val="21"/>
                    </w:rPr>
                    <w:t>900-249-08</w:t>
                  </w:r>
                </w:p>
              </w:tc>
              <w:tc>
                <w:tcPr>
                  <w:tcW w:w="562" w:type="pct"/>
                  <w:vAlign w:val="center"/>
                </w:tcPr>
                <w:p>
                  <w:pPr>
                    <w:spacing w:line="300" w:lineRule="exact"/>
                    <w:jc w:val="center"/>
                    <w:rPr>
                      <w:szCs w:val="21"/>
                    </w:rPr>
                  </w:pPr>
                  <w:r>
                    <w:rPr>
                      <w:rFonts w:hint="eastAsia"/>
                      <w:szCs w:val="21"/>
                    </w:rPr>
                    <w:t>0</w:t>
                  </w:r>
                  <w:r>
                    <w:rPr>
                      <w:szCs w:val="21"/>
                    </w:rPr>
                    <w:t>.1 t/a</w:t>
                  </w:r>
                </w:p>
              </w:tc>
              <w:tc>
                <w:tcPr>
                  <w:tcW w:w="841" w:type="pct"/>
                  <w:vMerge w:val="continue"/>
                  <w:vAlign w:val="center"/>
                </w:tcPr>
                <w:p>
                  <w:pPr>
                    <w:jc w:val="center"/>
                    <w:rPr>
                      <w:szCs w:val="21"/>
                    </w:rPr>
                  </w:pPr>
                </w:p>
              </w:tc>
              <w:tc>
                <w:tcPr>
                  <w:tcW w:w="1677" w:type="pct"/>
                  <w:vMerge w:val="continue"/>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23" w:type="pct"/>
                  <w:vAlign w:val="center"/>
                </w:tcPr>
                <w:p>
                  <w:pPr>
                    <w:jc w:val="center"/>
                    <w:rPr>
                      <w:szCs w:val="21"/>
                    </w:rPr>
                  </w:pPr>
                  <w:r>
                    <w:rPr>
                      <w:rFonts w:hint="eastAsia"/>
                      <w:szCs w:val="21"/>
                    </w:rPr>
                    <w:t>3</w:t>
                  </w:r>
                </w:p>
              </w:tc>
              <w:tc>
                <w:tcPr>
                  <w:tcW w:w="702" w:type="pct"/>
                  <w:vAlign w:val="center"/>
                </w:tcPr>
                <w:p>
                  <w:pPr>
                    <w:jc w:val="center"/>
                    <w:rPr>
                      <w:szCs w:val="21"/>
                    </w:rPr>
                  </w:pPr>
                  <w:r>
                    <w:rPr>
                      <w:rFonts w:hint="eastAsia"/>
                      <w:szCs w:val="21"/>
                    </w:rPr>
                    <w:t>废油桶</w:t>
                  </w:r>
                </w:p>
              </w:tc>
              <w:tc>
                <w:tcPr>
                  <w:tcW w:w="795" w:type="pct"/>
                  <w:vMerge w:val="continue"/>
                  <w:vAlign w:val="center"/>
                </w:tcPr>
                <w:p>
                  <w:pPr>
                    <w:spacing w:line="300" w:lineRule="exact"/>
                    <w:jc w:val="center"/>
                    <w:rPr>
                      <w:szCs w:val="21"/>
                    </w:rPr>
                  </w:pPr>
                </w:p>
              </w:tc>
              <w:tc>
                <w:tcPr>
                  <w:tcW w:w="562" w:type="pct"/>
                  <w:vAlign w:val="center"/>
                </w:tcPr>
                <w:p>
                  <w:pPr>
                    <w:spacing w:line="300" w:lineRule="exact"/>
                    <w:jc w:val="center"/>
                    <w:rPr>
                      <w:szCs w:val="21"/>
                    </w:rPr>
                  </w:pPr>
                  <w:r>
                    <w:rPr>
                      <w:rFonts w:hint="eastAsia"/>
                      <w:szCs w:val="21"/>
                    </w:rPr>
                    <w:t>0</w:t>
                  </w:r>
                  <w:r>
                    <w:rPr>
                      <w:szCs w:val="21"/>
                    </w:rPr>
                    <w:t>.05 t/a</w:t>
                  </w:r>
                </w:p>
              </w:tc>
              <w:tc>
                <w:tcPr>
                  <w:tcW w:w="841" w:type="pct"/>
                  <w:vMerge w:val="continue"/>
                  <w:vAlign w:val="center"/>
                </w:tcPr>
                <w:p>
                  <w:pPr>
                    <w:jc w:val="center"/>
                    <w:rPr>
                      <w:szCs w:val="21"/>
                    </w:rPr>
                  </w:pPr>
                </w:p>
              </w:tc>
              <w:tc>
                <w:tcPr>
                  <w:tcW w:w="1677" w:type="pct"/>
                  <w:vMerge w:val="continue"/>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23" w:type="pct"/>
                  <w:vAlign w:val="center"/>
                </w:tcPr>
                <w:p>
                  <w:pPr>
                    <w:jc w:val="center"/>
                    <w:rPr>
                      <w:szCs w:val="21"/>
                    </w:rPr>
                  </w:pPr>
                  <w:r>
                    <w:rPr>
                      <w:rFonts w:hint="eastAsia"/>
                      <w:szCs w:val="21"/>
                    </w:rPr>
                    <w:t>4</w:t>
                  </w:r>
                </w:p>
              </w:tc>
              <w:tc>
                <w:tcPr>
                  <w:tcW w:w="702" w:type="pct"/>
                  <w:vAlign w:val="center"/>
                </w:tcPr>
                <w:p>
                  <w:pPr>
                    <w:jc w:val="center"/>
                    <w:rPr>
                      <w:szCs w:val="21"/>
                    </w:rPr>
                  </w:pPr>
                  <w:r>
                    <w:rPr>
                      <w:rFonts w:hint="eastAsia"/>
                      <w:szCs w:val="21"/>
                    </w:rPr>
                    <w:t>废包装</w:t>
                  </w:r>
                </w:p>
              </w:tc>
              <w:tc>
                <w:tcPr>
                  <w:tcW w:w="795" w:type="pct"/>
                  <w:vMerge w:val="restart"/>
                  <w:vAlign w:val="center"/>
                </w:tcPr>
                <w:p>
                  <w:pPr>
                    <w:spacing w:line="300" w:lineRule="exact"/>
                    <w:jc w:val="center"/>
                    <w:rPr>
                      <w:szCs w:val="21"/>
                    </w:rPr>
                  </w:pPr>
                  <w:r>
                    <w:rPr>
                      <w:rFonts w:hint="eastAsia"/>
                      <w:szCs w:val="21"/>
                    </w:rPr>
                    <w:t>9</w:t>
                  </w:r>
                  <w:r>
                    <w:rPr>
                      <w:szCs w:val="21"/>
                    </w:rPr>
                    <w:t>00-999-99</w:t>
                  </w:r>
                </w:p>
              </w:tc>
              <w:tc>
                <w:tcPr>
                  <w:tcW w:w="562" w:type="pct"/>
                  <w:vAlign w:val="center"/>
                </w:tcPr>
                <w:p>
                  <w:pPr>
                    <w:spacing w:line="300" w:lineRule="exact"/>
                    <w:jc w:val="center"/>
                    <w:rPr>
                      <w:szCs w:val="21"/>
                    </w:rPr>
                  </w:pPr>
                  <w:r>
                    <w:rPr>
                      <w:rFonts w:hint="eastAsia"/>
                      <w:szCs w:val="21"/>
                    </w:rPr>
                    <w:t>1</w:t>
                  </w:r>
                  <w:r>
                    <w:rPr>
                      <w:szCs w:val="21"/>
                    </w:rPr>
                    <w:t xml:space="preserve"> t/a</w:t>
                  </w:r>
                </w:p>
              </w:tc>
              <w:tc>
                <w:tcPr>
                  <w:tcW w:w="841" w:type="pct"/>
                  <w:vMerge w:val="restart"/>
                  <w:vAlign w:val="center"/>
                </w:tcPr>
                <w:p>
                  <w:pPr>
                    <w:jc w:val="center"/>
                    <w:rPr>
                      <w:szCs w:val="21"/>
                    </w:rPr>
                  </w:pPr>
                  <w:r>
                    <w:rPr>
                      <w:rFonts w:hint="eastAsia"/>
                      <w:szCs w:val="21"/>
                    </w:rPr>
                    <w:t>车间内存放</w:t>
                  </w:r>
                </w:p>
              </w:tc>
              <w:tc>
                <w:tcPr>
                  <w:tcW w:w="1677" w:type="pct"/>
                  <w:vMerge w:val="restart"/>
                  <w:vAlign w:val="center"/>
                </w:tcPr>
                <w:p>
                  <w:pPr>
                    <w:jc w:val="center"/>
                  </w:pPr>
                  <w:r>
                    <w:rPr>
                      <w:rFonts w:hint="eastAsia"/>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23" w:type="pct"/>
                  <w:vAlign w:val="center"/>
                </w:tcPr>
                <w:p>
                  <w:pPr>
                    <w:jc w:val="center"/>
                    <w:rPr>
                      <w:szCs w:val="21"/>
                    </w:rPr>
                  </w:pPr>
                  <w:r>
                    <w:rPr>
                      <w:rFonts w:hint="eastAsia"/>
                      <w:szCs w:val="21"/>
                    </w:rPr>
                    <w:t>5</w:t>
                  </w:r>
                </w:p>
              </w:tc>
              <w:tc>
                <w:tcPr>
                  <w:tcW w:w="702" w:type="pct"/>
                  <w:vAlign w:val="center"/>
                </w:tcPr>
                <w:p>
                  <w:pPr>
                    <w:jc w:val="center"/>
                    <w:rPr>
                      <w:szCs w:val="21"/>
                    </w:rPr>
                  </w:pPr>
                  <w:r>
                    <w:rPr>
                      <w:rFonts w:hint="eastAsia"/>
                      <w:szCs w:val="21"/>
                    </w:rPr>
                    <w:t>除尘灰</w:t>
                  </w:r>
                </w:p>
              </w:tc>
              <w:tc>
                <w:tcPr>
                  <w:tcW w:w="795" w:type="pct"/>
                  <w:vMerge w:val="continue"/>
                  <w:vAlign w:val="center"/>
                </w:tcPr>
                <w:p>
                  <w:pPr>
                    <w:spacing w:line="300" w:lineRule="exact"/>
                    <w:jc w:val="center"/>
                    <w:rPr>
                      <w:szCs w:val="21"/>
                    </w:rPr>
                  </w:pPr>
                </w:p>
              </w:tc>
              <w:tc>
                <w:tcPr>
                  <w:tcW w:w="562" w:type="pct"/>
                  <w:vAlign w:val="center"/>
                </w:tcPr>
                <w:p>
                  <w:pPr>
                    <w:spacing w:line="300" w:lineRule="exact"/>
                    <w:jc w:val="center"/>
                    <w:rPr>
                      <w:szCs w:val="21"/>
                    </w:rPr>
                  </w:pPr>
                  <w:r>
                    <w:rPr>
                      <w:rFonts w:hint="eastAsia"/>
                      <w:szCs w:val="21"/>
                    </w:rPr>
                    <w:t>0</w:t>
                  </w:r>
                  <w:r>
                    <w:rPr>
                      <w:szCs w:val="21"/>
                    </w:rPr>
                    <w:t>.8 t/a</w:t>
                  </w:r>
                </w:p>
              </w:tc>
              <w:tc>
                <w:tcPr>
                  <w:tcW w:w="841" w:type="pct"/>
                  <w:vMerge w:val="continue"/>
                  <w:vAlign w:val="center"/>
                </w:tcPr>
                <w:p>
                  <w:pPr>
                    <w:jc w:val="center"/>
                    <w:rPr>
                      <w:szCs w:val="21"/>
                    </w:rPr>
                  </w:pPr>
                </w:p>
              </w:tc>
              <w:tc>
                <w:tcPr>
                  <w:tcW w:w="1677" w:type="pct"/>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23" w:type="pct"/>
                  <w:vAlign w:val="center"/>
                </w:tcPr>
                <w:p>
                  <w:pPr>
                    <w:jc w:val="center"/>
                    <w:rPr>
                      <w:szCs w:val="21"/>
                    </w:rPr>
                  </w:pPr>
                  <w:r>
                    <w:rPr>
                      <w:rFonts w:hint="eastAsia"/>
                      <w:szCs w:val="21"/>
                    </w:rPr>
                    <w:t>5</w:t>
                  </w:r>
                </w:p>
              </w:tc>
              <w:tc>
                <w:tcPr>
                  <w:tcW w:w="702" w:type="pct"/>
                  <w:vAlign w:val="center"/>
                </w:tcPr>
                <w:p>
                  <w:pPr>
                    <w:jc w:val="center"/>
                    <w:rPr>
                      <w:szCs w:val="21"/>
                    </w:rPr>
                  </w:pPr>
                  <w:r>
                    <w:rPr>
                      <w:rFonts w:hint="eastAsia"/>
                      <w:szCs w:val="21"/>
                    </w:rPr>
                    <w:t>生活垃圾</w:t>
                  </w:r>
                </w:p>
              </w:tc>
              <w:tc>
                <w:tcPr>
                  <w:tcW w:w="795" w:type="pct"/>
                  <w:vAlign w:val="center"/>
                </w:tcPr>
                <w:p>
                  <w:pPr>
                    <w:spacing w:line="300" w:lineRule="exact"/>
                    <w:jc w:val="center"/>
                    <w:rPr>
                      <w:szCs w:val="21"/>
                    </w:rPr>
                  </w:pPr>
                  <w:r>
                    <w:rPr>
                      <w:rFonts w:hint="eastAsia"/>
                      <w:szCs w:val="21"/>
                    </w:rPr>
                    <w:t>/</w:t>
                  </w:r>
                </w:p>
              </w:tc>
              <w:tc>
                <w:tcPr>
                  <w:tcW w:w="562" w:type="pct"/>
                  <w:vAlign w:val="center"/>
                </w:tcPr>
                <w:p>
                  <w:pPr>
                    <w:spacing w:line="300" w:lineRule="exact"/>
                    <w:jc w:val="center"/>
                    <w:rPr>
                      <w:szCs w:val="21"/>
                    </w:rPr>
                  </w:pPr>
                  <w:r>
                    <w:rPr>
                      <w:rFonts w:hint="eastAsia"/>
                      <w:szCs w:val="21"/>
                    </w:rPr>
                    <w:t>1</w:t>
                  </w:r>
                  <w:r>
                    <w:rPr>
                      <w:szCs w:val="21"/>
                    </w:rPr>
                    <w:t>.5 t/a</w:t>
                  </w:r>
                </w:p>
              </w:tc>
              <w:tc>
                <w:tcPr>
                  <w:tcW w:w="841" w:type="pct"/>
                  <w:vAlign w:val="center"/>
                </w:tcPr>
                <w:p>
                  <w:pPr>
                    <w:jc w:val="center"/>
                    <w:rPr>
                      <w:szCs w:val="21"/>
                    </w:rPr>
                  </w:pPr>
                  <w:r>
                    <w:rPr>
                      <w:rFonts w:hint="eastAsia"/>
                      <w:szCs w:val="21"/>
                    </w:rPr>
                    <w:t>垃圾桶存放</w:t>
                  </w:r>
                </w:p>
              </w:tc>
              <w:tc>
                <w:tcPr>
                  <w:tcW w:w="1677" w:type="pct"/>
                  <w:vAlign w:val="center"/>
                </w:tcPr>
                <w:p>
                  <w:pPr>
                    <w:jc w:val="center"/>
                  </w:pPr>
                  <w:r>
                    <w:rPr>
                      <w:rFonts w:hint="eastAsia"/>
                    </w:rPr>
                    <w:t>环卫部门处理</w:t>
                  </w:r>
                </w:p>
              </w:tc>
            </w:tr>
          </w:tbl>
          <w:p>
            <w:pPr>
              <w:adjustRightInd w:val="0"/>
              <w:snapToGrid w:val="0"/>
              <w:ind w:firstLine="422" w:firstLineChars="200"/>
              <w:rPr>
                <w:b/>
                <w:szCs w:val="21"/>
              </w:rPr>
            </w:pPr>
            <w:r>
              <w:rPr>
                <w:rFonts w:hint="eastAsia"/>
                <w:b/>
                <w:szCs w:val="21"/>
              </w:rPr>
              <w:t>注：注塑边角料（机头料、切口料和不合格产品）产生后，经废料处理回用于注塑，适用《固体废物鉴别标准 通则》中“6</w:t>
            </w:r>
            <w:r>
              <w:rPr>
                <w:b/>
                <w:szCs w:val="21"/>
              </w:rPr>
              <w:t>.1</w:t>
            </w:r>
            <w:r>
              <w:rPr>
                <w:rFonts w:hint="eastAsia"/>
                <w:b/>
                <w:szCs w:val="21"/>
              </w:rPr>
              <w:t>a在产生点经过修复和加工后满足国家、地方制定或行业通行的产品质量标准并且用于其原始用途的物质”，不做固废管理。</w:t>
            </w:r>
          </w:p>
          <w:p>
            <w:pPr>
              <w:adjustRightInd w:val="0"/>
              <w:snapToGrid w:val="0"/>
              <w:spacing w:line="400" w:lineRule="exact"/>
              <w:ind w:firstLine="420" w:firstLineChars="200"/>
              <w:rPr>
                <w:bCs/>
                <w:szCs w:val="21"/>
              </w:rPr>
            </w:pPr>
            <w:r>
              <w:rPr>
                <w:rFonts w:hint="eastAsia"/>
                <w:bCs/>
                <w:szCs w:val="21"/>
              </w:rPr>
              <w:t>其中废包装、除尘灰属于一般工业固体废物，外售处理；废过滤棉、废活性炭、废液压油和废油桶属于危险废物，暂存危废间，</w:t>
            </w:r>
            <w:r>
              <w:rPr>
                <w:rFonts w:hint="eastAsia"/>
                <w:szCs w:val="21"/>
              </w:rPr>
              <w:t>委托有资质单位外运处置；另外，生活垃圾环卫部门处理。</w:t>
            </w:r>
          </w:p>
          <w:p>
            <w:pPr>
              <w:adjustRightInd w:val="0"/>
              <w:snapToGrid w:val="0"/>
              <w:spacing w:line="400" w:lineRule="exact"/>
              <w:ind w:firstLine="420" w:firstLineChars="200"/>
              <w:rPr>
                <w:bCs/>
                <w:szCs w:val="21"/>
              </w:rPr>
            </w:pPr>
            <w:r>
              <w:rPr>
                <w:rFonts w:hint="eastAsia"/>
                <w:bCs/>
                <w:szCs w:val="21"/>
              </w:rPr>
              <w:t>（</w:t>
            </w:r>
            <w:r>
              <w:rPr>
                <w:bCs/>
                <w:szCs w:val="21"/>
              </w:rPr>
              <w:t>2</w:t>
            </w:r>
            <w:r>
              <w:rPr>
                <w:rFonts w:hint="eastAsia"/>
                <w:bCs/>
                <w:szCs w:val="21"/>
              </w:rPr>
              <w:t>）危险废物环境影响评价</w:t>
            </w:r>
          </w:p>
          <w:p>
            <w:pPr>
              <w:adjustRightInd w:val="0"/>
              <w:snapToGrid w:val="0"/>
              <w:spacing w:line="400" w:lineRule="exact"/>
              <w:ind w:firstLine="420" w:firstLineChars="200"/>
              <w:rPr>
                <w:bCs/>
                <w:szCs w:val="21"/>
              </w:rPr>
            </w:pPr>
            <w:r>
              <w:rPr>
                <w:rFonts w:hint="eastAsia"/>
                <w:bCs/>
                <w:szCs w:val="21"/>
              </w:rPr>
              <w:t>根据《建设项目危险废物环境影响评价指南》，对项目危废间的选址、储存能力及环境影响等方面进行分析如下：</w:t>
            </w:r>
          </w:p>
          <w:p>
            <w:pPr>
              <w:spacing w:line="400" w:lineRule="exact"/>
              <w:jc w:val="center"/>
              <w:rPr>
                <w:b/>
                <w:szCs w:val="21"/>
              </w:rPr>
            </w:pPr>
            <w:r>
              <w:rPr>
                <w:b/>
                <w:szCs w:val="21"/>
              </w:rPr>
              <w:t xml:space="preserve">表4-14   </w:t>
            </w:r>
            <w:r>
              <w:rPr>
                <w:rFonts w:hint="eastAsia"/>
                <w:b/>
                <w:szCs w:val="21"/>
              </w:rPr>
              <w:t xml:space="preserve"> </w:t>
            </w:r>
            <w:r>
              <w:rPr>
                <w:b/>
                <w:szCs w:val="21"/>
              </w:rPr>
              <w:t>危险废物产生及处置情况一览表</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7"/>
              <w:gridCol w:w="678"/>
              <w:gridCol w:w="776"/>
              <w:gridCol w:w="661"/>
              <w:gridCol w:w="861"/>
              <w:gridCol w:w="625"/>
              <w:gridCol w:w="517"/>
              <w:gridCol w:w="572"/>
              <w:gridCol w:w="571"/>
              <w:gridCol w:w="673"/>
              <w:gridCol w:w="555"/>
              <w:gridCol w:w="7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587" w:type="dxa"/>
                  <w:vAlign w:val="center"/>
                </w:tcPr>
                <w:p>
                  <w:pPr>
                    <w:jc w:val="center"/>
                    <w:rPr>
                      <w:szCs w:val="21"/>
                    </w:rPr>
                  </w:pPr>
                  <w:r>
                    <w:rPr>
                      <w:rFonts w:hint="eastAsia"/>
                      <w:szCs w:val="21"/>
                    </w:rPr>
                    <w:t>产生位置</w:t>
                  </w:r>
                </w:p>
              </w:tc>
              <w:tc>
                <w:tcPr>
                  <w:tcW w:w="678" w:type="dxa"/>
                  <w:vAlign w:val="center"/>
                </w:tcPr>
                <w:p>
                  <w:pPr>
                    <w:jc w:val="center"/>
                    <w:rPr>
                      <w:szCs w:val="21"/>
                    </w:rPr>
                  </w:pPr>
                  <w:r>
                    <w:rPr>
                      <w:szCs w:val="21"/>
                    </w:rPr>
                    <w:t>危险废物名称</w:t>
                  </w:r>
                </w:p>
              </w:tc>
              <w:tc>
                <w:tcPr>
                  <w:tcW w:w="776" w:type="dxa"/>
                  <w:vAlign w:val="center"/>
                </w:tcPr>
                <w:p>
                  <w:pPr>
                    <w:jc w:val="center"/>
                    <w:rPr>
                      <w:szCs w:val="21"/>
                    </w:rPr>
                  </w:pPr>
                  <w:r>
                    <w:rPr>
                      <w:szCs w:val="21"/>
                    </w:rPr>
                    <w:t>危险废物类别</w:t>
                  </w:r>
                </w:p>
              </w:tc>
              <w:tc>
                <w:tcPr>
                  <w:tcW w:w="661" w:type="dxa"/>
                  <w:vAlign w:val="center"/>
                </w:tcPr>
                <w:p>
                  <w:pPr>
                    <w:jc w:val="center"/>
                    <w:rPr>
                      <w:szCs w:val="21"/>
                    </w:rPr>
                  </w:pPr>
                  <w:r>
                    <w:rPr>
                      <w:szCs w:val="21"/>
                    </w:rPr>
                    <w:t>危险废物代码</w:t>
                  </w:r>
                </w:p>
              </w:tc>
              <w:tc>
                <w:tcPr>
                  <w:tcW w:w="861" w:type="dxa"/>
                  <w:vAlign w:val="center"/>
                </w:tcPr>
                <w:p>
                  <w:pPr>
                    <w:jc w:val="center"/>
                    <w:rPr>
                      <w:szCs w:val="21"/>
                    </w:rPr>
                  </w:pPr>
                  <w:r>
                    <w:rPr>
                      <w:szCs w:val="21"/>
                    </w:rPr>
                    <w:t>产生量</w:t>
                  </w:r>
                </w:p>
              </w:tc>
              <w:tc>
                <w:tcPr>
                  <w:tcW w:w="625" w:type="dxa"/>
                  <w:vAlign w:val="center"/>
                </w:tcPr>
                <w:p>
                  <w:pPr>
                    <w:jc w:val="center"/>
                    <w:rPr>
                      <w:szCs w:val="21"/>
                    </w:rPr>
                  </w:pPr>
                  <w:r>
                    <w:rPr>
                      <w:szCs w:val="21"/>
                    </w:rPr>
                    <w:t>产生工序及装置</w:t>
                  </w:r>
                </w:p>
              </w:tc>
              <w:tc>
                <w:tcPr>
                  <w:tcW w:w="517" w:type="dxa"/>
                  <w:vAlign w:val="center"/>
                </w:tcPr>
                <w:p>
                  <w:pPr>
                    <w:jc w:val="center"/>
                    <w:rPr>
                      <w:szCs w:val="21"/>
                    </w:rPr>
                  </w:pPr>
                  <w:r>
                    <w:rPr>
                      <w:szCs w:val="21"/>
                    </w:rPr>
                    <w:t>形态</w:t>
                  </w:r>
                </w:p>
              </w:tc>
              <w:tc>
                <w:tcPr>
                  <w:tcW w:w="572" w:type="dxa"/>
                  <w:vAlign w:val="center"/>
                </w:tcPr>
                <w:p>
                  <w:pPr>
                    <w:jc w:val="center"/>
                    <w:rPr>
                      <w:szCs w:val="21"/>
                    </w:rPr>
                  </w:pPr>
                  <w:r>
                    <w:rPr>
                      <w:szCs w:val="21"/>
                    </w:rPr>
                    <w:t>主要成分</w:t>
                  </w:r>
                </w:p>
              </w:tc>
              <w:tc>
                <w:tcPr>
                  <w:tcW w:w="571" w:type="dxa"/>
                  <w:vAlign w:val="center"/>
                </w:tcPr>
                <w:p>
                  <w:pPr>
                    <w:jc w:val="center"/>
                    <w:rPr>
                      <w:szCs w:val="21"/>
                    </w:rPr>
                  </w:pPr>
                  <w:r>
                    <w:rPr>
                      <w:szCs w:val="21"/>
                    </w:rPr>
                    <w:t>有害成分</w:t>
                  </w:r>
                </w:p>
              </w:tc>
              <w:tc>
                <w:tcPr>
                  <w:tcW w:w="673" w:type="dxa"/>
                  <w:vAlign w:val="center"/>
                </w:tcPr>
                <w:p>
                  <w:pPr>
                    <w:jc w:val="center"/>
                    <w:rPr>
                      <w:szCs w:val="21"/>
                    </w:rPr>
                  </w:pPr>
                  <w:r>
                    <w:rPr>
                      <w:szCs w:val="21"/>
                    </w:rPr>
                    <w:t>产废周期</w:t>
                  </w:r>
                </w:p>
              </w:tc>
              <w:tc>
                <w:tcPr>
                  <w:tcW w:w="555" w:type="dxa"/>
                  <w:vAlign w:val="center"/>
                </w:tcPr>
                <w:p>
                  <w:pPr>
                    <w:jc w:val="center"/>
                    <w:rPr>
                      <w:szCs w:val="21"/>
                    </w:rPr>
                  </w:pPr>
                  <w:r>
                    <w:rPr>
                      <w:szCs w:val="21"/>
                    </w:rPr>
                    <w:t>危险特性</w:t>
                  </w:r>
                </w:p>
              </w:tc>
              <w:tc>
                <w:tcPr>
                  <w:tcW w:w="795" w:type="dxa"/>
                  <w:vAlign w:val="center"/>
                </w:tcPr>
                <w:p>
                  <w:pPr>
                    <w:jc w:val="center"/>
                    <w:rPr>
                      <w:szCs w:val="21"/>
                    </w:rPr>
                  </w:pPr>
                  <w:r>
                    <w:rPr>
                      <w:szCs w:val="21"/>
                    </w:rPr>
                    <w:t>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587" w:type="dxa"/>
                  <w:vMerge w:val="restart"/>
                  <w:vAlign w:val="center"/>
                </w:tcPr>
                <w:p>
                  <w:pPr>
                    <w:jc w:val="center"/>
                    <w:rPr>
                      <w:szCs w:val="21"/>
                    </w:rPr>
                  </w:pPr>
                  <w:r>
                    <w:rPr>
                      <w:rFonts w:hint="eastAsia"/>
                      <w:bCs/>
                      <w:szCs w:val="21"/>
                    </w:rPr>
                    <w:t>注塑车间</w:t>
                  </w:r>
                </w:p>
              </w:tc>
              <w:tc>
                <w:tcPr>
                  <w:tcW w:w="678" w:type="dxa"/>
                  <w:vAlign w:val="center"/>
                </w:tcPr>
                <w:p>
                  <w:pPr>
                    <w:jc w:val="center"/>
                    <w:rPr>
                      <w:szCs w:val="21"/>
                    </w:rPr>
                  </w:pPr>
                  <w:r>
                    <w:rPr>
                      <w:rFonts w:hint="eastAsia"/>
                      <w:szCs w:val="21"/>
                    </w:rPr>
                    <w:t>废过滤棉、废活性炭</w:t>
                  </w:r>
                </w:p>
              </w:tc>
              <w:tc>
                <w:tcPr>
                  <w:tcW w:w="776" w:type="dxa"/>
                  <w:vAlign w:val="center"/>
                </w:tcPr>
                <w:p>
                  <w:pPr>
                    <w:jc w:val="center"/>
                    <w:rPr>
                      <w:szCs w:val="21"/>
                    </w:rPr>
                  </w:pPr>
                  <w:r>
                    <w:rPr>
                      <w:rFonts w:hint="eastAsia"/>
                      <w:szCs w:val="21"/>
                    </w:rPr>
                    <w:t>H</w:t>
                  </w:r>
                  <w:r>
                    <w:rPr>
                      <w:szCs w:val="21"/>
                    </w:rPr>
                    <w:t>W49</w:t>
                  </w:r>
                </w:p>
              </w:tc>
              <w:tc>
                <w:tcPr>
                  <w:tcW w:w="661" w:type="dxa"/>
                  <w:vAlign w:val="center"/>
                </w:tcPr>
                <w:p>
                  <w:pPr>
                    <w:jc w:val="center"/>
                    <w:rPr>
                      <w:szCs w:val="21"/>
                    </w:rPr>
                  </w:pPr>
                  <w:r>
                    <w:rPr>
                      <w:rFonts w:hint="eastAsia"/>
                      <w:szCs w:val="21"/>
                    </w:rPr>
                    <w:t>9</w:t>
                  </w:r>
                  <w:r>
                    <w:rPr>
                      <w:szCs w:val="21"/>
                    </w:rPr>
                    <w:t>00-039-49</w:t>
                  </w:r>
                </w:p>
              </w:tc>
              <w:tc>
                <w:tcPr>
                  <w:tcW w:w="861" w:type="dxa"/>
                  <w:vAlign w:val="center"/>
                </w:tcPr>
                <w:p>
                  <w:pPr>
                    <w:jc w:val="center"/>
                    <w:rPr>
                      <w:szCs w:val="21"/>
                    </w:rPr>
                  </w:pPr>
                  <w:r>
                    <w:rPr>
                      <w:szCs w:val="21"/>
                    </w:rPr>
                    <w:t>1.2</w:t>
                  </w:r>
                </w:p>
                <w:p>
                  <w:pPr>
                    <w:jc w:val="center"/>
                    <w:rPr>
                      <w:szCs w:val="21"/>
                    </w:rPr>
                  </w:pPr>
                  <w:r>
                    <w:rPr>
                      <w:szCs w:val="21"/>
                    </w:rPr>
                    <w:t>t/a</w:t>
                  </w:r>
                </w:p>
              </w:tc>
              <w:tc>
                <w:tcPr>
                  <w:tcW w:w="625" w:type="dxa"/>
                  <w:vAlign w:val="center"/>
                </w:tcPr>
                <w:p>
                  <w:pPr>
                    <w:jc w:val="center"/>
                    <w:rPr>
                      <w:szCs w:val="21"/>
                    </w:rPr>
                  </w:pPr>
                  <w:r>
                    <w:rPr>
                      <w:rFonts w:hint="eastAsia"/>
                      <w:szCs w:val="21"/>
                    </w:rPr>
                    <w:t>有机废气处理</w:t>
                  </w:r>
                </w:p>
              </w:tc>
              <w:tc>
                <w:tcPr>
                  <w:tcW w:w="517" w:type="dxa"/>
                  <w:vAlign w:val="center"/>
                </w:tcPr>
                <w:p>
                  <w:pPr>
                    <w:jc w:val="center"/>
                    <w:rPr>
                      <w:szCs w:val="21"/>
                    </w:rPr>
                  </w:pPr>
                  <w:r>
                    <w:rPr>
                      <w:szCs w:val="21"/>
                    </w:rPr>
                    <w:t>固态</w:t>
                  </w:r>
                </w:p>
              </w:tc>
              <w:tc>
                <w:tcPr>
                  <w:tcW w:w="572" w:type="dxa"/>
                  <w:vAlign w:val="center"/>
                </w:tcPr>
                <w:p>
                  <w:pPr>
                    <w:jc w:val="center"/>
                    <w:rPr>
                      <w:szCs w:val="21"/>
                    </w:rPr>
                  </w:pPr>
                  <w:r>
                    <w:rPr>
                      <w:rFonts w:hint="eastAsia"/>
                      <w:szCs w:val="21"/>
                    </w:rPr>
                    <w:t>活性炭</w:t>
                  </w:r>
                </w:p>
              </w:tc>
              <w:tc>
                <w:tcPr>
                  <w:tcW w:w="571" w:type="dxa"/>
                  <w:vAlign w:val="center"/>
                </w:tcPr>
                <w:p>
                  <w:r>
                    <w:rPr>
                      <w:rFonts w:hint="eastAsia"/>
                      <w:szCs w:val="21"/>
                    </w:rPr>
                    <w:t>烃类</w:t>
                  </w:r>
                </w:p>
              </w:tc>
              <w:tc>
                <w:tcPr>
                  <w:tcW w:w="673" w:type="dxa"/>
                  <w:vAlign w:val="center"/>
                </w:tcPr>
                <w:p>
                  <w:pPr>
                    <w:jc w:val="center"/>
                    <w:rPr>
                      <w:szCs w:val="21"/>
                    </w:rPr>
                  </w:pPr>
                  <w:r>
                    <w:rPr>
                      <w:bCs/>
                      <w:szCs w:val="21"/>
                    </w:rPr>
                    <w:t>1次/ 3</w:t>
                  </w:r>
                  <w:r>
                    <w:rPr>
                      <w:rFonts w:hint="eastAsia"/>
                      <w:bCs/>
                      <w:szCs w:val="21"/>
                    </w:rPr>
                    <w:t>月</w:t>
                  </w:r>
                </w:p>
              </w:tc>
              <w:tc>
                <w:tcPr>
                  <w:tcW w:w="555" w:type="dxa"/>
                  <w:vAlign w:val="center"/>
                </w:tcPr>
                <w:p>
                  <w:pPr>
                    <w:jc w:val="center"/>
                    <w:rPr>
                      <w:szCs w:val="21"/>
                    </w:rPr>
                  </w:pPr>
                  <w:r>
                    <w:t>T</w:t>
                  </w:r>
                </w:p>
              </w:tc>
              <w:tc>
                <w:tcPr>
                  <w:tcW w:w="795" w:type="dxa"/>
                  <w:vMerge w:val="restart"/>
                  <w:vAlign w:val="center"/>
                </w:tcPr>
                <w:p>
                  <w:pPr>
                    <w:jc w:val="center"/>
                    <w:rPr>
                      <w:szCs w:val="21"/>
                    </w:rPr>
                  </w:pPr>
                  <w:r>
                    <w:rPr>
                      <w:rFonts w:hint="eastAsia"/>
                      <w:kern w:val="24"/>
                      <w:szCs w:val="21"/>
                    </w:rPr>
                    <w:t>暂存危废间，委托有资质单位外运处置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87" w:type="dxa"/>
                  <w:vMerge w:val="continue"/>
                  <w:vAlign w:val="center"/>
                </w:tcPr>
                <w:p>
                  <w:pPr>
                    <w:jc w:val="center"/>
                    <w:rPr>
                      <w:bCs/>
                      <w:szCs w:val="21"/>
                    </w:rPr>
                  </w:pPr>
                </w:p>
              </w:tc>
              <w:tc>
                <w:tcPr>
                  <w:tcW w:w="678" w:type="dxa"/>
                  <w:vAlign w:val="center"/>
                </w:tcPr>
                <w:p>
                  <w:pPr>
                    <w:jc w:val="center"/>
                    <w:rPr>
                      <w:szCs w:val="21"/>
                    </w:rPr>
                  </w:pPr>
                  <w:r>
                    <w:rPr>
                      <w:rFonts w:hint="eastAsia"/>
                      <w:szCs w:val="21"/>
                    </w:rPr>
                    <w:t>废液压油</w:t>
                  </w:r>
                </w:p>
              </w:tc>
              <w:tc>
                <w:tcPr>
                  <w:tcW w:w="776" w:type="dxa"/>
                  <w:vMerge w:val="restart"/>
                  <w:vAlign w:val="center"/>
                </w:tcPr>
                <w:p>
                  <w:pPr>
                    <w:jc w:val="center"/>
                    <w:rPr>
                      <w:szCs w:val="21"/>
                    </w:rPr>
                  </w:pPr>
                  <w:r>
                    <w:rPr>
                      <w:rFonts w:hint="eastAsia"/>
                      <w:szCs w:val="21"/>
                    </w:rPr>
                    <w:t>H</w:t>
                  </w:r>
                  <w:r>
                    <w:rPr>
                      <w:szCs w:val="21"/>
                    </w:rPr>
                    <w:t>W08</w:t>
                  </w:r>
                </w:p>
              </w:tc>
              <w:tc>
                <w:tcPr>
                  <w:tcW w:w="661" w:type="dxa"/>
                  <w:vMerge w:val="restart"/>
                  <w:vAlign w:val="center"/>
                </w:tcPr>
                <w:p>
                  <w:pPr>
                    <w:jc w:val="center"/>
                    <w:rPr>
                      <w:szCs w:val="21"/>
                    </w:rPr>
                  </w:pPr>
                  <w:r>
                    <w:rPr>
                      <w:szCs w:val="21"/>
                    </w:rPr>
                    <w:t>900-249-08</w:t>
                  </w:r>
                </w:p>
              </w:tc>
              <w:tc>
                <w:tcPr>
                  <w:tcW w:w="861" w:type="dxa"/>
                  <w:vAlign w:val="center"/>
                </w:tcPr>
                <w:p>
                  <w:pPr>
                    <w:jc w:val="center"/>
                    <w:rPr>
                      <w:szCs w:val="21"/>
                    </w:rPr>
                  </w:pPr>
                  <w:r>
                    <w:rPr>
                      <w:rFonts w:hint="eastAsia"/>
                      <w:szCs w:val="21"/>
                    </w:rPr>
                    <w:t>0</w:t>
                  </w:r>
                  <w:r>
                    <w:rPr>
                      <w:szCs w:val="21"/>
                    </w:rPr>
                    <w:t>.1 t/a</w:t>
                  </w:r>
                </w:p>
              </w:tc>
              <w:tc>
                <w:tcPr>
                  <w:tcW w:w="625" w:type="dxa"/>
                  <w:vMerge w:val="restart"/>
                  <w:vAlign w:val="center"/>
                </w:tcPr>
                <w:p>
                  <w:pPr>
                    <w:jc w:val="center"/>
                    <w:rPr>
                      <w:szCs w:val="21"/>
                    </w:rPr>
                  </w:pPr>
                  <w:r>
                    <w:rPr>
                      <w:rFonts w:hint="eastAsia"/>
                      <w:szCs w:val="21"/>
                    </w:rPr>
                    <w:t>设备维护</w:t>
                  </w:r>
                </w:p>
              </w:tc>
              <w:tc>
                <w:tcPr>
                  <w:tcW w:w="517" w:type="dxa"/>
                  <w:vAlign w:val="center"/>
                </w:tcPr>
                <w:p>
                  <w:pPr>
                    <w:jc w:val="center"/>
                    <w:rPr>
                      <w:szCs w:val="21"/>
                    </w:rPr>
                  </w:pPr>
                  <w:r>
                    <w:rPr>
                      <w:rFonts w:hint="eastAsia"/>
                      <w:szCs w:val="21"/>
                    </w:rPr>
                    <w:t>液体</w:t>
                  </w:r>
                </w:p>
              </w:tc>
              <w:tc>
                <w:tcPr>
                  <w:tcW w:w="572" w:type="dxa"/>
                  <w:vAlign w:val="center"/>
                </w:tcPr>
                <w:p>
                  <w:pPr>
                    <w:jc w:val="center"/>
                    <w:rPr>
                      <w:szCs w:val="21"/>
                    </w:rPr>
                  </w:pPr>
                  <w:r>
                    <w:rPr>
                      <w:rFonts w:hint="eastAsia"/>
                      <w:szCs w:val="21"/>
                    </w:rPr>
                    <w:t>矿物油</w:t>
                  </w:r>
                </w:p>
              </w:tc>
              <w:tc>
                <w:tcPr>
                  <w:tcW w:w="571" w:type="dxa"/>
                  <w:vMerge w:val="restart"/>
                  <w:vAlign w:val="center"/>
                </w:tcPr>
                <w:p>
                  <w:pPr>
                    <w:rPr>
                      <w:szCs w:val="21"/>
                    </w:rPr>
                  </w:pPr>
                  <w:r>
                    <w:rPr>
                      <w:rFonts w:hint="eastAsia"/>
                      <w:szCs w:val="21"/>
                    </w:rPr>
                    <w:t>矿物油</w:t>
                  </w:r>
                </w:p>
              </w:tc>
              <w:tc>
                <w:tcPr>
                  <w:tcW w:w="673" w:type="dxa"/>
                  <w:vMerge w:val="restart"/>
                  <w:vAlign w:val="center"/>
                </w:tcPr>
                <w:p>
                  <w:pPr>
                    <w:jc w:val="center"/>
                    <w:rPr>
                      <w:bCs/>
                      <w:szCs w:val="21"/>
                    </w:rPr>
                  </w:pPr>
                  <w:r>
                    <w:rPr>
                      <w:rFonts w:hint="eastAsia"/>
                      <w:bCs/>
                      <w:szCs w:val="21"/>
                    </w:rPr>
                    <w:t>1次/半年</w:t>
                  </w:r>
                </w:p>
              </w:tc>
              <w:tc>
                <w:tcPr>
                  <w:tcW w:w="555" w:type="dxa"/>
                  <w:vMerge w:val="restart"/>
                  <w:vAlign w:val="center"/>
                </w:tcPr>
                <w:p>
                  <w:pPr>
                    <w:jc w:val="center"/>
                  </w:pPr>
                  <w:r>
                    <w:rPr>
                      <w:rFonts w:hint="eastAsia"/>
                    </w:rPr>
                    <w:t>T，I</w:t>
                  </w:r>
                </w:p>
              </w:tc>
              <w:tc>
                <w:tcPr>
                  <w:tcW w:w="795" w:type="dxa"/>
                  <w:vMerge w:val="continue"/>
                  <w:vAlign w:val="center"/>
                </w:tcPr>
                <w:p>
                  <w:pPr>
                    <w:jc w:val="center"/>
                    <w:rPr>
                      <w:kern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587" w:type="dxa"/>
                  <w:vMerge w:val="continue"/>
                  <w:vAlign w:val="center"/>
                </w:tcPr>
                <w:p>
                  <w:pPr>
                    <w:jc w:val="center"/>
                    <w:rPr>
                      <w:bCs/>
                      <w:szCs w:val="21"/>
                    </w:rPr>
                  </w:pPr>
                </w:p>
              </w:tc>
              <w:tc>
                <w:tcPr>
                  <w:tcW w:w="678" w:type="dxa"/>
                  <w:vAlign w:val="center"/>
                </w:tcPr>
                <w:p>
                  <w:pPr>
                    <w:jc w:val="center"/>
                    <w:rPr>
                      <w:szCs w:val="21"/>
                    </w:rPr>
                  </w:pPr>
                  <w:r>
                    <w:rPr>
                      <w:rFonts w:hint="eastAsia"/>
                      <w:szCs w:val="21"/>
                    </w:rPr>
                    <w:t>废油桶</w:t>
                  </w:r>
                </w:p>
              </w:tc>
              <w:tc>
                <w:tcPr>
                  <w:tcW w:w="776" w:type="dxa"/>
                  <w:vMerge w:val="continue"/>
                  <w:vAlign w:val="center"/>
                </w:tcPr>
                <w:p>
                  <w:pPr>
                    <w:jc w:val="center"/>
                    <w:rPr>
                      <w:szCs w:val="21"/>
                    </w:rPr>
                  </w:pPr>
                </w:p>
              </w:tc>
              <w:tc>
                <w:tcPr>
                  <w:tcW w:w="661" w:type="dxa"/>
                  <w:vMerge w:val="continue"/>
                  <w:vAlign w:val="center"/>
                </w:tcPr>
                <w:p>
                  <w:pPr>
                    <w:jc w:val="center"/>
                    <w:rPr>
                      <w:szCs w:val="21"/>
                    </w:rPr>
                  </w:pPr>
                </w:p>
              </w:tc>
              <w:tc>
                <w:tcPr>
                  <w:tcW w:w="861" w:type="dxa"/>
                  <w:vAlign w:val="center"/>
                </w:tcPr>
                <w:p>
                  <w:pPr>
                    <w:jc w:val="center"/>
                    <w:rPr>
                      <w:szCs w:val="21"/>
                    </w:rPr>
                  </w:pPr>
                  <w:r>
                    <w:rPr>
                      <w:rFonts w:hint="eastAsia"/>
                      <w:szCs w:val="21"/>
                    </w:rPr>
                    <w:t>0</w:t>
                  </w:r>
                  <w:r>
                    <w:rPr>
                      <w:szCs w:val="21"/>
                    </w:rPr>
                    <w:t>.05 t/a</w:t>
                  </w:r>
                </w:p>
              </w:tc>
              <w:tc>
                <w:tcPr>
                  <w:tcW w:w="625" w:type="dxa"/>
                  <w:vMerge w:val="continue"/>
                  <w:vAlign w:val="center"/>
                </w:tcPr>
                <w:p>
                  <w:pPr>
                    <w:jc w:val="center"/>
                    <w:rPr>
                      <w:szCs w:val="21"/>
                    </w:rPr>
                  </w:pPr>
                </w:p>
              </w:tc>
              <w:tc>
                <w:tcPr>
                  <w:tcW w:w="517" w:type="dxa"/>
                  <w:vAlign w:val="center"/>
                </w:tcPr>
                <w:p>
                  <w:pPr>
                    <w:jc w:val="center"/>
                    <w:rPr>
                      <w:szCs w:val="21"/>
                    </w:rPr>
                  </w:pPr>
                  <w:r>
                    <w:rPr>
                      <w:rFonts w:hint="eastAsia"/>
                      <w:szCs w:val="21"/>
                    </w:rPr>
                    <w:t>固态</w:t>
                  </w:r>
                </w:p>
              </w:tc>
              <w:tc>
                <w:tcPr>
                  <w:tcW w:w="572" w:type="dxa"/>
                  <w:vAlign w:val="center"/>
                </w:tcPr>
                <w:p>
                  <w:pPr>
                    <w:jc w:val="center"/>
                    <w:rPr>
                      <w:szCs w:val="21"/>
                    </w:rPr>
                  </w:pPr>
                  <w:r>
                    <w:rPr>
                      <w:rFonts w:hint="eastAsia"/>
                      <w:szCs w:val="21"/>
                    </w:rPr>
                    <w:t>铁</w:t>
                  </w:r>
                </w:p>
              </w:tc>
              <w:tc>
                <w:tcPr>
                  <w:tcW w:w="571" w:type="dxa"/>
                  <w:vMerge w:val="continue"/>
                  <w:vAlign w:val="center"/>
                </w:tcPr>
                <w:p>
                  <w:pPr>
                    <w:rPr>
                      <w:szCs w:val="21"/>
                    </w:rPr>
                  </w:pPr>
                </w:p>
              </w:tc>
              <w:tc>
                <w:tcPr>
                  <w:tcW w:w="673" w:type="dxa"/>
                  <w:vMerge w:val="continue"/>
                  <w:vAlign w:val="center"/>
                </w:tcPr>
                <w:p>
                  <w:pPr>
                    <w:jc w:val="center"/>
                    <w:rPr>
                      <w:bCs/>
                      <w:szCs w:val="21"/>
                    </w:rPr>
                  </w:pPr>
                </w:p>
              </w:tc>
              <w:tc>
                <w:tcPr>
                  <w:tcW w:w="555" w:type="dxa"/>
                  <w:vMerge w:val="continue"/>
                  <w:vAlign w:val="center"/>
                </w:tcPr>
                <w:p>
                  <w:pPr>
                    <w:jc w:val="center"/>
                  </w:pPr>
                </w:p>
              </w:tc>
              <w:tc>
                <w:tcPr>
                  <w:tcW w:w="795" w:type="dxa"/>
                  <w:vMerge w:val="continue"/>
                  <w:vAlign w:val="center"/>
                </w:tcPr>
                <w:p>
                  <w:pPr>
                    <w:jc w:val="center"/>
                    <w:rPr>
                      <w:kern w:val="24"/>
                      <w:szCs w:val="21"/>
                    </w:rPr>
                  </w:pPr>
                </w:p>
              </w:tc>
            </w:tr>
          </w:tbl>
          <w:p>
            <w:pPr>
              <w:adjustRightInd w:val="0"/>
              <w:snapToGrid w:val="0"/>
              <w:spacing w:line="400" w:lineRule="exact"/>
              <w:ind w:firstLine="422" w:firstLineChars="200"/>
              <w:rPr>
                <w:b/>
                <w:szCs w:val="21"/>
              </w:rPr>
            </w:pPr>
            <w:r>
              <w:rPr>
                <w:rFonts w:hint="eastAsia"/>
                <w:b/>
                <w:szCs w:val="21"/>
              </w:rPr>
              <w:t>危险废物暂存间建设要求</w:t>
            </w:r>
          </w:p>
          <w:p>
            <w:pPr>
              <w:adjustRightInd w:val="0"/>
              <w:snapToGrid w:val="0"/>
              <w:spacing w:line="400" w:lineRule="exact"/>
              <w:ind w:firstLine="420" w:firstLineChars="200"/>
              <w:rPr>
                <w:bCs/>
                <w:szCs w:val="21"/>
              </w:rPr>
            </w:pPr>
            <w:r>
              <w:rPr>
                <w:rFonts w:hint="eastAsia"/>
                <w:bCs/>
                <w:szCs w:val="21"/>
              </w:rPr>
              <w:t>危废间按照《危险废物贮存污染控制标准》（GB18597-20</w:t>
            </w:r>
            <w:r>
              <w:rPr>
                <w:bCs/>
                <w:szCs w:val="21"/>
              </w:rPr>
              <w:t>23</w:t>
            </w:r>
            <w:r>
              <w:rPr>
                <w:rFonts w:hint="eastAsia"/>
                <w:bCs/>
                <w:szCs w:val="21"/>
              </w:rPr>
              <w:t>）要求建设，面积约</w:t>
            </w:r>
            <w:r>
              <w:rPr>
                <w:bCs/>
                <w:szCs w:val="21"/>
              </w:rPr>
              <w:t xml:space="preserve">5 </w:t>
            </w:r>
            <w:r>
              <w:rPr>
                <w:rFonts w:hint="eastAsia"/>
                <w:bCs/>
                <w:szCs w:val="21"/>
              </w:rPr>
              <w:t>m</w:t>
            </w:r>
            <w:r>
              <w:rPr>
                <w:rFonts w:hint="eastAsia"/>
                <w:bCs/>
                <w:szCs w:val="21"/>
                <w:vertAlign w:val="superscript"/>
              </w:rPr>
              <w:t>2</w:t>
            </w:r>
            <w:r>
              <w:rPr>
                <w:rFonts w:hint="eastAsia"/>
                <w:bCs/>
                <w:szCs w:val="21"/>
              </w:rPr>
              <w:t>，将废活性炭、废过滤棉、废液压油、废油桶等分别收集并密闭暂存于危废间内。</w:t>
            </w:r>
          </w:p>
          <w:p>
            <w:pPr>
              <w:adjustRightInd w:val="0"/>
              <w:snapToGrid w:val="0"/>
              <w:spacing w:line="400" w:lineRule="exact"/>
              <w:ind w:firstLine="420" w:firstLineChars="200"/>
              <w:rPr>
                <w:szCs w:val="21"/>
              </w:rPr>
            </w:pPr>
            <w:r>
              <w:rPr>
                <w:rFonts w:hint="eastAsia"/>
                <w:bCs/>
                <w:szCs w:val="21"/>
              </w:rPr>
              <w:t>危废间应采取必要的防风、防晒、防雨、防漏、防渗、防腐以及其他环境污染防治措施，</w:t>
            </w:r>
            <w:r>
              <w:rPr>
                <w:rFonts w:hint="eastAsia"/>
                <w:szCs w:val="21"/>
              </w:rPr>
              <w:t>废活性炭、废过滤棉与液压油和废油桶分区存放。</w:t>
            </w:r>
          </w:p>
          <w:p>
            <w:pPr>
              <w:adjustRightInd w:val="0"/>
              <w:snapToGrid w:val="0"/>
              <w:spacing w:line="400" w:lineRule="exact"/>
              <w:ind w:firstLine="420" w:firstLineChars="200"/>
              <w:rPr>
                <w:bCs/>
                <w:szCs w:val="21"/>
              </w:rPr>
            </w:pPr>
            <w:r>
              <w:rPr>
                <w:rFonts w:hint="eastAsia"/>
                <w:szCs w:val="21"/>
              </w:rPr>
              <w:t>危废间地面和墙体应采用坚固的材料建造，表面无裂缝。</w:t>
            </w:r>
            <w:r>
              <w:rPr>
                <w:rFonts w:hint="eastAsia" w:ascii="宋体" w:cs="宋体"/>
                <w:kern w:val="0"/>
                <w:szCs w:val="21"/>
              </w:rPr>
              <w:t>贮存设施地面应采取防渗措施，</w:t>
            </w:r>
            <w:r>
              <w:rPr>
                <w:rFonts w:hint="eastAsia"/>
                <w:szCs w:val="21"/>
              </w:rPr>
              <w:t>表面防渗材料应与所接触的物料或污染物相容，可采用抗渗混凝土、高密度聚乙烯膜、钠基膨润土防水毯或其他防渗性能等效的材料。贮存的危险废物直接接触地面的，还应进行基础防渗，防渗层为至少1 m 厚黏土层（渗透系数不大于1</w:t>
            </w:r>
            <w:r>
              <w:rPr>
                <w:rFonts w:hint="eastAsia"/>
                <w:szCs w:val="21"/>
                <w:vertAlign w:val="superscript"/>
              </w:rPr>
              <w:t>0-7</w:t>
            </w:r>
            <w:r>
              <w:rPr>
                <w:rFonts w:hint="eastAsia"/>
                <w:szCs w:val="21"/>
              </w:rPr>
              <w:t xml:space="preserve"> cm/s），或至少2 mm 厚高密度聚乙烯膜等人工防渗材料（渗透系数不大于10</w:t>
            </w:r>
            <w:r>
              <w:rPr>
                <w:rFonts w:hint="eastAsia"/>
                <w:szCs w:val="21"/>
                <w:vertAlign w:val="superscript"/>
              </w:rPr>
              <w:t>-10</w:t>
            </w:r>
            <w:r>
              <w:rPr>
                <w:rFonts w:hint="eastAsia"/>
                <w:szCs w:val="21"/>
              </w:rPr>
              <w:t xml:space="preserve"> cm/s），或其他防渗性能等效的材料。本项目危废密闭贮存，控制大气污染物排放。同时应采取技术和管理措施防止无关人员进入。最终</w:t>
            </w:r>
            <w:r>
              <w:rPr>
                <w:rFonts w:hint="eastAsia"/>
                <w:bCs/>
                <w:szCs w:val="21"/>
              </w:rPr>
              <w:t>定期交由有资质的危险废物处理单位处理。危险废物按危废相关标准要求进行收运管理，并做好交接记录台账，并按危险废物转移“五联单”要求留档。</w:t>
            </w:r>
          </w:p>
          <w:p>
            <w:pPr>
              <w:adjustRightInd w:val="0"/>
              <w:snapToGrid w:val="0"/>
              <w:spacing w:line="400" w:lineRule="exact"/>
              <w:ind w:firstLine="422" w:firstLineChars="200"/>
              <w:rPr>
                <w:b/>
                <w:szCs w:val="21"/>
              </w:rPr>
            </w:pPr>
            <w:r>
              <w:rPr>
                <w:rFonts w:hint="eastAsia"/>
                <w:b/>
                <w:szCs w:val="21"/>
              </w:rPr>
              <w:t>危险废物贮存及日常管理要求</w:t>
            </w:r>
          </w:p>
          <w:p>
            <w:pPr>
              <w:adjustRightInd w:val="0"/>
              <w:snapToGrid w:val="0"/>
              <w:spacing w:line="400" w:lineRule="exact"/>
              <w:ind w:firstLine="420" w:firstLineChars="200"/>
            </w:pPr>
            <w:r>
              <w:rPr>
                <w:rFonts w:hint="eastAsia"/>
                <w:bCs/>
                <w:szCs w:val="21"/>
              </w:rPr>
              <w:t>根据</w:t>
            </w:r>
            <w:r>
              <w:rPr>
                <w:rFonts w:hint="eastAsia"/>
              </w:rPr>
              <w:t>环境保护及固体废物、危险废物管理的相关要求，项目在危险废物的全过程管理需做到以下要求：</w:t>
            </w:r>
          </w:p>
          <w:p>
            <w:pPr>
              <w:spacing w:line="400" w:lineRule="exact"/>
              <w:jc w:val="center"/>
              <w:rPr>
                <w:b/>
                <w:szCs w:val="21"/>
              </w:rPr>
            </w:pPr>
            <w:r>
              <w:rPr>
                <w:rFonts w:hint="eastAsia"/>
                <w:b/>
                <w:szCs w:val="21"/>
              </w:rPr>
              <w:t>表</w:t>
            </w:r>
            <w:r>
              <w:rPr>
                <w:b/>
                <w:szCs w:val="21"/>
              </w:rPr>
              <w:t xml:space="preserve">4-15  </w:t>
            </w:r>
            <w:r>
              <w:rPr>
                <w:rFonts w:hint="eastAsia"/>
                <w:b/>
                <w:szCs w:val="21"/>
              </w:rPr>
              <w:t>危险废物全过程管理要求</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6"/>
              <w:gridCol w:w="6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tabs>
                      <w:tab w:val="left" w:pos="4275"/>
                    </w:tabs>
                    <w:jc w:val="center"/>
                  </w:pPr>
                  <w:r>
                    <w:rPr>
                      <w:rFonts w:hint="eastAsia"/>
                    </w:rPr>
                    <w:t>类别</w:t>
                  </w:r>
                </w:p>
              </w:tc>
              <w:tc>
                <w:tcPr>
                  <w:tcW w:w="0" w:type="auto"/>
                  <w:vAlign w:val="center"/>
                </w:tcPr>
                <w:p>
                  <w:pPr>
                    <w:autoSpaceDE w:val="0"/>
                    <w:autoSpaceDN w:val="0"/>
                    <w:adjustRightInd w:val="0"/>
                    <w:jc w:val="center"/>
                    <w:rPr>
                      <w:rFonts w:ascii="宋体" w:cs="宋体"/>
                      <w:kern w:val="0"/>
                      <w:szCs w:val="21"/>
                    </w:rPr>
                  </w:pPr>
                  <w:r>
                    <w:rPr>
                      <w:rFonts w:hint="eastAsia" w:ascii="宋体" w:cs="宋体"/>
                      <w:kern w:val="0"/>
                      <w:szCs w:val="21"/>
                    </w:rPr>
                    <w:t>环评可摘录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restart"/>
                  <w:vAlign w:val="center"/>
                </w:tcPr>
                <w:p>
                  <w:pPr>
                    <w:jc w:val="center"/>
                  </w:pPr>
                  <w:r>
                    <w:rPr>
                      <w:rFonts w:hint="eastAsia"/>
                    </w:rPr>
                    <w:t>一、污染环境防治责任制度</w:t>
                  </w:r>
                </w:p>
              </w:tc>
              <w:tc>
                <w:tcPr>
                  <w:tcW w:w="0" w:type="auto"/>
                  <w:vAlign w:val="center"/>
                </w:tcPr>
                <w:p>
                  <w:pPr>
                    <w:jc w:val="center"/>
                  </w:pPr>
                  <w:r>
                    <w:rPr>
                      <w:rFonts w:hint="eastAsia"/>
                    </w:rPr>
                    <w:t>建立固体废物全过程的责任制度，明确责任人和相关人员责任，熟悉危险废物环境管理相关法规、制度、标准、规范，有效落实制度，并采取防治工业固体废物污染环境的措施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continue"/>
                  <w:vAlign w:val="center"/>
                </w:tcPr>
                <w:p>
                  <w:pPr>
                    <w:jc w:val="center"/>
                  </w:pPr>
                </w:p>
              </w:tc>
              <w:tc>
                <w:tcPr>
                  <w:tcW w:w="0" w:type="auto"/>
                  <w:vAlign w:val="center"/>
                </w:tcPr>
                <w:p>
                  <w:pPr>
                    <w:jc w:val="center"/>
                  </w:pPr>
                  <w:r>
                    <w:rPr>
                      <w:rFonts w:hint="eastAsia"/>
                    </w:rPr>
                    <w:t>在适当场所的显著位置张贴危险废物污染防治责任信息，应包括危险废物产生环节、危害特性、去向及责任人等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二、标识制度</w:t>
                  </w:r>
                </w:p>
              </w:tc>
              <w:tc>
                <w:tcPr>
                  <w:tcW w:w="0" w:type="auto"/>
                  <w:vAlign w:val="center"/>
                </w:tcPr>
                <w:p>
                  <w:pPr>
                    <w:jc w:val="center"/>
                  </w:pPr>
                  <w:r>
                    <w:rPr>
                      <w:rFonts w:hint="eastAsia"/>
                    </w:rPr>
                    <w:t>危险废物的容器和包装物，</w:t>
                  </w:r>
                  <w:r>
                    <w:t>收集、贮存、</w:t>
                  </w:r>
                  <w:r>
                    <w:rPr>
                      <w:rFonts w:hint="eastAsia"/>
                    </w:rPr>
                    <w:t>利用、处置危险废物的设施、场所，应当按照规定设置危险废物识别标志，详见表2</w:t>
                  </w:r>
                  <w:r>
                    <w:t>0</w:t>
                  </w:r>
                  <w:r>
                    <w:rPr>
                      <w:rFonts w:hint="eastAsia"/>
                    </w:rPr>
                    <w:t>~</w:t>
                  </w:r>
                  <w: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restart"/>
                  <w:vAlign w:val="center"/>
                </w:tcPr>
                <w:p>
                  <w:pPr>
                    <w:jc w:val="center"/>
                  </w:pPr>
                  <w:r>
                    <w:rPr>
                      <w:rFonts w:hint="eastAsia"/>
                    </w:rPr>
                    <w:t>三、管理计划制度</w:t>
                  </w:r>
                </w:p>
              </w:tc>
              <w:tc>
                <w:tcPr>
                  <w:tcW w:w="0" w:type="auto"/>
                  <w:vAlign w:val="center"/>
                </w:tcPr>
                <w:p>
                  <w:pPr>
                    <w:jc w:val="center"/>
                  </w:pPr>
                  <w:r>
                    <w:rPr>
                      <w:rFonts w:hint="eastAsia"/>
                    </w:rPr>
                    <w:t>制定危险废物管理计划；明确危险废物的产生环节、种类、危害特性、产生量、利用处置方式，提出建设危险废物产生量、降低危害性的措施。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continue"/>
                  <w:vAlign w:val="center"/>
                </w:tcPr>
                <w:p>
                  <w:pPr>
                    <w:jc w:val="center"/>
                  </w:pPr>
                </w:p>
              </w:tc>
              <w:tc>
                <w:tcPr>
                  <w:tcW w:w="0" w:type="auto"/>
                  <w:vAlign w:val="center"/>
                </w:tcPr>
                <w:p>
                  <w:pPr>
                    <w:jc w:val="center"/>
                  </w:pPr>
                  <w:r>
                    <w:rPr>
                      <w:rFonts w:hint="eastAsia"/>
                    </w:rPr>
                    <w:t>向所在地生态环境主管部门备案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四、排污许可制度</w:t>
                  </w:r>
                </w:p>
              </w:tc>
              <w:tc>
                <w:tcPr>
                  <w:tcW w:w="0" w:type="auto"/>
                  <w:vAlign w:val="center"/>
                </w:tcPr>
                <w:p>
                  <w:pPr>
                    <w:jc w:val="center"/>
                  </w:pPr>
                  <w:r>
                    <w:t>依法取得排污许可证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restart"/>
                  <w:vAlign w:val="center"/>
                </w:tcPr>
                <w:p>
                  <w:pPr>
                    <w:jc w:val="center"/>
                  </w:pPr>
                  <w:r>
                    <w:rPr>
                      <w:rFonts w:hint="eastAsia"/>
                    </w:rPr>
                    <w:t>五、台账和申报制度</w:t>
                  </w:r>
                </w:p>
              </w:tc>
              <w:tc>
                <w:tcPr>
                  <w:tcW w:w="0" w:type="auto"/>
                  <w:vAlign w:val="center"/>
                </w:tcPr>
                <w:p>
                  <w:pPr>
                    <w:jc w:val="center"/>
                  </w:pPr>
                  <w:r>
                    <w:rPr>
                      <w:rFonts w:hint="eastAsia"/>
                    </w:rPr>
                    <w:t>全面、准确地记录危险废物产生、入库、出库、自行利用处置等各环节危险废物在企业内部流转情况；且保留各环节台账记录表等证明材料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continue"/>
                  <w:vAlign w:val="center"/>
                </w:tcPr>
                <w:p>
                  <w:pPr>
                    <w:jc w:val="center"/>
                  </w:pPr>
                </w:p>
              </w:tc>
              <w:tc>
                <w:tcPr>
                  <w:tcW w:w="0" w:type="auto"/>
                  <w:vAlign w:val="center"/>
                </w:tcPr>
                <w:p>
                  <w:pPr>
                    <w:jc w:val="center"/>
                  </w:pPr>
                  <w:r>
                    <w:t>通过国家危险</w:t>
                  </w:r>
                  <w:r>
                    <w:rPr>
                      <w:rFonts w:hint="eastAsia"/>
                    </w:rPr>
                    <w:t>废物信息管理系统向所在地生态环境主管部门如实申报危险废物的种类、产生量、流向、贮存、处置等有关资料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六、源头分类制度</w:t>
                  </w:r>
                </w:p>
              </w:tc>
              <w:tc>
                <w:tcPr>
                  <w:tcW w:w="0" w:type="auto"/>
                  <w:vAlign w:val="center"/>
                </w:tcPr>
                <w:p>
                  <w:pPr>
                    <w:jc w:val="center"/>
                  </w:pPr>
                  <w:r>
                    <w:t>按种类分别收集</w:t>
                  </w:r>
                  <w:r>
                    <w:rPr>
                      <w:rFonts w:hint="eastAsia"/>
                    </w:rPr>
                    <w:t>、</w:t>
                  </w:r>
                  <w:r>
                    <w:t>分别存放，不同废物间有明显</w:t>
                  </w:r>
                  <w:r>
                    <w:rPr>
                      <w:rFonts w:hint="eastAsia"/>
                    </w:rPr>
                    <w:t>间隔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restart"/>
                  <w:vAlign w:val="center"/>
                </w:tcPr>
                <w:p>
                  <w:pPr>
                    <w:jc w:val="center"/>
                  </w:pPr>
                  <w:r>
                    <w:rPr>
                      <w:rFonts w:hint="eastAsia"/>
                    </w:rPr>
                    <w:t>七、转移制度</w:t>
                  </w:r>
                </w:p>
              </w:tc>
              <w:tc>
                <w:tcPr>
                  <w:tcW w:w="0" w:type="auto"/>
                  <w:vAlign w:val="center"/>
                </w:tcPr>
                <w:p>
                  <w:pPr>
                    <w:jc w:val="center"/>
                  </w:pPr>
                  <w:r>
                    <w:rPr>
                      <w:rFonts w:hint="eastAsia"/>
                    </w:rPr>
                    <w:t>对危险废物运输和处置单位的主体资格、技术能力进行核实，并保留相关证明材料依法签订书面合同，在合同中约定污染防治要求，同时，</w:t>
                  </w:r>
                  <w:r>
                    <w:t>及时核对受托方收集、利用或者处置相关危险废物情</w:t>
                  </w:r>
                  <w:r>
                    <w:rPr>
                      <w:rFonts w:hint="eastAsia"/>
                    </w:rPr>
                    <w:t>况，并索要并保留相关证明材料。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continue"/>
                  <w:vAlign w:val="center"/>
                </w:tcPr>
                <w:p>
                  <w:pPr>
                    <w:jc w:val="center"/>
                  </w:pPr>
                </w:p>
              </w:tc>
              <w:tc>
                <w:tcPr>
                  <w:tcW w:w="0" w:type="auto"/>
                  <w:vAlign w:val="center"/>
                </w:tcPr>
                <w:p>
                  <w:pPr>
                    <w:jc w:val="center"/>
                  </w:pPr>
                  <w:r>
                    <w:rPr>
                      <w:rFonts w:hint="eastAsia"/>
                    </w:rPr>
                    <w:t>如实填写、运行电子联单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restart"/>
                  <w:vAlign w:val="center"/>
                </w:tcPr>
                <w:p>
                  <w:pPr>
                    <w:jc w:val="center"/>
                  </w:pPr>
                  <w:r>
                    <w:rPr>
                      <w:rFonts w:hint="eastAsia"/>
                    </w:rPr>
                    <w:t>八、环境应急预案备案制度</w:t>
                  </w:r>
                </w:p>
              </w:tc>
              <w:tc>
                <w:tcPr>
                  <w:tcW w:w="0" w:type="auto"/>
                  <w:vAlign w:val="center"/>
                </w:tcPr>
                <w:p>
                  <w:pPr>
                    <w:jc w:val="center"/>
                  </w:pPr>
                  <w:r>
                    <w:t>制定意</w:t>
                  </w:r>
                  <w:r>
                    <w:rPr>
                      <w:rFonts w:hint="eastAsia"/>
                    </w:rPr>
                    <w:t>外事故的环境污染防范措施和应急预案，明确</w:t>
                  </w:r>
                  <w:r>
                    <w:t>管理机构及负责人</w:t>
                  </w:r>
                  <w:r>
                    <w:rPr>
                      <w:rFonts w:hint="eastAsia"/>
                    </w:rPr>
                    <w:t>，</w:t>
                  </w:r>
                  <w:r>
                    <w:t>有意外事故的情形及相应的处理措施</w:t>
                  </w:r>
                  <w:r>
                    <w:rPr>
                      <w:rFonts w:hint="eastAsia"/>
                    </w:rPr>
                    <w:t>、</w:t>
                  </w:r>
                  <w:r>
                    <w:t>要求配置的应急装备及物资</w:t>
                  </w:r>
                  <w:r>
                    <w:rPr>
                      <w:rFonts w:hint="eastAsia"/>
                    </w:rPr>
                    <w:t>，同时</w:t>
                  </w:r>
                  <w:r>
                    <w:t>内部及外部环境发生改变时，及时对应急预案进行修</w:t>
                  </w:r>
                  <w:r>
                    <w:rPr>
                      <w:rFonts w:hint="eastAsia"/>
                    </w:rPr>
                    <w:t>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continue"/>
                  <w:vAlign w:val="center"/>
                </w:tcPr>
                <w:p>
                  <w:pPr>
                    <w:jc w:val="center"/>
                  </w:pPr>
                </w:p>
              </w:tc>
              <w:tc>
                <w:tcPr>
                  <w:tcW w:w="0" w:type="auto"/>
                  <w:vAlign w:val="center"/>
                </w:tcPr>
                <w:p>
                  <w:pPr>
                    <w:jc w:val="center"/>
                  </w:pPr>
                  <w:r>
                    <w:rPr>
                      <w:rFonts w:hint="eastAsia"/>
                    </w:rPr>
                    <w:t>环境应急预案报所在地生态环境主管部门和其他负有固体废物污染环境防治监督管理职责的部门备案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continue"/>
                  <w:vAlign w:val="center"/>
                </w:tcPr>
                <w:p>
                  <w:pPr>
                    <w:jc w:val="center"/>
                  </w:pPr>
                </w:p>
              </w:tc>
              <w:tc>
                <w:tcPr>
                  <w:tcW w:w="0" w:type="auto"/>
                  <w:vAlign w:val="center"/>
                </w:tcPr>
                <w:p>
                  <w:pPr>
                    <w:jc w:val="center"/>
                  </w:pPr>
                  <w:r>
                    <w:rPr>
                      <w:rFonts w:hint="eastAsia"/>
                    </w:rPr>
                    <w:t>定期组装应急演练，并保留相关图片、文字</w:t>
                  </w:r>
                  <w:r>
                    <w:t>或视频记录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九、贮存设施环境管理</w:t>
                  </w:r>
                </w:p>
              </w:tc>
              <w:tc>
                <w:tcPr>
                  <w:tcW w:w="0" w:type="auto"/>
                  <w:vAlign w:val="center"/>
                </w:tcPr>
                <w:p>
                  <w:pPr>
                    <w:jc w:val="center"/>
                  </w:pPr>
                  <w:r>
                    <w:t>符合《危险废物贮存污染控制标准》一般要求，按照</w:t>
                  </w:r>
                  <w:r>
                    <w:rPr>
                      <w:rFonts w:hint="eastAsia"/>
                    </w:rPr>
                    <w:t>危害特性分类贮存危险废物、未混合贮存性质不相容且未经安全性处置的危险废物、具备防渗漏功能或采取相应措施等，</w:t>
                  </w:r>
                  <w:r>
                    <w:t>贮存容器有关要</w:t>
                  </w:r>
                  <w:r>
                    <w:rPr>
                      <w:rFonts w:hint="eastAsia"/>
                    </w:rPr>
                    <w:t>求，装载危险废物的容器完好无损等，危险废物贮存过程产生的各种污染物满足国家污染物排放（控制）标准等要求，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十、信息发布</w:t>
                  </w:r>
                </w:p>
              </w:tc>
              <w:tc>
                <w:tcPr>
                  <w:tcW w:w="0" w:type="auto"/>
                  <w:vAlign w:val="center"/>
                </w:tcPr>
                <w:p>
                  <w:pPr>
                    <w:jc w:val="center"/>
                  </w:pPr>
                  <w:r>
                    <w:rPr>
                      <w:rFonts w:hint="eastAsia"/>
                    </w:rPr>
                    <w:t>通过企业网站等途径依法公开当年危险废物污染环境防治信息</w:t>
                  </w:r>
                </w:p>
              </w:tc>
            </w:tr>
          </w:tbl>
          <w:p>
            <w:pPr>
              <w:adjustRightInd w:val="0"/>
              <w:snapToGrid w:val="0"/>
              <w:spacing w:line="400" w:lineRule="exact"/>
              <w:ind w:firstLine="420" w:firstLineChars="200"/>
              <w:rPr>
                <w:bCs/>
                <w:szCs w:val="21"/>
              </w:rPr>
            </w:pPr>
            <w:r>
              <w:rPr>
                <w:rFonts w:hint="eastAsia"/>
                <w:bCs/>
                <w:szCs w:val="21"/>
              </w:rPr>
              <w:t>另外，企业还应在“河北省固体废物动态信息平台”按要求、如实填报各项信息。</w:t>
            </w:r>
          </w:p>
          <w:p>
            <w:pPr>
              <w:adjustRightInd w:val="0"/>
              <w:snapToGrid w:val="0"/>
              <w:spacing w:line="400" w:lineRule="exact"/>
              <w:ind w:firstLine="422" w:firstLineChars="200"/>
              <w:rPr>
                <w:b/>
                <w:szCs w:val="21"/>
              </w:rPr>
            </w:pPr>
            <w:r>
              <w:rPr>
                <w:rFonts w:hint="eastAsia"/>
                <w:b/>
                <w:szCs w:val="21"/>
              </w:rPr>
              <w:t>危险废物贮存场所环境影响分析，如下：</w:t>
            </w:r>
          </w:p>
          <w:p>
            <w:pPr>
              <w:adjustRightInd w:val="0"/>
              <w:snapToGrid w:val="0"/>
              <w:spacing w:line="400" w:lineRule="exact"/>
              <w:ind w:firstLine="420" w:firstLineChars="200"/>
              <w:rPr>
                <w:bCs/>
                <w:szCs w:val="21"/>
              </w:rPr>
            </w:pPr>
            <w:r>
              <w:rPr>
                <w:rFonts w:hint="eastAsia"/>
                <w:bCs/>
                <w:szCs w:val="21"/>
              </w:rPr>
              <w:t>1）选址符合性</w:t>
            </w:r>
          </w:p>
          <w:p>
            <w:pPr>
              <w:adjustRightInd w:val="0"/>
              <w:snapToGrid w:val="0"/>
              <w:spacing w:line="400" w:lineRule="exact"/>
              <w:ind w:firstLine="420" w:firstLineChars="200"/>
              <w:rPr>
                <w:bCs/>
                <w:szCs w:val="21"/>
              </w:rPr>
            </w:pPr>
            <w:r>
              <w:rPr>
                <w:rFonts w:hint="eastAsia"/>
                <w:bCs/>
                <w:szCs w:val="21"/>
              </w:rPr>
              <w:t>项目</w:t>
            </w:r>
            <w:r>
              <w:rPr>
                <w:bCs/>
                <w:szCs w:val="21"/>
              </w:rPr>
              <w:t>危废间</w:t>
            </w:r>
            <w:r>
              <w:rPr>
                <w:rFonts w:hint="eastAsia"/>
                <w:bCs/>
                <w:szCs w:val="21"/>
              </w:rPr>
              <w:t>选址处地质结构稳定，且处于地下水最高水位以上。选址不在易燃易爆等危险品仓库、高压输电线的防护范围内，其选址符合要求。</w:t>
            </w:r>
          </w:p>
          <w:p>
            <w:pPr>
              <w:adjustRightInd w:val="0"/>
              <w:snapToGrid w:val="0"/>
              <w:spacing w:line="400" w:lineRule="exact"/>
              <w:ind w:firstLine="420" w:firstLineChars="200"/>
              <w:rPr>
                <w:bCs/>
                <w:szCs w:val="21"/>
              </w:rPr>
            </w:pPr>
            <w:r>
              <w:rPr>
                <w:rFonts w:hint="eastAsia"/>
                <w:bCs/>
                <w:szCs w:val="21"/>
              </w:rPr>
              <w:t>2）危废间贮存能力分析</w:t>
            </w:r>
          </w:p>
          <w:p>
            <w:pPr>
              <w:adjustRightInd w:val="0"/>
              <w:snapToGrid w:val="0"/>
              <w:spacing w:line="400" w:lineRule="exact"/>
              <w:ind w:firstLine="420" w:firstLineChars="200"/>
              <w:rPr>
                <w:bCs/>
                <w:szCs w:val="21"/>
              </w:rPr>
            </w:pPr>
            <w:r>
              <w:rPr>
                <w:rFonts w:hint="eastAsia"/>
                <w:bCs/>
                <w:szCs w:val="21"/>
              </w:rPr>
              <w:t>危废间面积</w:t>
            </w:r>
            <w:r>
              <w:rPr>
                <w:bCs/>
                <w:szCs w:val="21"/>
              </w:rPr>
              <w:t>5 m</w:t>
            </w:r>
            <w:r>
              <w:rPr>
                <w:bCs/>
                <w:szCs w:val="21"/>
                <w:vertAlign w:val="superscript"/>
              </w:rPr>
              <w:t>2</w:t>
            </w:r>
            <w:r>
              <w:rPr>
                <w:rFonts w:hint="eastAsia"/>
                <w:bCs/>
                <w:szCs w:val="21"/>
              </w:rPr>
              <w:t>，主要暂存</w:t>
            </w:r>
            <w:r>
              <w:rPr>
                <w:rFonts w:hint="eastAsia"/>
                <w:szCs w:val="21"/>
              </w:rPr>
              <w:t>废活性炭、废过滤棉与液压油和废油桶</w:t>
            </w:r>
            <w:r>
              <w:rPr>
                <w:rFonts w:hint="eastAsia"/>
                <w:bCs/>
                <w:szCs w:val="21"/>
              </w:rPr>
              <w:t>，项目在加快周期期限的情况下，暂存危废间，可行。</w:t>
            </w:r>
          </w:p>
          <w:p>
            <w:pPr>
              <w:adjustRightInd w:val="0"/>
              <w:snapToGrid w:val="0"/>
              <w:spacing w:line="400" w:lineRule="exact"/>
              <w:ind w:firstLine="420" w:firstLineChars="200"/>
              <w:rPr>
                <w:bCs/>
                <w:szCs w:val="21"/>
              </w:rPr>
            </w:pPr>
            <w:r>
              <w:rPr>
                <w:rFonts w:hint="eastAsia"/>
                <w:bCs/>
                <w:szCs w:val="21"/>
              </w:rPr>
              <w:t>3）贮存过程的环境影响</w:t>
            </w:r>
          </w:p>
          <w:p>
            <w:pPr>
              <w:adjustRightInd w:val="0"/>
              <w:snapToGrid w:val="0"/>
              <w:spacing w:line="400" w:lineRule="exact"/>
              <w:ind w:firstLine="420" w:firstLineChars="200"/>
              <w:rPr>
                <w:bCs/>
                <w:szCs w:val="21"/>
              </w:rPr>
            </w:pPr>
            <w:r>
              <w:rPr>
                <w:rFonts w:hint="eastAsia"/>
                <w:bCs/>
                <w:szCs w:val="21"/>
              </w:rPr>
              <w:t>项目危废暂存过程中密闭存放，对周边大气环境影响不大，且项目距离环境空气敏感点较远，可以满足要求。地面按照《危险废物贮存污染控制标准》(GB18597-20</w:t>
            </w:r>
            <w:r>
              <w:rPr>
                <w:bCs/>
                <w:szCs w:val="21"/>
              </w:rPr>
              <w:t>23</w:t>
            </w:r>
            <w:r>
              <w:rPr>
                <w:rFonts w:hint="eastAsia"/>
                <w:bCs/>
                <w:szCs w:val="21"/>
              </w:rPr>
              <w:t>)进行建设，可以将对土壤及地下水的污染风险降到最低。</w:t>
            </w:r>
          </w:p>
          <w:p>
            <w:pPr>
              <w:adjustRightInd w:val="0"/>
              <w:snapToGrid w:val="0"/>
              <w:spacing w:line="400" w:lineRule="exact"/>
              <w:ind w:firstLine="420" w:firstLineChars="200"/>
              <w:rPr>
                <w:bCs/>
                <w:szCs w:val="21"/>
              </w:rPr>
            </w:pPr>
            <w:r>
              <w:rPr>
                <w:rFonts w:hint="eastAsia"/>
                <w:bCs/>
                <w:szCs w:val="21"/>
              </w:rPr>
              <w:t>4）运输过程的环境影响</w:t>
            </w:r>
          </w:p>
          <w:p>
            <w:pPr>
              <w:adjustRightInd w:val="0"/>
              <w:snapToGrid w:val="0"/>
              <w:spacing w:line="400" w:lineRule="exact"/>
              <w:ind w:firstLine="420" w:firstLineChars="200"/>
              <w:rPr>
                <w:bCs/>
                <w:szCs w:val="21"/>
              </w:rPr>
            </w:pPr>
            <w:r>
              <w:rPr>
                <w:rFonts w:hint="eastAsia"/>
                <w:bCs/>
                <w:szCs w:val="21"/>
              </w:rPr>
              <w:t>项目危废产生后密闭运送至危废间。厂区内运输道路平整，在运输过程按照要求操作，避免遗撒，并配备泄漏处理应急物资和其他保障措施；外运有资质单位时的运输由处置单位提供运输车辆，同时按照《危险废物收集贮存运输技术规范》(HJ2025-2012)中的相关要求作业。</w:t>
            </w:r>
          </w:p>
          <w:p>
            <w:pPr>
              <w:adjustRightInd w:val="0"/>
              <w:snapToGrid w:val="0"/>
              <w:spacing w:line="400" w:lineRule="exact"/>
              <w:ind w:firstLine="420" w:firstLineChars="200"/>
              <w:rPr>
                <w:bCs/>
                <w:szCs w:val="21"/>
              </w:rPr>
            </w:pPr>
            <w:r>
              <w:rPr>
                <w:rFonts w:hint="eastAsia"/>
                <w:bCs/>
                <w:szCs w:val="21"/>
              </w:rPr>
              <w:t>（5）日常管理要求</w:t>
            </w:r>
          </w:p>
          <w:p>
            <w:pPr>
              <w:adjustRightInd w:val="0"/>
              <w:snapToGrid w:val="0"/>
              <w:spacing w:line="400" w:lineRule="exact"/>
              <w:ind w:firstLine="420" w:firstLineChars="200"/>
              <w:rPr>
                <w:bCs/>
                <w:szCs w:val="21"/>
              </w:rPr>
            </w:pPr>
            <w:r>
              <w:rPr>
                <w:rFonts w:hint="eastAsia"/>
                <w:bCs/>
                <w:szCs w:val="21"/>
              </w:rPr>
              <w:t>按照</w:t>
            </w:r>
            <w:bookmarkStart w:id="15" w:name="_GoBack"/>
            <w:bookmarkEnd w:id="15"/>
            <w:r>
              <w:rPr>
                <w:rFonts w:hint="eastAsia"/>
                <w:bCs/>
                <w:szCs w:val="21"/>
                <w:lang w:eastAsia="zh-CN"/>
              </w:rPr>
              <w:t>《中华人民共和国固体废物污染环境防治法》</w:t>
            </w:r>
            <w:r>
              <w:rPr>
                <w:rFonts w:hint="eastAsia"/>
                <w:bCs/>
                <w:szCs w:val="21"/>
              </w:rPr>
              <w:t>（2020.4.29修订）要求，按照“减量化、资源化和无害化”的原则，应当及时依法及时公开固体废物污染环境防治信息，主动接受社会监督，同时建立健全工业固体废物产生、收集、贮存、运输、利用和处置全过程污染环境防治责任制度，建立工业固体废物管理台账，如实记录产生工业固体废物的种类、数量、流向、贮存、利用、处置等信息，实现工业固体废物可追溯、可查询，并采取防治工业固体废物污染环境的措施。并且禁止向生活垃圾中投放工业固体废物。</w:t>
            </w:r>
          </w:p>
          <w:p>
            <w:pPr>
              <w:adjustRightInd w:val="0"/>
              <w:snapToGrid w:val="0"/>
              <w:spacing w:line="400" w:lineRule="exact"/>
              <w:ind w:firstLine="420" w:firstLineChars="200"/>
              <w:rPr>
                <w:bCs/>
                <w:szCs w:val="21"/>
              </w:rPr>
            </w:pPr>
            <w:r>
              <w:rPr>
                <w:rFonts w:hint="eastAsia"/>
                <w:bCs/>
                <w:szCs w:val="21"/>
              </w:rPr>
              <w:t>同时按照《一般工业固体废物管理台账制定指南》（试行）《危险废物管理计划和管理台账制定技术导则（HJ 1259—2022）》的相关要求，如实记录工业固体废物的种类、数量、流向、贮存、利用、处置等信息，可以实现工业固体废物可追溯、可查询的目的，推动企业提升固体废物管理水平。</w:t>
            </w:r>
          </w:p>
          <w:p>
            <w:pPr>
              <w:adjustRightInd w:val="0"/>
              <w:snapToGrid w:val="0"/>
              <w:spacing w:line="400" w:lineRule="exact"/>
              <w:ind w:firstLine="420" w:firstLineChars="200"/>
              <w:rPr>
                <w:bCs/>
                <w:szCs w:val="21"/>
              </w:rPr>
            </w:pPr>
            <w:r>
              <w:rPr>
                <w:rFonts w:hint="eastAsia"/>
                <w:bCs/>
                <w:szCs w:val="21"/>
              </w:rPr>
              <w:t>（6）小结</w:t>
            </w:r>
          </w:p>
          <w:p>
            <w:pPr>
              <w:adjustRightInd w:val="0"/>
              <w:snapToGrid w:val="0"/>
              <w:spacing w:line="400" w:lineRule="exact"/>
              <w:ind w:firstLine="420" w:firstLineChars="200"/>
              <w:rPr>
                <w:bCs/>
                <w:szCs w:val="21"/>
              </w:rPr>
            </w:pPr>
            <w:r>
              <w:rPr>
                <w:rFonts w:hint="eastAsia"/>
                <w:bCs/>
                <w:szCs w:val="21"/>
              </w:rPr>
              <w:t>综上，本项目固体废物对环境的影响很小。</w:t>
            </w:r>
          </w:p>
          <w:p>
            <w:pPr>
              <w:adjustRightInd w:val="0"/>
              <w:snapToGrid w:val="0"/>
              <w:spacing w:line="400" w:lineRule="exact"/>
              <w:ind w:firstLine="422" w:firstLineChars="200"/>
              <w:rPr>
                <w:b/>
                <w:szCs w:val="21"/>
              </w:rPr>
            </w:pPr>
            <w:r>
              <w:rPr>
                <w:b/>
                <w:szCs w:val="21"/>
              </w:rPr>
              <w:t>5、地下水和土壤</w:t>
            </w:r>
          </w:p>
          <w:p>
            <w:pPr>
              <w:adjustRightInd w:val="0"/>
              <w:snapToGrid w:val="0"/>
              <w:spacing w:line="400" w:lineRule="exact"/>
              <w:ind w:firstLine="420" w:firstLineChars="200"/>
              <w:rPr>
                <w:bCs/>
                <w:szCs w:val="21"/>
              </w:rPr>
            </w:pPr>
            <w:r>
              <w:rPr>
                <w:rFonts w:hint="eastAsia"/>
                <w:bCs/>
                <w:szCs w:val="21"/>
              </w:rPr>
              <w:t>项目生产车间内的润滑油和液压油暂存区，设置防渗地面和围堰，以及危废间按照</w:t>
            </w:r>
            <w:r>
              <w:rPr>
                <w:bCs/>
                <w:szCs w:val="21"/>
              </w:rPr>
              <w:t>《危险废物贮存污染控制标准》(GB18597-2023)</w:t>
            </w:r>
            <w:r>
              <w:rPr>
                <w:rFonts w:hint="eastAsia"/>
                <w:bCs/>
                <w:szCs w:val="21"/>
              </w:rPr>
              <w:t>建设，设置分区，并需满足重点防渗的要求，基本无地下水及土壤污染途径，对土壤及地下水影响很小。</w:t>
            </w:r>
          </w:p>
          <w:p>
            <w:pPr>
              <w:suppressAutoHyphens/>
              <w:adjustRightInd w:val="0"/>
              <w:snapToGrid w:val="0"/>
              <w:spacing w:line="400" w:lineRule="exact"/>
              <w:ind w:firstLine="420" w:firstLineChars="200"/>
              <w:rPr>
                <w:szCs w:val="21"/>
              </w:rPr>
            </w:pPr>
            <w:bookmarkStart w:id="9" w:name="_Toc321985299"/>
            <w:r>
              <w:rPr>
                <w:szCs w:val="21"/>
              </w:rPr>
              <w:t>一般情况下，以水平防渗为主，根据项目场地包气带防污性</w:t>
            </w:r>
            <w:r>
              <w:rPr>
                <w:rFonts w:hint="eastAsia"/>
                <w:szCs w:val="21"/>
              </w:rPr>
              <w:t>能、污染控制难易程度和污染物特性，提出防渗技术要求。本项目防渗要求见下表。</w:t>
            </w:r>
          </w:p>
          <w:p>
            <w:pPr>
              <w:spacing w:line="400" w:lineRule="exact"/>
              <w:jc w:val="center"/>
              <w:rPr>
                <w:b/>
                <w:szCs w:val="21"/>
              </w:rPr>
            </w:pPr>
            <w:r>
              <w:rPr>
                <w:rFonts w:hint="eastAsia"/>
                <w:b/>
                <w:szCs w:val="21"/>
              </w:rPr>
              <w:t>表</w:t>
            </w:r>
            <w:r>
              <w:rPr>
                <w:b/>
                <w:szCs w:val="21"/>
              </w:rPr>
              <w:t>4-16</w:t>
            </w:r>
            <w:r>
              <w:rPr>
                <w:rFonts w:hint="eastAsia"/>
                <w:b/>
                <w:szCs w:val="21"/>
              </w:rPr>
              <w:t xml:space="preserve">  分区防渗</w:t>
            </w:r>
          </w:p>
          <w:bookmarkEnd w:id="9"/>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946"/>
              <w:gridCol w:w="3381"/>
              <w:gridCol w:w="1917"/>
              <w:gridCol w:w="1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tblHeader/>
                <w:jc w:val="center"/>
              </w:trPr>
              <w:tc>
                <w:tcPr>
                  <w:tcW w:w="596" w:type="pct"/>
                  <w:vAlign w:val="center"/>
                </w:tcPr>
                <w:p>
                  <w:pPr>
                    <w:adjustRightInd w:val="0"/>
                    <w:snapToGrid w:val="0"/>
                    <w:jc w:val="center"/>
                    <w:rPr>
                      <w:szCs w:val="21"/>
                      <w:lang w:val="zh-CN" w:eastAsia="zh-CN"/>
                    </w:rPr>
                  </w:pPr>
                  <w:r>
                    <w:rPr>
                      <w:szCs w:val="21"/>
                      <w:lang w:val="zh-CN" w:eastAsia="zh-CN"/>
                    </w:rPr>
                    <w:t>类别</w:t>
                  </w:r>
                </w:p>
              </w:tc>
              <w:tc>
                <w:tcPr>
                  <w:tcW w:w="2130" w:type="pct"/>
                  <w:vAlign w:val="center"/>
                </w:tcPr>
                <w:p>
                  <w:pPr>
                    <w:adjustRightInd w:val="0"/>
                    <w:snapToGrid w:val="0"/>
                    <w:jc w:val="center"/>
                    <w:rPr>
                      <w:szCs w:val="21"/>
                      <w:lang w:val="zh-CN" w:eastAsia="zh-CN"/>
                    </w:rPr>
                  </w:pPr>
                  <w:r>
                    <w:rPr>
                      <w:szCs w:val="21"/>
                      <w:lang w:val="zh-CN" w:eastAsia="zh-CN"/>
                    </w:rPr>
                    <w:t>防渗要求</w:t>
                  </w:r>
                </w:p>
              </w:tc>
              <w:tc>
                <w:tcPr>
                  <w:tcW w:w="1208" w:type="pct"/>
                  <w:vAlign w:val="center"/>
                </w:tcPr>
                <w:p>
                  <w:pPr>
                    <w:adjustRightInd w:val="0"/>
                    <w:snapToGrid w:val="0"/>
                    <w:jc w:val="center"/>
                    <w:rPr>
                      <w:szCs w:val="21"/>
                      <w:lang w:val="zh-CN" w:eastAsia="zh-CN"/>
                    </w:rPr>
                  </w:pPr>
                  <w:r>
                    <w:rPr>
                      <w:rFonts w:hint="eastAsia"/>
                      <w:szCs w:val="21"/>
                      <w:lang w:val="zh-CN"/>
                    </w:rPr>
                    <w:t>位置</w:t>
                  </w:r>
                </w:p>
              </w:tc>
              <w:tc>
                <w:tcPr>
                  <w:tcW w:w="1066" w:type="pct"/>
                  <w:vAlign w:val="center"/>
                </w:tcPr>
                <w:p>
                  <w:pPr>
                    <w:adjustRightInd w:val="0"/>
                    <w:snapToGrid w:val="0"/>
                    <w:jc w:val="center"/>
                    <w:rPr>
                      <w:szCs w:val="21"/>
                      <w:lang w:val="zh-CN" w:eastAsia="zh-CN"/>
                    </w:rPr>
                  </w:pPr>
                  <w:r>
                    <w:rPr>
                      <w:szCs w:val="21"/>
                      <w:lang w:val="zh-CN" w:eastAsia="zh-CN"/>
                    </w:rPr>
                    <w:t>污染防治区域或部位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4" w:hRule="atLeast"/>
                <w:jc w:val="center"/>
              </w:trPr>
              <w:tc>
                <w:tcPr>
                  <w:tcW w:w="596" w:type="pct"/>
                  <w:vMerge w:val="restart"/>
                  <w:vAlign w:val="center"/>
                </w:tcPr>
                <w:p>
                  <w:pPr>
                    <w:adjustRightInd w:val="0"/>
                    <w:snapToGrid w:val="0"/>
                    <w:jc w:val="center"/>
                    <w:rPr>
                      <w:szCs w:val="21"/>
                      <w:lang w:val="zh-CN" w:eastAsia="zh-CN"/>
                    </w:rPr>
                  </w:pPr>
                  <w:r>
                    <w:rPr>
                      <w:szCs w:val="21"/>
                      <w:lang w:val="zh-CN" w:eastAsia="zh-CN"/>
                    </w:rPr>
                    <w:t>重点</w:t>
                  </w:r>
                  <w:r>
                    <w:rPr>
                      <w:rFonts w:hint="eastAsia"/>
                      <w:szCs w:val="21"/>
                      <w:lang w:val="zh-CN"/>
                    </w:rPr>
                    <w:t>防渗</w:t>
                  </w:r>
                  <w:r>
                    <w:rPr>
                      <w:szCs w:val="21"/>
                      <w:lang w:val="zh-CN" w:eastAsia="zh-CN"/>
                    </w:rPr>
                    <w:t>区</w:t>
                  </w:r>
                </w:p>
              </w:tc>
              <w:tc>
                <w:tcPr>
                  <w:tcW w:w="2130" w:type="pct"/>
                  <w:vMerge w:val="restart"/>
                  <w:vAlign w:val="center"/>
                </w:tcPr>
                <w:p>
                  <w:pPr>
                    <w:adjustRightInd w:val="0"/>
                    <w:snapToGrid w:val="0"/>
                    <w:jc w:val="center"/>
                    <w:rPr>
                      <w:szCs w:val="21"/>
                      <w:lang w:val="zh-CN" w:eastAsia="zh-CN"/>
                    </w:rPr>
                  </w:pPr>
                  <w:r>
                    <w:rPr>
                      <w:rFonts w:hint="eastAsia"/>
                      <w:szCs w:val="21"/>
                      <w:lang w:val="zh-CN" w:eastAsia="zh-CN"/>
                    </w:rPr>
                    <w:t>参照GB18598执行，采用双人工复合衬层作为防渗层</w:t>
                  </w:r>
                  <w:r>
                    <w:rPr>
                      <w:rFonts w:hint="eastAsia"/>
                      <w:szCs w:val="21"/>
                      <w:lang w:val="zh-CN"/>
                    </w:rPr>
                    <w:t>，可</w:t>
                  </w:r>
                  <w:r>
                    <w:rPr>
                      <w:rFonts w:hint="eastAsia"/>
                      <w:szCs w:val="21"/>
                      <w:lang w:val="zh-CN" w:eastAsia="zh-CN"/>
                    </w:rPr>
                    <w:t>选用厚度不小于2mm的高密度聚乙烯或者其他具有同等效力的人工合成材料（渗透系数≤1.0×10</w:t>
                  </w:r>
                  <w:r>
                    <w:rPr>
                      <w:rFonts w:hint="eastAsia"/>
                      <w:szCs w:val="21"/>
                      <w:vertAlign w:val="superscript"/>
                      <w:lang w:val="zh-CN" w:eastAsia="zh-CN"/>
                    </w:rPr>
                    <w:t>-10</w:t>
                  </w:r>
                  <w:r>
                    <w:rPr>
                      <w:rFonts w:hint="eastAsia"/>
                      <w:szCs w:val="21"/>
                      <w:lang w:val="zh-CN" w:eastAsia="zh-CN"/>
                    </w:rPr>
                    <w:t>cm/s）</w:t>
                  </w:r>
                  <w:r>
                    <w:rPr>
                      <w:rFonts w:hint="eastAsia"/>
                      <w:szCs w:val="21"/>
                      <w:lang w:val="zh-CN"/>
                    </w:rPr>
                    <w:t>，表面进行防腐处理</w:t>
                  </w:r>
                </w:p>
              </w:tc>
              <w:tc>
                <w:tcPr>
                  <w:tcW w:w="1208" w:type="pct"/>
                  <w:vAlign w:val="center"/>
                </w:tcPr>
                <w:p>
                  <w:pPr>
                    <w:adjustRightInd w:val="0"/>
                    <w:snapToGrid w:val="0"/>
                    <w:jc w:val="center"/>
                    <w:rPr>
                      <w:szCs w:val="21"/>
                      <w:lang w:val="zh-CN" w:eastAsia="zh-CN"/>
                    </w:rPr>
                  </w:pPr>
                  <w:r>
                    <w:rPr>
                      <w:rFonts w:hint="eastAsia" w:hAnsi="宋体"/>
                      <w:kern w:val="0"/>
                      <w:szCs w:val="21"/>
                      <w:lang w:val="zh-CN"/>
                    </w:rPr>
                    <w:t>润滑油、液压油暂存区</w:t>
                  </w:r>
                </w:p>
              </w:tc>
              <w:tc>
                <w:tcPr>
                  <w:tcW w:w="1066" w:type="pct"/>
                  <w:vAlign w:val="center"/>
                </w:tcPr>
                <w:p>
                  <w:pPr>
                    <w:adjustRightInd w:val="0"/>
                    <w:snapToGrid w:val="0"/>
                    <w:jc w:val="center"/>
                    <w:rPr>
                      <w:szCs w:val="21"/>
                      <w:lang w:val="zh-CN" w:eastAsia="zh-CN"/>
                    </w:rPr>
                  </w:pPr>
                  <w:r>
                    <w:rPr>
                      <w:rFonts w:hint="eastAsia"/>
                      <w:szCs w:val="21"/>
                      <w:lang w:val="zh-CN"/>
                    </w:rPr>
                    <w:t>地面及围堰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4" w:hRule="atLeast"/>
                <w:jc w:val="center"/>
              </w:trPr>
              <w:tc>
                <w:tcPr>
                  <w:tcW w:w="596" w:type="pct"/>
                  <w:vMerge w:val="continue"/>
                  <w:vAlign w:val="center"/>
                </w:tcPr>
                <w:p>
                  <w:pPr>
                    <w:adjustRightInd w:val="0"/>
                    <w:snapToGrid w:val="0"/>
                    <w:jc w:val="center"/>
                    <w:rPr>
                      <w:szCs w:val="21"/>
                      <w:lang w:val="zh-CN" w:eastAsia="zh-CN"/>
                    </w:rPr>
                  </w:pPr>
                </w:p>
              </w:tc>
              <w:tc>
                <w:tcPr>
                  <w:tcW w:w="2130" w:type="pct"/>
                  <w:vMerge w:val="continue"/>
                  <w:vAlign w:val="center"/>
                </w:tcPr>
                <w:p>
                  <w:pPr>
                    <w:adjustRightInd w:val="0"/>
                    <w:snapToGrid w:val="0"/>
                    <w:jc w:val="center"/>
                    <w:rPr>
                      <w:szCs w:val="21"/>
                      <w:lang w:val="zh-CN" w:eastAsia="zh-CN"/>
                    </w:rPr>
                  </w:pPr>
                </w:p>
              </w:tc>
              <w:tc>
                <w:tcPr>
                  <w:tcW w:w="1208" w:type="pct"/>
                  <w:vAlign w:val="center"/>
                </w:tcPr>
                <w:p>
                  <w:pPr>
                    <w:widowControl/>
                    <w:adjustRightInd w:val="0"/>
                    <w:snapToGrid w:val="0"/>
                    <w:jc w:val="center"/>
                    <w:rPr>
                      <w:rFonts w:hAnsi="宋体"/>
                      <w:snapToGrid w:val="0"/>
                      <w:kern w:val="0"/>
                      <w:szCs w:val="21"/>
                    </w:rPr>
                  </w:pPr>
                  <w:r>
                    <w:rPr>
                      <w:rFonts w:hint="eastAsia" w:hAnsi="宋体"/>
                      <w:kern w:val="0"/>
                      <w:szCs w:val="21"/>
                      <w:lang w:val="zh-CN" w:eastAsia="zh-CN"/>
                    </w:rPr>
                    <w:t>危废</w:t>
                  </w:r>
                  <w:r>
                    <w:rPr>
                      <w:rFonts w:hint="eastAsia" w:hAnsi="宋体"/>
                      <w:kern w:val="0"/>
                      <w:szCs w:val="21"/>
                      <w:lang w:val="zh-CN"/>
                    </w:rPr>
                    <w:t>间</w:t>
                  </w:r>
                </w:p>
              </w:tc>
              <w:tc>
                <w:tcPr>
                  <w:tcW w:w="1066" w:type="pct"/>
                  <w:vAlign w:val="center"/>
                </w:tcPr>
                <w:p>
                  <w:pPr>
                    <w:adjustRightInd w:val="0"/>
                    <w:snapToGrid w:val="0"/>
                    <w:jc w:val="center"/>
                    <w:rPr>
                      <w:szCs w:val="21"/>
                      <w:lang w:val="zh-CN" w:eastAsia="zh-CN"/>
                    </w:rPr>
                  </w:pPr>
                  <w:r>
                    <w:rPr>
                      <w:szCs w:val="21"/>
                      <w:lang w:val="zh-CN" w:eastAsia="zh-CN"/>
                    </w:rPr>
                    <w:t>地面</w:t>
                  </w:r>
                  <w:r>
                    <w:rPr>
                      <w:rFonts w:hint="eastAsia"/>
                      <w:szCs w:val="21"/>
                      <w:lang w:val="zh-CN"/>
                    </w:rPr>
                    <w:t>，</w:t>
                  </w:r>
                  <w:r>
                    <w:rPr>
                      <w:szCs w:val="21"/>
                      <w:lang w:val="zh-CN" w:eastAsia="zh-CN"/>
                    </w:rPr>
                    <w:t>墙裙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jc w:val="center"/>
              </w:trPr>
              <w:tc>
                <w:tcPr>
                  <w:tcW w:w="596" w:type="pct"/>
                  <w:vAlign w:val="center"/>
                </w:tcPr>
                <w:p>
                  <w:pPr>
                    <w:adjustRightInd w:val="0"/>
                    <w:snapToGrid w:val="0"/>
                    <w:jc w:val="center"/>
                    <w:rPr>
                      <w:szCs w:val="21"/>
                      <w:lang w:val="zh-CN" w:eastAsia="zh-CN"/>
                    </w:rPr>
                  </w:pPr>
                  <w:r>
                    <w:rPr>
                      <w:rFonts w:hint="eastAsia"/>
                      <w:szCs w:val="21"/>
                      <w:lang w:val="zh-CN"/>
                    </w:rPr>
                    <w:t>简单防渗</w:t>
                  </w:r>
                  <w:r>
                    <w:rPr>
                      <w:szCs w:val="21"/>
                      <w:lang w:val="zh-CN" w:eastAsia="zh-CN"/>
                    </w:rPr>
                    <w:t>区</w:t>
                  </w:r>
                </w:p>
              </w:tc>
              <w:tc>
                <w:tcPr>
                  <w:tcW w:w="2130" w:type="pct"/>
                  <w:vAlign w:val="center"/>
                </w:tcPr>
                <w:p>
                  <w:pPr>
                    <w:adjustRightInd w:val="0"/>
                    <w:snapToGrid w:val="0"/>
                    <w:jc w:val="center"/>
                    <w:rPr>
                      <w:szCs w:val="21"/>
                      <w:lang w:val="zh-CN" w:eastAsia="zh-CN"/>
                    </w:rPr>
                  </w:pPr>
                  <w:r>
                    <w:rPr>
                      <w:rFonts w:hint="eastAsia"/>
                      <w:szCs w:val="21"/>
                      <w:lang w:val="zh-CN"/>
                    </w:rPr>
                    <w:t>一般地面硬化</w:t>
                  </w:r>
                </w:p>
              </w:tc>
              <w:tc>
                <w:tcPr>
                  <w:tcW w:w="1208" w:type="pct"/>
                  <w:vAlign w:val="center"/>
                </w:tcPr>
                <w:p>
                  <w:pPr>
                    <w:adjustRightInd w:val="0"/>
                    <w:snapToGrid w:val="0"/>
                    <w:jc w:val="center"/>
                    <w:rPr>
                      <w:szCs w:val="21"/>
                      <w:lang w:val="zh-CN"/>
                    </w:rPr>
                  </w:pPr>
                  <w:r>
                    <w:rPr>
                      <w:rFonts w:hint="eastAsia"/>
                      <w:szCs w:val="21"/>
                      <w:lang w:val="zh-CN"/>
                    </w:rPr>
                    <w:t>生产车间</w:t>
                  </w:r>
                </w:p>
              </w:tc>
              <w:tc>
                <w:tcPr>
                  <w:tcW w:w="1066" w:type="pct"/>
                  <w:vAlign w:val="center"/>
                </w:tcPr>
                <w:p>
                  <w:pPr>
                    <w:adjustRightInd w:val="0"/>
                    <w:snapToGrid w:val="0"/>
                    <w:jc w:val="center"/>
                    <w:rPr>
                      <w:szCs w:val="21"/>
                      <w:lang w:val="zh-CN" w:eastAsia="zh-CN"/>
                    </w:rPr>
                  </w:pPr>
                  <w:r>
                    <w:rPr>
                      <w:rFonts w:hint="eastAsia"/>
                      <w:szCs w:val="21"/>
                      <w:lang w:val="zh-CN"/>
                    </w:rPr>
                    <w:t>地面</w:t>
                  </w:r>
                </w:p>
              </w:tc>
            </w:tr>
          </w:tbl>
          <w:p>
            <w:pPr>
              <w:adjustRightInd w:val="0"/>
              <w:snapToGrid w:val="0"/>
              <w:spacing w:line="400" w:lineRule="exact"/>
              <w:ind w:firstLine="422" w:firstLineChars="200"/>
              <w:rPr>
                <w:b/>
                <w:szCs w:val="21"/>
              </w:rPr>
            </w:pPr>
            <w:r>
              <w:rPr>
                <w:rFonts w:hint="eastAsia"/>
                <w:b/>
                <w:szCs w:val="21"/>
              </w:rPr>
              <w:t>6、</w:t>
            </w:r>
            <w:r>
              <w:rPr>
                <w:b/>
                <w:szCs w:val="21"/>
              </w:rPr>
              <w:t>环境风险</w:t>
            </w:r>
          </w:p>
          <w:p>
            <w:pPr>
              <w:adjustRightInd w:val="0"/>
              <w:snapToGrid w:val="0"/>
              <w:spacing w:line="400" w:lineRule="exact"/>
              <w:ind w:firstLine="420" w:firstLineChars="200"/>
              <w:rPr>
                <w:bCs/>
                <w:szCs w:val="21"/>
              </w:rPr>
            </w:pPr>
            <w:r>
              <w:rPr>
                <w:rFonts w:hint="eastAsia"/>
                <w:bCs/>
                <w:szCs w:val="21"/>
              </w:rPr>
              <w:t>（1）风险调查</w:t>
            </w:r>
          </w:p>
          <w:p>
            <w:pPr>
              <w:adjustRightInd w:val="0"/>
              <w:snapToGrid w:val="0"/>
              <w:spacing w:line="400" w:lineRule="exact"/>
              <w:ind w:firstLine="420" w:firstLineChars="200"/>
              <w:rPr>
                <w:bCs/>
                <w:szCs w:val="21"/>
              </w:rPr>
            </w:pPr>
            <w:r>
              <w:rPr>
                <w:rFonts w:hint="eastAsia"/>
                <w:bCs/>
                <w:szCs w:val="21"/>
              </w:rPr>
              <w:t>根据《建设项目环境风险评价技术导则》（H</w:t>
            </w:r>
            <w:r>
              <w:rPr>
                <w:bCs/>
                <w:szCs w:val="21"/>
              </w:rPr>
              <w:t>J169-2018</w:t>
            </w:r>
            <w:r>
              <w:rPr>
                <w:rFonts w:hint="eastAsia"/>
                <w:bCs/>
                <w:szCs w:val="21"/>
              </w:rPr>
              <w:t>），本项目主要风险物质为液压油、润滑油和危险废物，危险单元为生产车间和危废间，其数量、分布及Q值计算如下：</w:t>
            </w:r>
          </w:p>
          <w:p>
            <w:pPr>
              <w:spacing w:line="400" w:lineRule="exact"/>
              <w:jc w:val="center"/>
              <w:rPr>
                <w:b/>
                <w:szCs w:val="21"/>
              </w:rPr>
            </w:pPr>
            <w:r>
              <w:rPr>
                <w:rFonts w:hint="eastAsia"/>
                <w:b/>
                <w:szCs w:val="21"/>
              </w:rPr>
              <w:t>表</w:t>
            </w:r>
            <w:r>
              <w:rPr>
                <w:b/>
                <w:szCs w:val="21"/>
              </w:rPr>
              <w:t xml:space="preserve">4-17   </w:t>
            </w:r>
            <w:r>
              <w:rPr>
                <w:rFonts w:hint="eastAsia"/>
                <w:b/>
                <w:szCs w:val="21"/>
              </w:rPr>
              <w:t>危险物质及其临界量比值情况</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3"/>
              <w:gridCol w:w="1403"/>
              <w:gridCol w:w="1405"/>
              <w:gridCol w:w="1405"/>
              <w:gridCol w:w="1125"/>
              <w:gridCol w:w="11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68" w:type="pct"/>
                  <w:gridSpan w:val="2"/>
                  <w:shd w:val="clear" w:color="auto" w:fill="auto"/>
                  <w:vAlign w:val="center"/>
                </w:tcPr>
                <w:p>
                  <w:pPr>
                    <w:adjustRightInd w:val="0"/>
                    <w:snapToGrid w:val="0"/>
                    <w:jc w:val="center"/>
                    <w:rPr>
                      <w:bCs/>
                      <w:szCs w:val="21"/>
                    </w:rPr>
                  </w:pPr>
                  <w:r>
                    <w:rPr>
                      <w:rFonts w:hint="eastAsia"/>
                      <w:bCs/>
                      <w:szCs w:val="21"/>
                    </w:rPr>
                    <w:t>风险物质</w:t>
                  </w:r>
                </w:p>
              </w:tc>
              <w:tc>
                <w:tcPr>
                  <w:tcW w:w="885" w:type="pct"/>
                  <w:vAlign w:val="center"/>
                </w:tcPr>
                <w:p>
                  <w:pPr>
                    <w:adjustRightInd w:val="0"/>
                    <w:snapToGrid w:val="0"/>
                    <w:jc w:val="center"/>
                    <w:rPr>
                      <w:bCs/>
                      <w:szCs w:val="21"/>
                    </w:rPr>
                  </w:pPr>
                  <w:r>
                    <w:rPr>
                      <w:rFonts w:hint="eastAsia"/>
                      <w:bCs/>
                      <w:szCs w:val="21"/>
                    </w:rPr>
                    <w:t>分布</w:t>
                  </w:r>
                </w:p>
              </w:tc>
              <w:tc>
                <w:tcPr>
                  <w:tcW w:w="885" w:type="pct"/>
                  <w:vAlign w:val="center"/>
                </w:tcPr>
                <w:p>
                  <w:pPr>
                    <w:adjustRightInd w:val="0"/>
                    <w:snapToGrid w:val="0"/>
                    <w:jc w:val="center"/>
                    <w:rPr>
                      <w:bCs/>
                      <w:szCs w:val="21"/>
                    </w:rPr>
                  </w:pPr>
                  <w:r>
                    <w:rPr>
                      <w:rFonts w:hint="eastAsia"/>
                      <w:bCs/>
                      <w:szCs w:val="21"/>
                    </w:rPr>
                    <w:t>最大存量</w:t>
                  </w:r>
                </w:p>
              </w:tc>
              <w:tc>
                <w:tcPr>
                  <w:tcW w:w="709" w:type="pct"/>
                  <w:shd w:val="clear" w:color="auto" w:fill="auto"/>
                  <w:vAlign w:val="center"/>
                </w:tcPr>
                <w:p>
                  <w:pPr>
                    <w:adjustRightInd w:val="0"/>
                    <w:snapToGrid w:val="0"/>
                    <w:jc w:val="center"/>
                    <w:rPr>
                      <w:bCs/>
                      <w:szCs w:val="21"/>
                    </w:rPr>
                  </w:pPr>
                  <w:r>
                    <w:rPr>
                      <w:rFonts w:hint="eastAsia"/>
                      <w:bCs/>
                      <w:szCs w:val="21"/>
                    </w:rPr>
                    <w:t>临界量</w:t>
                  </w:r>
                </w:p>
              </w:tc>
              <w:tc>
                <w:tcPr>
                  <w:tcW w:w="753" w:type="pct"/>
                  <w:shd w:val="clear" w:color="auto" w:fill="auto"/>
                  <w:vAlign w:val="center"/>
                </w:tcPr>
                <w:p>
                  <w:pPr>
                    <w:adjustRightInd w:val="0"/>
                    <w:snapToGrid w:val="0"/>
                    <w:jc w:val="center"/>
                    <w:rPr>
                      <w:bCs/>
                      <w:szCs w:val="21"/>
                    </w:rPr>
                  </w:pPr>
                  <w:r>
                    <w:rPr>
                      <w:rFonts w:hint="eastAsia"/>
                      <w:bCs/>
                      <w:szCs w:val="21"/>
                    </w:rPr>
                    <w:t>Q值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68" w:type="pct"/>
                  <w:gridSpan w:val="2"/>
                  <w:shd w:val="clear" w:color="auto" w:fill="auto"/>
                  <w:vAlign w:val="center"/>
                </w:tcPr>
                <w:p>
                  <w:pPr>
                    <w:adjustRightInd w:val="0"/>
                    <w:snapToGrid w:val="0"/>
                    <w:jc w:val="center"/>
                    <w:rPr>
                      <w:bCs/>
                      <w:szCs w:val="21"/>
                    </w:rPr>
                  </w:pPr>
                  <w:r>
                    <w:rPr>
                      <w:rFonts w:hint="eastAsia"/>
                      <w:bCs/>
                      <w:szCs w:val="21"/>
                    </w:rPr>
                    <w:t>液压油</w:t>
                  </w:r>
                </w:p>
              </w:tc>
              <w:tc>
                <w:tcPr>
                  <w:tcW w:w="885" w:type="pct"/>
                  <w:vMerge w:val="restart"/>
                  <w:vAlign w:val="center"/>
                </w:tcPr>
                <w:p>
                  <w:pPr>
                    <w:adjustRightInd w:val="0"/>
                    <w:snapToGrid w:val="0"/>
                    <w:jc w:val="center"/>
                    <w:rPr>
                      <w:bCs/>
                      <w:szCs w:val="21"/>
                    </w:rPr>
                  </w:pPr>
                  <w:r>
                    <w:rPr>
                      <w:rFonts w:hint="eastAsia"/>
                      <w:bCs/>
                      <w:szCs w:val="21"/>
                    </w:rPr>
                    <w:t>生产车间</w:t>
                  </w:r>
                </w:p>
              </w:tc>
              <w:tc>
                <w:tcPr>
                  <w:tcW w:w="885" w:type="pct"/>
                  <w:vAlign w:val="center"/>
                </w:tcPr>
                <w:p>
                  <w:pPr>
                    <w:adjustRightInd w:val="0"/>
                    <w:snapToGrid w:val="0"/>
                    <w:jc w:val="center"/>
                    <w:rPr>
                      <w:bCs/>
                      <w:szCs w:val="21"/>
                    </w:rPr>
                  </w:pPr>
                  <w:r>
                    <w:rPr>
                      <w:rFonts w:hint="eastAsia"/>
                      <w:bCs/>
                      <w:szCs w:val="21"/>
                    </w:rPr>
                    <w:t>0</w:t>
                  </w:r>
                  <w:r>
                    <w:rPr>
                      <w:bCs/>
                      <w:szCs w:val="21"/>
                    </w:rPr>
                    <w:t>.1 t</w:t>
                  </w:r>
                </w:p>
              </w:tc>
              <w:tc>
                <w:tcPr>
                  <w:tcW w:w="709" w:type="pct"/>
                  <w:shd w:val="clear" w:color="auto" w:fill="auto"/>
                  <w:vAlign w:val="center"/>
                </w:tcPr>
                <w:p>
                  <w:pPr>
                    <w:adjustRightInd w:val="0"/>
                    <w:snapToGrid w:val="0"/>
                    <w:jc w:val="center"/>
                    <w:rPr>
                      <w:bCs/>
                      <w:szCs w:val="21"/>
                    </w:rPr>
                  </w:pPr>
                  <w:r>
                    <w:rPr>
                      <w:rFonts w:hint="eastAsia"/>
                      <w:bCs/>
                      <w:szCs w:val="21"/>
                    </w:rPr>
                    <w:t>2</w:t>
                  </w:r>
                  <w:r>
                    <w:rPr>
                      <w:bCs/>
                      <w:szCs w:val="21"/>
                    </w:rPr>
                    <w:t>500</w:t>
                  </w:r>
                  <w:r>
                    <w:rPr>
                      <w:rFonts w:hint="eastAsia"/>
                      <w:bCs/>
                      <w:szCs w:val="21"/>
                    </w:rPr>
                    <w:t xml:space="preserve"> 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68" w:type="pct"/>
                  <w:gridSpan w:val="2"/>
                  <w:shd w:val="clear" w:color="auto" w:fill="auto"/>
                  <w:vAlign w:val="center"/>
                </w:tcPr>
                <w:p>
                  <w:pPr>
                    <w:adjustRightInd w:val="0"/>
                    <w:snapToGrid w:val="0"/>
                    <w:jc w:val="center"/>
                    <w:rPr>
                      <w:bCs/>
                      <w:szCs w:val="21"/>
                    </w:rPr>
                  </w:pPr>
                  <w:r>
                    <w:rPr>
                      <w:rFonts w:hint="eastAsia"/>
                      <w:bCs/>
                      <w:szCs w:val="21"/>
                    </w:rPr>
                    <w:t>润滑油</w:t>
                  </w:r>
                </w:p>
              </w:tc>
              <w:tc>
                <w:tcPr>
                  <w:tcW w:w="885" w:type="pct"/>
                  <w:vMerge w:val="continue"/>
                  <w:vAlign w:val="center"/>
                </w:tcPr>
                <w:p>
                  <w:pPr>
                    <w:adjustRightInd w:val="0"/>
                    <w:snapToGrid w:val="0"/>
                    <w:jc w:val="center"/>
                    <w:rPr>
                      <w:bCs/>
                      <w:szCs w:val="21"/>
                    </w:rPr>
                  </w:pPr>
                </w:p>
              </w:tc>
              <w:tc>
                <w:tcPr>
                  <w:tcW w:w="885" w:type="pct"/>
                  <w:vAlign w:val="center"/>
                </w:tcPr>
                <w:p>
                  <w:pPr>
                    <w:adjustRightInd w:val="0"/>
                    <w:snapToGrid w:val="0"/>
                    <w:jc w:val="center"/>
                    <w:rPr>
                      <w:bCs/>
                      <w:szCs w:val="21"/>
                    </w:rPr>
                  </w:pPr>
                  <w:r>
                    <w:rPr>
                      <w:rFonts w:hint="eastAsia"/>
                      <w:bCs/>
                      <w:szCs w:val="21"/>
                    </w:rPr>
                    <w:t>0</w:t>
                  </w:r>
                  <w:r>
                    <w:rPr>
                      <w:bCs/>
                      <w:szCs w:val="21"/>
                    </w:rPr>
                    <w:t>.1 t</w:t>
                  </w:r>
                </w:p>
              </w:tc>
              <w:tc>
                <w:tcPr>
                  <w:tcW w:w="709" w:type="pct"/>
                  <w:shd w:val="clear" w:color="auto" w:fill="auto"/>
                  <w:vAlign w:val="center"/>
                </w:tcPr>
                <w:p>
                  <w:pPr>
                    <w:adjustRightInd w:val="0"/>
                    <w:snapToGrid w:val="0"/>
                    <w:jc w:val="center"/>
                    <w:rPr>
                      <w:bCs/>
                      <w:szCs w:val="21"/>
                    </w:rPr>
                  </w:pPr>
                  <w:r>
                    <w:rPr>
                      <w:rFonts w:hint="eastAsia"/>
                      <w:bCs/>
                      <w:szCs w:val="21"/>
                    </w:rPr>
                    <w:t>2</w:t>
                  </w:r>
                  <w:r>
                    <w:rPr>
                      <w:bCs/>
                      <w:szCs w:val="21"/>
                    </w:rPr>
                    <w:t>500</w:t>
                  </w:r>
                  <w:r>
                    <w:rPr>
                      <w:rFonts w:hint="eastAsia"/>
                      <w:bCs/>
                      <w:szCs w:val="21"/>
                    </w:rPr>
                    <w:t xml:space="preserve"> 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84" w:type="pct"/>
                  <w:vMerge w:val="restart"/>
                  <w:shd w:val="clear" w:color="auto" w:fill="auto"/>
                  <w:vAlign w:val="center"/>
                </w:tcPr>
                <w:p>
                  <w:pPr>
                    <w:adjustRightInd w:val="0"/>
                    <w:snapToGrid w:val="0"/>
                    <w:jc w:val="center"/>
                    <w:rPr>
                      <w:bCs/>
                      <w:szCs w:val="21"/>
                    </w:rPr>
                  </w:pPr>
                  <w:r>
                    <w:rPr>
                      <w:rFonts w:hint="eastAsia"/>
                      <w:bCs/>
                      <w:szCs w:val="21"/>
                    </w:rPr>
                    <w:t>危险废物</w:t>
                  </w:r>
                </w:p>
              </w:tc>
              <w:tc>
                <w:tcPr>
                  <w:tcW w:w="884" w:type="pct"/>
                  <w:shd w:val="clear" w:color="auto" w:fill="auto"/>
                  <w:vAlign w:val="center"/>
                </w:tcPr>
                <w:p>
                  <w:pPr>
                    <w:adjustRightInd w:val="0"/>
                    <w:snapToGrid w:val="0"/>
                    <w:jc w:val="center"/>
                    <w:rPr>
                      <w:bCs/>
                      <w:szCs w:val="21"/>
                    </w:rPr>
                  </w:pPr>
                  <w:r>
                    <w:rPr>
                      <w:rFonts w:hint="eastAsia"/>
                      <w:bCs/>
                      <w:szCs w:val="21"/>
                    </w:rPr>
                    <w:t>废液压油</w:t>
                  </w:r>
                </w:p>
              </w:tc>
              <w:tc>
                <w:tcPr>
                  <w:tcW w:w="885" w:type="pct"/>
                  <w:vMerge w:val="restart"/>
                  <w:vAlign w:val="center"/>
                </w:tcPr>
                <w:p>
                  <w:pPr>
                    <w:snapToGrid w:val="0"/>
                    <w:jc w:val="center"/>
                    <w:rPr>
                      <w:bCs/>
                      <w:szCs w:val="21"/>
                    </w:rPr>
                  </w:pPr>
                  <w:r>
                    <w:rPr>
                      <w:rFonts w:hint="eastAsia"/>
                      <w:bCs/>
                      <w:szCs w:val="21"/>
                    </w:rPr>
                    <w:t>危废间</w:t>
                  </w:r>
                </w:p>
              </w:tc>
              <w:tc>
                <w:tcPr>
                  <w:tcW w:w="885" w:type="pct"/>
                  <w:vAlign w:val="center"/>
                </w:tcPr>
                <w:p>
                  <w:pPr>
                    <w:adjustRightInd w:val="0"/>
                    <w:snapToGrid w:val="0"/>
                    <w:jc w:val="center"/>
                    <w:rPr>
                      <w:bCs/>
                      <w:szCs w:val="21"/>
                    </w:rPr>
                  </w:pPr>
                  <w:r>
                    <w:rPr>
                      <w:rFonts w:hint="eastAsia"/>
                      <w:bCs/>
                      <w:szCs w:val="21"/>
                    </w:rPr>
                    <w:t>0</w:t>
                  </w:r>
                  <w:r>
                    <w:rPr>
                      <w:bCs/>
                      <w:szCs w:val="21"/>
                    </w:rPr>
                    <w:t>.1 t</w:t>
                  </w:r>
                </w:p>
              </w:tc>
              <w:tc>
                <w:tcPr>
                  <w:tcW w:w="709" w:type="pct"/>
                  <w:shd w:val="clear" w:color="auto" w:fill="auto"/>
                  <w:vAlign w:val="center"/>
                </w:tcPr>
                <w:p>
                  <w:pPr>
                    <w:adjustRightInd w:val="0"/>
                    <w:snapToGrid w:val="0"/>
                    <w:jc w:val="center"/>
                    <w:rPr>
                      <w:bCs/>
                      <w:szCs w:val="21"/>
                    </w:rPr>
                  </w:pPr>
                  <w:r>
                    <w:rPr>
                      <w:rFonts w:hint="eastAsia"/>
                      <w:bCs/>
                      <w:szCs w:val="21"/>
                    </w:rPr>
                    <w:t>5</w:t>
                  </w:r>
                  <w:r>
                    <w:rPr>
                      <w:bCs/>
                      <w:szCs w:val="21"/>
                    </w:rPr>
                    <w:t>0</w:t>
                  </w:r>
                  <w:r>
                    <w:rPr>
                      <w:rFonts w:hint="eastAsia"/>
                      <w:bCs/>
                      <w:szCs w:val="21"/>
                    </w:rPr>
                    <w:t xml:space="preserve"> 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84" w:type="pct"/>
                  <w:vMerge w:val="continue"/>
                  <w:shd w:val="clear" w:color="auto" w:fill="auto"/>
                  <w:vAlign w:val="center"/>
                </w:tcPr>
                <w:p>
                  <w:pPr>
                    <w:adjustRightInd w:val="0"/>
                    <w:snapToGrid w:val="0"/>
                    <w:jc w:val="center"/>
                    <w:rPr>
                      <w:bCs/>
                      <w:szCs w:val="21"/>
                    </w:rPr>
                  </w:pPr>
                </w:p>
              </w:tc>
              <w:tc>
                <w:tcPr>
                  <w:tcW w:w="884" w:type="pct"/>
                  <w:shd w:val="clear" w:color="auto" w:fill="auto"/>
                  <w:vAlign w:val="center"/>
                </w:tcPr>
                <w:p>
                  <w:pPr>
                    <w:adjustRightInd w:val="0"/>
                    <w:snapToGrid w:val="0"/>
                    <w:jc w:val="center"/>
                    <w:rPr>
                      <w:bCs/>
                      <w:szCs w:val="21"/>
                    </w:rPr>
                  </w:pPr>
                  <w:r>
                    <w:rPr>
                      <w:rFonts w:hint="eastAsia"/>
                      <w:bCs/>
                      <w:szCs w:val="21"/>
                    </w:rPr>
                    <w:t>废油桶</w:t>
                  </w:r>
                </w:p>
              </w:tc>
              <w:tc>
                <w:tcPr>
                  <w:tcW w:w="885" w:type="pct"/>
                  <w:vMerge w:val="continue"/>
                  <w:vAlign w:val="center"/>
                </w:tcPr>
                <w:p>
                  <w:pPr>
                    <w:snapToGrid w:val="0"/>
                    <w:jc w:val="center"/>
                    <w:rPr>
                      <w:bCs/>
                      <w:szCs w:val="21"/>
                    </w:rPr>
                  </w:pPr>
                </w:p>
              </w:tc>
              <w:tc>
                <w:tcPr>
                  <w:tcW w:w="885" w:type="pct"/>
                  <w:vAlign w:val="center"/>
                </w:tcPr>
                <w:p>
                  <w:pPr>
                    <w:adjustRightInd w:val="0"/>
                    <w:snapToGrid w:val="0"/>
                    <w:jc w:val="center"/>
                    <w:rPr>
                      <w:bCs/>
                      <w:szCs w:val="21"/>
                    </w:rPr>
                  </w:pPr>
                  <w:r>
                    <w:rPr>
                      <w:rFonts w:hint="eastAsia"/>
                      <w:bCs/>
                      <w:szCs w:val="21"/>
                    </w:rPr>
                    <w:t>0</w:t>
                  </w:r>
                  <w:r>
                    <w:rPr>
                      <w:bCs/>
                      <w:szCs w:val="21"/>
                    </w:rPr>
                    <w:t>.05 t</w:t>
                  </w:r>
                </w:p>
              </w:tc>
              <w:tc>
                <w:tcPr>
                  <w:tcW w:w="709" w:type="pct"/>
                  <w:shd w:val="clear" w:color="auto" w:fill="auto"/>
                  <w:vAlign w:val="center"/>
                </w:tcPr>
                <w:p>
                  <w:pPr>
                    <w:adjustRightInd w:val="0"/>
                    <w:snapToGrid w:val="0"/>
                    <w:jc w:val="center"/>
                    <w:rPr>
                      <w:bCs/>
                      <w:szCs w:val="21"/>
                    </w:rPr>
                  </w:pPr>
                  <w:r>
                    <w:rPr>
                      <w:rFonts w:hint="eastAsia"/>
                      <w:bCs/>
                      <w:szCs w:val="21"/>
                    </w:rPr>
                    <w:t>5</w:t>
                  </w:r>
                  <w:r>
                    <w:rPr>
                      <w:bCs/>
                      <w:szCs w:val="21"/>
                    </w:rPr>
                    <w:t>0</w:t>
                  </w:r>
                  <w:r>
                    <w:rPr>
                      <w:rFonts w:hint="eastAsia"/>
                      <w:bCs/>
                      <w:szCs w:val="21"/>
                    </w:rPr>
                    <w:t xml:space="preserve"> 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84" w:type="pct"/>
                  <w:vMerge w:val="continue"/>
                  <w:shd w:val="clear" w:color="auto" w:fill="auto"/>
                  <w:vAlign w:val="center"/>
                </w:tcPr>
                <w:p>
                  <w:pPr>
                    <w:adjustRightInd w:val="0"/>
                    <w:snapToGrid w:val="0"/>
                    <w:jc w:val="center"/>
                    <w:rPr>
                      <w:bCs/>
                      <w:szCs w:val="21"/>
                    </w:rPr>
                  </w:pPr>
                </w:p>
              </w:tc>
              <w:tc>
                <w:tcPr>
                  <w:tcW w:w="884" w:type="pct"/>
                  <w:shd w:val="clear" w:color="auto" w:fill="auto"/>
                  <w:vAlign w:val="center"/>
                </w:tcPr>
                <w:p>
                  <w:pPr>
                    <w:adjustRightInd w:val="0"/>
                    <w:snapToGrid w:val="0"/>
                    <w:jc w:val="center"/>
                    <w:rPr>
                      <w:szCs w:val="21"/>
                    </w:rPr>
                  </w:pPr>
                  <w:r>
                    <w:rPr>
                      <w:rFonts w:hint="eastAsia"/>
                      <w:szCs w:val="21"/>
                    </w:rPr>
                    <w:t>废过滤棉</w:t>
                  </w:r>
                </w:p>
                <w:p>
                  <w:pPr>
                    <w:adjustRightInd w:val="0"/>
                    <w:snapToGrid w:val="0"/>
                    <w:jc w:val="center"/>
                    <w:rPr>
                      <w:bCs/>
                      <w:szCs w:val="21"/>
                    </w:rPr>
                  </w:pPr>
                  <w:r>
                    <w:rPr>
                      <w:rFonts w:hint="eastAsia"/>
                      <w:szCs w:val="21"/>
                    </w:rPr>
                    <w:t>废活性炭</w:t>
                  </w:r>
                </w:p>
              </w:tc>
              <w:tc>
                <w:tcPr>
                  <w:tcW w:w="885" w:type="pct"/>
                  <w:vMerge w:val="continue"/>
                  <w:vAlign w:val="center"/>
                </w:tcPr>
                <w:p>
                  <w:pPr>
                    <w:snapToGrid w:val="0"/>
                    <w:jc w:val="center"/>
                    <w:rPr>
                      <w:szCs w:val="21"/>
                    </w:rPr>
                  </w:pPr>
                </w:p>
              </w:tc>
              <w:tc>
                <w:tcPr>
                  <w:tcW w:w="885" w:type="pct"/>
                  <w:vAlign w:val="center"/>
                </w:tcPr>
                <w:p>
                  <w:pPr>
                    <w:snapToGrid w:val="0"/>
                    <w:jc w:val="center"/>
                    <w:rPr>
                      <w:szCs w:val="21"/>
                    </w:rPr>
                  </w:pPr>
                  <w:r>
                    <w:rPr>
                      <w:szCs w:val="21"/>
                    </w:rPr>
                    <w:t>5 t</w:t>
                  </w:r>
                </w:p>
              </w:tc>
              <w:tc>
                <w:tcPr>
                  <w:tcW w:w="709" w:type="pct"/>
                  <w:shd w:val="clear" w:color="auto" w:fill="auto"/>
                  <w:vAlign w:val="center"/>
                </w:tcPr>
                <w:p>
                  <w:pPr>
                    <w:adjustRightInd w:val="0"/>
                    <w:snapToGrid w:val="0"/>
                    <w:jc w:val="center"/>
                    <w:rPr>
                      <w:bCs/>
                      <w:szCs w:val="21"/>
                    </w:rPr>
                  </w:pPr>
                  <w:r>
                    <w:rPr>
                      <w:bCs/>
                      <w:szCs w:val="21"/>
                    </w:rPr>
                    <w:t xml:space="preserve">50 </w:t>
                  </w:r>
                  <w:r>
                    <w:rPr>
                      <w:rFonts w:hint="eastAsia"/>
                      <w:bCs/>
                      <w:szCs w:val="21"/>
                    </w:rPr>
                    <w:t>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68" w:type="pct"/>
                  <w:gridSpan w:val="2"/>
                  <w:shd w:val="clear" w:color="auto" w:fill="auto"/>
                  <w:vAlign w:val="center"/>
                </w:tcPr>
                <w:p>
                  <w:pPr>
                    <w:adjustRightInd w:val="0"/>
                    <w:snapToGrid w:val="0"/>
                    <w:jc w:val="center"/>
                    <w:rPr>
                      <w:szCs w:val="21"/>
                    </w:rPr>
                  </w:pPr>
                  <w:r>
                    <w:rPr>
                      <w:rFonts w:hint="eastAsia"/>
                      <w:szCs w:val="21"/>
                    </w:rPr>
                    <w:t>合计</w:t>
                  </w:r>
                </w:p>
              </w:tc>
              <w:tc>
                <w:tcPr>
                  <w:tcW w:w="885" w:type="pct"/>
                  <w:vAlign w:val="center"/>
                </w:tcPr>
                <w:p>
                  <w:pPr>
                    <w:snapToGrid w:val="0"/>
                    <w:jc w:val="center"/>
                    <w:rPr>
                      <w:szCs w:val="21"/>
                    </w:rPr>
                  </w:pPr>
                  <w:r>
                    <w:rPr>
                      <w:rFonts w:hint="eastAsia"/>
                      <w:szCs w:val="21"/>
                    </w:rPr>
                    <w:t>/</w:t>
                  </w:r>
                </w:p>
              </w:tc>
              <w:tc>
                <w:tcPr>
                  <w:tcW w:w="885" w:type="pct"/>
                  <w:vAlign w:val="center"/>
                </w:tcPr>
                <w:p>
                  <w:pPr>
                    <w:snapToGrid w:val="0"/>
                    <w:jc w:val="center"/>
                    <w:rPr>
                      <w:szCs w:val="21"/>
                    </w:rPr>
                  </w:pPr>
                  <w:r>
                    <w:rPr>
                      <w:rFonts w:hint="eastAsia"/>
                      <w:szCs w:val="21"/>
                    </w:rPr>
                    <w:t>/</w:t>
                  </w:r>
                </w:p>
              </w:tc>
              <w:tc>
                <w:tcPr>
                  <w:tcW w:w="709" w:type="pct"/>
                  <w:shd w:val="clear" w:color="auto" w:fill="auto"/>
                  <w:vAlign w:val="center"/>
                </w:tcPr>
                <w:p>
                  <w:pPr>
                    <w:adjustRightInd w:val="0"/>
                    <w:snapToGrid w:val="0"/>
                    <w:jc w:val="center"/>
                    <w:rPr>
                      <w:bCs/>
                      <w:szCs w:val="21"/>
                    </w:rPr>
                  </w:pPr>
                  <w:r>
                    <w:rPr>
                      <w:rFonts w:hint="eastAsia"/>
                      <w:bCs/>
                      <w:szCs w:val="21"/>
                    </w:rPr>
                    <w: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.10308</w:t>
                  </w:r>
                </w:p>
              </w:tc>
            </w:tr>
          </w:tbl>
          <w:p>
            <w:pPr>
              <w:adjustRightInd w:val="0"/>
              <w:snapToGrid w:val="0"/>
              <w:spacing w:line="400" w:lineRule="exact"/>
              <w:ind w:firstLine="420" w:firstLineChars="200"/>
              <w:rPr>
                <w:bCs/>
                <w:szCs w:val="21"/>
              </w:rPr>
            </w:pPr>
            <w:r>
              <w:rPr>
                <w:rFonts w:hint="eastAsia"/>
                <w:bCs/>
                <w:szCs w:val="21"/>
              </w:rPr>
              <w:t>由上可知，本项目危险物质临界量比值Q＜1，无需进行专项评价</w:t>
            </w:r>
            <w:r>
              <w:rPr>
                <w:bCs/>
                <w:szCs w:val="21"/>
              </w:rPr>
              <w:t>。</w:t>
            </w:r>
          </w:p>
          <w:p>
            <w:pPr>
              <w:adjustRightInd w:val="0"/>
              <w:snapToGrid w:val="0"/>
              <w:spacing w:line="400" w:lineRule="exact"/>
              <w:ind w:firstLine="420" w:firstLineChars="200"/>
              <w:rPr>
                <w:bCs/>
                <w:szCs w:val="21"/>
              </w:rPr>
            </w:pPr>
            <w:r>
              <w:rPr>
                <w:rFonts w:hint="eastAsia"/>
                <w:bCs/>
                <w:szCs w:val="21"/>
              </w:rPr>
              <w:t>（</w:t>
            </w:r>
            <w:r>
              <w:rPr>
                <w:bCs/>
                <w:szCs w:val="21"/>
              </w:rPr>
              <w:t>2</w:t>
            </w:r>
            <w:r>
              <w:rPr>
                <w:rFonts w:hint="eastAsia"/>
                <w:bCs/>
                <w:szCs w:val="21"/>
              </w:rPr>
              <w:t>）风险分析</w:t>
            </w:r>
          </w:p>
          <w:p>
            <w:pPr>
              <w:adjustRightInd w:val="0"/>
              <w:snapToGrid w:val="0"/>
              <w:spacing w:line="400" w:lineRule="exact"/>
              <w:ind w:firstLine="420" w:firstLineChars="200"/>
              <w:rPr>
                <w:bCs/>
                <w:szCs w:val="21"/>
              </w:rPr>
            </w:pPr>
            <w:r>
              <w:rPr>
                <w:rFonts w:hint="eastAsia"/>
                <w:bCs/>
                <w:szCs w:val="21"/>
              </w:rPr>
              <w:t>事故情形分析如下：</w:t>
            </w:r>
          </w:p>
          <w:p>
            <w:pPr>
              <w:spacing w:line="400" w:lineRule="exact"/>
              <w:jc w:val="center"/>
              <w:rPr>
                <w:b/>
                <w:szCs w:val="21"/>
              </w:rPr>
            </w:pPr>
            <w:r>
              <w:rPr>
                <w:rFonts w:hint="eastAsia"/>
                <w:b/>
                <w:szCs w:val="21"/>
              </w:rPr>
              <w:t>表</w:t>
            </w:r>
            <w:r>
              <w:rPr>
                <w:b/>
                <w:szCs w:val="21"/>
              </w:rPr>
              <w:t xml:space="preserve">4-18  </w:t>
            </w:r>
            <w:r>
              <w:rPr>
                <w:rFonts w:hint="eastAsia"/>
                <w:b/>
                <w:szCs w:val="21"/>
              </w:rPr>
              <w:t xml:space="preserve"> </w:t>
            </w:r>
            <w:r>
              <w:rPr>
                <w:b/>
                <w:szCs w:val="21"/>
              </w:rPr>
              <w:t xml:space="preserve"> </w:t>
            </w:r>
            <w:r>
              <w:rPr>
                <w:rFonts w:hint="eastAsia"/>
                <w:b/>
                <w:szCs w:val="21"/>
              </w:rPr>
              <w:t>事故情形分析</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1"/>
              <w:gridCol w:w="1230"/>
              <w:gridCol w:w="2689"/>
              <w:gridCol w:w="1779"/>
              <w:gridCol w:w="1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0" w:type="pct"/>
                  <w:shd w:val="clear" w:color="auto" w:fill="auto"/>
                  <w:vAlign w:val="center"/>
                </w:tcPr>
                <w:p>
                  <w:pPr>
                    <w:adjustRightInd w:val="0"/>
                    <w:snapToGrid w:val="0"/>
                    <w:jc w:val="center"/>
                    <w:rPr>
                      <w:bCs/>
                      <w:szCs w:val="21"/>
                    </w:rPr>
                  </w:pPr>
                  <w:bookmarkStart w:id="10" w:name="_Hlk127805090"/>
                  <w:r>
                    <w:rPr>
                      <w:rFonts w:hint="eastAsia"/>
                      <w:bCs/>
                      <w:szCs w:val="21"/>
                    </w:rPr>
                    <w:t>风险物质</w:t>
                  </w:r>
                </w:p>
              </w:tc>
              <w:tc>
                <w:tcPr>
                  <w:tcW w:w="775" w:type="pct"/>
                  <w:shd w:val="clear" w:color="auto" w:fill="auto"/>
                  <w:vAlign w:val="center"/>
                </w:tcPr>
                <w:p>
                  <w:pPr>
                    <w:adjustRightInd w:val="0"/>
                    <w:snapToGrid w:val="0"/>
                    <w:jc w:val="center"/>
                    <w:rPr>
                      <w:bCs/>
                      <w:szCs w:val="21"/>
                    </w:rPr>
                  </w:pPr>
                  <w:r>
                    <w:rPr>
                      <w:rFonts w:hint="eastAsia"/>
                      <w:bCs/>
                      <w:szCs w:val="21"/>
                    </w:rPr>
                    <w:t>分布</w:t>
                  </w:r>
                </w:p>
              </w:tc>
              <w:tc>
                <w:tcPr>
                  <w:tcW w:w="1694" w:type="pct"/>
                  <w:vAlign w:val="center"/>
                </w:tcPr>
                <w:p>
                  <w:pPr>
                    <w:adjustRightInd w:val="0"/>
                    <w:snapToGrid w:val="0"/>
                    <w:jc w:val="center"/>
                    <w:rPr>
                      <w:bCs/>
                      <w:szCs w:val="21"/>
                    </w:rPr>
                  </w:pPr>
                  <w:r>
                    <w:rPr>
                      <w:rFonts w:hint="eastAsia"/>
                      <w:bCs/>
                      <w:szCs w:val="21"/>
                    </w:rPr>
                    <w:t>事故触发因素</w:t>
                  </w:r>
                </w:p>
              </w:tc>
              <w:tc>
                <w:tcPr>
                  <w:tcW w:w="1121" w:type="pct"/>
                  <w:vAlign w:val="center"/>
                </w:tcPr>
                <w:p>
                  <w:pPr>
                    <w:adjustRightInd w:val="0"/>
                    <w:snapToGrid w:val="0"/>
                    <w:jc w:val="center"/>
                    <w:rPr>
                      <w:bCs/>
                      <w:szCs w:val="21"/>
                    </w:rPr>
                  </w:pPr>
                  <w:r>
                    <w:rPr>
                      <w:rFonts w:hint="eastAsia"/>
                      <w:bCs/>
                      <w:szCs w:val="21"/>
                    </w:rPr>
                    <w:t>事故类型</w:t>
                  </w:r>
                </w:p>
              </w:tc>
              <w:tc>
                <w:tcPr>
                  <w:tcW w:w="710" w:type="pct"/>
                  <w:vAlign w:val="center"/>
                </w:tcPr>
                <w:p>
                  <w:pPr>
                    <w:adjustRightInd w:val="0"/>
                    <w:snapToGrid w:val="0"/>
                    <w:jc w:val="center"/>
                    <w:rPr>
                      <w:bCs/>
                      <w:szCs w:val="21"/>
                    </w:rPr>
                  </w:pPr>
                  <w:r>
                    <w:rPr>
                      <w:rFonts w:hint="eastAsia"/>
                      <w:bCs/>
                      <w:szCs w:val="21"/>
                    </w:rPr>
                    <w:t>影响途径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0" w:type="pct"/>
                  <w:vMerge w:val="restart"/>
                  <w:shd w:val="clear" w:color="auto" w:fill="auto"/>
                  <w:vAlign w:val="center"/>
                </w:tcPr>
                <w:p>
                  <w:pPr>
                    <w:adjustRightInd w:val="0"/>
                    <w:snapToGrid w:val="0"/>
                    <w:jc w:val="center"/>
                    <w:rPr>
                      <w:bCs/>
                      <w:szCs w:val="21"/>
                    </w:rPr>
                  </w:pPr>
                  <w:r>
                    <w:rPr>
                      <w:rFonts w:hint="eastAsia"/>
                      <w:bCs/>
                      <w:szCs w:val="21"/>
                    </w:rPr>
                    <w:t>液压油</w:t>
                  </w:r>
                </w:p>
              </w:tc>
              <w:tc>
                <w:tcPr>
                  <w:tcW w:w="775" w:type="pct"/>
                  <w:vMerge w:val="restart"/>
                  <w:shd w:val="clear" w:color="auto" w:fill="auto"/>
                  <w:vAlign w:val="center"/>
                </w:tcPr>
                <w:p>
                  <w:pPr>
                    <w:adjustRightInd w:val="0"/>
                    <w:snapToGrid w:val="0"/>
                    <w:jc w:val="center"/>
                    <w:rPr>
                      <w:bCs/>
                      <w:szCs w:val="21"/>
                    </w:rPr>
                  </w:pPr>
                  <w:r>
                    <w:rPr>
                      <w:rFonts w:hint="eastAsia"/>
                      <w:bCs/>
                      <w:szCs w:val="21"/>
                    </w:rPr>
                    <w:t>生产车间</w:t>
                  </w:r>
                </w:p>
              </w:tc>
              <w:tc>
                <w:tcPr>
                  <w:tcW w:w="1694" w:type="pct"/>
                  <w:vAlign w:val="center"/>
                </w:tcPr>
                <w:p>
                  <w:pPr>
                    <w:adjustRightInd w:val="0"/>
                    <w:snapToGrid w:val="0"/>
                    <w:jc w:val="center"/>
                    <w:rPr>
                      <w:bCs/>
                      <w:szCs w:val="21"/>
                    </w:rPr>
                  </w:pPr>
                  <w:r>
                    <w:rPr>
                      <w:rFonts w:hint="eastAsia"/>
                      <w:bCs/>
                      <w:szCs w:val="21"/>
                    </w:rPr>
                    <w:t>人员操作失误、容器泄露</w:t>
                  </w:r>
                </w:p>
              </w:tc>
              <w:tc>
                <w:tcPr>
                  <w:tcW w:w="1121" w:type="pct"/>
                  <w:vAlign w:val="center"/>
                </w:tcPr>
                <w:p>
                  <w:pPr>
                    <w:adjustRightInd w:val="0"/>
                    <w:snapToGrid w:val="0"/>
                    <w:jc w:val="center"/>
                    <w:rPr>
                      <w:bCs/>
                      <w:szCs w:val="21"/>
                    </w:rPr>
                  </w:pPr>
                  <w:r>
                    <w:rPr>
                      <w:rFonts w:hint="eastAsia"/>
                      <w:bCs/>
                      <w:szCs w:val="21"/>
                    </w:rPr>
                    <w:t>泄露</w:t>
                  </w:r>
                </w:p>
              </w:tc>
              <w:tc>
                <w:tcPr>
                  <w:tcW w:w="710" w:type="pct"/>
                  <w:vAlign w:val="center"/>
                </w:tcPr>
                <w:p>
                  <w:pPr>
                    <w:adjustRightInd w:val="0"/>
                    <w:snapToGrid w:val="0"/>
                    <w:jc w:val="center"/>
                    <w:rPr>
                      <w:bCs/>
                      <w:szCs w:val="21"/>
                    </w:rPr>
                  </w:pPr>
                  <w:r>
                    <w:rPr>
                      <w:rFonts w:hint="eastAsia"/>
                      <w:bCs/>
                      <w:szCs w:val="21"/>
                    </w:rPr>
                    <w:t>土壤入渗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0" w:type="pct"/>
                  <w:vMerge w:val="continue"/>
                  <w:shd w:val="clear" w:color="auto" w:fill="auto"/>
                  <w:vAlign w:val="center"/>
                </w:tcPr>
                <w:p>
                  <w:pPr>
                    <w:adjustRightInd w:val="0"/>
                    <w:snapToGrid w:val="0"/>
                    <w:jc w:val="center"/>
                    <w:rPr>
                      <w:bCs/>
                      <w:szCs w:val="21"/>
                    </w:rPr>
                  </w:pPr>
                </w:p>
              </w:tc>
              <w:tc>
                <w:tcPr>
                  <w:tcW w:w="775" w:type="pct"/>
                  <w:vMerge w:val="continue"/>
                  <w:shd w:val="clear" w:color="auto" w:fill="auto"/>
                  <w:vAlign w:val="center"/>
                </w:tcPr>
                <w:p>
                  <w:pPr>
                    <w:adjustRightInd w:val="0"/>
                    <w:snapToGrid w:val="0"/>
                    <w:jc w:val="center"/>
                    <w:rPr>
                      <w:bCs/>
                      <w:szCs w:val="21"/>
                    </w:rPr>
                  </w:pPr>
                </w:p>
              </w:tc>
              <w:tc>
                <w:tcPr>
                  <w:tcW w:w="1694" w:type="pct"/>
                  <w:vAlign w:val="center"/>
                </w:tcPr>
                <w:p>
                  <w:pPr>
                    <w:adjustRightInd w:val="0"/>
                    <w:snapToGrid w:val="0"/>
                    <w:jc w:val="center"/>
                    <w:rPr>
                      <w:bCs/>
                      <w:szCs w:val="21"/>
                    </w:rPr>
                  </w:pPr>
                  <w:r>
                    <w:rPr>
                      <w:rFonts w:hint="eastAsia"/>
                      <w:bCs/>
                      <w:szCs w:val="21"/>
                    </w:rPr>
                    <w:t>遇明火、电火花或高温的情况引发火灾</w:t>
                  </w:r>
                </w:p>
              </w:tc>
              <w:tc>
                <w:tcPr>
                  <w:tcW w:w="1121" w:type="pct"/>
                  <w:vAlign w:val="center"/>
                </w:tcPr>
                <w:p>
                  <w:pPr>
                    <w:adjustRightInd w:val="0"/>
                    <w:snapToGrid w:val="0"/>
                    <w:jc w:val="center"/>
                    <w:rPr>
                      <w:bCs/>
                      <w:szCs w:val="21"/>
                    </w:rPr>
                  </w:pPr>
                  <w:r>
                    <w:rPr>
                      <w:rFonts w:hint="eastAsia"/>
                      <w:bCs/>
                      <w:szCs w:val="21"/>
                    </w:rPr>
                    <w:t>火灾造成的次生污染物排放</w:t>
                  </w:r>
                </w:p>
              </w:tc>
              <w:tc>
                <w:tcPr>
                  <w:tcW w:w="710" w:type="pct"/>
                  <w:vAlign w:val="center"/>
                </w:tcPr>
                <w:p>
                  <w:pPr>
                    <w:adjustRightInd w:val="0"/>
                    <w:snapToGrid w:val="0"/>
                    <w:jc w:val="center"/>
                    <w:rPr>
                      <w:bCs/>
                      <w:szCs w:val="21"/>
                    </w:rPr>
                  </w:pPr>
                  <w:r>
                    <w:rPr>
                      <w:rFonts w:hint="eastAsia"/>
                      <w:bCs/>
                      <w:szCs w:val="21"/>
                    </w:rPr>
                    <w:t>大气扩散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0" w:type="pct"/>
                  <w:vMerge w:val="restart"/>
                  <w:shd w:val="clear" w:color="auto" w:fill="auto"/>
                  <w:vAlign w:val="center"/>
                </w:tcPr>
                <w:p>
                  <w:pPr>
                    <w:adjustRightInd w:val="0"/>
                    <w:snapToGrid w:val="0"/>
                    <w:jc w:val="center"/>
                    <w:rPr>
                      <w:bCs/>
                      <w:szCs w:val="21"/>
                    </w:rPr>
                  </w:pPr>
                  <w:r>
                    <w:rPr>
                      <w:rFonts w:hint="eastAsia"/>
                      <w:bCs/>
                      <w:szCs w:val="21"/>
                    </w:rPr>
                    <w:t>润滑油</w:t>
                  </w:r>
                </w:p>
              </w:tc>
              <w:tc>
                <w:tcPr>
                  <w:tcW w:w="775" w:type="pct"/>
                  <w:vMerge w:val="continue"/>
                  <w:shd w:val="clear" w:color="auto" w:fill="auto"/>
                  <w:vAlign w:val="center"/>
                </w:tcPr>
                <w:p>
                  <w:pPr>
                    <w:adjustRightInd w:val="0"/>
                    <w:snapToGrid w:val="0"/>
                    <w:jc w:val="center"/>
                    <w:rPr>
                      <w:bCs/>
                      <w:szCs w:val="21"/>
                    </w:rPr>
                  </w:pPr>
                </w:p>
              </w:tc>
              <w:tc>
                <w:tcPr>
                  <w:tcW w:w="1694" w:type="pct"/>
                  <w:vAlign w:val="center"/>
                </w:tcPr>
                <w:p>
                  <w:pPr>
                    <w:adjustRightInd w:val="0"/>
                    <w:snapToGrid w:val="0"/>
                    <w:jc w:val="center"/>
                    <w:rPr>
                      <w:bCs/>
                      <w:szCs w:val="21"/>
                    </w:rPr>
                  </w:pPr>
                  <w:r>
                    <w:rPr>
                      <w:rFonts w:hint="eastAsia"/>
                      <w:bCs/>
                      <w:szCs w:val="21"/>
                    </w:rPr>
                    <w:t>人员操作失误、容器泄露</w:t>
                  </w:r>
                </w:p>
              </w:tc>
              <w:tc>
                <w:tcPr>
                  <w:tcW w:w="1121" w:type="pct"/>
                  <w:vAlign w:val="center"/>
                </w:tcPr>
                <w:p>
                  <w:pPr>
                    <w:adjustRightInd w:val="0"/>
                    <w:snapToGrid w:val="0"/>
                    <w:jc w:val="center"/>
                    <w:rPr>
                      <w:bCs/>
                      <w:szCs w:val="21"/>
                    </w:rPr>
                  </w:pPr>
                  <w:r>
                    <w:rPr>
                      <w:rFonts w:hint="eastAsia"/>
                      <w:bCs/>
                      <w:szCs w:val="21"/>
                    </w:rPr>
                    <w:t>泄露</w:t>
                  </w:r>
                </w:p>
              </w:tc>
              <w:tc>
                <w:tcPr>
                  <w:tcW w:w="710" w:type="pct"/>
                  <w:vAlign w:val="center"/>
                </w:tcPr>
                <w:p>
                  <w:pPr>
                    <w:adjustRightInd w:val="0"/>
                    <w:snapToGrid w:val="0"/>
                    <w:jc w:val="center"/>
                    <w:rPr>
                      <w:bCs/>
                      <w:szCs w:val="21"/>
                    </w:rPr>
                  </w:pPr>
                  <w:r>
                    <w:rPr>
                      <w:rFonts w:hint="eastAsia"/>
                      <w:bCs/>
                      <w:szCs w:val="21"/>
                    </w:rPr>
                    <w:t>土壤入渗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0" w:type="pct"/>
                  <w:vMerge w:val="continue"/>
                  <w:shd w:val="clear" w:color="auto" w:fill="auto"/>
                  <w:vAlign w:val="center"/>
                </w:tcPr>
                <w:p>
                  <w:pPr>
                    <w:adjustRightInd w:val="0"/>
                    <w:snapToGrid w:val="0"/>
                    <w:jc w:val="center"/>
                    <w:rPr>
                      <w:bCs/>
                      <w:szCs w:val="21"/>
                    </w:rPr>
                  </w:pPr>
                </w:p>
              </w:tc>
              <w:tc>
                <w:tcPr>
                  <w:tcW w:w="775" w:type="pct"/>
                  <w:vMerge w:val="continue"/>
                  <w:shd w:val="clear" w:color="auto" w:fill="auto"/>
                  <w:vAlign w:val="center"/>
                </w:tcPr>
                <w:p>
                  <w:pPr>
                    <w:adjustRightInd w:val="0"/>
                    <w:snapToGrid w:val="0"/>
                    <w:jc w:val="center"/>
                    <w:rPr>
                      <w:bCs/>
                      <w:szCs w:val="21"/>
                    </w:rPr>
                  </w:pPr>
                </w:p>
              </w:tc>
              <w:tc>
                <w:tcPr>
                  <w:tcW w:w="1694" w:type="pct"/>
                  <w:vAlign w:val="center"/>
                </w:tcPr>
                <w:p>
                  <w:pPr>
                    <w:adjustRightInd w:val="0"/>
                    <w:snapToGrid w:val="0"/>
                    <w:jc w:val="center"/>
                    <w:rPr>
                      <w:bCs/>
                      <w:szCs w:val="21"/>
                    </w:rPr>
                  </w:pPr>
                  <w:r>
                    <w:rPr>
                      <w:rFonts w:hint="eastAsia"/>
                      <w:bCs/>
                      <w:szCs w:val="21"/>
                    </w:rPr>
                    <w:t>遇明火、电火花或高温的情况引发火灾</w:t>
                  </w:r>
                </w:p>
              </w:tc>
              <w:tc>
                <w:tcPr>
                  <w:tcW w:w="1121" w:type="pct"/>
                  <w:vAlign w:val="center"/>
                </w:tcPr>
                <w:p>
                  <w:pPr>
                    <w:adjustRightInd w:val="0"/>
                    <w:snapToGrid w:val="0"/>
                    <w:jc w:val="center"/>
                    <w:rPr>
                      <w:bCs/>
                      <w:szCs w:val="21"/>
                    </w:rPr>
                  </w:pPr>
                  <w:r>
                    <w:rPr>
                      <w:rFonts w:hint="eastAsia"/>
                      <w:bCs/>
                      <w:szCs w:val="21"/>
                    </w:rPr>
                    <w:t>火灾造成的次生污染物排放</w:t>
                  </w:r>
                </w:p>
              </w:tc>
              <w:tc>
                <w:tcPr>
                  <w:tcW w:w="710" w:type="pct"/>
                  <w:vAlign w:val="center"/>
                </w:tcPr>
                <w:p>
                  <w:pPr>
                    <w:adjustRightInd w:val="0"/>
                    <w:snapToGrid w:val="0"/>
                    <w:jc w:val="center"/>
                    <w:rPr>
                      <w:bCs/>
                      <w:szCs w:val="21"/>
                    </w:rPr>
                  </w:pPr>
                  <w:r>
                    <w:rPr>
                      <w:rFonts w:hint="eastAsia"/>
                      <w:bCs/>
                      <w:szCs w:val="21"/>
                    </w:rPr>
                    <w:t>大气扩散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0" w:type="pct"/>
                  <w:vMerge w:val="restart"/>
                  <w:shd w:val="clear" w:color="auto" w:fill="auto"/>
                  <w:vAlign w:val="center"/>
                </w:tcPr>
                <w:p>
                  <w:pPr>
                    <w:adjustRightInd w:val="0"/>
                    <w:snapToGrid w:val="0"/>
                    <w:jc w:val="center"/>
                    <w:rPr>
                      <w:bCs/>
                      <w:szCs w:val="21"/>
                    </w:rPr>
                  </w:pPr>
                  <w:r>
                    <w:rPr>
                      <w:rFonts w:hint="eastAsia"/>
                      <w:bCs/>
                      <w:szCs w:val="21"/>
                    </w:rPr>
                    <w:t>废液压油</w:t>
                  </w:r>
                </w:p>
              </w:tc>
              <w:tc>
                <w:tcPr>
                  <w:tcW w:w="775" w:type="pct"/>
                  <w:vMerge w:val="restart"/>
                  <w:shd w:val="clear" w:color="auto" w:fill="auto"/>
                  <w:vAlign w:val="center"/>
                </w:tcPr>
                <w:p>
                  <w:pPr>
                    <w:adjustRightInd w:val="0"/>
                    <w:snapToGrid w:val="0"/>
                    <w:jc w:val="center"/>
                    <w:rPr>
                      <w:bCs/>
                      <w:szCs w:val="21"/>
                    </w:rPr>
                  </w:pPr>
                  <w:r>
                    <w:rPr>
                      <w:rFonts w:hint="eastAsia"/>
                      <w:bCs/>
                      <w:szCs w:val="21"/>
                    </w:rPr>
                    <w:t>危废间</w:t>
                  </w:r>
                </w:p>
              </w:tc>
              <w:tc>
                <w:tcPr>
                  <w:tcW w:w="1694" w:type="pct"/>
                  <w:vAlign w:val="center"/>
                </w:tcPr>
                <w:p>
                  <w:pPr>
                    <w:adjustRightInd w:val="0"/>
                    <w:snapToGrid w:val="0"/>
                    <w:jc w:val="center"/>
                    <w:rPr>
                      <w:bCs/>
                      <w:szCs w:val="21"/>
                    </w:rPr>
                  </w:pPr>
                  <w:r>
                    <w:rPr>
                      <w:rFonts w:hint="eastAsia"/>
                      <w:bCs/>
                      <w:szCs w:val="21"/>
                    </w:rPr>
                    <w:t>人员操作失误、容器泄露</w:t>
                  </w:r>
                </w:p>
              </w:tc>
              <w:tc>
                <w:tcPr>
                  <w:tcW w:w="1121" w:type="pct"/>
                  <w:vAlign w:val="center"/>
                </w:tcPr>
                <w:p>
                  <w:pPr>
                    <w:adjustRightInd w:val="0"/>
                    <w:snapToGrid w:val="0"/>
                    <w:jc w:val="center"/>
                    <w:rPr>
                      <w:bCs/>
                      <w:szCs w:val="21"/>
                    </w:rPr>
                  </w:pPr>
                  <w:r>
                    <w:rPr>
                      <w:rFonts w:hint="eastAsia"/>
                      <w:bCs/>
                      <w:szCs w:val="21"/>
                    </w:rPr>
                    <w:t>泄露</w:t>
                  </w:r>
                </w:p>
              </w:tc>
              <w:tc>
                <w:tcPr>
                  <w:tcW w:w="710" w:type="pct"/>
                  <w:vAlign w:val="center"/>
                </w:tcPr>
                <w:p>
                  <w:pPr>
                    <w:adjustRightInd w:val="0"/>
                    <w:snapToGrid w:val="0"/>
                    <w:jc w:val="center"/>
                    <w:rPr>
                      <w:bCs/>
                      <w:szCs w:val="21"/>
                    </w:rPr>
                  </w:pPr>
                  <w:r>
                    <w:rPr>
                      <w:rFonts w:hint="eastAsia"/>
                      <w:bCs/>
                      <w:szCs w:val="21"/>
                    </w:rPr>
                    <w:t>土壤入渗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0" w:type="pct"/>
                  <w:vMerge w:val="continue"/>
                  <w:shd w:val="clear" w:color="auto" w:fill="auto"/>
                  <w:vAlign w:val="center"/>
                </w:tcPr>
                <w:p>
                  <w:pPr>
                    <w:adjustRightInd w:val="0"/>
                    <w:snapToGrid w:val="0"/>
                    <w:jc w:val="center"/>
                    <w:rPr>
                      <w:bCs/>
                      <w:szCs w:val="21"/>
                    </w:rPr>
                  </w:pPr>
                </w:p>
              </w:tc>
              <w:tc>
                <w:tcPr>
                  <w:tcW w:w="775" w:type="pct"/>
                  <w:vMerge w:val="continue"/>
                  <w:shd w:val="clear" w:color="auto" w:fill="auto"/>
                  <w:vAlign w:val="center"/>
                </w:tcPr>
                <w:p>
                  <w:pPr>
                    <w:adjustRightInd w:val="0"/>
                    <w:snapToGrid w:val="0"/>
                    <w:jc w:val="center"/>
                    <w:rPr>
                      <w:bCs/>
                      <w:szCs w:val="21"/>
                    </w:rPr>
                  </w:pPr>
                </w:p>
              </w:tc>
              <w:tc>
                <w:tcPr>
                  <w:tcW w:w="1694" w:type="pct"/>
                  <w:vAlign w:val="center"/>
                </w:tcPr>
                <w:p>
                  <w:pPr>
                    <w:adjustRightInd w:val="0"/>
                    <w:snapToGrid w:val="0"/>
                    <w:jc w:val="center"/>
                    <w:rPr>
                      <w:bCs/>
                      <w:szCs w:val="21"/>
                    </w:rPr>
                  </w:pPr>
                  <w:r>
                    <w:rPr>
                      <w:rFonts w:hint="eastAsia"/>
                      <w:bCs/>
                      <w:szCs w:val="21"/>
                    </w:rPr>
                    <w:t>遇明火、电火花或高温的情况引发火灾</w:t>
                  </w:r>
                </w:p>
              </w:tc>
              <w:tc>
                <w:tcPr>
                  <w:tcW w:w="1121" w:type="pct"/>
                  <w:vAlign w:val="center"/>
                </w:tcPr>
                <w:p>
                  <w:pPr>
                    <w:adjustRightInd w:val="0"/>
                    <w:snapToGrid w:val="0"/>
                    <w:jc w:val="center"/>
                    <w:rPr>
                      <w:bCs/>
                      <w:szCs w:val="21"/>
                    </w:rPr>
                  </w:pPr>
                  <w:r>
                    <w:rPr>
                      <w:rFonts w:hint="eastAsia"/>
                      <w:bCs/>
                      <w:szCs w:val="21"/>
                    </w:rPr>
                    <w:t>火灾造成的次生污染物排放</w:t>
                  </w:r>
                </w:p>
              </w:tc>
              <w:tc>
                <w:tcPr>
                  <w:tcW w:w="710" w:type="pct"/>
                  <w:vAlign w:val="center"/>
                </w:tcPr>
                <w:p>
                  <w:pPr>
                    <w:adjustRightInd w:val="0"/>
                    <w:snapToGrid w:val="0"/>
                    <w:jc w:val="center"/>
                    <w:rPr>
                      <w:bCs/>
                      <w:szCs w:val="21"/>
                    </w:rPr>
                  </w:pPr>
                  <w:r>
                    <w:rPr>
                      <w:rFonts w:hint="eastAsia"/>
                      <w:bCs/>
                      <w:szCs w:val="21"/>
                    </w:rPr>
                    <w:t>大气扩散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0" w:type="pct"/>
                  <w:shd w:val="clear" w:color="auto" w:fill="auto"/>
                  <w:vAlign w:val="center"/>
                </w:tcPr>
                <w:p>
                  <w:pPr>
                    <w:adjustRightInd w:val="0"/>
                    <w:snapToGrid w:val="0"/>
                    <w:jc w:val="center"/>
                    <w:rPr>
                      <w:bCs/>
                      <w:szCs w:val="21"/>
                    </w:rPr>
                  </w:pPr>
                  <w:r>
                    <w:rPr>
                      <w:rFonts w:hint="eastAsia"/>
                      <w:bCs/>
                      <w:szCs w:val="21"/>
                    </w:rPr>
                    <w:t>废油桶</w:t>
                  </w:r>
                </w:p>
              </w:tc>
              <w:tc>
                <w:tcPr>
                  <w:tcW w:w="775" w:type="pct"/>
                  <w:vMerge w:val="continue"/>
                  <w:shd w:val="clear" w:color="auto" w:fill="auto"/>
                  <w:vAlign w:val="center"/>
                </w:tcPr>
                <w:p>
                  <w:pPr>
                    <w:adjustRightInd w:val="0"/>
                    <w:snapToGrid w:val="0"/>
                    <w:jc w:val="center"/>
                    <w:rPr>
                      <w:bCs/>
                      <w:szCs w:val="21"/>
                    </w:rPr>
                  </w:pPr>
                </w:p>
              </w:tc>
              <w:tc>
                <w:tcPr>
                  <w:tcW w:w="1694" w:type="pct"/>
                  <w:vMerge w:val="restart"/>
                  <w:vAlign w:val="center"/>
                </w:tcPr>
                <w:p>
                  <w:pPr>
                    <w:adjustRightInd w:val="0"/>
                    <w:snapToGrid w:val="0"/>
                    <w:jc w:val="center"/>
                    <w:rPr>
                      <w:bCs/>
                      <w:szCs w:val="21"/>
                    </w:rPr>
                  </w:pPr>
                  <w:r>
                    <w:rPr>
                      <w:rFonts w:hint="eastAsia"/>
                      <w:bCs/>
                      <w:szCs w:val="21"/>
                    </w:rPr>
                    <w:t>遇明火、电火花或高温的情况引发火灾</w:t>
                  </w:r>
                </w:p>
              </w:tc>
              <w:tc>
                <w:tcPr>
                  <w:tcW w:w="1121" w:type="pct"/>
                  <w:vMerge w:val="restart"/>
                  <w:vAlign w:val="center"/>
                </w:tcPr>
                <w:p>
                  <w:pPr>
                    <w:adjustRightInd w:val="0"/>
                    <w:snapToGrid w:val="0"/>
                    <w:jc w:val="center"/>
                    <w:rPr>
                      <w:bCs/>
                      <w:szCs w:val="21"/>
                    </w:rPr>
                  </w:pPr>
                  <w:r>
                    <w:rPr>
                      <w:rFonts w:hint="eastAsia"/>
                      <w:bCs/>
                      <w:szCs w:val="21"/>
                    </w:rPr>
                    <w:t>火灾造成的次生污染物排放</w:t>
                  </w:r>
                </w:p>
              </w:tc>
              <w:tc>
                <w:tcPr>
                  <w:tcW w:w="710" w:type="pct"/>
                  <w:vMerge w:val="restart"/>
                  <w:vAlign w:val="center"/>
                </w:tcPr>
                <w:p>
                  <w:pPr>
                    <w:adjustRightInd w:val="0"/>
                    <w:snapToGrid w:val="0"/>
                    <w:jc w:val="center"/>
                    <w:rPr>
                      <w:bCs/>
                      <w:szCs w:val="21"/>
                    </w:rPr>
                  </w:pPr>
                  <w:r>
                    <w:rPr>
                      <w:rFonts w:hint="eastAsia"/>
                      <w:bCs/>
                      <w:szCs w:val="21"/>
                    </w:rPr>
                    <w:t>大气扩散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00" w:type="pct"/>
                  <w:shd w:val="clear" w:color="auto" w:fill="auto"/>
                  <w:vAlign w:val="center"/>
                </w:tcPr>
                <w:p>
                  <w:pPr>
                    <w:snapToGrid w:val="0"/>
                    <w:jc w:val="center"/>
                    <w:rPr>
                      <w:szCs w:val="21"/>
                    </w:rPr>
                  </w:pPr>
                  <w:r>
                    <w:rPr>
                      <w:rFonts w:hint="eastAsia"/>
                      <w:szCs w:val="21"/>
                    </w:rPr>
                    <w:t>废过滤棉、废活性炭</w:t>
                  </w:r>
                </w:p>
              </w:tc>
              <w:tc>
                <w:tcPr>
                  <w:tcW w:w="775" w:type="pct"/>
                  <w:vMerge w:val="continue"/>
                  <w:shd w:val="clear" w:color="auto" w:fill="auto"/>
                  <w:vAlign w:val="center"/>
                </w:tcPr>
                <w:p>
                  <w:pPr>
                    <w:adjustRightInd w:val="0"/>
                    <w:snapToGrid w:val="0"/>
                    <w:jc w:val="center"/>
                    <w:rPr>
                      <w:bCs/>
                      <w:szCs w:val="21"/>
                    </w:rPr>
                  </w:pPr>
                </w:p>
              </w:tc>
              <w:tc>
                <w:tcPr>
                  <w:tcW w:w="1694" w:type="pct"/>
                  <w:vMerge w:val="continue"/>
                  <w:vAlign w:val="center"/>
                </w:tcPr>
                <w:p>
                  <w:pPr>
                    <w:adjustRightInd w:val="0"/>
                    <w:snapToGrid w:val="0"/>
                    <w:jc w:val="center"/>
                    <w:rPr>
                      <w:bCs/>
                      <w:szCs w:val="21"/>
                    </w:rPr>
                  </w:pPr>
                </w:p>
              </w:tc>
              <w:tc>
                <w:tcPr>
                  <w:tcW w:w="1121" w:type="pct"/>
                  <w:vMerge w:val="continue"/>
                  <w:vAlign w:val="center"/>
                </w:tcPr>
                <w:p>
                  <w:pPr>
                    <w:adjustRightInd w:val="0"/>
                    <w:snapToGrid w:val="0"/>
                    <w:jc w:val="center"/>
                    <w:rPr>
                      <w:bCs/>
                      <w:szCs w:val="21"/>
                    </w:rPr>
                  </w:pPr>
                </w:p>
              </w:tc>
              <w:tc>
                <w:tcPr>
                  <w:tcW w:w="710" w:type="pct"/>
                  <w:vMerge w:val="continue"/>
                  <w:tcBorders>
                    <w:bottom w:val="single" w:color="auto" w:sz="4" w:space="0"/>
                  </w:tcBorders>
                  <w:vAlign w:val="center"/>
                </w:tcPr>
                <w:p>
                  <w:pPr>
                    <w:adjustRightInd w:val="0"/>
                    <w:snapToGrid w:val="0"/>
                    <w:jc w:val="center"/>
                    <w:rPr>
                      <w:bCs/>
                      <w:szCs w:val="21"/>
                    </w:rPr>
                  </w:pPr>
                </w:p>
              </w:tc>
            </w:tr>
            <w:bookmarkEnd w:id="10"/>
          </w:tbl>
          <w:p>
            <w:pPr>
              <w:adjustRightInd w:val="0"/>
              <w:snapToGrid w:val="0"/>
              <w:spacing w:line="400" w:lineRule="exact"/>
              <w:ind w:firstLine="420" w:firstLineChars="200"/>
              <w:rPr>
                <w:bCs/>
                <w:szCs w:val="21"/>
              </w:rPr>
            </w:pPr>
            <w:r>
              <w:rPr>
                <w:rFonts w:hint="eastAsia"/>
                <w:bCs/>
                <w:szCs w:val="21"/>
              </w:rPr>
              <w:t>（3）风险防范措施</w:t>
            </w:r>
          </w:p>
          <w:p>
            <w:pPr>
              <w:adjustRightInd w:val="0"/>
              <w:snapToGrid w:val="0"/>
              <w:spacing w:line="400" w:lineRule="exact"/>
              <w:ind w:firstLine="420" w:firstLineChars="200"/>
              <w:rPr>
                <w:bCs/>
                <w:szCs w:val="21"/>
              </w:rPr>
            </w:pPr>
            <w:r>
              <w:rPr>
                <w:rFonts w:hint="eastAsia"/>
                <w:bCs/>
                <w:szCs w:val="21"/>
              </w:rPr>
              <w:t xml:space="preserve">本次评价根据主要风险物质和风险源的分布，可能影响的途径，提出相应环境风险防范措施，具体如下： </w:t>
            </w:r>
          </w:p>
          <w:p>
            <w:pPr>
              <w:spacing w:line="400" w:lineRule="exact"/>
              <w:jc w:val="center"/>
              <w:rPr>
                <w:b/>
                <w:szCs w:val="21"/>
              </w:rPr>
            </w:pPr>
            <w:r>
              <w:rPr>
                <w:rFonts w:hint="eastAsia"/>
                <w:b/>
                <w:szCs w:val="21"/>
              </w:rPr>
              <w:t>表</w:t>
            </w:r>
            <w:r>
              <w:rPr>
                <w:b/>
                <w:szCs w:val="21"/>
              </w:rPr>
              <w:t xml:space="preserve">4-19  </w:t>
            </w:r>
            <w:r>
              <w:rPr>
                <w:rFonts w:hint="eastAsia"/>
                <w:b/>
                <w:szCs w:val="21"/>
              </w:rPr>
              <w:t>主要风险物质、风险源的分布、可能影响的途径及防范措施</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6"/>
              <w:gridCol w:w="1118"/>
              <w:gridCol w:w="1118"/>
              <w:gridCol w:w="1115"/>
              <w:gridCol w:w="34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Align w:val="center"/>
                </w:tcPr>
                <w:p>
                  <w:pPr>
                    <w:adjustRightInd w:val="0"/>
                    <w:snapToGrid w:val="0"/>
                    <w:jc w:val="center"/>
                    <w:rPr>
                      <w:bCs/>
                      <w:szCs w:val="21"/>
                    </w:rPr>
                  </w:pPr>
                  <w:bookmarkStart w:id="11" w:name="_Hlk139620238"/>
                  <w:r>
                    <w:rPr>
                      <w:rFonts w:hint="eastAsia"/>
                      <w:bCs/>
                      <w:szCs w:val="21"/>
                    </w:rPr>
                    <w:t>危险单元</w:t>
                  </w:r>
                </w:p>
              </w:tc>
              <w:tc>
                <w:tcPr>
                  <w:tcW w:w="1118" w:type="dxa"/>
                  <w:vAlign w:val="center"/>
                </w:tcPr>
                <w:p>
                  <w:pPr>
                    <w:adjustRightInd w:val="0"/>
                    <w:snapToGrid w:val="0"/>
                    <w:jc w:val="center"/>
                    <w:rPr>
                      <w:bCs/>
                      <w:szCs w:val="21"/>
                    </w:rPr>
                  </w:pPr>
                  <w:r>
                    <w:rPr>
                      <w:rFonts w:hint="eastAsia"/>
                      <w:bCs/>
                      <w:szCs w:val="21"/>
                    </w:rPr>
                    <w:t>风险源</w:t>
                  </w:r>
                </w:p>
              </w:tc>
              <w:tc>
                <w:tcPr>
                  <w:tcW w:w="1118" w:type="dxa"/>
                  <w:vAlign w:val="center"/>
                </w:tcPr>
                <w:p>
                  <w:pPr>
                    <w:adjustRightInd w:val="0"/>
                    <w:snapToGrid w:val="0"/>
                    <w:jc w:val="center"/>
                    <w:rPr>
                      <w:bCs/>
                      <w:szCs w:val="21"/>
                    </w:rPr>
                  </w:pPr>
                  <w:r>
                    <w:rPr>
                      <w:rFonts w:hint="eastAsia"/>
                      <w:bCs/>
                      <w:szCs w:val="21"/>
                    </w:rPr>
                    <w:t>危险物质</w:t>
                  </w:r>
                </w:p>
              </w:tc>
              <w:tc>
                <w:tcPr>
                  <w:tcW w:w="1115" w:type="dxa"/>
                  <w:vAlign w:val="center"/>
                </w:tcPr>
                <w:p>
                  <w:pPr>
                    <w:adjustRightInd w:val="0"/>
                    <w:snapToGrid w:val="0"/>
                    <w:jc w:val="center"/>
                    <w:rPr>
                      <w:bCs/>
                      <w:szCs w:val="21"/>
                    </w:rPr>
                  </w:pPr>
                  <w:r>
                    <w:rPr>
                      <w:rFonts w:hint="eastAsia"/>
                      <w:bCs/>
                      <w:szCs w:val="21"/>
                    </w:rPr>
                    <w:t>影响途径</w:t>
                  </w:r>
                </w:p>
              </w:tc>
              <w:tc>
                <w:tcPr>
                  <w:tcW w:w="3405" w:type="dxa"/>
                  <w:vAlign w:val="center"/>
                </w:tcPr>
                <w:p>
                  <w:pPr>
                    <w:adjustRightInd w:val="0"/>
                    <w:snapToGrid w:val="0"/>
                    <w:jc w:val="center"/>
                    <w:rPr>
                      <w:bCs/>
                      <w:szCs w:val="21"/>
                    </w:rPr>
                  </w:pPr>
                  <w:r>
                    <w:rPr>
                      <w:rFonts w:hint="eastAsia"/>
                      <w:bCs/>
                      <w:szCs w:val="21"/>
                    </w:rPr>
                    <w:t>采取的措施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Align w:val="center"/>
                </w:tcPr>
                <w:p>
                  <w:pPr>
                    <w:adjustRightInd w:val="0"/>
                    <w:snapToGrid w:val="0"/>
                    <w:jc w:val="center"/>
                    <w:rPr>
                      <w:bCs/>
                      <w:szCs w:val="21"/>
                    </w:rPr>
                  </w:pPr>
                  <w:r>
                    <w:rPr>
                      <w:rFonts w:hint="eastAsia"/>
                      <w:bCs/>
                      <w:szCs w:val="21"/>
                    </w:rPr>
                    <w:t>生产车间</w:t>
                  </w:r>
                </w:p>
              </w:tc>
              <w:tc>
                <w:tcPr>
                  <w:tcW w:w="1118" w:type="dxa"/>
                  <w:vAlign w:val="center"/>
                </w:tcPr>
                <w:p>
                  <w:pPr>
                    <w:adjustRightInd w:val="0"/>
                    <w:snapToGrid w:val="0"/>
                    <w:jc w:val="center"/>
                    <w:rPr>
                      <w:bCs/>
                      <w:szCs w:val="21"/>
                    </w:rPr>
                  </w:pPr>
                  <w:r>
                    <w:rPr>
                      <w:rFonts w:hint="eastAsia"/>
                      <w:bCs/>
                      <w:szCs w:val="21"/>
                    </w:rPr>
                    <w:t>液压油、润滑油存放区域</w:t>
                  </w:r>
                </w:p>
              </w:tc>
              <w:tc>
                <w:tcPr>
                  <w:tcW w:w="1118" w:type="dxa"/>
                  <w:vAlign w:val="center"/>
                </w:tcPr>
                <w:p>
                  <w:pPr>
                    <w:adjustRightInd w:val="0"/>
                    <w:snapToGrid w:val="0"/>
                    <w:jc w:val="center"/>
                    <w:rPr>
                      <w:bCs/>
                      <w:szCs w:val="21"/>
                    </w:rPr>
                  </w:pPr>
                  <w:r>
                    <w:rPr>
                      <w:rFonts w:hint="eastAsia"/>
                      <w:bCs/>
                      <w:szCs w:val="21"/>
                    </w:rPr>
                    <w:t>液压油、润滑油</w:t>
                  </w:r>
                </w:p>
              </w:tc>
              <w:tc>
                <w:tcPr>
                  <w:tcW w:w="1115" w:type="dxa"/>
                  <w:vAlign w:val="center"/>
                </w:tcPr>
                <w:p>
                  <w:pPr>
                    <w:adjustRightInd w:val="0"/>
                    <w:snapToGrid w:val="0"/>
                    <w:jc w:val="center"/>
                    <w:rPr>
                      <w:bCs/>
                      <w:szCs w:val="21"/>
                    </w:rPr>
                  </w:pPr>
                  <w:r>
                    <w:rPr>
                      <w:rFonts w:hint="eastAsia"/>
                      <w:bCs/>
                      <w:szCs w:val="21"/>
                    </w:rPr>
                    <w:t>土壤入渗</w:t>
                  </w:r>
                </w:p>
              </w:tc>
              <w:tc>
                <w:tcPr>
                  <w:tcW w:w="3405" w:type="dxa"/>
                  <w:vAlign w:val="center"/>
                </w:tcPr>
                <w:p>
                  <w:pPr>
                    <w:adjustRightInd w:val="0"/>
                    <w:snapToGrid w:val="0"/>
                    <w:jc w:val="center"/>
                    <w:rPr>
                      <w:bCs/>
                      <w:szCs w:val="21"/>
                    </w:rPr>
                  </w:pPr>
                  <w:r>
                    <w:rPr>
                      <w:rFonts w:hint="eastAsia"/>
                      <w:bCs/>
                      <w:szCs w:val="21"/>
                    </w:rPr>
                    <w:t>贮存、使用按照操作规程进行，贮存在专用设施内，并设置防渗围堰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Merge w:val="restart"/>
                  <w:vAlign w:val="center"/>
                </w:tcPr>
                <w:p>
                  <w:pPr>
                    <w:adjustRightInd w:val="0"/>
                    <w:snapToGrid w:val="0"/>
                    <w:jc w:val="center"/>
                    <w:rPr>
                      <w:bCs/>
                      <w:szCs w:val="21"/>
                    </w:rPr>
                  </w:pPr>
                  <w:r>
                    <w:rPr>
                      <w:rFonts w:hint="eastAsia"/>
                      <w:bCs/>
                      <w:szCs w:val="21"/>
                    </w:rPr>
                    <w:t>危废间</w:t>
                  </w:r>
                </w:p>
              </w:tc>
              <w:tc>
                <w:tcPr>
                  <w:tcW w:w="1118" w:type="dxa"/>
                  <w:vMerge w:val="restart"/>
                  <w:vAlign w:val="center"/>
                </w:tcPr>
                <w:p>
                  <w:pPr>
                    <w:adjustRightInd w:val="0"/>
                    <w:snapToGrid w:val="0"/>
                    <w:jc w:val="center"/>
                    <w:rPr>
                      <w:bCs/>
                      <w:szCs w:val="21"/>
                    </w:rPr>
                  </w:pPr>
                  <w:r>
                    <w:rPr>
                      <w:rFonts w:hint="eastAsia"/>
                      <w:bCs/>
                      <w:szCs w:val="21"/>
                    </w:rPr>
                    <w:t>危废间</w:t>
                  </w:r>
                </w:p>
              </w:tc>
              <w:tc>
                <w:tcPr>
                  <w:tcW w:w="1118" w:type="dxa"/>
                  <w:vMerge w:val="restart"/>
                  <w:vAlign w:val="center"/>
                </w:tcPr>
                <w:p>
                  <w:pPr>
                    <w:adjustRightInd w:val="0"/>
                    <w:snapToGrid w:val="0"/>
                    <w:jc w:val="center"/>
                    <w:rPr>
                      <w:bCs/>
                      <w:szCs w:val="21"/>
                    </w:rPr>
                  </w:pPr>
                  <w:r>
                    <w:rPr>
                      <w:rFonts w:hint="eastAsia"/>
                      <w:bCs/>
                      <w:szCs w:val="21"/>
                    </w:rPr>
                    <w:t>废液压油</w:t>
                  </w:r>
                </w:p>
              </w:tc>
              <w:tc>
                <w:tcPr>
                  <w:tcW w:w="1115" w:type="dxa"/>
                  <w:vAlign w:val="center"/>
                </w:tcPr>
                <w:p>
                  <w:pPr>
                    <w:adjustRightInd w:val="0"/>
                    <w:snapToGrid w:val="0"/>
                    <w:jc w:val="center"/>
                    <w:rPr>
                      <w:bCs/>
                      <w:szCs w:val="21"/>
                    </w:rPr>
                  </w:pPr>
                  <w:r>
                    <w:rPr>
                      <w:rFonts w:hint="eastAsia"/>
                      <w:bCs/>
                      <w:szCs w:val="21"/>
                    </w:rPr>
                    <w:t>土壤入渗</w:t>
                  </w:r>
                </w:p>
              </w:tc>
              <w:tc>
                <w:tcPr>
                  <w:tcW w:w="3405" w:type="dxa"/>
                  <w:vAlign w:val="center"/>
                </w:tcPr>
                <w:p>
                  <w:pPr>
                    <w:adjustRightInd w:val="0"/>
                    <w:snapToGrid w:val="0"/>
                    <w:jc w:val="center"/>
                    <w:rPr>
                      <w:bCs/>
                      <w:szCs w:val="21"/>
                    </w:rPr>
                  </w:pPr>
                  <w:r>
                    <w:rPr>
                      <w:rFonts w:hint="eastAsia"/>
                      <w:bCs/>
                      <w:szCs w:val="21"/>
                    </w:rPr>
                    <w:t>贮存、使用按照操作规程进行，贮存在专用设施内，并设置防渗围堰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Merge w:val="continue"/>
                  <w:vAlign w:val="center"/>
                </w:tcPr>
                <w:p>
                  <w:pPr>
                    <w:adjustRightInd w:val="0"/>
                    <w:snapToGrid w:val="0"/>
                    <w:jc w:val="center"/>
                    <w:rPr>
                      <w:bCs/>
                      <w:szCs w:val="21"/>
                    </w:rPr>
                  </w:pPr>
                </w:p>
              </w:tc>
              <w:tc>
                <w:tcPr>
                  <w:tcW w:w="1118" w:type="dxa"/>
                  <w:vMerge w:val="continue"/>
                  <w:vAlign w:val="center"/>
                </w:tcPr>
                <w:p>
                  <w:pPr>
                    <w:adjustRightInd w:val="0"/>
                    <w:snapToGrid w:val="0"/>
                    <w:jc w:val="center"/>
                    <w:rPr>
                      <w:bCs/>
                      <w:szCs w:val="21"/>
                    </w:rPr>
                  </w:pPr>
                </w:p>
              </w:tc>
              <w:tc>
                <w:tcPr>
                  <w:tcW w:w="1118" w:type="dxa"/>
                  <w:vMerge w:val="continue"/>
                  <w:vAlign w:val="center"/>
                </w:tcPr>
                <w:p>
                  <w:pPr>
                    <w:adjustRightInd w:val="0"/>
                    <w:snapToGrid w:val="0"/>
                    <w:jc w:val="center"/>
                    <w:rPr>
                      <w:bCs/>
                      <w:szCs w:val="21"/>
                    </w:rPr>
                  </w:pPr>
                </w:p>
              </w:tc>
              <w:tc>
                <w:tcPr>
                  <w:tcW w:w="1115" w:type="dxa"/>
                  <w:vAlign w:val="center"/>
                </w:tcPr>
                <w:p>
                  <w:pPr>
                    <w:adjustRightInd w:val="0"/>
                    <w:snapToGrid w:val="0"/>
                    <w:jc w:val="center"/>
                    <w:rPr>
                      <w:bCs/>
                      <w:szCs w:val="21"/>
                    </w:rPr>
                  </w:pPr>
                  <w:r>
                    <w:rPr>
                      <w:rFonts w:hint="eastAsia"/>
                      <w:bCs/>
                      <w:szCs w:val="21"/>
                    </w:rPr>
                    <w:t>大气扩散</w:t>
                  </w:r>
                </w:p>
              </w:tc>
              <w:tc>
                <w:tcPr>
                  <w:tcW w:w="3405" w:type="dxa"/>
                  <w:vAlign w:val="center"/>
                </w:tcPr>
                <w:p>
                  <w:pPr>
                    <w:adjustRightInd w:val="0"/>
                    <w:snapToGrid w:val="0"/>
                    <w:jc w:val="center"/>
                    <w:rPr>
                      <w:bCs/>
                      <w:szCs w:val="21"/>
                    </w:rPr>
                  </w:pPr>
                  <w:r>
                    <w:rPr>
                      <w:rFonts w:hint="eastAsia"/>
                      <w:bCs/>
                      <w:szCs w:val="21"/>
                    </w:rPr>
                    <w:t>危废间做好火灾防护工作，避开明火、静电和高温作业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Merge w:val="continue"/>
                  <w:vAlign w:val="center"/>
                </w:tcPr>
                <w:p>
                  <w:pPr>
                    <w:adjustRightInd w:val="0"/>
                    <w:snapToGrid w:val="0"/>
                    <w:jc w:val="center"/>
                    <w:rPr>
                      <w:bCs/>
                      <w:szCs w:val="21"/>
                    </w:rPr>
                  </w:pPr>
                </w:p>
              </w:tc>
              <w:tc>
                <w:tcPr>
                  <w:tcW w:w="1118" w:type="dxa"/>
                  <w:vMerge w:val="continue"/>
                  <w:vAlign w:val="center"/>
                </w:tcPr>
                <w:p>
                  <w:pPr>
                    <w:adjustRightInd w:val="0"/>
                    <w:snapToGrid w:val="0"/>
                    <w:jc w:val="center"/>
                    <w:rPr>
                      <w:bCs/>
                      <w:szCs w:val="21"/>
                    </w:rPr>
                  </w:pPr>
                </w:p>
              </w:tc>
              <w:tc>
                <w:tcPr>
                  <w:tcW w:w="1118" w:type="dxa"/>
                  <w:vAlign w:val="center"/>
                </w:tcPr>
                <w:p>
                  <w:pPr>
                    <w:adjustRightInd w:val="0"/>
                    <w:snapToGrid w:val="0"/>
                    <w:jc w:val="center"/>
                    <w:rPr>
                      <w:bCs/>
                      <w:szCs w:val="21"/>
                    </w:rPr>
                  </w:pPr>
                  <w:r>
                    <w:rPr>
                      <w:rFonts w:hint="eastAsia"/>
                      <w:bCs/>
                      <w:szCs w:val="21"/>
                    </w:rPr>
                    <w:t>废油桶</w:t>
                  </w:r>
                </w:p>
              </w:tc>
              <w:tc>
                <w:tcPr>
                  <w:tcW w:w="1115" w:type="dxa"/>
                  <w:vMerge w:val="restart"/>
                  <w:vAlign w:val="center"/>
                </w:tcPr>
                <w:p>
                  <w:pPr>
                    <w:adjustRightInd w:val="0"/>
                    <w:snapToGrid w:val="0"/>
                    <w:jc w:val="center"/>
                    <w:rPr>
                      <w:bCs/>
                      <w:szCs w:val="21"/>
                    </w:rPr>
                  </w:pPr>
                  <w:r>
                    <w:rPr>
                      <w:rFonts w:hint="eastAsia"/>
                      <w:bCs/>
                      <w:szCs w:val="21"/>
                    </w:rPr>
                    <w:t>大气扩散</w:t>
                  </w:r>
                </w:p>
              </w:tc>
              <w:tc>
                <w:tcPr>
                  <w:tcW w:w="3405" w:type="dxa"/>
                  <w:vMerge w:val="restart"/>
                  <w:vAlign w:val="center"/>
                </w:tcPr>
                <w:p>
                  <w:pPr>
                    <w:adjustRightInd w:val="0"/>
                    <w:snapToGrid w:val="0"/>
                    <w:rPr>
                      <w:bCs/>
                      <w:szCs w:val="21"/>
                    </w:rPr>
                  </w:pPr>
                  <w:r>
                    <w:rPr>
                      <w:rFonts w:hint="eastAsia"/>
                      <w:bCs/>
                      <w:szCs w:val="21"/>
                    </w:rPr>
                    <w:t>1、密封贮存；</w:t>
                  </w:r>
                </w:p>
                <w:p>
                  <w:pPr>
                    <w:adjustRightInd w:val="0"/>
                    <w:snapToGrid w:val="0"/>
                    <w:rPr>
                      <w:bCs/>
                      <w:szCs w:val="21"/>
                    </w:rPr>
                  </w:pPr>
                  <w:r>
                    <w:rPr>
                      <w:bCs/>
                      <w:szCs w:val="21"/>
                    </w:rPr>
                    <w:t>2</w:t>
                  </w:r>
                  <w:r>
                    <w:rPr>
                      <w:rFonts w:hint="eastAsia"/>
                      <w:bCs/>
                      <w:szCs w:val="21"/>
                    </w:rPr>
                    <w:t>、危废间做好火灾防护工作，避开明火、静电和高温作业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116" w:type="dxa"/>
                  <w:vMerge w:val="continue"/>
                  <w:vAlign w:val="center"/>
                </w:tcPr>
                <w:p>
                  <w:pPr>
                    <w:adjustRightInd w:val="0"/>
                    <w:snapToGrid w:val="0"/>
                    <w:jc w:val="center"/>
                    <w:rPr>
                      <w:bCs/>
                      <w:szCs w:val="21"/>
                    </w:rPr>
                  </w:pPr>
                </w:p>
              </w:tc>
              <w:tc>
                <w:tcPr>
                  <w:tcW w:w="1118" w:type="dxa"/>
                  <w:vMerge w:val="continue"/>
                  <w:vAlign w:val="center"/>
                </w:tcPr>
                <w:p>
                  <w:pPr>
                    <w:adjustRightInd w:val="0"/>
                    <w:snapToGrid w:val="0"/>
                    <w:jc w:val="center"/>
                    <w:rPr>
                      <w:bCs/>
                      <w:szCs w:val="21"/>
                    </w:rPr>
                  </w:pPr>
                </w:p>
              </w:tc>
              <w:tc>
                <w:tcPr>
                  <w:tcW w:w="1118" w:type="dxa"/>
                  <w:vAlign w:val="center"/>
                </w:tcPr>
                <w:p>
                  <w:pPr>
                    <w:snapToGrid w:val="0"/>
                    <w:jc w:val="center"/>
                    <w:rPr>
                      <w:szCs w:val="21"/>
                    </w:rPr>
                  </w:pPr>
                  <w:r>
                    <w:rPr>
                      <w:rFonts w:hint="eastAsia"/>
                      <w:szCs w:val="21"/>
                    </w:rPr>
                    <w:t>废过滤棉、废活性炭</w:t>
                  </w:r>
                </w:p>
              </w:tc>
              <w:tc>
                <w:tcPr>
                  <w:tcW w:w="1115" w:type="dxa"/>
                  <w:vMerge w:val="continue"/>
                  <w:vAlign w:val="center"/>
                </w:tcPr>
                <w:p>
                  <w:pPr>
                    <w:adjustRightInd w:val="0"/>
                    <w:snapToGrid w:val="0"/>
                    <w:jc w:val="center"/>
                    <w:rPr>
                      <w:bCs/>
                      <w:szCs w:val="21"/>
                    </w:rPr>
                  </w:pPr>
                </w:p>
              </w:tc>
              <w:tc>
                <w:tcPr>
                  <w:tcW w:w="3405" w:type="dxa"/>
                  <w:vMerge w:val="continue"/>
                  <w:vAlign w:val="center"/>
                </w:tcPr>
                <w:p>
                  <w:pPr>
                    <w:adjustRightInd w:val="0"/>
                    <w:snapToGrid w:val="0"/>
                    <w:rPr>
                      <w:bCs/>
                      <w:szCs w:val="21"/>
                    </w:rPr>
                  </w:pPr>
                </w:p>
              </w:tc>
            </w:tr>
            <w:bookmarkEnd w:id="11"/>
          </w:tbl>
          <w:p>
            <w:pPr>
              <w:adjustRightInd w:val="0"/>
              <w:snapToGrid w:val="0"/>
              <w:spacing w:line="400" w:lineRule="exact"/>
              <w:ind w:firstLine="420" w:firstLineChars="200"/>
              <w:rPr>
                <w:bCs/>
                <w:szCs w:val="21"/>
              </w:rPr>
            </w:pPr>
            <w:r>
              <w:rPr>
                <w:rFonts w:hint="eastAsia"/>
                <w:bCs/>
                <w:szCs w:val="21"/>
              </w:rPr>
              <w:t>（</w:t>
            </w:r>
            <w:r>
              <w:rPr>
                <w:bCs/>
                <w:szCs w:val="21"/>
              </w:rPr>
              <w:t>4</w:t>
            </w:r>
            <w:r>
              <w:rPr>
                <w:rFonts w:hint="eastAsia"/>
                <w:bCs/>
                <w:szCs w:val="21"/>
              </w:rPr>
              <w:t>）应急要求</w:t>
            </w:r>
          </w:p>
          <w:p>
            <w:pPr>
              <w:adjustRightInd w:val="0"/>
              <w:snapToGrid w:val="0"/>
              <w:spacing w:line="400" w:lineRule="exact"/>
              <w:ind w:firstLine="420" w:firstLineChars="200"/>
              <w:rPr>
                <w:bCs/>
                <w:szCs w:val="21"/>
              </w:rPr>
            </w:pPr>
            <w:r>
              <w:rPr>
                <w:rFonts w:hint="eastAsia"/>
                <w:bCs/>
                <w:szCs w:val="21"/>
              </w:rPr>
              <w:t>项目需配备应急器材和个人防护用品；配备适宜的灭火装置；设备定期检查和维修；操作人员要定时巡回检查，如有异常情况立即处理，制定事故情况下的人员疏散和应急避险场所；因此，本项目在采取相应的风险防范和应急措施的前提下，项目环境风险是可防控。</w:t>
            </w:r>
          </w:p>
          <w:p>
            <w:pPr>
              <w:adjustRightInd w:val="0"/>
              <w:snapToGrid w:val="0"/>
              <w:spacing w:line="400" w:lineRule="exact"/>
              <w:ind w:firstLine="420" w:firstLineChars="200"/>
              <w:rPr>
                <w:bCs/>
                <w:szCs w:val="21"/>
              </w:rPr>
            </w:pPr>
            <w:r>
              <w:rPr>
                <w:rFonts w:hint="eastAsia"/>
                <w:bCs/>
                <w:szCs w:val="21"/>
              </w:rPr>
              <w:t>另外，企业需制定突发环境应急预案，报生态环境主管部门备案，并设置相关组织机构、负责人，明确相关人员责任，配备应急物资、明确联络方式、事后处置等，定期演练，并保持相关记录。</w:t>
            </w:r>
            <w:r>
              <w:rPr>
                <w:bCs/>
                <w:szCs w:val="21"/>
              </w:rPr>
              <w:t xml:space="preserve"> </w:t>
            </w:r>
          </w:p>
          <w:p>
            <w:pPr>
              <w:adjustRightInd w:val="0"/>
              <w:snapToGrid w:val="0"/>
              <w:spacing w:line="400" w:lineRule="exact"/>
              <w:ind w:firstLine="422" w:firstLineChars="200"/>
              <w:rPr>
                <w:b/>
                <w:szCs w:val="21"/>
              </w:rPr>
            </w:pPr>
            <w:r>
              <w:rPr>
                <w:b/>
                <w:szCs w:val="21"/>
              </w:rPr>
              <w:t>7</w:t>
            </w:r>
            <w:r>
              <w:rPr>
                <w:rFonts w:hint="eastAsia"/>
                <w:b/>
                <w:szCs w:val="21"/>
              </w:rPr>
              <w:t>、碳排放</w:t>
            </w:r>
          </w:p>
          <w:p>
            <w:pPr>
              <w:adjustRightInd w:val="0"/>
              <w:snapToGrid w:val="0"/>
              <w:spacing w:line="400" w:lineRule="exact"/>
              <w:ind w:firstLine="420" w:firstLineChars="200"/>
              <w:rPr>
                <w:bCs/>
                <w:szCs w:val="21"/>
              </w:rPr>
            </w:pPr>
            <w:r>
              <w:rPr>
                <w:rFonts w:hint="eastAsia"/>
                <w:bCs/>
                <w:szCs w:val="21"/>
              </w:rPr>
              <w:t>按照《关于加强企业温室气体排放报告管理相关工作的通知》（环办气候〔2021〕9号）、《关于做好2022年企业温室气体排放报告管理相关重点工作的通知》(环办气候函〔2022〕111号)、《企业温室气体排放核算方法与报告指南 发电设施(2022年修订版)》相关文件决策部署和文件精神，以及地方政策要求，进行了本项目碳排放评价，如下：</w:t>
            </w:r>
          </w:p>
          <w:p>
            <w:pPr>
              <w:adjustRightInd w:val="0"/>
              <w:snapToGrid w:val="0"/>
              <w:spacing w:line="400" w:lineRule="exact"/>
              <w:ind w:firstLine="422" w:firstLineChars="200"/>
              <w:rPr>
                <w:b/>
                <w:szCs w:val="21"/>
              </w:rPr>
            </w:pPr>
            <w:r>
              <w:rPr>
                <w:rFonts w:hint="eastAsia"/>
                <w:b/>
                <w:szCs w:val="21"/>
              </w:rPr>
              <w:t>（1）政策符合性分析</w:t>
            </w:r>
          </w:p>
          <w:p>
            <w:pPr>
              <w:adjustRightInd w:val="0"/>
              <w:snapToGrid w:val="0"/>
              <w:spacing w:line="400" w:lineRule="exact"/>
              <w:ind w:firstLine="420" w:firstLineChars="200"/>
              <w:rPr>
                <w:bCs/>
                <w:szCs w:val="21"/>
              </w:rPr>
            </w:pPr>
            <w:r>
              <w:rPr>
                <w:rFonts w:hint="eastAsia"/>
                <w:bCs/>
                <w:szCs w:val="21"/>
              </w:rPr>
              <w:t>本项目不属于碳排放相关要求中提到的“重点行业”，但为响应国家和地方政策要求，参照《重点行业建设项目碳排放环境影响评价试点技术指南（试行）》进行本次评价，符合政策要求。</w:t>
            </w:r>
          </w:p>
          <w:p>
            <w:pPr>
              <w:adjustRightInd w:val="0"/>
              <w:snapToGrid w:val="0"/>
              <w:spacing w:line="400" w:lineRule="exact"/>
              <w:ind w:firstLine="422" w:firstLineChars="200"/>
              <w:rPr>
                <w:b/>
                <w:szCs w:val="21"/>
              </w:rPr>
            </w:pPr>
            <w:r>
              <w:rPr>
                <w:rFonts w:hint="eastAsia"/>
                <w:b/>
                <w:szCs w:val="21"/>
              </w:rPr>
              <w:t>（2）工程分析</w:t>
            </w:r>
          </w:p>
          <w:p>
            <w:pPr>
              <w:adjustRightInd w:val="0"/>
              <w:snapToGrid w:val="0"/>
              <w:spacing w:line="400" w:lineRule="exact"/>
              <w:ind w:firstLine="420" w:firstLineChars="200"/>
              <w:rPr>
                <w:bCs/>
                <w:szCs w:val="21"/>
              </w:rPr>
            </w:pPr>
            <w:r>
              <w:rPr>
                <w:rFonts w:hint="eastAsia"/>
                <w:bCs/>
                <w:szCs w:val="21"/>
              </w:rPr>
              <w:t>根据前述工程分析可知，识别本项目的碳排放节点为净购入电力。</w:t>
            </w:r>
          </w:p>
          <w:p>
            <w:pPr>
              <w:adjustRightInd w:val="0"/>
              <w:snapToGrid w:val="0"/>
              <w:spacing w:line="400" w:lineRule="exact"/>
              <w:ind w:firstLine="422" w:firstLineChars="200"/>
              <w:rPr>
                <w:b/>
                <w:szCs w:val="21"/>
              </w:rPr>
            </w:pPr>
            <w:r>
              <w:rPr>
                <w:rFonts w:hint="eastAsia"/>
                <w:b/>
                <w:szCs w:val="21"/>
              </w:rPr>
              <w:t>（3）核算边界</w:t>
            </w:r>
          </w:p>
          <w:p>
            <w:pPr>
              <w:adjustRightInd w:val="0"/>
              <w:snapToGrid w:val="0"/>
              <w:spacing w:line="400" w:lineRule="exact"/>
              <w:ind w:firstLine="420" w:firstLineChars="200"/>
              <w:rPr>
                <w:bCs/>
                <w:szCs w:val="21"/>
              </w:rPr>
            </w:pPr>
            <w:r>
              <w:rPr>
                <w:rFonts w:hint="eastAsia"/>
                <w:bCs/>
                <w:szCs w:val="21"/>
              </w:rPr>
              <w:t>本次核算边界定位本项目自身，温室气体排放源为净购入电力。</w:t>
            </w:r>
          </w:p>
          <w:p>
            <w:pPr>
              <w:adjustRightInd w:val="0"/>
              <w:snapToGrid w:val="0"/>
              <w:spacing w:line="400" w:lineRule="exact"/>
              <w:ind w:firstLine="422" w:firstLineChars="200"/>
              <w:rPr>
                <w:b/>
                <w:szCs w:val="21"/>
              </w:rPr>
            </w:pPr>
            <w:r>
              <w:rPr>
                <w:rFonts w:hint="eastAsia"/>
                <w:b/>
                <w:szCs w:val="21"/>
              </w:rPr>
              <w:t>（4）碳排放绩效核算</w:t>
            </w:r>
          </w:p>
          <w:p>
            <w:pPr>
              <w:adjustRightInd w:val="0"/>
              <w:snapToGrid w:val="0"/>
              <w:spacing w:line="400" w:lineRule="exact"/>
              <w:ind w:firstLine="420" w:firstLineChars="200"/>
              <w:rPr>
                <w:bCs/>
                <w:szCs w:val="21"/>
              </w:rPr>
            </w:pPr>
            <w:r>
              <w:rPr>
                <w:rFonts w:hint="eastAsia"/>
                <w:bCs/>
                <w:szCs w:val="21"/>
              </w:rPr>
              <w:t>①净购入电力</w:t>
            </w:r>
          </w:p>
          <w:p>
            <w:pPr>
              <w:adjustRightInd w:val="0"/>
              <w:snapToGrid w:val="0"/>
              <w:spacing w:line="400" w:lineRule="exact"/>
              <w:ind w:firstLine="420" w:firstLineChars="200"/>
              <w:rPr>
                <w:bCs/>
                <w:szCs w:val="21"/>
              </w:rPr>
            </w:pPr>
            <w:r>
              <w:rPr>
                <w:rFonts w:hint="eastAsia"/>
                <w:bCs/>
                <w:szCs w:val="21"/>
              </w:rPr>
              <w:t>核算边界内，净购入电力所对应的碳排放，核算公式如下：</w:t>
            </w:r>
          </w:p>
          <w:p>
            <w:pPr>
              <w:adjustRightInd w:val="0"/>
              <w:snapToGrid w:val="0"/>
              <w:spacing w:line="360" w:lineRule="auto"/>
              <w:ind w:firstLine="420" w:firstLineChars="200"/>
              <w:rPr>
                <w:bCs/>
                <w:szCs w:val="21"/>
              </w:rPr>
            </w:pPr>
            <m:oMathPara>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r>
                  <m:rPr/>
                  <w:rPr>
                    <w:rFonts w:hint="eastAsia" w:ascii="Cambria Math" w:hAnsi="Cambria Math"/>
                    <w:szCs w:val="21"/>
                  </w:rPr>
                  <m:t>=</m:t>
                </m:r>
                <m:sSub>
                  <m:sSubPr>
                    <m:ctrlPr>
                      <w:rPr>
                        <w:rFonts w:ascii="Cambria Math" w:hAnsi="Cambria Math"/>
                        <w:bCs/>
                        <w:i/>
                        <w:szCs w:val="21"/>
                      </w:rPr>
                    </m:ctrlPr>
                  </m:sSubPr>
                  <m:e>
                    <m:r>
                      <m:rPr/>
                      <w:rPr>
                        <w:rFonts w:ascii="Cambria Math" w:hAnsi="Cambria Math"/>
                        <w:szCs w:val="21"/>
                      </w:rPr>
                      <m:t>AD</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r>
                  <m:rPr/>
                  <w:rPr>
                    <w:rFonts w:ascii="Cambria Math" w:hAnsi="Cambria Math"/>
                    <w:szCs w:val="21"/>
                  </w:rPr>
                  <m:t>×</m:t>
                </m:r>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m:t>
                    </m:r>
                    <m:ctrlPr>
                      <w:rPr>
                        <w:rFonts w:ascii="Cambria Math" w:hAnsi="Cambria Math"/>
                        <w:bCs/>
                        <w:i/>
                        <w:szCs w:val="21"/>
                      </w:rPr>
                    </m:ctrlPr>
                  </m:sub>
                </m:sSub>
              </m:oMath>
            </m:oMathPara>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——购入的电力所产生的二氧化碳排放，单位为吨二氧化碳（t</w:t>
            </w:r>
            <w:r>
              <w:rPr>
                <w:bCs/>
                <w:szCs w:val="21"/>
              </w:rPr>
              <w:t>CO</w:t>
            </w:r>
            <w:r>
              <w:rPr>
                <w:bCs/>
                <w:szCs w:val="21"/>
                <w:vertAlign w:val="subscript"/>
              </w:rPr>
              <w:t>2</w:t>
            </w:r>
            <w:r>
              <w:rPr>
                <w:rFonts w:hint="eastAsia"/>
                <w:bCs/>
                <w:szCs w:val="21"/>
              </w:rPr>
              <w:t>）</w:t>
            </w:r>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m:rPr/>
                    <w:rPr>
                      <w:rFonts w:ascii="Cambria Math" w:hAnsi="Cambria Math"/>
                      <w:szCs w:val="21"/>
                    </w:rPr>
                    <m:t>AD</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——购入的电力量，单位为兆瓦时（M</w:t>
            </w:r>
            <w:r>
              <w:rPr>
                <w:bCs/>
                <w:szCs w:val="21"/>
              </w:rPr>
              <w:t>Wh</w:t>
            </w:r>
            <w:r>
              <w:rPr>
                <w:rFonts w:hint="eastAsia"/>
                <w:bCs/>
                <w:szCs w:val="21"/>
              </w:rPr>
              <w:t>）；</w:t>
            </w:r>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电力</m:t>
                  </m:r>
                  <m:ctrlPr>
                    <w:rPr>
                      <w:rFonts w:ascii="Cambria Math" w:hAnsi="Cambria Math"/>
                      <w:bCs/>
                      <w:i/>
                      <w:szCs w:val="21"/>
                    </w:rPr>
                  </m:ctrlPr>
                </m:sub>
              </m:sSub>
            </m:oMath>
            <w:r>
              <w:rPr>
                <w:rFonts w:hint="eastAsia"/>
                <w:bCs/>
                <w:szCs w:val="21"/>
              </w:rPr>
              <w:t>——电力生产排放因子，单位为吨二氧化碳每兆瓦时（t</w:t>
            </w:r>
            <w:r>
              <w:rPr>
                <w:bCs/>
                <w:szCs w:val="21"/>
              </w:rPr>
              <w:t>CO</w:t>
            </w:r>
            <w:r>
              <w:rPr>
                <w:bCs/>
                <w:szCs w:val="21"/>
                <w:vertAlign w:val="subscript"/>
              </w:rPr>
              <w:t>2</w:t>
            </w:r>
            <w:r>
              <w:rPr>
                <w:bCs/>
                <w:szCs w:val="21"/>
              </w:rPr>
              <w:t>/</w:t>
            </w:r>
            <w:r>
              <w:rPr>
                <w:rFonts w:hint="eastAsia"/>
                <w:bCs/>
                <w:szCs w:val="21"/>
              </w:rPr>
              <w:t xml:space="preserve"> M</w:t>
            </w:r>
            <w:r>
              <w:rPr>
                <w:bCs/>
                <w:szCs w:val="21"/>
              </w:rPr>
              <w:t>Wh</w:t>
            </w:r>
            <w:r>
              <w:rPr>
                <w:rFonts w:hint="eastAsia"/>
                <w:bCs/>
                <w:szCs w:val="21"/>
              </w:rPr>
              <w:t>）</w:t>
            </w:r>
          </w:p>
          <w:p>
            <w:pPr>
              <w:adjustRightInd w:val="0"/>
              <w:snapToGrid w:val="0"/>
              <w:spacing w:line="400" w:lineRule="exact"/>
              <w:ind w:firstLine="420" w:firstLineChars="200"/>
              <w:rPr>
                <w:bCs/>
                <w:szCs w:val="21"/>
              </w:rPr>
            </w:pPr>
            <w:r>
              <w:rPr>
                <w:rFonts w:hint="eastAsia"/>
                <w:bCs/>
                <w:szCs w:val="21"/>
              </w:rPr>
              <w:t>项目年净购入电力为</w:t>
            </w:r>
            <w:r>
              <w:rPr>
                <w:bCs/>
                <w:szCs w:val="21"/>
              </w:rPr>
              <w:t>2</w:t>
            </w:r>
            <w:r>
              <w:rPr>
                <w:rFonts w:hint="eastAsia"/>
                <w:bCs/>
                <w:szCs w:val="21"/>
              </w:rPr>
              <w:t xml:space="preserve"> M</w:t>
            </w:r>
            <w:r>
              <w:rPr>
                <w:bCs/>
                <w:szCs w:val="21"/>
              </w:rPr>
              <w:t>Wh</w:t>
            </w:r>
            <w:r>
              <w:rPr>
                <w:rFonts w:hint="eastAsia"/>
                <w:bCs/>
                <w:szCs w:val="21"/>
              </w:rPr>
              <w:t>，</w:t>
            </w:r>
            <m:oMath>
              <m:sSub>
                <m:sSubPr>
                  <m:ctrlPr>
                    <w:rPr>
                      <w:rFonts w:ascii="Cambria Math" w:hAnsi="Cambria Math"/>
                      <w:bCs/>
                      <w:szCs w:val="21"/>
                    </w:rPr>
                  </m:ctrlPr>
                </m:sSubPr>
                <m:e>
                  <m:r>
                    <m:rPr/>
                    <w:rPr>
                      <w:rFonts w:ascii="Cambria Math" w:hAnsi="Cambria Math"/>
                      <w:szCs w:val="21"/>
                    </w:rPr>
                    <m:t>EF</m:t>
                  </m:r>
                  <m:ctrlPr>
                    <w:rPr>
                      <w:rFonts w:ascii="Cambria Math" w:hAnsi="Cambria Math"/>
                      <w:bCs/>
                      <w:szCs w:val="21"/>
                    </w:rPr>
                  </m:ctrlPr>
                </m:e>
                <m:sub>
                  <m:r>
                    <m:rPr>
                      <m:sty m:val="p"/>
                    </m:rPr>
                    <w:rPr>
                      <w:rFonts w:hint="eastAsia" w:ascii="Cambria Math" w:hAnsi="Cambria Math"/>
                      <w:szCs w:val="21"/>
                    </w:rPr>
                    <m:t>电</m:t>
                  </m:r>
                  <m:ctrlPr>
                    <w:rPr>
                      <w:rFonts w:ascii="Cambria Math" w:hAnsi="Cambria Math"/>
                      <w:bCs/>
                      <w:szCs w:val="21"/>
                    </w:rPr>
                  </m:ctrlPr>
                </m:sub>
              </m:sSub>
            </m:oMath>
            <w:r>
              <w:rPr>
                <w:rFonts w:hint="eastAsia"/>
                <w:bCs/>
                <w:szCs w:val="21"/>
              </w:rPr>
              <w:t>取0</w:t>
            </w:r>
            <w:r>
              <w:rPr>
                <w:bCs/>
                <w:szCs w:val="21"/>
              </w:rPr>
              <w:t>.5703 kg/kW</w:t>
            </w:r>
            <w:r>
              <w:rPr>
                <w:rFonts w:hint="eastAsia"/>
                <w:bCs/>
                <w:szCs w:val="21"/>
              </w:rPr>
              <w:t>h（即</w:t>
            </w:r>
            <w:r>
              <w:rPr>
                <w:bCs/>
                <w:szCs w:val="21"/>
              </w:rPr>
              <w:t>0.5703 t/MW</w:t>
            </w:r>
            <w:r>
              <w:rPr>
                <w:rFonts w:hint="eastAsia"/>
                <w:bCs/>
                <w:szCs w:val="21"/>
              </w:rPr>
              <w:t>h）。净购入电力对应的碳排放量=</w:t>
            </w:r>
            <w:r>
              <w:rPr>
                <w:bCs/>
                <w:szCs w:val="21"/>
              </w:rPr>
              <w:t>2</w:t>
            </w:r>
            <w:r>
              <w:rPr>
                <w:bCs/>
                <w:szCs w:val="21"/>
              </w:rPr>
              <w:fldChar w:fldCharType="begin"/>
            </w:r>
            <w:r>
              <w:rPr>
                <w:bCs/>
                <w:szCs w:val="21"/>
              </w:rPr>
              <w:instrText xml:space="preserve"> QUOTE </w:instrText>
            </w:r>
            <w:r>
              <w:rPr>
                <w:rFonts w:hint="eastAsia" w:ascii="Cambria Math" w:hAnsi="Cambria Math"/>
                <w:szCs w:val="21"/>
              </w:rPr>
              <w:instrText xml:space="preserve">M</w:instrText>
            </w:r>
            <w:r>
              <w:rPr>
                <w:rFonts w:ascii="Cambria Math" w:hAnsi="Cambria Math"/>
                <w:szCs w:val="21"/>
              </w:rPr>
              <w:instrText xml:space="preserve">Wh×</w:instrText>
            </w:r>
            <w:r>
              <w:rPr>
                <w:bCs/>
                <w:szCs w:val="21"/>
              </w:rPr>
              <w:instrText xml:space="preserve"> </w:instrText>
            </w:r>
            <w:r>
              <w:rPr>
                <w:bCs/>
                <w:szCs w:val="21"/>
              </w:rPr>
              <w:fldChar w:fldCharType="separate"/>
            </w:r>
            <w:r>
              <w:rPr>
                <w:bCs/>
                <w:szCs w:val="21"/>
              </w:rPr>
              <w:t xml:space="preserve"> MW</w:t>
            </w:r>
            <w:r>
              <w:rPr>
                <w:rFonts w:hint="eastAsia"/>
                <w:bCs/>
                <w:szCs w:val="21"/>
              </w:rPr>
              <w:t>h×</w:t>
            </w:r>
            <w:r>
              <w:rPr>
                <w:bCs/>
                <w:szCs w:val="21"/>
              </w:rPr>
              <w:fldChar w:fldCharType="end"/>
            </w:r>
            <w:r>
              <w:rPr>
                <w:bCs/>
                <w:szCs w:val="21"/>
              </w:rPr>
              <w:t>0.5703 t/MW</w:t>
            </w:r>
            <w:r>
              <w:rPr>
                <w:rFonts w:hint="eastAsia"/>
                <w:bCs/>
                <w:szCs w:val="21"/>
              </w:rPr>
              <w:t>h =</w:t>
            </w:r>
            <w:r>
              <w:rPr>
                <w:bCs/>
                <w:szCs w:val="21"/>
              </w:rPr>
              <w:t>1.14</w:t>
            </w:r>
            <w:r>
              <w:rPr>
                <w:rFonts w:hint="eastAsia"/>
                <w:bCs/>
                <w:szCs w:val="21"/>
              </w:rPr>
              <w:t xml:space="preserve"> t</w:t>
            </w:r>
            <w:r>
              <w:rPr>
                <w:bCs/>
                <w:szCs w:val="21"/>
              </w:rPr>
              <w:t>CO</w:t>
            </w:r>
            <w:r>
              <w:rPr>
                <w:bCs/>
                <w:szCs w:val="21"/>
                <w:vertAlign w:val="subscript"/>
              </w:rPr>
              <w:t>2</w:t>
            </w:r>
            <w:r>
              <w:rPr>
                <w:rFonts w:hint="eastAsia"/>
                <w:bCs/>
                <w:szCs w:val="21"/>
              </w:rPr>
              <w:t>。</w:t>
            </w:r>
          </w:p>
          <w:p>
            <w:pPr>
              <w:adjustRightInd w:val="0"/>
              <w:snapToGrid w:val="0"/>
              <w:spacing w:line="400" w:lineRule="exact"/>
              <w:ind w:firstLine="420" w:firstLineChars="200"/>
              <w:rPr>
                <w:bCs/>
                <w:szCs w:val="21"/>
              </w:rPr>
            </w:pPr>
            <w:r>
              <w:rPr>
                <w:rFonts w:hint="eastAsia"/>
                <w:bCs/>
                <w:szCs w:val="21"/>
              </w:rPr>
              <w:t>②化石燃料燃烧</w:t>
            </w:r>
          </w:p>
          <w:p>
            <w:pPr>
              <w:adjustRightInd w:val="0"/>
              <w:snapToGrid w:val="0"/>
              <w:spacing w:line="400" w:lineRule="exact"/>
              <w:ind w:firstLine="420" w:firstLineChars="200"/>
              <w:rPr>
                <w:bCs/>
                <w:szCs w:val="21"/>
              </w:rPr>
            </w:pPr>
            <w:r>
              <w:rPr>
                <w:rFonts w:hint="eastAsia"/>
                <w:bCs/>
                <w:szCs w:val="21"/>
              </w:rPr>
              <w:t>核算边界内，化石燃料燃烧所对应的碳排放，核算公式如下：</w:t>
            </w:r>
          </w:p>
          <w:p>
            <w:pPr>
              <w:adjustRightInd w:val="0"/>
              <w:snapToGrid w:val="0"/>
              <w:spacing w:line="360" w:lineRule="auto"/>
              <w:ind w:firstLine="420" w:firstLineChars="200"/>
              <w:rPr>
                <w:bCs/>
                <w:szCs w:val="21"/>
              </w:rPr>
            </w:pPr>
            <m:oMathPara>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燃烧</m:t>
                    </m:r>
                    <m:ctrlPr>
                      <w:rPr>
                        <w:rFonts w:ascii="Cambria Math" w:hAnsi="Cambria Math"/>
                        <w:bCs/>
                        <w:i/>
                        <w:szCs w:val="21"/>
                      </w:rPr>
                    </m:ctrlPr>
                  </m:sub>
                </m:sSub>
                <m:r>
                  <m:rPr/>
                  <w:rPr>
                    <w:rFonts w:hint="eastAsia" w:ascii="Cambria Math" w:hAnsi="Cambria Math"/>
                    <w:szCs w:val="21"/>
                  </w:rPr>
                  <m:t>=</m:t>
                </m:r>
                <m:r>
                  <m:rPr/>
                  <w:rPr>
                    <w:rFonts w:ascii="Cambria Math" w:hAnsi="Cambria Math"/>
                    <w:szCs w:val="21"/>
                  </w:rPr>
                  <m:t>CC×OF×</m:t>
                </m:r>
                <m:f>
                  <m:fPr>
                    <m:ctrlPr>
                      <w:rPr>
                        <w:rFonts w:ascii="Cambria Math" w:hAnsi="Cambria Math"/>
                        <w:i/>
                        <w:szCs w:val="21"/>
                      </w:rPr>
                    </m:ctrlPr>
                  </m:fPr>
                  <m:num>
                    <m:r>
                      <m:rPr/>
                      <w:rPr>
                        <w:rFonts w:ascii="Cambria Math" w:hAnsi="Cambria Math"/>
                        <w:szCs w:val="21"/>
                      </w:rPr>
                      <m:t>44</m:t>
                    </m:r>
                    <m:ctrlPr>
                      <w:rPr>
                        <w:rFonts w:ascii="Cambria Math" w:hAnsi="Cambria Math"/>
                        <w:i/>
                        <w:szCs w:val="21"/>
                      </w:rPr>
                    </m:ctrlPr>
                  </m:num>
                  <m:den>
                    <m:r>
                      <m:rPr/>
                      <w:rPr>
                        <w:rFonts w:ascii="Cambria Math" w:hAnsi="Cambria Math"/>
                        <w:szCs w:val="21"/>
                      </w:rPr>
                      <m:t>12</m:t>
                    </m:r>
                    <m:ctrlPr>
                      <w:rPr>
                        <w:rFonts w:ascii="Cambria Math" w:hAnsi="Cambria Math"/>
                        <w:i/>
                        <w:szCs w:val="21"/>
                      </w:rPr>
                    </m:ctrlPr>
                  </m:den>
                </m:f>
              </m:oMath>
            </m:oMathPara>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燃烧</m:t>
                  </m:r>
                  <m:ctrlPr>
                    <w:rPr>
                      <w:rFonts w:ascii="Cambria Math" w:hAnsi="Cambria Math"/>
                      <w:bCs/>
                      <w:i/>
                      <w:szCs w:val="21"/>
                    </w:rPr>
                  </m:ctrlPr>
                </m:sub>
              </m:sSub>
            </m:oMath>
            <w:r>
              <w:rPr>
                <w:rFonts w:hint="eastAsia"/>
                <w:bCs/>
                <w:szCs w:val="21"/>
              </w:rPr>
              <w:t>——燃料燃烧所产生的二氧化碳排放，单位为吨二氧化碳（t</w:t>
            </w:r>
            <w:r>
              <w:rPr>
                <w:bCs/>
                <w:szCs w:val="21"/>
              </w:rPr>
              <w:t>CO</w:t>
            </w:r>
            <w:r>
              <w:rPr>
                <w:bCs/>
                <w:szCs w:val="21"/>
                <w:vertAlign w:val="subscript"/>
              </w:rPr>
              <w:t>2</w:t>
            </w:r>
            <w:r>
              <w:rPr>
                <w:rFonts w:hint="eastAsia"/>
                <w:bCs/>
                <w:szCs w:val="21"/>
              </w:rPr>
              <w:t>）</w:t>
            </w:r>
          </w:p>
          <w:p>
            <w:pPr>
              <w:adjustRightInd w:val="0"/>
              <w:snapToGrid w:val="0"/>
              <w:spacing w:line="360" w:lineRule="auto"/>
              <w:ind w:firstLine="420" w:firstLineChars="200"/>
              <w:rPr>
                <w:bCs/>
                <w:szCs w:val="21"/>
              </w:rPr>
            </w:pPr>
            <w:r>
              <w:rPr>
                <w:bCs/>
                <w:szCs w:val="21"/>
              </w:rPr>
              <w:t>CC</w:t>
            </w:r>
            <w:r>
              <w:rPr>
                <w:rFonts w:hint="eastAsia"/>
                <w:bCs/>
                <w:szCs w:val="21"/>
              </w:rPr>
              <w:t>——化石燃料的单位热值含碳量，单位为吨碳/百万千焦（t</w:t>
            </w:r>
            <w:r>
              <w:rPr>
                <w:bCs/>
                <w:szCs w:val="21"/>
              </w:rPr>
              <w:t>C/GJ</w:t>
            </w:r>
            <w:r>
              <w:rPr>
                <w:rFonts w:hint="eastAsia"/>
                <w:bCs/>
                <w:szCs w:val="21"/>
              </w:rPr>
              <w:t>）；</w:t>
            </w:r>
          </w:p>
          <w:p>
            <w:pPr>
              <w:adjustRightInd w:val="0"/>
              <w:snapToGrid w:val="0"/>
              <w:spacing w:line="360" w:lineRule="auto"/>
              <w:ind w:firstLine="420" w:firstLineChars="200"/>
              <w:rPr>
                <w:bCs/>
                <w:szCs w:val="21"/>
              </w:rPr>
            </w:pPr>
            <w:r>
              <w:rPr>
                <w:bCs/>
                <w:szCs w:val="21"/>
              </w:rPr>
              <w:t>OF</w:t>
            </w:r>
            <w:r>
              <w:rPr>
                <w:rFonts w:hint="eastAsia"/>
                <w:bCs/>
                <w:szCs w:val="21"/>
              </w:rPr>
              <w:t>——化石燃料的碳氧化率，单位%。</w:t>
            </w:r>
          </w:p>
          <w:p>
            <w:pPr>
              <w:adjustRightInd w:val="0"/>
              <w:snapToGrid w:val="0"/>
              <w:spacing w:line="360" w:lineRule="auto"/>
              <w:ind w:firstLine="420" w:firstLineChars="200"/>
              <w:rPr>
                <w:bCs/>
                <w:szCs w:val="21"/>
              </w:rPr>
            </w:pPr>
            <w:r>
              <w:rPr>
                <w:rFonts w:hint="eastAsia"/>
                <w:bCs/>
                <w:szCs w:val="21"/>
              </w:rPr>
              <w:t>其中本项目燃料为叉车所消耗的柴油，C</w:t>
            </w:r>
            <w:r>
              <w:rPr>
                <w:bCs/>
                <w:szCs w:val="21"/>
              </w:rPr>
              <w:t>C</w:t>
            </w:r>
            <w:r>
              <w:rPr>
                <w:rFonts w:hint="eastAsia"/>
                <w:bCs/>
                <w:szCs w:val="21"/>
              </w:rPr>
              <w:t>取值为0</w:t>
            </w:r>
            <w:r>
              <w:rPr>
                <w:bCs/>
                <w:szCs w:val="21"/>
              </w:rPr>
              <w:t>.0202</w:t>
            </w:r>
            <w:r>
              <w:rPr>
                <w:rFonts w:hint="eastAsia"/>
                <w:bCs/>
                <w:szCs w:val="21"/>
              </w:rPr>
              <w:t xml:space="preserve"> t</w:t>
            </w:r>
            <w:r>
              <w:rPr>
                <w:bCs/>
                <w:szCs w:val="21"/>
              </w:rPr>
              <w:t>C/GJ</w:t>
            </w:r>
            <w:r>
              <w:rPr>
                <w:rFonts w:hint="eastAsia"/>
                <w:bCs/>
                <w:szCs w:val="21"/>
              </w:rPr>
              <w:t>，O</w:t>
            </w:r>
            <w:r>
              <w:rPr>
                <w:bCs/>
                <w:szCs w:val="21"/>
              </w:rPr>
              <w:t>F</w:t>
            </w:r>
            <w:r>
              <w:rPr>
                <w:rFonts w:hint="eastAsia"/>
                <w:bCs/>
                <w:szCs w:val="21"/>
              </w:rPr>
              <w:t>取9</w:t>
            </w:r>
            <w:r>
              <w:rPr>
                <w:bCs/>
                <w:szCs w:val="21"/>
              </w:rPr>
              <w:t>9</w:t>
            </w:r>
            <w:r>
              <w:rPr>
                <w:rFonts w:hint="eastAsia"/>
                <w:bCs/>
                <w:szCs w:val="21"/>
              </w:rPr>
              <w:t>%，低位发热量为4</w:t>
            </w:r>
            <w:r>
              <w:rPr>
                <w:bCs/>
                <w:szCs w:val="21"/>
              </w:rPr>
              <w:t>2.652 GJ/</w:t>
            </w:r>
            <w:r>
              <w:rPr>
                <w:rFonts w:hint="eastAsia"/>
                <w:bCs/>
                <w:szCs w:val="21"/>
              </w:rPr>
              <w:t>t，年消耗量为</w:t>
            </w:r>
            <w:r>
              <w:rPr>
                <w:bCs/>
                <w:szCs w:val="21"/>
              </w:rPr>
              <w:t xml:space="preserve">1 </w:t>
            </w:r>
            <w:r>
              <w:rPr>
                <w:rFonts w:hint="eastAsia"/>
                <w:bCs/>
                <w:szCs w:val="21"/>
              </w:rPr>
              <w:t>t，则</w:t>
            </w:r>
          </w:p>
          <w:p>
            <w:pPr>
              <w:adjustRightInd w:val="0"/>
              <w:snapToGrid w:val="0"/>
              <w:spacing w:line="360" w:lineRule="auto"/>
              <w:ind w:firstLine="420" w:firstLineChars="200"/>
              <w:rPr>
                <w:bCs/>
                <w:szCs w:val="21"/>
                <w:vertAlign w:val="subscript"/>
              </w:rPr>
            </w:pPr>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燃烧</m:t>
                  </m:r>
                  <m:ctrlPr>
                    <w:rPr>
                      <w:rFonts w:ascii="Cambria Math" w:hAnsi="Cambria Math"/>
                      <w:bCs/>
                      <w:i/>
                      <w:szCs w:val="21"/>
                    </w:rPr>
                  </m:ctrlPr>
                </m:sub>
              </m:sSub>
            </m:oMath>
            <w:r>
              <w:rPr>
                <w:rFonts w:hint="eastAsia"/>
                <w:bCs/>
                <w:szCs w:val="21"/>
              </w:rPr>
              <w:t>=4</w:t>
            </w:r>
            <w:r>
              <w:rPr>
                <w:bCs/>
                <w:szCs w:val="21"/>
              </w:rPr>
              <w:t>2.652 GJ/</w:t>
            </w:r>
            <w:r>
              <w:rPr>
                <w:rFonts w:hint="eastAsia"/>
                <w:bCs/>
                <w:szCs w:val="21"/>
              </w:rPr>
              <w:t>t</w:t>
            </w:r>
            <m:oMath>
              <m:r>
                <m:rPr/>
                <w:rPr>
                  <w:rFonts w:ascii="Cambria Math" w:hAnsi="Cambria Math"/>
                  <w:szCs w:val="21"/>
                </w:rPr>
                <m:t>×</m:t>
              </m:r>
            </m:oMath>
            <w:r>
              <w:rPr>
                <w:bCs/>
                <w:szCs w:val="21"/>
              </w:rPr>
              <w:t xml:space="preserve">1 </w:t>
            </w:r>
            <w:r>
              <w:rPr>
                <w:rFonts w:hint="eastAsia"/>
                <w:bCs/>
                <w:szCs w:val="21"/>
              </w:rPr>
              <w:t>t</w:t>
            </w:r>
            <m:oMath>
              <m:r>
                <m:rPr/>
                <w:rPr>
                  <w:rFonts w:ascii="Cambria Math" w:hAnsi="Cambria Math"/>
                  <w:szCs w:val="21"/>
                </w:rPr>
                <m:t>×</m:t>
              </m:r>
            </m:oMath>
            <w:r>
              <w:rPr>
                <w:rFonts w:hint="eastAsia"/>
                <w:bCs/>
                <w:szCs w:val="21"/>
              </w:rPr>
              <w:t>0</w:t>
            </w:r>
            <w:r>
              <w:rPr>
                <w:bCs/>
                <w:szCs w:val="21"/>
              </w:rPr>
              <w:t>.0202</w:t>
            </w:r>
            <w:r>
              <w:rPr>
                <w:rFonts w:hint="eastAsia"/>
                <w:bCs/>
                <w:szCs w:val="21"/>
              </w:rPr>
              <w:t xml:space="preserve"> t</w:t>
            </w:r>
            <w:r>
              <w:rPr>
                <w:bCs/>
                <w:szCs w:val="21"/>
              </w:rPr>
              <w:t>C/GJ</w:t>
            </w:r>
            <m:oMath>
              <m:r>
                <m:rPr/>
                <w:rPr>
                  <w:rFonts w:ascii="Cambria Math" w:hAnsi="Cambria Math"/>
                  <w:szCs w:val="21"/>
                </w:rPr>
                <m:t>×</m:t>
              </m:r>
            </m:oMath>
            <w:r>
              <w:rPr>
                <w:rFonts w:hint="eastAsia"/>
                <w:szCs w:val="21"/>
              </w:rPr>
              <w:t>9</w:t>
            </w:r>
            <w:r>
              <w:rPr>
                <w:szCs w:val="21"/>
              </w:rPr>
              <w:t>9</w:t>
            </w:r>
            <w:r>
              <w:rPr>
                <w:rFonts w:hint="eastAsia"/>
                <w:szCs w:val="21"/>
              </w:rPr>
              <w:t>%</w:t>
            </w:r>
            <m:oMath>
              <m:r>
                <m:rPr/>
                <w:rPr>
                  <w:rFonts w:ascii="Cambria Math" w:hAnsi="Cambria Math"/>
                  <w:szCs w:val="21"/>
                </w:rPr>
                <m:t>×</m:t>
              </m:r>
              <m:f>
                <m:fPr>
                  <m:ctrlPr>
                    <w:rPr>
                      <w:rFonts w:ascii="Cambria Math" w:hAnsi="Cambria Math"/>
                      <w:i/>
                      <w:szCs w:val="21"/>
                    </w:rPr>
                  </m:ctrlPr>
                </m:fPr>
                <m:num>
                  <m:r>
                    <m:rPr/>
                    <w:rPr>
                      <w:rFonts w:ascii="Cambria Math" w:hAnsi="Cambria Math"/>
                      <w:szCs w:val="21"/>
                    </w:rPr>
                    <m:t>44</m:t>
                  </m:r>
                  <m:ctrlPr>
                    <w:rPr>
                      <w:rFonts w:ascii="Cambria Math" w:hAnsi="Cambria Math"/>
                      <w:i/>
                      <w:szCs w:val="21"/>
                    </w:rPr>
                  </m:ctrlPr>
                </m:num>
                <m:den>
                  <m:r>
                    <m:rPr/>
                    <w:rPr>
                      <w:rFonts w:ascii="Cambria Math" w:hAnsi="Cambria Math"/>
                      <w:szCs w:val="21"/>
                    </w:rPr>
                    <m:t>12</m:t>
                  </m:r>
                  <m:ctrlPr>
                    <w:rPr>
                      <w:rFonts w:ascii="Cambria Math" w:hAnsi="Cambria Math"/>
                      <w:i/>
                      <w:szCs w:val="21"/>
                    </w:rPr>
                  </m:ctrlPr>
                </m:den>
              </m:f>
            </m:oMath>
            <w:r>
              <w:rPr>
                <w:rFonts w:hint="eastAsia"/>
                <w:szCs w:val="21"/>
              </w:rPr>
              <w:t>=</w:t>
            </w:r>
            <w:r>
              <w:rPr>
                <w:szCs w:val="21"/>
              </w:rPr>
              <w:t>3.13</w:t>
            </w:r>
            <w:r>
              <w:rPr>
                <w:rFonts w:hint="eastAsia"/>
                <w:bCs/>
                <w:szCs w:val="21"/>
              </w:rPr>
              <w:t xml:space="preserve"> t</w:t>
            </w:r>
            <w:r>
              <w:rPr>
                <w:bCs/>
                <w:szCs w:val="21"/>
              </w:rPr>
              <w:t>CO</w:t>
            </w:r>
            <w:r>
              <w:rPr>
                <w:bCs/>
                <w:szCs w:val="21"/>
                <w:vertAlign w:val="subscript"/>
              </w:rPr>
              <w:t>2</w:t>
            </w:r>
          </w:p>
          <w:p>
            <w:pPr>
              <w:adjustRightInd w:val="0"/>
              <w:snapToGrid w:val="0"/>
              <w:spacing w:line="360" w:lineRule="auto"/>
              <w:ind w:firstLine="420" w:firstLineChars="200"/>
              <w:rPr>
                <w:bCs/>
                <w:szCs w:val="21"/>
              </w:rPr>
            </w:pPr>
            <w:r>
              <w:rPr>
                <w:rFonts w:hint="eastAsia"/>
                <w:bCs/>
                <w:szCs w:val="21"/>
              </w:rPr>
              <w:t>则，项目净购入电力和化石燃料燃烧合计碳排放量为4</w:t>
            </w:r>
            <w:r>
              <w:rPr>
                <w:bCs/>
                <w:szCs w:val="21"/>
              </w:rPr>
              <w:t>.27</w:t>
            </w:r>
            <w:r>
              <w:rPr>
                <w:rFonts w:hint="eastAsia"/>
                <w:bCs/>
                <w:szCs w:val="21"/>
              </w:rPr>
              <w:t xml:space="preserve"> t</w:t>
            </w:r>
            <w:r>
              <w:rPr>
                <w:bCs/>
                <w:szCs w:val="21"/>
              </w:rPr>
              <w:t>CO</w:t>
            </w:r>
            <w:r>
              <w:rPr>
                <w:bCs/>
                <w:szCs w:val="21"/>
                <w:vertAlign w:val="subscript"/>
              </w:rPr>
              <w:t>2</w:t>
            </w:r>
            <w:r>
              <w:rPr>
                <w:rFonts w:hint="eastAsia"/>
                <w:bCs/>
                <w:szCs w:val="21"/>
              </w:rPr>
              <w:t>。</w:t>
            </w:r>
          </w:p>
          <w:p>
            <w:pPr>
              <w:adjustRightInd w:val="0"/>
              <w:snapToGrid w:val="0"/>
              <w:spacing w:line="400" w:lineRule="exact"/>
              <w:ind w:firstLine="422" w:firstLineChars="200"/>
              <w:rPr>
                <w:b/>
                <w:szCs w:val="21"/>
              </w:rPr>
            </w:pPr>
            <w:r>
              <w:rPr>
                <w:rFonts w:hint="eastAsia"/>
                <w:b/>
                <w:szCs w:val="21"/>
              </w:rPr>
              <w:t>（5）碳排放管理</w:t>
            </w:r>
          </w:p>
          <w:p>
            <w:pPr>
              <w:adjustRightInd w:val="0"/>
              <w:snapToGrid w:val="0"/>
              <w:spacing w:line="400" w:lineRule="exact"/>
              <w:ind w:firstLine="420" w:firstLineChars="200"/>
              <w:rPr>
                <w:bCs/>
                <w:szCs w:val="21"/>
              </w:rPr>
            </w:pPr>
            <w:r>
              <w:rPr>
                <w:rFonts w:hint="eastAsia"/>
                <w:bCs/>
                <w:szCs w:val="21"/>
              </w:rPr>
              <w:t>本项目主要通过设备选型，加强设备日常维护，着重从设备、技术和管理角度节约用电，严格日常管理，使其保存良好使用状态等管理方式进行减排。</w:t>
            </w:r>
          </w:p>
          <w:p>
            <w:pPr>
              <w:adjustRightInd w:val="0"/>
              <w:snapToGrid w:val="0"/>
              <w:spacing w:line="400" w:lineRule="exact"/>
              <w:ind w:firstLine="422" w:firstLineChars="200"/>
              <w:rPr>
                <w:b/>
                <w:szCs w:val="21"/>
              </w:rPr>
            </w:pPr>
            <w:r>
              <w:rPr>
                <w:rFonts w:hint="eastAsia"/>
                <w:b/>
                <w:szCs w:val="21"/>
              </w:rPr>
              <w:t>（6）碳排放环境影响评价结论</w:t>
            </w:r>
          </w:p>
          <w:p>
            <w:pPr>
              <w:adjustRightInd w:val="0"/>
              <w:snapToGrid w:val="0"/>
              <w:spacing w:line="400" w:lineRule="exact"/>
              <w:ind w:firstLine="420" w:firstLineChars="200"/>
              <w:rPr>
                <w:bCs/>
                <w:szCs w:val="21"/>
              </w:rPr>
            </w:pPr>
            <w:r>
              <w:rPr>
                <w:rFonts w:hint="eastAsia"/>
                <w:bCs/>
                <w:szCs w:val="21"/>
              </w:rPr>
              <w:t>项目建设符合碳排放相关政策要求，在设备、技术和管理角度等方面落实减排理念，加强日常管理，逐步降低碳排放水平。同时项目主要碳排放节点为净购入电力，为清洁能源。综合分析，项目建设符合碳排放管理要求。</w:t>
            </w:r>
          </w:p>
          <w:p>
            <w:pPr>
              <w:adjustRightInd w:val="0"/>
              <w:snapToGrid w:val="0"/>
              <w:spacing w:line="400" w:lineRule="exact"/>
              <w:ind w:firstLine="422" w:firstLineChars="200"/>
              <w:rPr>
                <w:b/>
                <w:szCs w:val="21"/>
              </w:rPr>
            </w:pPr>
            <w:bookmarkStart w:id="12" w:name="_Hlk112163433"/>
            <w:r>
              <w:rPr>
                <w:rFonts w:hint="eastAsia"/>
                <w:b/>
                <w:szCs w:val="21"/>
              </w:rPr>
              <w:t>8</w:t>
            </w:r>
            <w:r>
              <w:rPr>
                <w:b/>
                <w:szCs w:val="21"/>
              </w:rPr>
              <w:t>、排污口规范化</w:t>
            </w:r>
          </w:p>
          <w:p>
            <w:pPr>
              <w:adjustRightInd w:val="0"/>
              <w:snapToGrid w:val="0"/>
              <w:spacing w:line="400" w:lineRule="exact"/>
              <w:ind w:firstLine="420" w:firstLineChars="200"/>
              <w:rPr>
                <w:bCs/>
                <w:szCs w:val="21"/>
              </w:rPr>
            </w:pPr>
            <w:r>
              <w:rPr>
                <w:bCs/>
                <w:szCs w:val="21"/>
              </w:rPr>
              <w:t>根据原国家环保总局下发《关于开展排放口规范化整治工作的通知》（环发[1999]24号）的要求，各废气、</w:t>
            </w:r>
            <w:r>
              <w:rPr>
                <w:rFonts w:hint="eastAsia"/>
                <w:bCs/>
                <w:szCs w:val="21"/>
              </w:rPr>
              <w:t>固废、</w:t>
            </w:r>
            <w:r>
              <w:rPr>
                <w:bCs/>
                <w:szCs w:val="21"/>
              </w:rPr>
              <w:t>噪声等排放口需要进行规范化。</w:t>
            </w:r>
          </w:p>
          <w:p>
            <w:pPr>
              <w:adjustRightInd w:val="0"/>
              <w:snapToGrid w:val="0"/>
              <w:spacing w:line="400" w:lineRule="exact"/>
              <w:ind w:firstLine="420" w:firstLineChars="200"/>
              <w:rPr>
                <w:bCs/>
                <w:szCs w:val="21"/>
              </w:rPr>
            </w:pPr>
            <w:r>
              <w:rPr>
                <w:bCs/>
                <w:szCs w:val="21"/>
              </w:rPr>
              <w:t>（1）污染源排放口要遵循便于采集样品、便于监测计量、便于日常监督管理的原则，严格按排放口规范化整治要求进行。</w:t>
            </w:r>
          </w:p>
          <w:p>
            <w:pPr>
              <w:adjustRightInd w:val="0"/>
              <w:snapToGrid w:val="0"/>
              <w:spacing w:line="400" w:lineRule="exact"/>
              <w:ind w:firstLine="420" w:firstLineChars="200"/>
              <w:rPr>
                <w:bCs/>
                <w:szCs w:val="21"/>
              </w:rPr>
            </w:pPr>
            <w:r>
              <w:rPr>
                <w:bCs/>
                <w:szCs w:val="21"/>
              </w:rPr>
              <w:t>（2）污染源排放口必须按照国家颁布的有关污染物强制性排放标准的要求，监测点位处设置监测平台，设置排放口标志牌。</w:t>
            </w:r>
          </w:p>
          <w:p>
            <w:pPr>
              <w:adjustRightInd w:val="0"/>
              <w:snapToGrid w:val="0"/>
              <w:spacing w:line="400" w:lineRule="exact"/>
              <w:ind w:firstLine="420" w:firstLineChars="200"/>
              <w:rPr>
                <w:bCs/>
                <w:szCs w:val="21"/>
              </w:rPr>
            </w:pPr>
            <w:r>
              <w:rPr>
                <w:bCs/>
                <w:szCs w:val="21"/>
              </w:rPr>
              <w:t>（3）建立规范化排污口档案，内容包括排污单位名称，排污口性质及编号，排污口的地理位置（GPS定位经纬度），排污口所排放的主要污染物种类、数量、浓度及排放去向，</w:t>
            </w:r>
            <w:r>
              <w:rPr>
                <w:rFonts w:hint="eastAsia"/>
                <w:bCs/>
                <w:szCs w:val="21"/>
              </w:rPr>
              <w:t>立</w:t>
            </w:r>
            <w:r>
              <w:rPr>
                <w:bCs/>
                <w:szCs w:val="21"/>
              </w:rPr>
              <w:t>标情况，设施运行及日常现场监督检查记录等有关资料和记录，同时上报开发区分局建档以便统一管理。</w:t>
            </w:r>
          </w:p>
          <w:p>
            <w:pPr>
              <w:adjustRightInd w:val="0"/>
              <w:snapToGrid w:val="0"/>
              <w:spacing w:line="400" w:lineRule="exact"/>
              <w:ind w:firstLine="420" w:firstLineChars="200"/>
              <w:rPr>
                <w:bCs/>
                <w:szCs w:val="21"/>
              </w:rPr>
            </w:pPr>
            <w:r>
              <w:rPr>
                <w:rFonts w:hint="eastAsia"/>
                <w:bCs/>
                <w:szCs w:val="21"/>
              </w:rPr>
              <w:t>（4）</w:t>
            </w:r>
            <w:r>
              <w:rPr>
                <w:bCs/>
                <w:szCs w:val="21"/>
              </w:rPr>
              <w:t>各排放口设置标志牌如下：</w:t>
            </w:r>
          </w:p>
          <w:p>
            <w:pPr>
              <w:spacing w:line="400" w:lineRule="exact"/>
              <w:jc w:val="center"/>
              <w:rPr>
                <w:b/>
                <w:szCs w:val="21"/>
              </w:rPr>
            </w:pPr>
            <w:r>
              <w:rPr>
                <w:b/>
                <w:szCs w:val="21"/>
              </w:rPr>
              <w:t>表4-20   排放口标志牌示例</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46"/>
              <w:gridCol w:w="2646"/>
              <w:gridCol w:w="2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trPr>
              <w:tc>
                <w:tcPr>
                  <w:tcW w:w="1667" w:type="pct"/>
                  <w:vAlign w:val="center"/>
                </w:tcPr>
                <w:p>
                  <w:pPr>
                    <w:pStyle w:val="59"/>
                    <w:rPr>
                      <w:bCs/>
                    </w:rPr>
                  </w:pPr>
                  <w:r>
                    <w:rPr>
                      <w:rFonts w:hint="eastAsia"/>
                      <w:bCs/>
                    </w:rPr>
                    <w:t>废气排放口</w:t>
                  </w:r>
                </w:p>
              </w:tc>
              <w:tc>
                <w:tcPr>
                  <w:tcW w:w="1667" w:type="pct"/>
                  <w:vAlign w:val="center"/>
                </w:tcPr>
                <w:p>
                  <w:pPr>
                    <w:pStyle w:val="59"/>
                    <w:rPr>
                      <w:bCs/>
                    </w:rPr>
                  </w:pPr>
                  <w:r>
                    <w:rPr>
                      <w:bCs/>
                    </w:rPr>
                    <w:t>噪声源</w:t>
                  </w:r>
                </w:p>
              </w:tc>
              <w:tc>
                <w:tcPr>
                  <w:tcW w:w="1666" w:type="pct"/>
                  <w:vAlign w:val="center"/>
                </w:tcPr>
                <w:p>
                  <w:pPr>
                    <w:pStyle w:val="59"/>
                    <w:rPr>
                      <w:bCs/>
                    </w:rPr>
                  </w:pPr>
                  <w:r>
                    <w:rPr>
                      <w:bCs/>
                    </w:rPr>
                    <w:t>固废堆放场所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67" w:type="pct"/>
                  <w:vAlign w:val="center"/>
                </w:tcPr>
                <w:p>
                  <w:pPr>
                    <w:pStyle w:val="59"/>
                    <w:rPr>
                      <w:bCs/>
                    </w:rPr>
                  </w:pPr>
                  <w:r>
                    <w:drawing>
                      <wp:inline distT="0" distB="0" distL="0" distR="0">
                        <wp:extent cx="1160780" cy="1160780"/>
                        <wp:effectExtent l="0" t="0" r="1270" b="1270"/>
                        <wp:docPr id="15" name="图片 15">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160780" cy="1160780"/>
                                </a:xfrm>
                                <a:prstGeom prst="rect">
                                  <a:avLst/>
                                </a:prstGeom>
                                <a:noFill/>
                                <a:ln>
                                  <a:noFill/>
                                </a:ln>
                              </pic:spPr>
                            </pic:pic>
                          </a:graphicData>
                        </a:graphic>
                      </wp:inline>
                    </w:drawing>
                  </w:r>
                </w:p>
              </w:tc>
              <w:tc>
                <w:tcPr>
                  <w:tcW w:w="1667" w:type="pct"/>
                  <w:vAlign w:val="center"/>
                </w:tcPr>
                <w:p>
                  <w:pPr>
                    <w:pStyle w:val="59"/>
                    <w:spacing w:line="360" w:lineRule="auto"/>
                    <w:rPr>
                      <w:bCs/>
                    </w:rPr>
                  </w:pPr>
                  <w:r>
                    <w:drawing>
                      <wp:inline distT="0" distB="0" distL="0" distR="0">
                        <wp:extent cx="1169035" cy="1169035"/>
                        <wp:effectExtent l="0" t="0" r="0" b="0"/>
                        <wp:docPr id="13" name="图片 13">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1169035" cy="1169035"/>
                                </a:xfrm>
                                <a:prstGeom prst="rect">
                                  <a:avLst/>
                                </a:prstGeom>
                                <a:noFill/>
                                <a:ln>
                                  <a:noFill/>
                                </a:ln>
                              </pic:spPr>
                            </pic:pic>
                          </a:graphicData>
                        </a:graphic>
                      </wp:inline>
                    </w:drawing>
                  </w:r>
                </w:p>
              </w:tc>
              <w:tc>
                <w:tcPr>
                  <w:tcW w:w="1666" w:type="pct"/>
                  <w:vAlign w:val="center"/>
                </w:tcPr>
                <w:p>
                  <w:pPr>
                    <w:pStyle w:val="59"/>
                    <w:spacing w:line="360" w:lineRule="auto"/>
                    <w:rPr>
                      <w:bCs/>
                    </w:rPr>
                  </w:pPr>
                  <w:r>
                    <w:drawing>
                      <wp:inline distT="0" distB="0" distL="0" distR="0">
                        <wp:extent cx="1169035" cy="1169035"/>
                        <wp:effectExtent l="0" t="0" r="0" b="0"/>
                        <wp:docPr id="12" name="图片 12">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1169035" cy="1169035"/>
                                </a:xfrm>
                                <a:prstGeom prst="rect">
                                  <a:avLst/>
                                </a:prstGeom>
                                <a:noFill/>
                                <a:ln>
                                  <a:noFill/>
                                </a:ln>
                              </pic:spPr>
                            </pic:pic>
                          </a:graphicData>
                        </a:graphic>
                      </wp:inline>
                    </w:drawing>
                  </w:r>
                </w:p>
              </w:tc>
            </w:tr>
          </w:tbl>
          <w:p>
            <w:pPr>
              <w:adjustRightInd w:val="0"/>
              <w:snapToGrid w:val="0"/>
              <w:spacing w:line="400" w:lineRule="exact"/>
              <w:ind w:firstLine="420" w:firstLineChars="200"/>
              <w:rPr>
                <w:bCs/>
                <w:szCs w:val="21"/>
              </w:rPr>
            </w:pPr>
            <w:r>
              <w:rPr>
                <w:bCs/>
                <w:szCs w:val="21"/>
              </w:rPr>
              <w:t>（5）</w:t>
            </w:r>
            <w:r>
              <w:rPr>
                <w:rFonts w:hint="eastAsia"/>
                <w:bCs/>
                <w:szCs w:val="21"/>
              </w:rPr>
              <w:t>危废间</w:t>
            </w:r>
            <w:r>
              <w:rPr>
                <w:bCs/>
                <w:szCs w:val="21"/>
              </w:rPr>
              <w:t>标识要求</w:t>
            </w:r>
          </w:p>
          <w:p>
            <w:pPr>
              <w:adjustRightInd w:val="0"/>
              <w:snapToGrid w:val="0"/>
              <w:spacing w:line="400" w:lineRule="exact"/>
              <w:ind w:firstLine="420" w:firstLineChars="200"/>
              <w:rPr>
                <w:bCs/>
                <w:szCs w:val="21"/>
              </w:rPr>
            </w:pPr>
            <w:r>
              <w:rPr>
                <w:rFonts w:hint="eastAsia"/>
                <w:bCs/>
                <w:szCs w:val="21"/>
              </w:rPr>
              <w:t>危废间按照《危险废物识别标志设置技术规范》（H</w:t>
            </w:r>
            <w:r>
              <w:rPr>
                <w:bCs/>
                <w:szCs w:val="21"/>
              </w:rPr>
              <w:t>J1276-2022</w:t>
            </w:r>
            <w:r>
              <w:rPr>
                <w:rFonts w:hint="eastAsia"/>
                <w:bCs/>
                <w:szCs w:val="21"/>
              </w:rPr>
              <w:t>）</w:t>
            </w:r>
            <w:r>
              <w:rPr>
                <w:bCs/>
                <w:szCs w:val="21"/>
              </w:rPr>
              <w:t>，具体如下：</w:t>
            </w:r>
          </w:p>
          <w:p>
            <w:pPr>
              <w:spacing w:line="400" w:lineRule="exact"/>
              <w:jc w:val="center"/>
              <w:rPr>
                <w:b/>
                <w:szCs w:val="21"/>
              </w:rPr>
            </w:pPr>
            <w:r>
              <w:rPr>
                <w:b/>
                <w:szCs w:val="21"/>
              </w:rPr>
              <w:t>表4-21 危险间及储存容器标签示例</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7"/>
              <w:gridCol w:w="2512"/>
              <w:gridCol w:w="4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0" w:type="auto"/>
                  <w:vAlign w:val="center"/>
                </w:tcPr>
                <w:p>
                  <w:pPr>
                    <w:pStyle w:val="59"/>
                    <w:rPr>
                      <w:bCs/>
                      <w:szCs w:val="21"/>
                    </w:rPr>
                  </w:pPr>
                  <w:r>
                    <w:rPr>
                      <w:bCs/>
                      <w:szCs w:val="21"/>
                    </w:rPr>
                    <w:t>场合</w:t>
                  </w:r>
                </w:p>
              </w:tc>
              <w:tc>
                <w:tcPr>
                  <w:tcW w:w="0" w:type="auto"/>
                  <w:vAlign w:val="center"/>
                </w:tcPr>
                <w:p>
                  <w:pPr>
                    <w:pStyle w:val="59"/>
                    <w:rPr>
                      <w:bCs/>
                      <w:szCs w:val="21"/>
                    </w:rPr>
                  </w:pPr>
                  <w:r>
                    <w:rPr>
                      <w:bCs/>
                      <w:szCs w:val="21"/>
                    </w:rPr>
                    <w:t>样式</w:t>
                  </w:r>
                </w:p>
              </w:tc>
              <w:tc>
                <w:tcPr>
                  <w:tcW w:w="0" w:type="auto"/>
                  <w:vAlign w:val="center"/>
                </w:tcPr>
                <w:p>
                  <w:pPr>
                    <w:pStyle w:val="59"/>
                    <w:rPr>
                      <w:bCs/>
                      <w:szCs w:val="21"/>
                    </w:rPr>
                  </w:pPr>
                  <w:r>
                    <w:rPr>
                      <w:bCs/>
                      <w:szCs w:val="21"/>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pStyle w:val="59"/>
                    <w:rPr>
                      <w:bCs/>
                      <w:szCs w:val="21"/>
                    </w:rPr>
                  </w:pPr>
                  <w:r>
                    <w:rPr>
                      <w:bCs/>
                      <w:szCs w:val="21"/>
                    </w:rPr>
                    <w:t>室外</w:t>
                  </w:r>
                </w:p>
                <w:p>
                  <w:pPr>
                    <w:pStyle w:val="59"/>
                    <w:rPr>
                      <w:bCs/>
                      <w:szCs w:val="21"/>
                    </w:rPr>
                  </w:pPr>
                  <w:r>
                    <w:rPr>
                      <w:bCs/>
                      <w:szCs w:val="21"/>
                    </w:rPr>
                    <w:t>（粘贴于门上或悬挂）</w:t>
                  </w:r>
                </w:p>
              </w:tc>
              <w:tc>
                <w:tcPr>
                  <w:tcW w:w="0" w:type="auto"/>
                  <w:vAlign w:val="center"/>
                </w:tcPr>
                <w:p>
                  <w:pPr>
                    <w:pStyle w:val="59"/>
                    <w:jc w:val="both"/>
                    <w:rPr>
                      <w:bCs/>
                    </w:rPr>
                  </w:pPr>
                  <w:r>
                    <w:drawing>
                      <wp:inline distT="0" distB="0" distL="0" distR="0">
                        <wp:extent cx="1457960" cy="923290"/>
                        <wp:effectExtent l="0" t="0" r="0" b="0"/>
                        <wp:docPr id="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1457960" cy="923290"/>
                                </a:xfrm>
                                <a:prstGeom prst="rect">
                                  <a:avLst/>
                                </a:prstGeom>
                                <a:noFill/>
                                <a:ln>
                                  <a:noFill/>
                                </a:ln>
                              </pic:spPr>
                            </pic:pic>
                          </a:graphicData>
                        </a:graphic>
                      </wp:inline>
                    </w:drawing>
                  </w:r>
                </w:p>
              </w:tc>
              <w:tc>
                <w:tcPr>
                  <w:tcW w:w="0" w:type="auto"/>
                  <w:vAlign w:val="center"/>
                </w:tcPr>
                <w:p>
                  <w:pPr>
                    <w:pStyle w:val="59"/>
                    <w:ind w:firstLine="420" w:firstLineChars="200"/>
                    <w:jc w:val="both"/>
                    <w:rPr>
                      <w:bCs/>
                    </w:rPr>
                  </w:pPr>
                  <w:r>
                    <w:rPr>
                      <w:rFonts w:hint="eastAsia"/>
                      <w:bCs/>
                    </w:rPr>
                    <w:t>1、危险废物设施标志背景颜色为黄色，RGB 颜色值为（255, 255, 0）。字体和边框颜色为黑色，RGB</w:t>
                  </w:r>
                </w:p>
                <w:p>
                  <w:pPr>
                    <w:pStyle w:val="59"/>
                    <w:ind w:firstLine="420" w:firstLineChars="200"/>
                    <w:jc w:val="both"/>
                    <w:rPr>
                      <w:bCs/>
                    </w:rPr>
                  </w:pPr>
                  <w:r>
                    <w:rPr>
                      <w:rFonts w:hint="eastAsia"/>
                      <w:bCs/>
                    </w:rPr>
                    <w:t>颜色值为（0, 0, 0）。</w:t>
                  </w:r>
                </w:p>
                <w:p>
                  <w:pPr>
                    <w:ind w:firstLine="420" w:firstLineChars="200"/>
                  </w:pPr>
                  <w:r>
                    <w:rPr>
                      <w:rFonts w:hint="eastAsia"/>
                    </w:rPr>
                    <w:t>2、危险废物设施标志字体应采用黑体字，其中危险废物设施类型的字样应加粗放大并居中显示</w:t>
                  </w:r>
                </w:p>
                <w:p>
                  <w:pPr>
                    <w:autoSpaceDE w:val="0"/>
                    <w:autoSpaceDN w:val="0"/>
                    <w:adjustRightInd w:val="0"/>
                    <w:ind w:firstLine="420" w:firstLineChars="200"/>
                    <w:rPr>
                      <w:rFonts w:ascii="宋体" w:cs="宋体"/>
                      <w:kern w:val="0"/>
                      <w:szCs w:val="21"/>
                    </w:rPr>
                  </w:pPr>
                  <w:r>
                    <w:rPr>
                      <w:rFonts w:hint="eastAsia"/>
                    </w:rPr>
                    <w:t>3、</w:t>
                  </w:r>
                  <w:r>
                    <w:rPr>
                      <w:rFonts w:hint="eastAsia" w:ascii="宋体" w:cs="宋体"/>
                      <w:kern w:val="0"/>
                      <w:szCs w:val="21"/>
                    </w:rPr>
                    <w:t>危险废物贮存、利用、处置设施标志的尺寸宜根据其设置位置和对应的观察距离按照下表中的要求设置：</w:t>
                  </w:r>
                </w:p>
                <w:p>
                  <w:pPr>
                    <w:pStyle w:val="59"/>
                    <w:ind w:firstLine="420" w:firstLineChars="200"/>
                    <w:jc w:val="both"/>
                  </w:pPr>
                  <w:r>
                    <w:rPr>
                      <w:rFonts w:hint="eastAsia"/>
                    </w:rPr>
                    <w:t>4</w:t>
                  </w:r>
                  <w:r>
                    <w:rPr>
                      <w:rFonts w:hint="eastAsia"/>
                      <w:bCs/>
                    </w:rPr>
                    <w:t>、危险废物贮存、利用、处置设施标志的图形和文字应清晰、完整，保证在足够的观察距离条件下也不影响阅读。三角形警告性图形与其他信息间宜加黑色分界线区分，分界线的宽度宜不小于</w:t>
                  </w:r>
                  <w:r>
                    <w:rPr>
                      <w:bCs/>
                    </w:rPr>
                    <w:t>3 mm</w:t>
                  </w:r>
                  <w:r>
                    <w:rPr>
                      <w:rFonts w:hint="eastAsia"/>
                      <w:bCs/>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pStyle w:val="59"/>
                    <w:rPr>
                      <w:bCs/>
                      <w:szCs w:val="21"/>
                    </w:rPr>
                  </w:pPr>
                  <w:r>
                    <w:rPr>
                      <w:bCs/>
                      <w:szCs w:val="21"/>
                    </w:rPr>
                    <w:t>粘贴于危险废物储存容器</w:t>
                  </w:r>
                </w:p>
              </w:tc>
              <w:tc>
                <w:tcPr>
                  <w:tcW w:w="0" w:type="auto"/>
                  <w:vAlign w:val="center"/>
                </w:tcPr>
                <w:p>
                  <w:pPr>
                    <w:pStyle w:val="59"/>
                  </w:pPr>
                  <w:r>
                    <w:drawing>
                      <wp:inline distT="0" distB="0" distL="0" distR="0">
                        <wp:extent cx="1112520" cy="1112520"/>
                        <wp:effectExtent l="0" t="0" r="0" b="0"/>
                        <wp:docPr id="2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112520" cy="1112520"/>
                                </a:xfrm>
                                <a:prstGeom prst="rect">
                                  <a:avLst/>
                                </a:prstGeom>
                                <a:noFill/>
                                <a:ln>
                                  <a:noFill/>
                                </a:ln>
                              </pic:spPr>
                            </pic:pic>
                          </a:graphicData>
                        </a:graphic>
                      </wp:inline>
                    </w:drawing>
                  </w:r>
                </w:p>
              </w:tc>
              <w:tc>
                <w:tcPr>
                  <w:tcW w:w="0" w:type="auto"/>
                  <w:vAlign w:val="center"/>
                </w:tcPr>
                <w:p>
                  <w:pPr>
                    <w:pStyle w:val="59"/>
                    <w:ind w:firstLine="420" w:firstLineChars="200"/>
                    <w:jc w:val="both"/>
                    <w:rPr>
                      <w:bCs/>
                    </w:rPr>
                  </w:pPr>
                  <w:r>
                    <w:rPr>
                      <w:rFonts w:hint="eastAsia"/>
                      <w:bCs/>
                    </w:rPr>
                    <w:t>1、危险废物标签背景色应采用醒目的橘黄色，RGB 颜色值为（255, 150, 0）。标签边框和字体颜色为黑色，RGB 颜色值为（0, 0, 0）；</w:t>
                  </w:r>
                </w:p>
                <w:p>
                  <w:pPr>
                    <w:pStyle w:val="59"/>
                    <w:ind w:firstLine="420" w:firstLineChars="200"/>
                    <w:jc w:val="both"/>
                    <w:rPr>
                      <w:bCs/>
                    </w:rPr>
                  </w:pPr>
                  <w:r>
                    <w:rPr>
                      <w:rFonts w:hint="eastAsia"/>
                      <w:bCs/>
                    </w:rPr>
                    <w:t>2、危险废物标签字体宜采用黑体字，其中“危险废物”字样应加粗放大；</w:t>
                  </w:r>
                </w:p>
                <w:p>
                  <w:pPr>
                    <w:pStyle w:val="59"/>
                    <w:ind w:firstLine="420" w:firstLineChars="200"/>
                    <w:jc w:val="both"/>
                    <w:rPr>
                      <w:bCs/>
                    </w:rPr>
                  </w:pPr>
                  <w:r>
                    <w:rPr>
                      <w:rFonts w:hint="eastAsia"/>
                      <w:bCs/>
                    </w:rPr>
                    <w:t>3、危险废物标签的尺寸宜根据容器或包装物的容积按照表1 中的要求设置</w:t>
                  </w:r>
                </w:p>
                <w:p>
                  <w:pPr>
                    <w:pStyle w:val="59"/>
                    <w:ind w:firstLine="420" w:firstLineChars="200"/>
                    <w:jc w:val="both"/>
                  </w:pPr>
                  <w:r>
                    <w:rPr>
                      <w:rFonts w:hint="eastAsia"/>
                      <w:bCs/>
                    </w:rPr>
                    <w:t>4、危险废物标签印刷的油墨应均匀，图案和文字应清晰、完整。危险废物标签的文字边缘宜加黑色边框，边框宽度不小于1 mm，边框外宜留不小于3 mm 的空白</w:t>
                  </w:r>
                </w:p>
              </w:tc>
            </w:tr>
          </w:tbl>
          <w:p>
            <w:pPr>
              <w:spacing w:line="400" w:lineRule="exact"/>
              <w:jc w:val="center"/>
              <w:rPr>
                <w:b/>
                <w:szCs w:val="21"/>
              </w:rPr>
            </w:pPr>
          </w:p>
          <w:p>
            <w:pPr>
              <w:spacing w:line="400" w:lineRule="exact"/>
              <w:jc w:val="center"/>
              <w:rPr>
                <w:b/>
                <w:szCs w:val="21"/>
              </w:rPr>
            </w:pPr>
            <w:r>
              <w:rPr>
                <w:rFonts w:hint="eastAsia"/>
                <w:b/>
                <w:szCs w:val="21"/>
              </w:rPr>
              <w:t>表4</w:t>
            </w:r>
            <w:r>
              <w:rPr>
                <w:b/>
                <w:szCs w:val="21"/>
              </w:rPr>
              <w:t>-22  室外</w:t>
            </w:r>
            <w:r>
              <w:rPr>
                <w:rFonts w:hint="eastAsia"/>
                <w:b/>
                <w:szCs w:val="21"/>
              </w:rPr>
              <w:t>标识尺寸设置要求</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6"/>
              <w:gridCol w:w="1175"/>
              <w:gridCol w:w="1812"/>
              <w:gridCol w:w="878"/>
              <w:gridCol w:w="878"/>
              <w:gridCol w:w="999"/>
              <w:gridCol w:w="859"/>
              <w:gridCol w:w="6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restart"/>
                  <w:vAlign w:val="center"/>
                </w:tcPr>
                <w:p>
                  <w:pPr>
                    <w:jc w:val="center"/>
                  </w:pPr>
                  <w:r>
                    <w:rPr>
                      <w:rFonts w:hint="eastAsia"/>
                    </w:rPr>
                    <w:t>位置</w:t>
                  </w:r>
                </w:p>
              </w:tc>
              <w:tc>
                <w:tcPr>
                  <w:tcW w:w="0" w:type="auto"/>
                  <w:vMerge w:val="restart"/>
                  <w:vAlign w:val="center"/>
                </w:tcPr>
                <w:p>
                  <w:pPr>
                    <w:jc w:val="center"/>
                  </w:pPr>
                  <w:r>
                    <w:rPr>
                      <w:rFonts w:hint="eastAsia"/>
                    </w:rPr>
                    <w:t>观察距离L（m）</w:t>
                  </w:r>
                </w:p>
              </w:tc>
              <w:tc>
                <w:tcPr>
                  <w:tcW w:w="0" w:type="auto"/>
                  <w:vMerge w:val="restart"/>
                  <w:vAlign w:val="center"/>
                </w:tcPr>
                <w:p>
                  <w:pPr>
                    <w:jc w:val="center"/>
                  </w:pPr>
                  <w:r>
                    <w:rPr>
                      <w:rFonts w:hint="eastAsia"/>
                    </w:rPr>
                    <w:t>标志牌整体外形最小尺寸（m</w:t>
                  </w:r>
                  <w:r>
                    <w:t>m</w:t>
                  </w:r>
                  <w:r>
                    <w:rPr>
                      <w:rFonts w:hint="eastAsia"/>
                    </w:rPr>
                    <w:t>）</w:t>
                  </w:r>
                </w:p>
              </w:tc>
              <w:tc>
                <w:tcPr>
                  <w:tcW w:w="0" w:type="auto"/>
                  <w:gridSpan w:val="3"/>
                  <w:vAlign w:val="center"/>
                </w:tcPr>
                <w:p>
                  <w:pPr>
                    <w:jc w:val="center"/>
                  </w:pPr>
                  <w:r>
                    <w:rPr>
                      <w:rFonts w:hint="eastAsia"/>
                    </w:rPr>
                    <w:t>三角形警告性标志（m</w:t>
                  </w:r>
                  <w:r>
                    <w:t>m</w:t>
                  </w:r>
                  <w:r>
                    <w:rPr>
                      <w:rFonts w:hint="eastAsia"/>
                    </w:rPr>
                    <w:t>）</w:t>
                  </w:r>
                </w:p>
              </w:tc>
              <w:tc>
                <w:tcPr>
                  <w:tcW w:w="0" w:type="auto"/>
                  <w:gridSpan w:val="2"/>
                  <w:vAlign w:val="center"/>
                </w:tcPr>
                <w:p>
                  <w:pPr>
                    <w:jc w:val="center"/>
                  </w:pPr>
                  <w:r>
                    <w:rPr>
                      <w:rFonts w:hint="eastAsia"/>
                    </w:rPr>
                    <w:t>最低文字高度（m</w:t>
                  </w:r>
                  <w:r>
                    <w:t>m</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continue"/>
                  <w:vAlign w:val="center"/>
                </w:tcPr>
                <w:p>
                  <w:pPr>
                    <w:jc w:val="center"/>
                  </w:pPr>
                </w:p>
              </w:tc>
              <w:tc>
                <w:tcPr>
                  <w:tcW w:w="0" w:type="auto"/>
                  <w:vMerge w:val="continue"/>
                  <w:vAlign w:val="center"/>
                </w:tcPr>
                <w:p>
                  <w:pPr>
                    <w:jc w:val="center"/>
                  </w:pPr>
                </w:p>
              </w:tc>
              <w:tc>
                <w:tcPr>
                  <w:tcW w:w="0" w:type="auto"/>
                  <w:vMerge w:val="continue"/>
                  <w:vAlign w:val="center"/>
                </w:tcPr>
                <w:p>
                  <w:pPr>
                    <w:jc w:val="center"/>
                  </w:pPr>
                </w:p>
              </w:tc>
              <w:tc>
                <w:tcPr>
                  <w:tcW w:w="0" w:type="auto"/>
                  <w:vAlign w:val="center"/>
                </w:tcPr>
                <w:p>
                  <w:pPr>
                    <w:jc w:val="center"/>
                  </w:pPr>
                  <w:r>
                    <w:rPr>
                      <w:rFonts w:hint="eastAsia"/>
                    </w:rPr>
                    <w:t>三角形外变长</w:t>
                  </w:r>
                </w:p>
              </w:tc>
              <w:tc>
                <w:tcPr>
                  <w:tcW w:w="0" w:type="auto"/>
                  <w:vAlign w:val="center"/>
                </w:tcPr>
                <w:p>
                  <w:pPr>
                    <w:jc w:val="center"/>
                  </w:pPr>
                  <w:r>
                    <w:rPr>
                      <w:rFonts w:hint="eastAsia"/>
                    </w:rPr>
                    <w:t>三角形外边长</w:t>
                  </w:r>
                </w:p>
              </w:tc>
              <w:tc>
                <w:tcPr>
                  <w:tcW w:w="0" w:type="auto"/>
                  <w:vAlign w:val="center"/>
                </w:tcPr>
                <w:p>
                  <w:pPr>
                    <w:jc w:val="center"/>
                  </w:pPr>
                  <w:r>
                    <w:rPr>
                      <w:rFonts w:hint="eastAsia"/>
                    </w:rPr>
                    <w:t>边框外角圆弧半径</w:t>
                  </w:r>
                </w:p>
              </w:tc>
              <w:tc>
                <w:tcPr>
                  <w:tcW w:w="0" w:type="auto"/>
                  <w:vAlign w:val="center"/>
                </w:tcPr>
                <w:p>
                  <w:pPr>
                    <w:jc w:val="center"/>
                  </w:pPr>
                  <w:r>
                    <w:rPr>
                      <w:rFonts w:hint="eastAsia"/>
                    </w:rPr>
                    <w:t>设施类型名称</w:t>
                  </w:r>
                </w:p>
              </w:tc>
              <w:tc>
                <w:tcPr>
                  <w:tcW w:w="0" w:type="auto"/>
                  <w:vAlign w:val="center"/>
                </w:tcPr>
                <w:p>
                  <w:pPr>
                    <w:jc w:val="center"/>
                  </w:pPr>
                  <w:r>
                    <w:rPr>
                      <w:rFonts w:hint="eastAsia"/>
                    </w:rPr>
                    <w:t>其他文字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室外入口</w:t>
                  </w:r>
                </w:p>
              </w:tc>
              <w:tc>
                <w:tcPr>
                  <w:tcW w:w="0" w:type="auto"/>
                  <w:vAlign w:val="center"/>
                </w:tcPr>
                <w:p>
                  <w:pPr>
                    <w:jc w:val="center"/>
                  </w:pPr>
                  <w:r>
                    <w:rPr>
                      <w:rFonts w:hint="eastAsia"/>
                    </w:rPr>
                    <w:t>＞1</w:t>
                  </w:r>
                  <w:r>
                    <w:t>0</w:t>
                  </w:r>
                </w:p>
              </w:tc>
              <w:tc>
                <w:tcPr>
                  <w:tcW w:w="0" w:type="auto"/>
                  <w:vAlign w:val="center"/>
                </w:tcPr>
                <w:p>
                  <w:pPr>
                    <w:jc w:val="center"/>
                  </w:pPr>
                  <w:r>
                    <w:rPr>
                      <w:rFonts w:hint="eastAsia"/>
                    </w:rPr>
                    <w:t>9</w:t>
                  </w:r>
                  <w:r>
                    <w:t>00</w:t>
                  </w:r>
                  <w:r>
                    <w:rPr>
                      <w:bCs/>
                    </w:rPr>
                    <w:t>×558</w:t>
                  </w:r>
                </w:p>
              </w:tc>
              <w:tc>
                <w:tcPr>
                  <w:tcW w:w="0" w:type="auto"/>
                  <w:vAlign w:val="center"/>
                </w:tcPr>
                <w:p>
                  <w:pPr>
                    <w:jc w:val="center"/>
                  </w:pPr>
                  <w:r>
                    <w:rPr>
                      <w:rFonts w:hint="eastAsia"/>
                    </w:rPr>
                    <w:t>5</w:t>
                  </w:r>
                  <w:r>
                    <w:t>00</w:t>
                  </w:r>
                </w:p>
              </w:tc>
              <w:tc>
                <w:tcPr>
                  <w:tcW w:w="0" w:type="auto"/>
                  <w:vAlign w:val="center"/>
                </w:tcPr>
                <w:p>
                  <w:pPr>
                    <w:jc w:val="center"/>
                  </w:pPr>
                  <w:r>
                    <w:rPr>
                      <w:rFonts w:hint="eastAsia"/>
                    </w:rPr>
                    <w:t>3</w:t>
                  </w:r>
                  <w:r>
                    <w:t>75</w:t>
                  </w:r>
                </w:p>
              </w:tc>
              <w:tc>
                <w:tcPr>
                  <w:tcW w:w="0" w:type="auto"/>
                  <w:vAlign w:val="center"/>
                </w:tcPr>
                <w:p>
                  <w:pPr>
                    <w:jc w:val="center"/>
                  </w:pPr>
                  <w:r>
                    <w:rPr>
                      <w:rFonts w:hint="eastAsia"/>
                    </w:rPr>
                    <w:t>3</w:t>
                  </w:r>
                  <w:r>
                    <w:t>0</w:t>
                  </w:r>
                </w:p>
              </w:tc>
              <w:tc>
                <w:tcPr>
                  <w:tcW w:w="0" w:type="auto"/>
                  <w:vAlign w:val="center"/>
                </w:tcPr>
                <w:p>
                  <w:pPr>
                    <w:jc w:val="center"/>
                  </w:pPr>
                  <w:r>
                    <w:rPr>
                      <w:rFonts w:hint="eastAsia"/>
                    </w:rPr>
                    <w:t>4</w:t>
                  </w:r>
                  <w:r>
                    <w:t>8</w:t>
                  </w:r>
                </w:p>
              </w:tc>
              <w:tc>
                <w:tcPr>
                  <w:tcW w:w="0" w:type="auto"/>
                  <w:vAlign w:val="center"/>
                </w:tcPr>
                <w:p>
                  <w:pPr>
                    <w:jc w:val="center"/>
                  </w:pPr>
                  <w:r>
                    <w:rPr>
                      <w:rFonts w:hint="eastAsia"/>
                    </w:rPr>
                    <w:t>2</w:t>
                  </w:r>
                  <w: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室内</w:t>
                  </w:r>
                </w:p>
              </w:tc>
              <w:tc>
                <w:tcPr>
                  <w:tcW w:w="0" w:type="auto"/>
                  <w:vAlign w:val="center"/>
                </w:tcPr>
                <w:p>
                  <w:pPr>
                    <w:jc w:val="center"/>
                  </w:pPr>
                  <w:r>
                    <w:rPr>
                      <w:rFonts w:hint="eastAsia"/>
                    </w:rPr>
                    <w:t>4＜L≤</w:t>
                  </w:r>
                  <w:r>
                    <w:t>10</w:t>
                  </w:r>
                </w:p>
              </w:tc>
              <w:tc>
                <w:tcPr>
                  <w:tcW w:w="0" w:type="auto"/>
                  <w:vAlign w:val="center"/>
                </w:tcPr>
                <w:p>
                  <w:pPr>
                    <w:jc w:val="center"/>
                  </w:pPr>
                  <w:r>
                    <w:rPr>
                      <w:rFonts w:hint="eastAsia"/>
                    </w:rPr>
                    <w:t>6</w:t>
                  </w:r>
                  <w:r>
                    <w:t>00</w:t>
                  </w:r>
                  <w:r>
                    <w:rPr>
                      <w:bCs/>
                    </w:rPr>
                    <w:t>×372</w:t>
                  </w:r>
                </w:p>
              </w:tc>
              <w:tc>
                <w:tcPr>
                  <w:tcW w:w="0" w:type="auto"/>
                  <w:vAlign w:val="center"/>
                </w:tcPr>
                <w:p>
                  <w:pPr>
                    <w:jc w:val="center"/>
                  </w:pPr>
                  <w:r>
                    <w:rPr>
                      <w:rFonts w:hint="eastAsia"/>
                    </w:rPr>
                    <w:t>3</w:t>
                  </w:r>
                  <w:r>
                    <w:t>00</w:t>
                  </w:r>
                </w:p>
              </w:tc>
              <w:tc>
                <w:tcPr>
                  <w:tcW w:w="0" w:type="auto"/>
                  <w:vAlign w:val="center"/>
                </w:tcPr>
                <w:p>
                  <w:pPr>
                    <w:jc w:val="center"/>
                  </w:pPr>
                  <w:r>
                    <w:rPr>
                      <w:rFonts w:hint="eastAsia"/>
                    </w:rPr>
                    <w:t>2</w:t>
                  </w:r>
                  <w:r>
                    <w:t>25</w:t>
                  </w:r>
                </w:p>
              </w:tc>
              <w:tc>
                <w:tcPr>
                  <w:tcW w:w="0" w:type="auto"/>
                  <w:vAlign w:val="center"/>
                </w:tcPr>
                <w:p>
                  <w:pPr>
                    <w:jc w:val="center"/>
                  </w:pPr>
                  <w:r>
                    <w:rPr>
                      <w:rFonts w:hint="eastAsia"/>
                    </w:rPr>
                    <w:t>1</w:t>
                  </w:r>
                  <w:r>
                    <w:t>8</w:t>
                  </w:r>
                </w:p>
              </w:tc>
              <w:tc>
                <w:tcPr>
                  <w:tcW w:w="0" w:type="auto"/>
                  <w:vAlign w:val="center"/>
                </w:tcPr>
                <w:p>
                  <w:pPr>
                    <w:jc w:val="center"/>
                  </w:pPr>
                  <w:r>
                    <w:rPr>
                      <w:rFonts w:hint="eastAsia"/>
                    </w:rPr>
                    <w:t>3</w:t>
                  </w:r>
                  <w:r>
                    <w:t>2</w:t>
                  </w:r>
                </w:p>
              </w:tc>
              <w:tc>
                <w:tcPr>
                  <w:tcW w:w="0" w:type="auto"/>
                  <w:vAlign w:val="center"/>
                </w:tcPr>
                <w:p>
                  <w:pPr>
                    <w:jc w:val="center"/>
                  </w:pPr>
                  <w:r>
                    <w:rPr>
                      <w:rFonts w:hint="eastAsia"/>
                    </w:rPr>
                    <w:t>1</w:t>
                  </w:r>
                  <w: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室内</w:t>
                  </w:r>
                </w:p>
              </w:tc>
              <w:tc>
                <w:tcPr>
                  <w:tcW w:w="0" w:type="auto"/>
                  <w:vAlign w:val="center"/>
                </w:tcPr>
                <w:p>
                  <w:pPr>
                    <w:jc w:val="center"/>
                  </w:pPr>
                  <w:r>
                    <w:rPr>
                      <w:rFonts w:hint="eastAsia"/>
                    </w:rPr>
                    <w:t>≤</w:t>
                  </w:r>
                  <w:r>
                    <w:t>4</w:t>
                  </w:r>
                </w:p>
              </w:tc>
              <w:tc>
                <w:tcPr>
                  <w:tcW w:w="0" w:type="auto"/>
                  <w:vAlign w:val="center"/>
                </w:tcPr>
                <w:p>
                  <w:pPr>
                    <w:jc w:val="center"/>
                  </w:pPr>
                  <w:r>
                    <w:rPr>
                      <w:rFonts w:hint="eastAsia"/>
                    </w:rPr>
                    <w:t>3</w:t>
                  </w:r>
                  <w:r>
                    <w:t>00</w:t>
                  </w:r>
                  <w:r>
                    <w:rPr>
                      <w:bCs/>
                    </w:rPr>
                    <w:t>×186</w:t>
                  </w:r>
                </w:p>
              </w:tc>
              <w:tc>
                <w:tcPr>
                  <w:tcW w:w="0" w:type="auto"/>
                  <w:vAlign w:val="center"/>
                </w:tcPr>
                <w:p>
                  <w:pPr>
                    <w:jc w:val="center"/>
                  </w:pPr>
                  <w:r>
                    <w:rPr>
                      <w:rFonts w:hint="eastAsia"/>
                    </w:rPr>
                    <w:t>1</w:t>
                  </w:r>
                  <w:r>
                    <w:t>40</w:t>
                  </w:r>
                </w:p>
              </w:tc>
              <w:tc>
                <w:tcPr>
                  <w:tcW w:w="0" w:type="auto"/>
                  <w:vAlign w:val="center"/>
                </w:tcPr>
                <w:p>
                  <w:pPr>
                    <w:jc w:val="center"/>
                  </w:pPr>
                  <w:r>
                    <w:rPr>
                      <w:rFonts w:hint="eastAsia"/>
                    </w:rPr>
                    <w:t>1</w:t>
                  </w:r>
                  <w:r>
                    <w:t>05</w:t>
                  </w:r>
                </w:p>
              </w:tc>
              <w:tc>
                <w:tcPr>
                  <w:tcW w:w="0" w:type="auto"/>
                  <w:vAlign w:val="center"/>
                </w:tcPr>
                <w:p>
                  <w:pPr>
                    <w:jc w:val="center"/>
                  </w:pPr>
                  <w:r>
                    <w:rPr>
                      <w:rFonts w:hint="eastAsia"/>
                    </w:rPr>
                    <w:t>8</w:t>
                  </w:r>
                  <w:r>
                    <w:t>.4</w:t>
                  </w:r>
                </w:p>
              </w:tc>
              <w:tc>
                <w:tcPr>
                  <w:tcW w:w="0" w:type="auto"/>
                  <w:vAlign w:val="center"/>
                </w:tcPr>
                <w:p>
                  <w:pPr>
                    <w:jc w:val="center"/>
                  </w:pPr>
                  <w:r>
                    <w:rPr>
                      <w:rFonts w:hint="eastAsia"/>
                    </w:rPr>
                    <w:t>1</w:t>
                  </w:r>
                  <w:r>
                    <w:t>6</w:t>
                  </w:r>
                </w:p>
              </w:tc>
              <w:tc>
                <w:tcPr>
                  <w:tcW w:w="0" w:type="auto"/>
                  <w:vAlign w:val="center"/>
                </w:tcPr>
                <w:p>
                  <w:pPr>
                    <w:jc w:val="center"/>
                  </w:pPr>
                  <w:r>
                    <w:rPr>
                      <w:rFonts w:hint="eastAsia"/>
                    </w:rPr>
                    <w:t>8</w:t>
                  </w:r>
                </w:p>
              </w:tc>
            </w:tr>
          </w:tbl>
          <w:p>
            <w:pPr>
              <w:spacing w:line="400" w:lineRule="exact"/>
              <w:jc w:val="center"/>
              <w:rPr>
                <w:b/>
                <w:szCs w:val="21"/>
              </w:rPr>
            </w:pPr>
            <w:r>
              <w:rPr>
                <w:rFonts w:hint="eastAsia"/>
                <w:b/>
                <w:szCs w:val="21"/>
              </w:rPr>
              <w:t>表4</w:t>
            </w:r>
            <w:r>
              <w:rPr>
                <w:b/>
                <w:szCs w:val="21"/>
              </w:rPr>
              <w:t>-23   室</w:t>
            </w:r>
            <w:r>
              <w:rPr>
                <w:rFonts w:hint="eastAsia"/>
                <w:b/>
                <w:szCs w:val="21"/>
              </w:rPr>
              <w:t>内容器或包装标识尺寸设置要求</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09"/>
              <w:gridCol w:w="2968"/>
              <w:gridCol w:w="24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vAlign w:val="center"/>
                </w:tcPr>
                <w:p>
                  <w:pPr>
                    <w:jc w:val="center"/>
                  </w:pPr>
                  <w:r>
                    <w:rPr>
                      <w:rFonts w:hint="eastAsia"/>
                    </w:rPr>
                    <w:t>容器或包装物容积（L）</w:t>
                  </w:r>
                </w:p>
              </w:tc>
              <w:tc>
                <w:tcPr>
                  <w:tcW w:w="1870" w:type="pct"/>
                  <w:vAlign w:val="center"/>
                </w:tcPr>
                <w:p>
                  <w:pPr>
                    <w:jc w:val="center"/>
                  </w:pPr>
                  <w:r>
                    <w:rPr>
                      <w:rFonts w:hint="eastAsia"/>
                    </w:rPr>
                    <w:t>标签最小尺寸（m</w:t>
                  </w:r>
                  <w:r>
                    <w:t>m</w:t>
                  </w:r>
                  <w:r>
                    <w:rPr>
                      <w:bCs/>
                    </w:rPr>
                    <w:t>×mm</w:t>
                  </w:r>
                  <w:r>
                    <w:rPr>
                      <w:rFonts w:hint="eastAsia"/>
                    </w:rPr>
                    <w:t>）</w:t>
                  </w:r>
                </w:p>
              </w:tc>
              <w:tc>
                <w:tcPr>
                  <w:tcW w:w="1549" w:type="pct"/>
                  <w:vAlign w:val="center"/>
                </w:tcPr>
                <w:p>
                  <w:pPr>
                    <w:jc w:val="center"/>
                  </w:pPr>
                  <w:r>
                    <w:rPr>
                      <w:rFonts w:hint="eastAsia"/>
                    </w:rPr>
                    <w:t>最低文字高度（m</w:t>
                  </w:r>
                  <w:r>
                    <w:t>m</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vAlign w:val="center"/>
                </w:tcPr>
                <w:p>
                  <w:pPr>
                    <w:jc w:val="center"/>
                  </w:pPr>
                  <w:r>
                    <w:rPr>
                      <w:rFonts w:hint="eastAsia"/>
                    </w:rPr>
                    <w:t>≤5</w:t>
                  </w:r>
                  <w:r>
                    <w:t>0</w:t>
                  </w:r>
                </w:p>
              </w:tc>
              <w:tc>
                <w:tcPr>
                  <w:tcW w:w="1870" w:type="pct"/>
                  <w:vAlign w:val="center"/>
                </w:tcPr>
                <w:p>
                  <w:pPr>
                    <w:jc w:val="center"/>
                  </w:pPr>
                  <w:r>
                    <w:rPr>
                      <w:rFonts w:hint="eastAsia"/>
                    </w:rPr>
                    <w:t>1</w:t>
                  </w:r>
                  <w:r>
                    <w:t>00</w:t>
                  </w:r>
                  <w:r>
                    <w:rPr>
                      <w:bCs/>
                    </w:rPr>
                    <w:t>×100</w:t>
                  </w:r>
                </w:p>
              </w:tc>
              <w:tc>
                <w:tcPr>
                  <w:tcW w:w="1549" w:type="pct"/>
                  <w:vAlign w:val="center"/>
                </w:tcPr>
                <w:p>
                  <w:pPr>
                    <w:jc w:val="center"/>
                  </w:pPr>
                  <w:r>
                    <w:rPr>
                      <w:rFonts w:hint="eastAsia"/>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vAlign w:val="center"/>
                </w:tcPr>
                <w:p>
                  <w:pPr>
                    <w:jc w:val="center"/>
                  </w:pPr>
                  <w:r>
                    <w:rPr>
                      <w:rFonts w:hint="eastAsia"/>
                    </w:rPr>
                    <w:t>＞5</w:t>
                  </w:r>
                  <w:r>
                    <w:t>0</w:t>
                  </w:r>
                  <w:r>
                    <w:rPr>
                      <w:rFonts w:hint="eastAsia"/>
                    </w:rPr>
                    <w:t>~≤</w:t>
                  </w:r>
                  <w:r>
                    <w:t>450</w:t>
                  </w:r>
                </w:p>
              </w:tc>
              <w:tc>
                <w:tcPr>
                  <w:tcW w:w="1870" w:type="pct"/>
                  <w:vAlign w:val="center"/>
                </w:tcPr>
                <w:p>
                  <w:pPr>
                    <w:jc w:val="center"/>
                  </w:pPr>
                  <w:r>
                    <w:rPr>
                      <w:rFonts w:hint="eastAsia"/>
                    </w:rPr>
                    <w:t>1</w:t>
                  </w:r>
                  <w:r>
                    <w:t>50</w:t>
                  </w:r>
                  <w:r>
                    <w:rPr>
                      <w:bCs/>
                    </w:rPr>
                    <w:t>×150</w:t>
                  </w:r>
                </w:p>
              </w:tc>
              <w:tc>
                <w:tcPr>
                  <w:tcW w:w="1549" w:type="pct"/>
                  <w:vAlign w:val="center"/>
                </w:tcPr>
                <w:p>
                  <w:pPr>
                    <w:jc w:val="center"/>
                  </w:pPr>
                  <w:r>
                    <w:rPr>
                      <w:rFonts w:hint="eastAsi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vAlign w:val="center"/>
                </w:tcPr>
                <w:p>
                  <w:pPr>
                    <w:jc w:val="center"/>
                  </w:pPr>
                  <w:r>
                    <w:rPr>
                      <w:rFonts w:hint="eastAsia"/>
                    </w:rPr>
                    <w:t>＞4</w:t>
                  </w:r>
                  <w:r>
                    <w:t>50</w:t>
                  </w:r>
                </w:p>
              </w:tc>
              <w:tc>
                <w:tcPr>
                  <w:tcW w:w="1870" w:type="pct"/>
                  <w:vAlign w:val="center"/>
                </w:tcPr>
                <w:p>
                  <w:pPr>
                    <w:jc w:val="center"/>
                  </w:pPr>
                  <w:r>
                    <w:rPr>
                      <w:rFonts w:hint="eastAsia"/>
                    </w:rPr>
                    <w:t>2</w:t>
                  </w:r>
                  <w:r>
                    <w:t>00</w:t>
                  </w:r>
                  <w:r>
                    <w:rPr>
                      <w:bCs/>
                    </w:rPr>
                    <w:t>×200</w:t>
                  </w:r>
                </w:p>
              </w:tc>
              <w:tc>
                <w:tcPr>
                  <w:tcW w:w="1549" w:type="pct"/>
                  <w:vAlign w:val="center"/>
                </w:tcPr>
                <w:p>
                  <w:pPr>
                    <w:jc w:val="center"/>
                  </w:pPr>
                  <w:r>
                    <w:rPr>
                      <w:rFonts w:hint="eastAsia"/>
                    </w:rPr>
                    <w:t>6</w:t>
                  </w:r>
                </w:p>
              </w:tc>
            </w:tr>
          </w:tbl>
          <w:p>
            <w:pPr>
              <w:adjustRightInd w:val="0"/>
              <w:snapToGrid w:val="0"/>
              <w:spacing w:line="400" w:lineRule="exact"/>
              <w:ind w:firstLine="422" w:firstLineChars="200"/>
              <w:rPr>
                <w:b/>
                <w:szCs w:val="21"/>
              </w:rPr>
            </w:pPr>
            <w:r>
              <w:rPr>
                <w:rFonts w:hint="eastAsia"/>
                <w:b/>
                <w:szCs w:val="21"/>
              </w:rPr>
              <w:t>9</w:t>
            </w:r>
            <w:r>
              <w:rPr>
                <w:b/>
                <w:szCs w:val="21"/>
              </w:rPr>
              <w:t>、</w:t>
            </w:r>
            <w:r>
              <w:rPr>
                <w:rFonts w:hint="eastAsia"/>
                <w:b/>
                <w:szCs w:val="21"/>
              </w:rPr>
              <w:t>与排污许可的衔接及后续验收管理</w:t>
            </w:r>
          </w:p>
          <w:p>
            <w:pPr>
              <w:adjustRightInd w:val="0"/>
              <w:snapToGrid w:val="0"/>
              <w:spacing w:line="400" w:lineRule="exact"/>
              <w:ind w:firstLine="420" w:firstLineChars="200"/>
              <w:rPr>
                <w:bCs/>
                <w:szCs w:val="21"/>
              </w:rPr>
            </w:pPr>
            <w:r>
              <w:rPr>
                <w:rFonts w:hint="eastAsia"/>
                <w:bCs/>
                <w:szCs w:val="21"/>
              </w:rPr>
              <w:t>（1）排污许可管理要求：</w:t>
            </w:r>
          </w:p>
          <w:p>
            <w:pPr>
              <w:adjustRightInd w:val="0"/>
              <w:snapToGrid w:val="0"/>
              <w:spacing w:line="400" w:lineRule="exact"/>
              <w:ind w:firstLine="420" w:firstLineChars="200"/>
              <w:rPr>
                <w:bCs/>
                <w:szCs w:val="21"/>
              </w:rPr>
            </w:pPr>
            <w:r>
              <w:rPr>
                <w:rFonts w:hint="eastAsia"/>
                <w:bCs/>
                <w:szCs w:val="21"/>
              </w:rPr>
              <w:t>根据《固定污染源排污许可分类管理名录》（2</w:t>
            </w:r>
            <w:r>
              <w:rPr>
                <w:bCs/>
                <w:szCs w:val="21"/>
              </w:rPr>
              <w:t>019</w:t>
            </w:r>
            <w:r>
              <w:rPr>
                <w:rFonts w:hint="eastAsia"/>
                <w:bCs/>
                <w:szCs w:val="21"/>
              </w:rPr>
              <w:t>年版），本项目属于登记管理。企业应在实际排污前，根据排污许可要求履行相关手续，登记基本信息、污染物排放去向、执行的污染物排放标准以及采取的污染防治措施等信息。企业生产运营期应按照排污许可内容进行台账记录、自行监测、执行报告等内容。</w:t>
            </w:r>
          </w:p>
          <w:p>
            <w:pPr>
              <w:adjustRightInd w:val="0"/>
              <w:snapToGrid w:val="0"/>
              <w:spacing w:line="400" w:lineRule="exact"/>
              <w:ind w:firstLine="420" w:firstLineChars="200"/>
              <w:rPr>
                <w:bCs/>
                <w:szCs w:val="21"/>
              </w:rPr>
            </w:pPr>
            <w:r>
              <w:rPr>
                <w:rFonts w:hint="eastAsia"/>
                <w:bCs/>
                <w:szCs w:val="21"/>
              </w:rPr>
              <w:t>（2）竣工环保验收方面要求：为便于环保主管部门对工程项目进行竣工验收，项目应按照《建设项目竣工环境保护验收暂行办法》（国环规环评【2017】4号）、《建设项目竣工环境保护验收技术指南污染影响类》（生态环境部公告2018年第9号）的相关要求，以及“环境保护措施监督检查清单”的相关内容进行环境保护验收。</w:t>
            </w:r>
            <w:bookmarkEnd w:id="12"/>
          </w:p>
          <w:p>
            <w:pPr>
              <w:adjustRightInd w:val="0"/>
              <w:snapToGrid w:val="0"/>
              <w:spacing w:line="400" w:lineRule="exact"/>
              <w:ind w:firstLine="420" w:firstLineChars="200"/>
              <w:rPr>
                <w:bCs/>
                <w:szCs w:val="21"/>
              </w:rPr>
            </w:pPr>
          </w:p>
          <w:p>
            <w:pPr>
              <w:adjustRightInd w:val="0"/>
              <w:snapToGrid w:val="0"/>
              <w:spacing w:line="400" w:lineRule="exact"/>
              <w:rPr>
                <w:bCs/>
                <w:szCs w:val="21"/>
              </w:rPr>
            </w:pPr>
          </w:p>
        </w:tc>
      </w:tr>
    </w:tbl>
    <w:p>
      <w:pPr>
        <w:adjustRightInd w:val="0"/>
        <w:snapToGrid w:val="0"/>
        <w:spacing w:line="360" w:lineRule="auto"/>
        <w:rPr>
          <w:rFonts w:ascii="宋体" w:cs="宋体"/>
          <w:b/>
          <w:kern w:val="0"/>
          <w:sz w:val="28"/>
          <w:szCs w:val="28"/>
        </w:rPr>
        <w:sectPr>
          <w:pgSz w:w="11907" w:h="16840"/>
          <w:pgMar w:top="1701" w:right="1531" w:bottom="2127" w:left="1531" w:header="851" w:footer="851" w:gutter="0"/>
          <w:cols w:space="720" w:num="1"/>
          <w:docGrid w:linePitch="312" w:charSpace="0"/>
        </w:sectPr>
      </w:pPr>
    </w:p>
    <w:p>
      <w:pPr>
        <w:pStyle w:val="13"/>
        <w:jc w:val="center"/>
        <w:outlineLvl w:val="0"/>
        <w:rPr>
          <w:rFonts w:ascii="黑体" w:hAnsi="黑体" w:eastAsia="黑体"/>
          <w:snapToGrid w:val="0"/>
          <w:sz w:val="30"/>
          <w:szCs w:val="30"/>
        </w:rPr>
      </w:pPr>
      <w:r>
        <w:rPr>
          <w:rFonts w:hint="eastAsia" w:ascii="黑体" w:hAnsi="黑体" w:eastAsia="黑体"/>
          <w:snapToGrid w:val="0"/>
          <w:sz w:val="30"/>
          <w:szCs w:val="30"/>
        </w:rPr>
        <w:t>五、</w:t>
      </w:r>
      <w:bookmarkStart w:id="13" w:name="_Hlk54167917"/>
      <w:r>
        <w:rPr>
          <w:rFonts w:hint="eastAsia" w:ascii="黑体" w:hAnsi="黑体" w:eastAsia="黑体"/>
          <w:snapToGrid w:val="0"/>
          <w:sz w:val="30"/>
          <w:szCs w:val="30"/>
        </w:rPr>
        <w:t>环境保护措施监督检查清单</w:t>
      </w:r>
      <w:bookmarkEnd w:id="13"/>
    </w:p>
    <w:tbl>
      <w:tblPr>
        <w:tblStyle w:val="16"/>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299"/>
        <w:gridCol w:w="656"/>
        <w:gridCol w:w="656"/>
        <w:gridCol w:w="1018"/>
        <w:gridCol w:w="1892"/>
        <w:gridCol w:w="353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17" w:type="pct"/>
            <w:tcBorders>
              <w:tl2br w:val="single" w:color="auto" w:sz="4" w:space="0"/>
            </w:tcBorders>
          </w:tcPr>
          <w:p>
            <w:pPr>
              <w:adjustRightInd w:val="0"/>
              <w:snapToGrid w:val="0"/>
              <w:ind w:firstLine="840"/>
              <w:jc w:val="right"/>
              <w:rPr>
                <w:szCs w:val="21"/>
              </w:rPr>
            </w:pPr>
            <w:r>
              <w:rPr>
                <w:szCs w:val="21"/>
              </w:rPr>
              <w:t>内容</w:t>
            </w:r>
          </w:p>
          <w:p>
            <w:pPr>
              <w:adjustRightInd w:val="0"/>
              <w:snapToGrid w:val="0"/>
              <w:rPr>
                <w:szCs w:val="21"/>
              </w:rPr>
            </w:pPr>
            <w:r>
              <w:rPr>
                <w:szCs w:val="21"/>
              </w:rPr>
              <w:t>要素</w:t>
            </w:r>
          </w:p>
        </w:tc>
        <w:tc>
          <w:tcPr>
            <w:tcW w:w="724" w:type="pct"/>
            <w:gridSpan w:val="2"/>
            <w:vAlign w:val="center"/>
          </w:tcPr>
          <w:p>
            <w:pPr>
              <w:adjustRightInd w:val="0"/>
              <w:snapToGrid w:val="0"/>
              <w:jc w:val="center"/>
              <w:rPr>
                <w:szCs w:val="21"/>
              </w:rPr>
            </w:pPr>
            <w:r>
              <w:rPr>
                <w:szCs w:val="21"/>
              </w:rPr>
              <w:t>排放口(编号、名称)/污染源</w:t>
            </w:r>
          </w:p>
        </w:tc>
        <w:tc>
          <w:tcPr>
            <w:tcW w:w="562" w:type="pct"/>
            <w:vAlign w:val="center"/>
          </w:tcPr>
          <w:p>
            <w:pPr>
              <w:adjustRightInd w:val="0"/>
              <w:snapToGrid w:val="0"/>
              <w:jc w:val="center"/>
              <w:rPr>
                <w:szCs w:val="21"/>
              </w:rPr>
            </w:pPr>
            <w:r>
              <w:rPr>
                <w:szCs w:val="21"/>
              </w:rPr>
              <w:t>污染物项目</w:t>
            </w:r>
          </w:p>
        </w:tc>
        <w:tc>
          <w:tcPr>
            <w:tcW w:w="1044" w:type="pct"/>
            <w:vAlign w:val="center"/>
          </w:tcPr>
          <w:p>
            <w:pPr>
              <w:adjustRightInd w:val="0"/>
              <w:snapToGrid w:val="0"/>
              <w:jc w:val="center"/>
              <w:rPr>
                <w:szCs w:val="21"/>
              </w:rPr>
            </w:pPr>
            <w:r>
              <w:rPr>
                <w:szCs w:val="21"/>
              </w:rPr>
              <w:t>环境保护措施</w:t>
            </w:r>
          </w:p>
        </w:tc>
        <w:tc>
          <w:tcPr>
            <w:tcW w:w="1953" w:type="pct"/>
            <w:vAlign w:val="center"/>
          </w:tcPr>
          <w:p>
            <w:pPr>
              <w:adjustRightInd w:val="0"/>
              <w:snapToGrid w:val="0"/>
              <w:jc w:val="center"/>
              <w:rPr>
                <w:szCs w:val="21"/>
              </w:rPr>
            </w:pPr>
            <w:r>
              <w:rPr>
                <w:szCs w:val="21"/>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77" w:hRule="atLeast"/>
          <w:jc w:val="center"/>
        </w:trPr>
        <w:tc>
          <w:tcPr>
            <w:tcW w:w="717" w:type="pct"/>
            <w:vMerge w:val="restart"/>
            <w:vAlign w:val="center"/>
          </w:tcPr>
          <w:p>
            <w:pPr>
              <w:adjustRightInd w:val="0"/>
              <w:snapToGrid w:val="0"/>
              <w:jc w:val="center"/>
              <w:rPr>
                <w:szCs w:val="21"/>
              </w:rPr>
            </w:pPr>
            <w:r>
              <w:rPr>
                <w:szCs w:val="21"/>
              </w:rPr>
              <w:t>大气环境</w:t>
            </w:r>
          </w:p>
        </w:tc>
        <w:tc>
          <w:tcPr>
            <w:tcW w:w="724" w:type="pct"/>
            <w:gridSpan w:val="2"/>
            <w:vAlign w:val="center"/>
          </w:tcPr>
          <w:p>
            <w:pPr>
              <w:jc w:val="center"/>
              <w:rPr>
                <w:szCs w:val="21"/>
              </w:rPr>
            </w:pPr>
            <w:r>
              <w:rPr>
                <w:rFonts w:hint="eastAsia"/>
                <w:szCs w:val="21"/>
              </w:rPr>
              <w:t>注塑（D</w:t>
            </w:r>
            <w:r>
              <w:rPr>
                <w:szCs w:val="21"/>
              </w:rPr>
              <w:t>A001</w:t>
            </w:r>
            <w:r>
              <w:rPr>
                <w:rFonts w:hint="eastAsia"/>
                <w:szCs w:val="21"/>
              </w:rPr>
              <w:t>）</w:t>
            </w:r>
          </w:p>
        </w:tc>
        <w:tc>
          <w:tcPr>
            <w:tcW w:w="562" w:type="pct"/>
            <w:vAlign w:val="center"/>
          </w:tcPr>
          <w:p>
            <w:pPr>
              <w:adjustRightInd w:val="0"/>
              <w:snapToGrid w:val="0"/>
              <w:jc w:val="center"/>
              <w:rPr>
                <w:szCs w:val="21"/>
              </w:rPr>
            </w:pPr>
            <w:r>
              <w:rPr>
                <w:rFonts w:hint="eastAsia"/>
                <w:szCs w:val="21"/>
              </w:rPr>
              <w:t>非甲烷总烃</w:t>
            </w:r>
          </w:p>
        </w:tc>
        <w:tc>
          <w:tcPr>
            <w:tcW w:w="1044" w:type="pct"/>
            <w:vAlign w:val="center"/>
          </w:tcPr>
          <w:p>
            <w:pPr>
              <w:adjustRightInd w:val="0"/>
              <w:snapToGrid w:val="0"/>
              <w:jc w:val="center"/>
              <w:rPr>
                <w:szCs w:val="21"/>
              </w:rPr>
            </w:pPr>
            <w:r>
              <w:rPr>
                <w:rFonts w:hint="eastAsia"/>
              </w:rPr>
              <w:t>每台注塑机分别设置集气罩，废气经过滤棉+</w:t>
            </w:r>
            <w:r>
              <w:rPr>
                <w:rFonts w:hint="eastAsia"/>
                <w:snapToGrid w:val="0"/>
              </w:rPr>
              <w:t>2级</w:t>
            </w:r>
            <w:r>
              <w:rPr>
                <w:rFonts w:hint="eastAsia"/>
              </w:rPr>
              <w:t>活性炭吸附处理后1</w:t>
            </w:r>
            <w:r>
              <w:t>5m</w:t>
            </w:r>
            <w:r>
              <w:rPr>
                <w:rFonts w:hint="eastAsia"/>
              </w:rPr>
              <w:t>排气筒排放</w:t>
            </w:r>
          </w:p>
        </w:tc>
        <w:tc>
          <w:tcPr>
            <w:tcW w:w="1953" w:type="pct"/>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）表5，</w:t>
            </w:r>
            <w:r>
              <w:rPr>
                <w:bCs/>
                <w:szCs w:val="21"/>
              </w:rPr>
              <w:t>《工业企业挥发性有机物排放控制标准》（DB13/2322-2016）</w:t>
            </w:r>
            <w:r>
              <w:rPr>
                <w:rFonts w:hint="eastAsia"/>
                <w:bCs/>
                <w:szCs w:val="21"/>
              </w:rPr>
              <w:t>表1中“其他行业”要求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717" w:type="pct"/>
            <w:vMerge w:val="continue"/>
            <w:vAlign w:val="center"/>
          </w:tcPr>
          <w:p>
            <w:pPr>
              <w:adjustRightInd w:val="0"/>
              <w:snapToGrid w:val="0"/>
              <w:jc w:val="center"/>
              <w:rPr>
                <w:szCs w:val="21"/>
              </w:rPr>
            </w:pPr>
          </w:p>
        </w:tc>
        <w:tc>
          <w:tcPr>
            <w:tcW w:w="362" w:type="pct"/>
            <w:vMerge w:val="restart"/>
            <w:vAlign w:val="center"/>
          </w:tcPr>
          <w:p>
            <w:pPr>
              <w:jc w:val="center"/>
              <w:rPr>
                <w:szCs w:val="21"/>
              </w:rPr>
            </w:pPr>
            <w:r>
              <w:rPr>
                <w:rFonts w:hint="eastAsia"/>
                <w:szCs w:val="21"/>
              </w:rPr>
              <w:t>厂界无组织</w:t>
            </w:r>
          </w:p>
        </w:tc>
        <w:tc>
          <w:tcPr>
            <w:tcW w:w="362" w:type="pct"/>
            <w:vAlign w:val="center"/>
          </w:tcPr>
          <w:p>
            <w:pPr>
              <w:jc w:val="center"/>
              <w:rPr>
                <w:szCs w:val="21"/>
              </w:rPr>
            </w:pPr>
            <w:r>
              <w:rPr>
                <w:rFonts w:hint="eastAsia"/>
                <w:szCs w:val="21"/>
              </w:rPr>
              <w:t>注塑</w:t>
            </w:r>
          </w:p>
        </w:tc>
        <w:tc>
          <w:tcPr>
            <w:tcW w:w="562" w:type="pct"/>
            <w:vAlign w:val="center"/>
          </w:tcPr>
          <w:p>
            <w:pPr>
              <w:adjustRightInd w:val="0"/>
              <w:snapToGrid w:val="0"/>
              <w:jc w:val="center"/>
              <w:rPr>
                <w:szCs w:val="21"/>
              </w:rPr>
            </w:pPr>
            <w:r>
              <w:rPr>
                <w:szCs w:val="21"/>
              </w:rPr>
              <w:t>非甲烷总烃</w:t>
            </w:r>
          </w:p>
        </w:tc>
        <w:tc>
          <w:tcPr>
            <w:tcW w:w="1044" w:type="pct"/>
            <w:vAlign w:val="center"/>
          </w:tcPr>
          <w:p>
            <w:pPr>
              <w:adjustRightInd w:val="0"/>
              <w:snapToGrid w:val="0"/>
              <w:jc w:val="center"/>
            </w:pPr>
            <w:r>
              <w:rPr>
                <w:rFonts w:hint="eastAsia"/>
              </w:rPr>
              <w:t>车间内作业</w:t>
            </w:r>
          </w:p>
        </w:tc>
        <w:tc>
          <w:tcPr>
            <w:tcW w:w="1953" w:type="pct"/>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w:t>
            </w:r>
            <w:r>
              <w:rPr>
                <w:bCs/>
                <w:szCs w:val="21"/>
              </w:rPr>
              <w:t>《工业企业挥发性有机物排放控制标准》（DB13/2322-2016）表2中“其他企业”要求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3" w:hRule="atLeast"/>
          <w:jc w:val="center"/>
        </w:trPr>
        <w:tc>
          <w:tcPr>
            <w:tcW w:w="717" w:type="pct"/>
            <w:vMerge w:val="continue"/>
            <w:vAlign w:val="center"/>
          </w:tcPr>
          <w:p>
            <w:pPr>
              <w:adjustRightInd w:val="0"/>
              <w:snapToGrid w:val="0"/>
              <w:jc w:val="center"/>
              <w:rPr>
                <w:szCs w:val="21"/>
              </w:rPr>
            </w:pPr>
          </w:p>
        </w:tc>
        <w:tc>
          <w:tcPr>
            <w:tcW w:w="362" w:type="pct"/>
            <w:vMerge w:val="continue"/>
            <w:vAlign w:val="center"/>
          </w:tcPr>
          <w:p>
            <w:pPr>
              <w:jc w:val="center"/>
              <w:rPr>
                <w:szCs w:val="21"/>
              </w:rPr>
            </w:pPr>
          </w:p>
        </w:tc>
        <w:tc>
          <w:tcPr>
            <w:tcW w:w="362" w:type="pct"/>
            <w:vAlign w:val="center"/>
          </w:tcPr>
          <w:p>
            <w:pPr>
              <w:jc w:val="center"/>
              <w:rPr>
                <w:szCs w:val="21"/>
              </w:rPr>
            </w:pPr>
            <w:r>
              <w:rPr>
                <w:rFonts w:hint="eastAsia"/>
                <w:szCs w:val="21"/>
              </w:rPr>
              <w:t>废料处理</w:t>
            </w:r>
          </w:p>
        </w:tc>
        <w:tc>
          <w:tcPr>
            <w:tcW w:w="562" w:type="pct"/>
            <w:vMerge w:val="restart"/>
            <w:vAlign w:val="center"/>
          </w:tcPr>
          <w:p>
            <w:pPr>
              <w:adjustRightInd w:val="0"/>
              <w:snapToGrid w:val="0"/>
              <w:jc w:val="center"/>
              <w:rPr>
                <w:szCs w:val="21"/>
              </w:rPr>
            </w:pPr>
            <w:r>
              <w:rPr>
                <w:rFonts w:hint="eastAsia"/>
                <w:szCs w:val="21"/>
              </w:rPr>
              <w:t>颗粒物</w:t>
            </w:r>
          </w:p>
        </w:tc>
        <w:tc>
          <w:tcPr>
            <w:tcW w:w="1044" w:type="pct"/>
            <w:vMerge w:val="restart"/>
            <w:vAlign w:val="center"/>
          </w:tcPr>
          <w:p>
            <w:pPr>
              <w:adjustRightInd w:val="0"/>
              <w:snapToGrid w:val="0"/>
              <w:jc w:val="center"/>
            </w:pPr>
            <w:r>
              <w:rPr>
                <w:rFonts w:hint="eastAsia"/>
              </w:rPr>
              <w:t>滤筒除尘器处理后车间内排放</w:t>
            </w:r>
          </w:p>
        </w:tc>
        <w:tc>
          <w:tcPr>
            <w:tcW w:w="1953" w:type="pct"/>
            <w:vMerge w:val="restart"/>
            <w:vAlign w:val="center"/>
          </w:tcPr>
          <w:p>
            <w:pPr>
              <w:adjustRightInd w:val="0"/>
              <w:snapToGrid w:val="0"/>
              <w:jc w:val="center"/>
              <w:rPr>
                <w:bCs/>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，同时满足《秦皇岛市人民政府办公室关于执行钢铁等行业大气污染物特别要求的通知》（2021-10）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717" w:type="pct"/>
            <w:vMerge w:val="continue"/>
            <w:vAlign w:val="center"/>
          </w:tcPr>
          <w:p>
            <w:pPr>
              <w:adjustRightInd w:val="0"/>
              <w:snapToGrid w:val="0"/>
              <w:jc w:val="center"/>
              <w:rPr>
                <w:szCs w:val="21"/>
              </w:rPr>
            </w:pPr>
          </w:p>
        </w:tc>
        <w:tc>
          <w:tcPr>
            <w:tcW w:w="362" w:type="pct"/>
            <w:vMerge w:val="continue"/>
            <w:vAlign w:val="center"/>
          </w:tcPr>
          <w:p>
            <w:pPr>
              <w:jc w:val="center"/>
              <w:rPr>
                <w:szCs w:val="21"/>
              </w:rPr>
            </w:pPr>
          </w:p>
        </w:tc>
        <w:tc>
          <w:tcPr>
            <w:tcW w:w="362" w:type="pct"/>
            <w:vAlign w:val="center"/>
          </w:tcPr>
          <w:p>
            <w:pPr>
              <w:jc w:val="center"/>
              <w:rPr>
                <w:szCs w:val="21"/>
              </w:rPr>
            </w:pPr>
            <w:r>
              <w:rPr>
                <w:rFonts w:hint="eastAsia"/>
                <w:szCs w:val="21"/>
              </w:rPr>
              <w:t>烘干</w:t>
            </w:r>
          </w:p>
        </w:tc>
        <w:tc>
          <w:tcPr>
            <w:tcW w:w="562" w:type="pct"/>
            <w:vMerge w:val="continue"/>
            <w:vAlign w:val="center"/>
          </w:tcPr>
          <w:p>
            <w:pPr>
              <w:adjustRightInd w:val="0"/>
              <w:snapToGrid w:val="0"/>
              <w:jc w:val="center"/>
              <w:rPr>
                <w:szCs w:val="21"/>
              </w:rPr>
            </w:pPr>
          </w:p>
        </w:tc>
        <w:tc>
          <w:tcPr>
            <w:tcW w:w="1044" w:type="pct"/>
            <w:vMerge w:val="continue"/>
            <w:vAlign w:val="center"/>
          </w:tcPr>
          <w:p>
            <w:pPr>
              <w:adjustRightInd w:val="0"/>
              <w:snapToGrid w:val="0"/>
              <w:jc w:val="center"/>
            </w:pPr>
          </w:p>
        </w:tc>
        <w:tc>
          <w:tcPr>
            <w:tcW w:w="1953" w:type="pct"/>
            <w:vMerge w:val="continue"/>
            <w:vAlign w:val="center"/>
          </w:tcPr>
          <w:p>
            <w:pPr>
              <w:adjustRightInd w:val="0"/>
              <w:snapToGrid w:val="0"/>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717" w:type="pct"/>
            <w:vMerge w:val="continue"/>
            <w:vAlign w:val="center"/>
          </w:tcPr>
          <w:p>
            <w:pPr>
              <w:adjustRightInd w:val="0"/>
              <w:snapToGrid w:val="0"/>
              <w:jc w:val="center"/>
              <w:rPr>
                <w:szCs w:val="21"/>
              </w:rPr>
            </w:pPr>
          </w:p>
        </w:tc>
        <w:tc>
          <w:tcPr>
            <w:tcW w:w="362" w:type="pct"/>
            <w:vMerge w:val="continue"/>
            <w:vAlign w:val="center"/>
          </w:tcPr>
          <w:p>
            <w:pPr>
              <w:jc w:val="center"/>
              <w:rPr>
                <w:szCs w:val="21"/>
              </w:rPr>
            </w:pPr>
          </w:p>
        </w:tc>
        <w:tc>
          <w:tcPr>
            <w:tcW w:w="362" w:type="pct"/>
            <w:vAlign w:val="center"/>
          </w:tcPr>
          <w:p>
            <w:pPr>
              <w:jc w:val="center"/>
              <w:rPr>
                <w:szCs w:val="21"/>
              </w:rPr>
            </w:pPr>
            <w:r>
              <w:rPr>
                <w:rFonts w:hint="eastAsia"/>
                <w:szCs w:val="21"/>
              </w:rPr>
              <w:t>上料</w:t>
            </w:r>
          </w:p>
        </w:tc>
        <w:tc>
          <w:tcPr>
            <w:tcW w:w="562" w:type="pct"/>
            <w:vMerge w:val="continue"/>
            <w:vAlign w:val="center"/>
          </w:tcPr>
          <w:p>
            <w:pPr>
              <w:adjustRightInd w:val="0"/>
              <w:snapToGrid w:val="0"/>
              <w:jc w:val="center"/>
              <w:rPr>
                <w:szCs w:val="21"/>
              </w:rPr>
            </w:pPr>
          </w:p>
        </w:tc>
        <w:tc>
          <w:tcPr>
            <w:tcW w:w="1044" w:type="pct"/>
            <w:vAlign w:val="center"/>
          </w:tcPr>
          <w:p>
            <w:pPr>
              <w:adjustRightInd w:val="0"/>
              <w:snapToGrid w:val="0"/>
              <w:jc w:val="center"/>
            </w:pPr>
            <w:r>
              <w:rPr>
                <w:rFonts w:hint="eastAsia"/>
              </w:rPr>
              <w:t>密闭螺旋上料</w:t>
            </w:r>
          </w:p>
        </w:tc>
        <w:tc>
          <w:tcPr>
            <w:tcW w:w="1953" w:type="pct"/>
            <w:vMerge w:val="continue"/>
            <w:vAlign w:val="center"/>
          </w:tcPr>
          <w:p>
            <w:pPr>
              <w:adjustRightInd w:val="0"/>
              <w:snapToGrid w:val="0"/>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01" w:hRule="atLeast"/>
          <w:jc w:val="center"/>
        </w:trPr>
        <w:tc>
          <w:tcPr>
            <w:tcW w:w="717" w:type="pct"/>
            <w:vMerge w:val="continue"/>
            <w:vAlign w:val="center"/>
          </w:tcPr>
          <w:p>
            <w:pPr>
              <w:adjustRightInd w:val="0"/>
              <w:snapToGrid w:val="0"/>
              <w:jc w:val="center"/>
              <w:rPr>
                <w:szCs w:val="21"/>
              </w:rPr>
            </w:pPr>
          </w:p>
        </w:tc>
        <w:tc>
          <w:tcPr>
            <w:tcW w:w="724" w:type="pct"/>
            <w:gridSpan w:val="2"/>
            <w:vAlign w:val="center"/>
          </w:tcPr>
          <w:p>
            <w:pPr>
              <w:jc w:val="center"/>
              <w:rPr>
                <w:szCs w:val="21"/>
              </w:rPr>
            </w:pPr>
            <w:r>
              <w:rPr>
                <w:rFonts w:hint="eastAsia"/>
                <w:szCs w:val="21"/>
              </w:rPr>
              <w:t>厂房外无组织</w:t>
            </w:r>
          </w:p>
        </w:tc>
        <w:tc>
          <w:tcPr>
            <w:tcW w:w="562" w:type="pct"/>
            <w:vAlign w:val="center"/>
          </w:tcPr>
          <w:p>
            <w:pPr>
              <w:adjustRightInd w:val="0"/>
              <w:snapToGrid w:val="0"/>
              <w:jc w:val="center"/>
              <w:rPr>
                <w:szCs w:val="21"/>
              </w:rPr>
            </w:pPr>
            <w:r>
              <w:rPr>
                <w:szCs w:val="21"/>
              </w:rPr>
              <w:t>非甲烷总烃</w:t>
            </w:r>
          </w:p>
        </w:tc>
        <w:tc>
          <w:tcPr>
            <w:tcW w:w="1044" w:type="pct"/>
            <w:vAlign w:val="center"/>
          </w:tcPr>
          <w:p>
            <w:pPr>
              <w:adjustRightInd w:val="0"/>
              <w:snapToGrid w:val="0"/>
              <w:jc w:val="center"/>
            </w:pPr>
            <w:r>
              <w:rPr>
                <w:rFonts w:hint="eastAsia"/>
              </w:rPr>
              <w:t>车间内作业</w:t>
            </w:r>
          </w:p>
        </w:tc>
        <w:tc>
          <w:tcPr>
            <w:tcW w:w="1953" w:type="pct"/>
            <w:vAlign w:val="center"/>
          </w:tcPr>
          <w:p>
            <w:pPr>
              <w:adjustRightInd w:val="0"/>
              <w:snapToGrid w:val="0"/>
              <w:jc w:val="center"/>
              <w:rPr>
                <w:bCs/>
                <w:szCs w:val="21"/>
              </w:rPr>
            </w:pPr>
            <w:r>
              <w:rPr>
                <w:bCs/>
                <w:szCs w:val="21"/>
              </w:rPr>
              <w:t>《工业企业挥发性有机物排放控制标准》（DB13/2322-2016）表3中要求、《挥发性有机物无组织排放控制标准》（GB37822-2019）表A.1要求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90" w:hRule="atLeast"/>
          <w:jc w:val="center"/>
        </w:trPr>
        <w:tc>
          <w:tcPr>
            <w:tcW w:w="717" w:type="pct"/>
            <w:vMerge w:val="restart"/>
            <w:vAlign w:val="center"/>
          </w:tcPr>
          <w:p>
            <w:pPr>
              <w:adjustRightInd w:val="0"/>
              <w:snapToGrid w:val="0"/>
              <w:jc w:val="center"/>
              <w:rPr>
                <w:szCs w:val="21"/>
              </w:rPr>
            </w:pPr>
            <w:r>
              <w:rPr>
                <w:szCs w:val="21"/>
              </w:rPr>
              <w:t>地表水环境</w:t>
            </w:r>
          </w:p>
        </w:tc>
        <w:tc>
          <w:tcPr>
            <w:tcW w:w="724" w:type="pct"/>
            <w:gridSpan w:val="2"/>
            <w:vAlign w:val="center"/>
          </w:tcPr>
          <w:p>
            <w:pPr>
              <w:adjustRightInd w:val="0"/>
              <w:snapToGrid w:val="0"/>
              <w:jc w:val="center"/>
              <w:rPr>
                <w:szCs w:val="21"/>
              </w:rPr>
            </w:pPr>
            <w:r>
              <w:rPr>
                <w:rFonts w:hint="eastAsia"/>
                <w:szCs w:val="21"/>
              </w:rPr>
              <w:t>循环冷却水</w:t>
            </w:r>
          </w:p>
        </w:tc>
        <w:tc>
          <w:tcPr>
            <w:tcW w:w="562" w:type="pct"/>
            <w:vAlign w:val="center"/>
          </w:tcPr>
          <w:p>
            <w:pPr>
              <w:adjustRightInd w:val="0"/>
              <w:snapToGrid w:val="0"/>
              <w:jc w:val="center"/>
              <w:rPr>
                <w:szCs w:val="21"/>
              </w:rPr>
            </w:pPr>
            <w:r>
              <w:rPr>
                <w:rFonts w:hint="eastAsia"/>
                <w:szCs w:val="21"/>
              </w:rPr>
              <w:t>/</w:t>
            </w:r>
          </w:p>
        </w:tc>
        <w:tc>
          <w:tcPr>
            <w:tcW w:w="1044" w:type="pct"/>
            <w:vAlign w:val="center"/>
          </w:tcPr>
          <w:p>
            <w:pPr>
              <w:adjustRightInd w:val="0"/>
              <w:snapToGrid w:val="0"/>
              <w:jc w:val="center"/>
              <w:rPr>
                <w:szCs w:val="21"/>
              </w:rPr>
            </w:pPr>
            <w:r>
              <w:rPr>
                <w:rFonts w:hint="eastAsia"/>
                <w:szCs w:val="21"/>
              </w:rPr>
              <w:t>循环利用不外排</w:t>
            </w:r>
          </w:p>
        </w:tc>
        <w:tc>
          <w:tcPr>
            <w:tcW w:w="1953" w:type="pct"/>
            <w:vAlign w:val="center"/>
          </w:tcPr>
          <w:p>
            <w:pPr>
              <w:adjustRightInd w:val="0"/>
              <w:snapToGrid w:val="0"/>
              <w:jc w:val="center"/>
              <w:rPr>
                <w:szCs w:val="21"/>
              </w:rPr>
            </w:pPr>
            <w:r>
              <w:rPr>
                <w:rFonts w:hint="eastAsia"/>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717" w:type="pct"/>
            <w:vMerge w:val="continue"/>
            <w:vAlign w:val="center"/>
          </w:tcPr>
          <w:p>
            <w:pPr>
              <w:adjustRightInd w:val="0"/>
              <w:snapToGrid w:val="0"/>
              <w:jc w:val="center"/>
              <w:rPr>
                <w:szCs w:val="21"/>
              </w:rPr>
            </w:pPr>
          </w:p>
        </w:tc>
        <w:tc>
          <w:tcPr>
            <w:tcW w:w="724" w:type="pct"/>
            <w:gridSpan w:val="2"/>
            <w:vAlign w:val="center"/>
          </w:tcPr>
          <w:p>
            <w:pPr>
              <w:adjustRightInd w:val="0"/>
              <w:snapToGrid w:val="0"/>
              <w:jc w:val="center"/>
              <w:rPr>
                <w:szCs w:val="21"/>
              </w:rPr>
            </w:pPr>
            <w:r>
              <w:rPr>
                <w:rFonts w:hint="eastAsia"/>
                <w:szCs w:val="21"/>
              </w:rPr>
              <w:t>生活盥洗污水</w:t>
            </w:r>
          </w:p>
        </w:tc>
        <w:tc>
          <w:tcPr>
            <w:tcW w:w="562" w:type="pct"/>
            <w:vAlign w:val="center"/>
          </w:tcPr>
          <w:p>
            <w:pPr>
              <w:adjustRightInd w:val="0"/>
              <w:snapToGrid w:val="0"/>
              <w:jc w:val="center"/>
              <w:rPr>
                <w:szCs w:val="21"/>
              </w:rPr>
            </w:pPr>
            <w:r>
              <w:rPr>
                <w:rFonts w:hint="eastAsia"/>
                <w:szCs w:val="21"/>
              </w:rPr>
              <w:t>/</w:t>
            </w:r>
          </w:p>
        </w:tc>
        <w:tc>
          <w:tcPr>
            <w:tcW w:w="1044" w:type="pct"/>
            <w:vAlign w:val="center"/>
          </w:tcPr>
          <w:p>
            <w:pPr>
              <w:adjustRightInd w:val="0"/>
              <w:snapToGrid w:val="0"/>
              <w:jc w:val="center"/>
              <w:rPr>
                <w:szCs w:val="21"/>
              </w:rPr>
            </w:pPr>
            <w:r>
              <w:rPr>
                <w:rFonts w:hint="eastAsia"/>
                <w:szCs w:val="21"/>
              </w:rPr>
              <w:t>厂区内泼洒抑尘不外排</w:t>
            </w:r>
          </w:p>
        </w:tc>
        <w:tc>
          <w:tcPr>
            <w:tcW w:w="1953" w:type="pct"/>
            <w:vAlign w:val="center"/>
          </w:tcPr>
          <w:p>
            <w:pPr>
              <w:adjustRightInd w:val="0"/>
              <w:snapToGrid w:val="0"/>
              <w:jc w:val="center"/>
              <w:rPr>
                <w:szCs w:val="21"/>
              </w:rPr>
            </w:pPr>
            <w:r>
              <w:rPr>
                <w:rFonts w:hint="eastAsia"/>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717" w:type="pct"/>
            <w:vAlign w:val="center"/>
          </w:tcPr>
          <w:p>
            <w:pPr>
              <w:adjustRightInd w:val="0"/>
              <w:snapToGrid w:val="0"/>
              <w:jc w:val="center"/>
              <w:rPr>
                <w:szCs w:val="21"/>
              </w:rPr>
            </w:pPr>
            <w:r>
              <w:rPr>
                <w:szCs w:val="21"/>
              </w:rPr>
              <w:t>声环境</w:t>
            </w:r>
          </w:p>
        </w:tc>
        <w:tc>
          <w:tcPr>
            <w:tcW w:w="724" w:type="pct"/>
            <w:gridSpan w:val="2"/>
            <w:vAlign w:val="center"/>
          </w:tcPr>
          <w:p>
            <w:pPr>
              <w:jc w:val="center"/>
              <w:rPr>
                <w:szCs w:val="21"/>
              </w:rPr>
            </w:pPr>
            <w:r>
              <w:rPr>
                <w:rFonts w:hint="eastAsia"/>
                <w:szCs w:val="21"/>
              </w:rPr>
              <w:t>生产设备和风机</w:t>
            </w:r>
          </w:p>
        </w:tc>
        <w:tc>
          <w:tcPr>
            <w:tcW w:w="562" w:type="pct"/>
            <w:vAlign w:val="center"/>
          </w:tcPr>
          <w:p>
            <w:pPr>
              <w:adjustRightInd w:val="0"/>
              <w:snapToGrid w:val="0"/>
              <w:jc w:val="center"/>
              <w:rPr>
                <w:szCs w:val="21"/>
              </w:rPr>
            </w:pPr>
            <w:r>
              <w:rPr>
                <w:rFonts w:hint="eastAsia"/>
                <w:szCs w:val="21"/>
              </w:rPr>
              <w:t>噪声</w:t>
            </w:r>
          </w:p>
        </w:tc>
        <w:tc>
          <w:tcPr>
            <w:tcW w:w="1044" w:type="pct"/>
            <w:vAlign w:val="center"/>
          </w:tcPr>
          <w:p>
            <w:pPr>
              <w:adjustRightInd w:val="0"/>
              <w:snapToGrid w:val="0"/>
              <w:jc w:val="center"/>
            </w:pPr>
            <w:r>
              <w:rPr>
                <w:szCs w:val="21"/>
              </w:rPr>
              <w:t>低噪声设备、减振、隔声等</w:t>
            </w:r>
          </w:p>
        </w:tc>
        <w:tc>
          <w:tcPr>
            <w:tcW w:w="1953" w:type="pct"/>
            <w:vAlign w:val="center"/>
          </w:tcPr>
          <w:p>
            <w:pPr>
              <w:adjustRightInd w:val="0"/>
              <w:snapToGrid w:val="0"/>
              <w:jc w:val="center"/>
              <w:rPr>
                <w:szCs w:val="21"/>
              </w:rPr>
            </w:pPr>
            <w:r>
              <w:rPr>
                <w:szCs w:val="21"/>
              </w:rPr>
              <w:t>厂界噪声执行《工业企业厂界环境噪声排放标准》(GB12348-2008)3类区标准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8" w:hRule="atLeast"/>
          <w:jc w:val="center"/>
        </w:trPr>
        <w:tc>
          <w:tcPr>
            <w:tcW w:w="717" w:type="pct"/>
            <w:vAlign w:val="center"/>
          </w:tcPr>
          <w:p>
            <w:pPr>
              <w:adjustRightInd w:val="0"/>
              <w:snapToGrid w:val="0"/>
              <w:jc w:val="center"/>
              <w:rPr>
                <w:szCs w:val="21"/>
              </w:rPr>
            </w:pPr>
            <w:r>
              <w:rPr>
                <w:szCs w:val="21"/>
              </w:rPr>
              <w:t>电磁辐射</w:t>
            </w:r>
          </w:p>
        </w:tc>
        <w:tc>
          <w:tcPr>
            <w:tcW w:w="724" w:type="pct"/>
            <w:gridSpan w:val="2"/>
            <w:vAlign w:val="center"/>
          </w:tcPr>
          <w:p>
            <w:pPr>
              <w:adjustRightInd w:val="0"/>
              <w:snapToGrid w:val="0"/>
              <w:jc w:val="center"/>
              <w:rPr>
                <w:szCs w:val="21"/>
              </w:rPr>
            </w:pPr>
            <w:r>
              <w:rPr>
                <w:rFonts w:hint="eastAsia"/>
                <w:szCs w:val="21"/>
              </w:rPr>
              <w:t>/</w:t>
            </w:r>
          </w:p>
        </w:tc>
        <w:tc>
          <w:tcPr>
            <w:tcW w:w="562" w:type="pct"/>
            <w:vAlign w:val="center"/>
          </w:tcPr>
          <w:p>
            <w:pPr>
              <w:adjustRightInd w:val="0"/>
              <w:snapToGrid w:val="0"/>
              <w:jc w:val="center"/>
              <w:rPr>
                <w:szCs w:val="21"/>
              </w:rPr>
            </w:pPr>
            <w:r>
              <w:rPr>
                <w:szCs w:val="21"/>
              </w:rPr>
              <w:t>/</w:t>
            </w:r>
          </w:p>
        </w:tc>
        <w:tc>
          <w:tcPr>
            <w:tcW w:w="1044" w:type="pct"/>
            <w:vAlign w:val="center"/>
          </w:tcPr>
          <w:p>
            <w:pPr>
              <w:adjustRightInd w:val="0"/>
              <w:snapToGrid w:val="0"/>
              <w:jc w:val="center"/>
              <w:rPr>
                <w:szCs w:val="21"/>
              </w:rPr>
            </w:pPr>
            <w:r>
              <w:rPr>
                <w:szCs w:val="21"/>
              </w:rPr>
              <w:t>/</w:t>
            </w:r>
          </w:p>
        </w:tc>
        <w:tc>
          <w:tcPr>
            <w:tcW w:w="1953" w:type="pct"/>
            <w:vAlign w:val="center"/>
          </w:tcPr>
          <w:p>
            <w:pPr>
              <w:adjustRightInd w:val="0"/>
              <w:snapToGrid w:val="0"/>
              <w:jc w:val="center"/>
              <w:rPr>
                <w:szCs w:val="21"/>
              </w:rPr>
            </w:pPr>
            <w:r>
              <w:rPr>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5" w:hRule="atLeast"/>
          <w:jc w:val="center"/>
        </w:trPr>
        <w:tc>
          <w:tcPr>
            <w:tcW w:w="717" w:type="pct"/>
            <w:vAlign w:val="center"/>
          </w:tcPr>
          <w:p>
            <w:pPr>
              <w:adjustRightInd w:val="0"/>
              <w:snapToGrid w:val="0"/>
              <w:jc w:val="center"/>
              <w:rPr>
                <w:szCs w:val="21"/>
              </w:rPr>
            </w:pPr>
            <w:r>
              <w:rPr>
                <w:szCs w:val="21"/>
              </w:rPr>
              <w:t>固体废物</w:t>
            </w:r>
          </w:p>
        </w:tc>
        <w:tc>
          <w:tcPr>
            <w:tcW w:w="4283" w:type="pct"/>
            <w:gridSpan w:val="5"/>
            <w:vAlign w:val="center"/>
          </w:tcPr>
          <w:p>
            <w:pPr>
              <w:adjustRightInd w:val="0"/>
              <w:snapToGrid w:val="0"/>
              <w:spacing w:line="400" w:lineRule="exact"/>
              <w:rPr>
                <w:bCs/>
                <w:szCs w:val="21"/>
              </w:rPr>
            </w:pPr>
            <w:r>
              <w:rPr>
                <w:rFonts w:hint="eastAsia"/>
                <w:bCs/>
                <w:szCs w:val="21"/>
              </w:rPr>
              <w:t>1、生活垃圾环卫部门处理；2、废包装、除尘灰外售；</w:t>
            </w:r>
          </w:p>
          <w:p>
            <w:pPr>
              <w:adjustRightInd w:val="0"/>
              <w:snapToGrid w:val="0"/>
              <w:spacing w:line="400" w:lineRule="exact"/>
              <w:rPr>
                <w:bCs/>
                <w:szCs w:val="21"/>
              </w:rPr>
            </w:pPr>
            <w:r>
              <w:rPr>
                <w:rFonts w:hint="eastAsia"/>
                <w:bCs/>
                <w:szCs w:val="21"/>
              </w:rPr>
              <w:t>3、废过滤棉、废活性炭、废液压油、废油桶产生后暂存危废间，委托有资质单位外运处置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21" w:hRule="atLeast"/>
          <w:jc w:val="center"/>
        </w:trPr>
        <w:tc>
          <w:tcPr>
            <w:tcW w:w="717" w:type="pct"/>
            <w:vAlign w:val="center"/>
          </w:tcPr>
          <w:p>
            <w:pPr>
              <w:adjustRightInd w:val="0"/>
              <w:snapToGrid w:val="0"/>
              <w:jc w:val="center"/>
              <w:rPr>
                <w:szCs w:val="21"/>
              </w:rPr>
            </w:pPr>
            <w:r>
              <w:rPr>
                <w:szCs w:val="21"/>
              </w:rPr>
              <w:t>土壤及地下水污染防治措施</w:t>
            </w:r>
          </w:p>
        </w:tc>
        <w:tc>
          <w:tcPr>
            <w:tcW w:w="4283" w:type="pct"/>
            <w:gridSpan w:val="5"/>
            <w:vAlign w:val="center"/>
          </w:tcPr>
          <w:p>
            <w:pPr>
              <w:adjustRightInd w:val="0"/>
              <w:snapToGrid w:val="0"/>
              <w:spacing w:line="400" w:lineRule="exact"/>
              <w:ind w:firstLine="420" w:firstLineChars="200"/>
              <w:rPr>
                <w:bCs/>
                <w:szCs w:val="21"/>
              </w:rPr>
            </w:pPr>
            <w:r>
              <w:rPr>
                <w:rFonts w:hint="eastAsia"/>
                <w:bCs/>
                <w:szCs w:val="21"/>
              </w:rPr>
              <w:t>生产车间内的润滑油、液压油暂存区、危废库按照《危险废物贮存污染控制标准》(GB18597-20</w:t>
            </w:r>
            <w:r>
              <w:rPr>
                <w:bCs/>
                <w:szCs w:val="21"/>
              </w:rPr>
              <w:t>23</w:t>
            </w:r>
            <w:r>
              <w:rPr>
                <w:rFonts w:hint="eastAsia"/>
                <w:bCs/>
                <w:szCs w:val="21"/>
              </w:rPr>
              <w:t>)建设；车间地面一般地面硬化。</w:t>
            </w:r>
          </w:p>
          <w:p>
            <w:pPr>
              <w:adjustRightInd w:val="0"/>
              <w:snapToGrid w:val="0"/>
              <w:spacing w:line="400" w:lineRule="exact"/>
              <w:ind w:firstLine="420" w:firstLineChars="200"/>
              <w:rPr>
                <w:bCs/>
                <w:szCs w:val="21"/>
              </w:rPr>
            </w:pPr>
            <w:r>
              <w:rPr>
                <w:rFonts w:hint="eastAsia"/>
                <w:bCs/>
                <w:szCs w:val="21"/>
              </w:rPr>
              <w:t>基本无地下水及土壤污染途径，对土壤及地下水影响很小。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42" w:hRule="atLeast"/>
          <w:jc w:val="center"/>
        </w:trPr>
        <w:tc>
          <w:tcPr>
            <w:tcW w:w="717" w:type="pct"/>
            <w:vAlign w:val="center"/>
          </w:tcPr>
          <w:p>
            <w:pPr>
              <w:adjustRightInd w:val="0"/>
              <w:snapToGrid w:val="0"/>
              <w:jc w:val="center"/>
              <w:rPr>
                <w:szCs w:val="21"/>
              </w:rPr>
            </w:pPr>
            <w:r>
              <w:rPr>
                <w:szCs w:val="21"/>
              </w:rPr>
              <w:t>生态保护措施</w:t>
            </w:r>
          </w:p>
        </w:tc>
        <w:tc>
          <w:tcPr>
            <w:tcW w:w="4283" w:type="pct"/>
            <w:gridSpan w:val="5"/>
            <w:vAlign w:val="center"/>
          </w:tcPr>
          <w:p>
            <w:pPr>
              <w:adjustRightInd w:val="0"/>
              <w:snapToGrid w:val="0"/>
              <w:rPr>
                <w:bCs/>
                <w:szCs w:val="21"/>
              </w:rPr>
            </w:pPr>
            <w:r>
              <w:rPr>
                <w:bCs/>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88" w:hRule="atLeast"/>
          <w:jc w:val="center"/>
        </w:trPr>
        <w:tc>
          <w:tcPr>
            <w:tcW w:w="717" w:type="pct"/>
            <w:vAlign w:val="center"/>
          </w:tcPr>
          <w:p>
            <w:pPr>
              <w:adjustRightInd w:val="0"/>
              <w:snapToGrid w:val="0"/>
              <w:jc w:val="center"/>
              <w:rPr>
                <w:spacing w:val="-8"/>
                <w:szCs w:val="21"/>
              </w:rPr>
            </w:pPr>
            <w:r>
              <w:rPr>
                <w:spacing w:val="-8"/>
                <w:szCs w:val="21"/>
              </w:rPr>
              <w:t>环境风险</w:t>
            </w:r>
          </w:p>
          <w:p>
            <w:pPr>
              <w:adjustRightInd w:val="0"/>
              <w:snapToGrid w:val="0"/>
              <w:jc w:val="center"/>
              <w:rPr>
                <w:spacing w:val="-8"/>
                <w:szCs w:val="21"/>
              </w:rPr>
            </w:pPr>
            <w:r>
              <w:rPr>
                <w:spacing w:val="-8"/>
                <w:szCs w:val="21"/>
              </w:rPr>
              <w:t>防范措施</w:t>
            </w:r>
          </w:p>
        </w:tc>
        <w:tc>
          <w:tcPr>
            <w:tcW w:w="4283" w:type="pct"/>
            <w:gridSpan w:val="5"/>
            <w:vAlign w:val="center"/>
          </w:tcPr>
          <w:p>
            <w:pPr>
              <w:adjustRightInd w:val="0"/>
              <w:snapToGrid w:val="0"/>
              <w:spacing w:line="400" w:lineRule="exact"/>
              <w:rPr>
                <w:bCs/>
                <w:szCs w:val="21"/>
              </w:rPr>
            </w:pPr>
            <w:r>
              <w:rPr>
                <w:bCs/>
                <w:szCs w:val="21"/>
              </w:rPr>
              <w:t>1</w:t>
            </w:r>
            <w:r>
              <w:rPr>
                <w:rFonts w:hint="eastAsia"/>
                <w:bCs/>
                <w:szCs w:val="21"/>
              </w:rPr>
              <w:t>、生产车间内液压油、润滑油存放专用设施内，并设置防渗围堰，规范操作；</w:t>
            </w:r>
          </w:p>
          <w:p>
            <w:pPr>
              <w:adjustRightInd w:val="0"/>
              <w:snapToGrid w:val="0"/>
              <w:spacing w:line="400" w:lineRule="exact"/>
              <w:rPr>
                <w:bCs/>
                <w:szCs w:val="21"/>
              </w:rPr>
            </w:pPr>
            <w:r>
              <w:rPr>
                <w:rFonts w:hint="eastAsia"/>
                <w:bCs/>
                <w:szCs w:val="21"/>
              </w:rPr>
              <w:t>2、危废间内废液压油、</w:t>
            </w:r>
            <w:r>
              <w:rPr>
                <w:rFonts w:hint="eastAsia"/>
                <w:szCs w:val="21"/>
              </w:rPr>
              <w:t>废过滤棉、废活性炭</w:t>
            </w:r>
            <w:r>
              <w:rPr>
                <w:rFonts w:hint="eastAsia"/>
                <w:bCs/>
                <w:szCs w:val="21"/>
              </w:rPr>
              <w:t>密闭容器存放，废油桶密闭存放；做好火灾防护工作，避开明火、静电和高温作业。</w:t>
            </w:r>
          </w:p>
          <w:p>
            <w:pPr>
              <w:adjustRightInd w:val="0"/>
              <w:snapToGrid w:val="0"/>
              <w:spacing w:line="400" w:lineRule="exact"/>
              <w:rPr>
                <w:bCs/>
                <w:szCs w:val="21"/>
              </w:rPr>
            </w:pPr>
            <w:r>
              <w:rPr>
                <w:rFonts w:hint="eastAsia"/>
                <w:bCs/>
                <w:szCs w:val="21"/>
              </w:rPr>
              <w:t>3、企业需</w:t>
            </w:r>
            <w:r>
              <w:rPr>
                <w:rFonts w:hint="eastAsia"/>
                <w:szCs w:val="21"/>
              </w:rPr>
              <w:t>设置应急组织机构，明确责任人及分工，配备</w:t>
            </w:r>
            <w:r>
              <w:rPr>
                <w:rFonts w:hint="eastAsia"/>
                <w:bCs/>
                <w:szCs w:val="21"/>
              </w:rPr>
              <w:t>应急器材和个人防护用品；配备适宜的灭火装置；设备定期检查和维修；操作人员要定时巡回检查，如有异常情况立即处理，制定事故情况下的人员疏散和应急避险场所</w:t>
            </w:r>
          </w:p>
          <w:p>
            <w:pPr>
              <w:adjustRightInd w:val="0"/>
              <w:snapToGrid w:val="0"/>
              <w:spacing w:line="400" w:lineRule="exact"/>
              <w:rPr>
                <w:bCs/>
                <w:szCs w:val="21"/>
              </w:rPr>
            </w:pPr>
            <w:r>
              <w:rPr>
                <w:rFonts w:hint="eastAsia"/>
                <w:bCs/>
                <w:szCs w:val="21"/>
              </w:rPr>
              <w:t>4、</w:t>
            </w:r>
            <w:r>
              <w:rPr>
                <w:rFonts w:hint="eastAsia"/>
              </w:rPr>
              <w:t>正式运营期修编突发环境应急预案，并按要求备案。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8" w:hRule="atLeast"/>
          <w:jc w:val="center"/>
        </w:trPr>
        <w:tc>
          <w:tcPr>
            <w:tcW w:w="717" w:type="pct"/>
            <w:vAlign w:val="center"/>
          </w:tcPr>
          <w:p>
            <w:pPr>
              <w:adjustRightInd w:val="0"/>
              <w:snapToGrid w:val="0"/>
              <w:jc w:val="center"/>
              <w:rPr>
                <w:spacing w:val="-8"/>
                <w:szCs w:val="21"/>
              </w:rPr>
            </w:pPr>
            <w:r>
              <w:rPr>
                <w:spacing w:val="-8"/>
                <w:szCs w:val="21"/>
              </w:rPr>
              <w:t>其他环境</w:t>
            </w:r>
          </w:p>
          <w:p>
            <w:pPr>
              <w:adjustRightInd w:val="0"/>
              <w:snapToGrid w:val="0"/>
              <w:jc w:val="center"/>
              <w:rPr>
                <w:spacing w:val="-8"/>
                <w:szCs w:val="21"/>
              </w:rPr>
            </w:pPr>
            <w:r>
              <w:rPr>
                <w:spacing w:val="-8"/>
                <w:szCs w:val="21"/>
              </w:rPr>
              <w:t>管理要求</w:t>
            </w:r>
          </w:p>
        </w:tc>
        <w:tc>
          <w:tcPr>
            <w:tcW w:w="4283" w:type="pct"/>
            <w:gridSpan w:val="5"/>
            <w:vAlign w:val="center"/>
          </w:tcPr>
          <w:p>
            <w:pPr>
              <w:adjustRightInd w:val="0"/>
              <w:snapToGrid w:val="0"/>
              <w:spacing w:line="400" w:lineRule="exact"/>
              <w:rPr>
                <w:bCs/>
                <w:szCs w:val="21"/>
              </w:rPr>
            </w:pPr>
            <w:r>
              <w:rPr>
                <w:rFonts w:hint="eastAsia"/>
                <w:bCs/>
                <w:szCs w:val="21"/>
              </w:rPr>
              <w:t>1、</w:t>
            </w:r>
            <w:r>
              <w:rPr>
                <w:bCs/>
                <w:szCs w:val="21"/>
              </w:rPr>
              <w:t>按照要求进行自行监测，并按照排污许可管理要求完善相关内容</w:t>
            </w:r>
            <w:r>
              <w:rPr>
                <w:rFonts w:hint="eastAsia"/>
                <w:bCs/>
                <w:szCs w:val="21"/>
              </w:rPr>
              <w:t>；</w:t>
            </w:r>
          </w:p>
          <w:p>
            <w:pPr>
              <w:adjustRightInd w:val="0"/>
              <w:snapToGrid w:val="0"/>
              <w:spacing w:line="400" w:lineRule="exact"/>
              <w:rPr>
                <w:bCs/>
                <w:szCs w:val="21"/>
              </w:rPr>
            </w:pPr>
            <w:r>
              <w:rPr>
                <w:bCs/>
                <w:szCs w:val="21"/>
              </w:rPr>
              <w:t>2</w:t>
            </w:r>
            <w:r>
              <w:rPr>
                <w:rFonts w:hint="eastAsia"/>
                <w:bCs/>
                <w:szCs w:val="21"/>
              </w:rPr>
              <w:t>、建立固废全过程管理台账</w:t>
            </w:r>
            <w:r>
              <w:rPr>
                <w:bCs/>
                <w:szCs w:val="21"/>
              </w:rPr>
              <w:t>。</w:t>
            </w:r>
          </w:p>
          <w:p>
            <w:pPr>
              <w:adjustRightInd w:val="0"/>
              <w:snapToGrid w:val="0"/>
              <w:spacing w:line="400" w:lineRule="exact"/>
              <w:rPr>
                <w:bCs/>
                <w:szCs w:val="21"/>
              </w:rPr>
            </w:pPr>
            <w:r>
              <w:rPr>
                <w:bCs/>
                <w:szCs w:val="21"/>
              </w:rPr>
              <w:t>3</w:t>
            </w:r>
            <w:r>
              <w:rPr>
                <w:rFonts w:hint="eastAsia"/>
                <w:bCs/>
                <w:szCs w:val="21"/>
              </w:rPr>
              <w:t>、设置VOCs超标报警。</w:t>
            </w:r>
          </w:p>
        </w:tc>
      </w:tr>
    </w:tbl>
    <w:p>
      <w:pPr>
        <w:pStyle w:val="13"/>
        <w:jc w:val="center"/>
        <w:outlineLvl w:val="0"/>
        <w:rPr>
          <w:rFonts w:ascii="黑体" w:hAnsi="黑体" w:eastAsia="黑体"/>
          <w:snapToGrid w:val="0"/>
          <w:sz w:val="30"/>
          <w:szCs w:val="30"/>
        </w:rPr>
      </w:pPr>
      <w:r>
        <w:rPr>
          <w:snapToGrid w:val="0"/>
        </w:rPr>
        <w:br w:type="page"/>
      </w:r>
      <w:r>
        <w:rPr>
          <w:rFonts w:hint="eastAsia" w:ascii="黑体" w:hAnsi="黑体" w:eastAsia="黑体"/>
          <w:snapToGrid w:val="0"/>
          <w:sz w:val="30"/>
          <w:szCs w:val="30"/>
        </w:rPr>
        <w:t>六、结论</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pPr>
              <w:adjustRightInd w:val="0"/>
              <w:snapToGrid w:val="0"/>
              <w:spacing w:line="400" w:lineRule="exact"/>
              <w:ind w:firstLine="420" w:firstLineChars="200"/>
              <w:rPr>
                <w:bCs/>
                <w:szCs w:val="21"/>
              </w:rPr>
            </w:pPr>
            <w:r>
              <w:rPr>
                <w:rFonts w:hint="eastAsia"/>
                <w:szCs w:val="21"/>
              </w:rPr>
              <w:t>秦皇岛兴渤塑料制品有限责任公司塑料包装箱及容器制造生产线项目选址位于秦皇岛市抚宁区抚宁镇东城贯村西，富强路与骊骅大街交叉口北行500m，为</w:t>
            </w:r>
            <w:r>
              <w:rPr>
                <w:bCs/>
                <w:szCs w:val="21"/>
              </w:rPr>
              <w:t>河北抚宁经济开发区</w:t>
            </w:r>
            <w:r>
              <w:rPr>
                <w:rFonts w:hint="eastAsia"/>
                <w:bCs/>
                <w:szCs w:val="21"/>
              </w:rPr>
              <w:t>的“先进制造园”。企业租用工业用地1</w:t>
            </w:r>
            <w:r>
              <w:rPr>
                <w:bCs/>
                <w:szCs w:val="21"/>
              </w:rPr>
              <w:t>666.68</w:t>
            </w:r>
            <w:r>
              <w:rPr>
                <w:rFonts w:hint="eastAsia"/>
                <w:bCs/>
                <w:szCs w:val="21"/>
              </w:rPr>
              <w:t>平方米，购置3 套注塑机，及环保处理设施，项目建设完成后年产塑料包装箱300 万套。</w:t>
            </w:r>
          </w:p>
          <w:p>
            <w:pPr>
              <w:adjustRightInd w:val="0"/>
              <w:snapToGrid w:val="0"/>
              <w:spacing w:line="400" w:lineRule="exact"/>
              <w:ind w:firstLine="420" w:firstLineChars="200"/>
              <w:rPr>
                <w:bCs/>
                <w:szCs w:val="21"/>
              </w:rPr>
            </w:pPr>
            <w:bookmarkStart w:id="14" w:name="_Hlk130217007"/>
            <w:r>
              <w:rPr>
                <w:rFonts w:hint="eastAsia"/>
                <w:bCs/>
                <w:szCs w:val="21"/>
              </w:rPr>
              <w:t>经分析，本项目不属于《产业结构调整指导目录》（</w:t>
            </w:r>
            <w:r>
              <w:rPr>
                <w:bCs/>
                <w:szCs w:val="21"/>
              </w:rPr>
              <w:t>2019</w:t>
            </w:r>
            <w:r>
              <w:rPr>
                <w:rFonts w:hint="eastAsia"/>
                <w:bCs/>
                <w:szCs w:val="21"/>
              </w:rPr>
              <w:t>年本）中限制和禁止类，为允许类；不属于《市场准入负面清单（</w:t>
            </w:r>
            <w:r>
              <w:rPr>
                <w:bCs/>
                <w:szCs w:val="21"/>
              </w:rPr>
              <w:t>2022</w:t>
            </w:r>
            <w:r>
              <w:rPr>
                <w:rFonts w:hint="eastAsia"/>
                <w:bCs/>
                <w:szCs w:val="21"/>
              </w:rPr>
              <w:t>年版）》中禁止类；不属于《河北省新增限制和淘汰类产业目录</w:t>
            </w:r>
            <w:r>
              <w:rPr>
                <w:bCs/>
                <w:szCs w:val="21"/>
              </w:rPr>
              <w:t>(2015</w:t>
            </w:r>
            <w:r>
              <w:rPr>
                <w:rFonts w:hint="eastAsia"/>
                <w:bCs/>
                <w:szCs w:val="21"/>
              </w:rPr>
              <w:t>年本</w:t>
            </w:r>
            <w:r>
              <w:rPr>
                <w:bCs/>
                <w:szCs w:val="21"/>
              </w:rPr>
              <w:t>)</w:t>
            </w:r>
            <w:r>
              <w:rPr>
                <w:rFonts w:hint="eastAsia"/>
                <w:bCs/>
                <w:szCs w:val="21"/>
              </w:rPr>
              <w:t>》中限制类、淘汰类建设项目；不属于《秦皇岛市限制和禁止投资的产业目录》（</w:t>
            </w:r>
            <w:r>
              <w:rPr>
                <w:bCs/>
                <w:szCs w:val="21"/>
              </w:rPr>
              <w:t>2020</w:t>
            </w:r>
            <w:r>
              <w:rPr>
                <w:rFonts w:hint="eastAsia"/>
                <w:bCs/>
                <w:szCs w:val="21"/>
              </w:rPr>
              <w:t>年修订版）中项目，符合国家产业政策</w:t>
            </w:r>
            <w:r>
              <w:rPr>
                <w:bCs/>
                <w:szCs w:val="21"/>
              </w:rPr>
              <w:t>。</w:t>
            </w:r>
            <w:r>
              <w:rPr>
                <w:rFonts w:hint="eastAsia"/>
                <w:bCs/>
                <w:szCs w:val="21"/>
              </w:rPr>
              <w:t>本项目符合《抚宁经济开发区总体规划（2016-2030年）环境影响报告书》及其审查意见的要求。同时本项目已取得</w:t>
            </w:r>
            <w:r>
              <w:rPr>
                <w:rFonts w:hint="eastAsia" w:ascii="宋体" w:hAnsi="宋体" w:cs="宋体"/>
                <w:szCs w:val="21"/>
              </w:rPr>
              <w:t>秦皇岛市抚宁区行政审批局</w:t>
            </w:r>
            <w:r>
              <w:rPr>
                <w:szCs w:val="21"/>
              </w:rPr>
              <w:t>备案（</w:t>
            </w:r>
            <w:r>
              <w:rPr>
                <w:rFonts w:hint="eastAsia" w:ascii="宋体" w:hAnsi="宋体" w:cs="宋体"/>
                <w:szCs w:val="21"/>
              </w:rPr>
              <w:t>抚行审备</w:t>
            </w:r>
            <w:r>
              <w:rPr>
                <w:szCs w:val="21"/>
              </w:rPr>
              <w:t>〔2023〕39号）</w:t>
            </w:r>
            <w:r>
              <w:rPr>
                <w:rFonts w:hint="eastAsia"/>
                <w:szCs w:val="21"/>
              </w:rPr>
              <w:t>，</w:t>
            </w:r>
            <w:r>
              <w:rPr>
                <w:bCs/>
                <w:szCs w:val="21"/>
              </w:rPr>
              <w:t>因此，本项目符合相关产业政策。</w:t>
            </w:r>
          </w:p>
          <w:bookmarkEnd w:id="14"/>
          <w:p>
            <w:pPr>
              <w:adjustRightInd w:val="0"/>
              <w:snapToGrid w:val="0"/>
              <w:spacing w:line="400" w:lineRule="exact"/>
              <w:ind w:firstLine="420" w:firstLineChars="200"/>
              <w:rPr>
                <w:bCs/>
                <w:szCs w:val="21"/>
              </w:rPr>
            </w:pPr>
            <w:r>
              <w:rPr>
                <w:rFonts w:hint="eastAsia"/>
                <w:bCs/>
                <w:szCs w:val="21"/>
              </w:rPr>
              <w:t>针对项目主要环境影响，本次评价提出如下治理措施：</w:t>
            </w:r>
          </w:p>
          <w:p>
            <w:pPr>
              <w:adjustRightInd w:val="0"/>
              <w:snapToGrid w:val="0"/>
              <w:spacing w:line="400" w:lineRule="exact"/>
              <w:ind w:firstLine="420" w:firstLineChars="200"/>
              <w:rPr>
                <w:bCs/>
                <w:szCs w:val="21"/>
              </w:rPr>
            </w:pPr>
            <w:r>
              <w:rPr>
                <w:rFonts w:hint="eastAsia"/>
                <w:bCs/>
                <w:szCs w:val="21"/>
              </w:rPr>
              <w:t>（1）废气：</w:t>
            </w:r>
          </w:p>
          <w:p>
            <w:pPr>
              <w:adjustRightInd w:val="0"/>
              <w:snapToGrid w:val="0"/>
              <w:spacing w:line="400" w:lineRule="exact"/>
              <w:ind w:firstLine="420" w:firstLineChars="200"/>
              <w:rPr>
                <w:bCs/>
                <w:szCs w:val="21"/>
              </w:rPr>
            </w:pPr>
            <w:r>
              <w:rPr>
                <w:rFonts w:hint="eastAsia"/>
                <w:bCs/>
                <w:szCs w:val="21"/>
              </w:rPr>
              <w:t>①</w:t>
            </w:r>
            <w:r>
              <w:rPr>
                <w:rFonts w:hint="eastAsia"/>
                <w:szCs w:val="21"/>
              </w:rPr>
              <w:t>将注塑车间废气处理工艺采用“过滤棉+</w:t>
            </w:r>
            <w:r>
              <w:rPr>
                <w:rFonts w:hint="eastAsia"/>
                <w:snapToGrid w:val="0"/>
              </w:rPr>
              <w:t>2级</w:t>
            </w:r>
            <w:r>
              <w:rPr>
                <w:rFonts w:hint="eastAsia"/>
                <w:szCs w:val="21"/>
              </w:rPr>
              <w:t>活性炭吸附”，</w:t>
            </w:r>
            <w:r>
              <w:rPr>
                <w:rFonts w:hint="eastAsia"/>
                <w:bCs/>
                <w:szCs w:val="21"/>
              </w:rPr>
              <w:t>处理后经15m排气筒排放，经分析注塑车间</w:t>
            </w:r>
            <w:r>
              <w:rPr>
                <w:rFonts w:hint="eastAsia"/>
                <w:szCs w:val="21"/>
              </w:rPr>
              <w:t>有组织非甲烷总烃均可以满足《合成树脂工业污染物排放标准》（</w:t>
            </w:r>
            <w:r>
              <w:rPr>
                <w:szCs w:val="21"/>
              </w:rPr>
              <w:t>GB31572-2015</w:t>
            </w:r>
            <w:r>
              <w:rPr>
                <w:rFonts w:hint="eastAsia"/>
                <w:szCs w:val="21"/>
              </w:rPr>
              <w:t>）表</w:t>
            </w:r>
            <w:r>
              <w:rPr>
                <w:szCs w:val="21"/>
              </w:rPr>
              <w:t>5</w:t>
            </w:r>
            <w:r>
              <w:rPr>
                <w:rFonts w:hint="eastAsia"/>
                <w:szCs w:val="21"/>
              </w:rPr>
              <w:t>，同时满足</w:t>
            </w:r>
            <w:r>
              <w:rPr>
                <w:rFonts w:hint="eastAsia"/>
                <w:bCs/>
                <w:szCs w:val="21"/>
              </w:rPr>
              <w:t>《工业企业挥发性有机物排放控制标准》（</w:t>
            </w:r>
            <w:r>
              <w:rPr>
                <w:bCs/>
                <w:szCs w:val="21"/>
              </w:rPr>
              <w:t>DB13/2322-2016</w:t>
            </w:r>
            <w:r>
              <w:rPr>
                <w:rFonts w:hint="eastAsia"/>
                <w:bCs/>
                <w:szCs w:val="21"/>
              </w:rPr>
              <w:t>）表</w:t>
            </w:r>
            <w:r>
              <w:rPr>
                <w:bCs/>
                <w:szCs w:val="21"/>
              </w:rPr>
              <w:t>1</w:t>
            </w:r>
            <w:r>
              <w:rPr>
                <w:rFonts w:hint="eastAsia"/>
                <w:bCs/>
                <w:szCs w:val="21"/>
              </w:rPr>
              <w:t>中“其他行业”要求。厂房外无组织非甲烷总烃可以满足《挥发性有机物无组织排放控制标准》（</w:t>
            </w:r>
            <w:r>
              <w:rPr>
                <w:bCs/>
                <w:szCs w:val="21"/>
              </w:rPr>
              <w:t>GB37822-2019</w:t>
            </w:r>
            <w:r>
              <w:rPr>
                <w:rFonts w:hint="eastAsia"/>
                <w:bCs/>
                <w:szCs w:val="21"/>
              </w:rPr>
              <w:t>）表</w:t>
            </w:r>
            <w:r>
              <w:rPr>
                <w:bCs/>
                <w:szCs w:val="21"/>
              </w:rPr>
              <w:t>A.1</w:t>
            </w:r>
            <w:r>
              <w:rPr>
                <w:rFonts w:hint="eastAsia"/>
                <w:bCs/>
                <w:szCs w:val="21"/>
              </w:rPr>
              <w:t>要求；厂界无组织非甲烷总烃可以满足</w:t>
            </w:r>
            <w:r>
              <w:rPr>
                <w:bCs/>
                <w:szCs w:val="21"/>
              </w:rPr>
              <w:t>《工业企业挥发性有机物排放控制标准》（DB13/2322-2016）表2中“其他企业”要求</w:t>
            </w:r>
            <w:r>
              <w:rPr>
                <w:rFonts w:hint="eastAsia"/>
                <w:bCs/>
                <w:szCs w:val="21"/>
              </w:rPr>
              <w:t>和</w:t>
            </w: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要求。</w:t>
            </w:r>
          </w:p>
          <w:p>
            <w:pPr>
              <w:adjustRightInd w:val="0"/>
              <w:snapToGrid w:val="0"/>
              <w:spacing w:line="400" w:lineRule="exact"/>
              <w:ind w:firstLine="420" w:firstLineChars="200"/>
              <w:rPr>
                <w:szCs w:val="21"/>
              </w:rPr>
            </w:pPr>
            <w:r>
              <w:rPr>
                <w:rFonts w:hint="eastAsia"/>
                <w:bCs/>
                <w:szCs w:val="21"/>
              </w:rPr>
              <w:t>②原料烘干颗粒物废气、废料处理颗粒物废气采用滤筒除尘器处理后，车间内排放，预计厂界颗粒物可以足</w:t>
            </w: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，同时满足</w:t>
            </w:r>
            <w:r>
              <w:rPr>
                <w:rFonts w:hint="eastAsia"/>
                <w:bCs/>
                <w:szCs w:val="21"/>
              </w:rPr>
              <w:t>《秦皇岛市人民政府办公室关于执行钢铁等行业大气污染物特别要求的通知》（</w:t>
            </w:r>
            <w:r>
              <w:rPr>
                <w:bCs/>
                <w:szCs w:val="21"/>
              </w:rPr>
              <w:t>2021-10</w:t>
            </w:r>
            <w:r>
              <w:rPr>
                <w:rFonts w:hint="eastAsia"/>
                <w:bCs/>
                <w:szCs w:val="21"/>
              </w:rPr>
              <w:t>）中无组织排放限值要求</w:t>
            </w:r>
            <w:r>
              <w:rPr>
                <w:rFonts w:hint="eastAsia"/>
                <w:szCs w:val="21"/>
              </w:rPr>
              <w:t>；</w:t>
            </w:r>
          </w:p>
          <w:p>
            <w:pPr>
              <w:adjustRightInd w:val="0"/>
              <w:snapToGrid w:val="0"/>
              <w:spacing w:line="400" w:lineRule="exact"/>
              <w:ind w:firstLine="420" w:firstLineChars="200"/>
              <w:rPr>
                <w:bCs/>
                <w:szCs w:val="21"/>
              </w:rPr>
            </w:pPr>
            <w:r>
              <w:rPr>
                <w:rFonts w:hint="eastAsia"/>
                <w:bCs/>
                <w:szCs w:val="21"/>
              </w:rPr>
              <w:t>（2）污水：项目生产冷却水循环利用，不外排；</w:t>
            </w:r>
            <w:r>
              <w:rPr>
                <w:rFonts w:hint="eastAsia"/>
              </w:rPr>
              <w:t>生活盥洗污水泼洒抑尘，不外排。</w:t>
            </w:r>
            <w:r>
              <w:rPr>
                <w:rFonts w:hint="eastAsia"/>
                <w:bCs/>
                <w:szCs w:val="21"/>
              </w:rPr>
              <w:t>对水环境影响很小。</w:t>
            </w:r>
          </w:p>
          <w:p>
            <w:pPr>
              <w:adjustRightInd w:val="0"/>
              <w:snapToGrid w:val="0"/>
              <w:spacing w:line="400" w:lineRule="exact"/>
              <w:ind w:firstLine="420" w:firstLineChars="200"/>
              <w:rPr>
                <w:bCs/>
                <w:szCs w:val="21"/>
              </w:rPr>
            </w:pPr>
            <w:r>
              <w:rPr>
                <w:rFonts w:hint="eastAsia"/>
                <w:bCs/>
                <w:szCs w:val="21"/>
              </w:rPr>
              <w:t>（</w:t>
            </w:r>
            <w:r>
              <w:rPr>
                <w:bCs/>
                <w:szCs w:val="21"/>
              </w:rPr>
              <w:t>3</w:t>
            </w:r>
            <w:r>
              <w:rPr>
                <w:rFonts w:hint="eastAsia"/>
                <w:bCs/>
                <w:szCs w:val="21"/>
              </w:rPr>
              <w:t>）噪声：项目主要噪声源为生产设备和风机，采用低噪声设备、减振、隔声，经分析厂界噪声预测值可以满足《工业企业厂界环境噪声排放标准》（G</w:t>
            </w:r>
            <w:r>
              <w:rPr>
                <w:bCs/>
                <w:szCs w:val="21"/>
              </w:rPr>
              <w:t>B12348-2008</w:t>
            </w:r>
            <w:r>
              <w:rPr>
                <w:rFonts w:hint="eastAsia"/>
                <w:bCs/>
                <w:szCs w:val="21"/>
              </w:rPr>
              <w:t>）</w:t>
            </w:r>
            <w:r>
              <w:rPr>
                <w:bCs/>
                <w:szCs w:val="21"/>
              </w:rPr>
              <w:t>3</w:t>
            </w:r>
            <w:r>
              <w:rPr>
                <w:rFonts w:hint="eastAsia"/>
                <w:bCs/>
                <w:szCs w:val="21"/>
              </w:rPr>
              <w:t>类标准。同时，项目周边5</w:t>
            </w:r>
            <w:r>
              <w:rPr>
                <w:bCs/>
                <w:szCs w:val="21"/>
              </w:rPr>
              <w:t>0m</w:t>
            </w:r>
            <w:r>
              <w:rPr>
                <w:rFonts w:hint="eastAsia"/>
                <w:bCs/>
                <w:szCs w:val="21"/>
              </w:rPr>
              <w:t>范围内无声环境敏感点，对周边环境影响很小。。</w:t>
            </w:r>
          </w:p>
          <w:p>
            <w:pPr>
              <w:adjustRightInd w:val="0"/>
              <w:snapToGrid w:val="0"/>
              <w:spacing w:line="400" w:lineRule="exact"/>
              <w:ind w:firstLine="420" w:firstLineChars="200"/>
              <w:rPr>
                <w:bCs/>
                <w:szCs w:val="21"/>
              </w:rPr>
            </w:pPr>
            <w:r>
              <w:rPr>
                <w:rFonts w:hint="eastAsia"/>
                <w:bCs/>
                <w:szCs w:val="21"/>
              </w:rPr>
              <w:t>（</w:t>
            </w:r>
            <w:r>
              <w:rPr>
                <w:bCs/>
                <w:szCs w:val="21"/>
              </w:rPr>
              <w:t>4</w:t>
            </w:r>
            <w:r>
              <w:rPr>
                <w:rFonts w:hint="eastAsia"/>
                <w:bCs/>
                <w:szCs w:val="21"/>
              </w:rPr>
              <w:t>）固废：</w:t>
            </w:r>
            <w:r>
              <w:rPr>
                <w:rFonts w:hint="eastAsia"/>
                <w:szCs w:val="21"/>
              </w:rPr>
              <w:t>废包装、除尘灰车间内存放，外售；废活性炭、废过滤棉、</w:t>
            </w:r>
            <w:r>
              <w:rPr>
                <w:rFonts w:hint="eastAsia"/>
                <w:bCs/>
                <w:szCs w:val="21"/>
              </w:rPr>
              <w:t>废液压油和废油桶</w:t>
            </w:r>
            <w:r>
              <w:rPr>
                <w:rFonts w:hint="eastAsia"/>
                <w:szCs w:val="21"/>
              </w:rPr>
              <w:t>产生后暂存危废间，委托有资质单位外运处置。</w:t>
            </w:r>
          </w:p>
          <w:p>
            <w:pPr>
              <w:adjustRightInd w:val="0"/>
              <w:snapToGrid w:val="0"/>
              <w:spacing w:line="400" w:lineRule="exact"/>
              <w:ind w:firstLine="420" w:firstLineChars="200"/>
              <w:rPr>
                <w:bCs/>
                <w:szCs w:val="21"/>
              </w:rPr>
            </w:pPr>
            <w:r>
              <w:rPr>
                <w:rFonts w:hint="eastAsia"/>
                <w:bCs/>
                <w:szCs w:val="21"/>
              </w:rPr>
              <w:t>（5）土壤及地下水：生产车间内的润滑油、液压油暂存区、危废库按照《危险废物贮存污染控制标准》(GB18597-20</w:t>
            </w:r>
            <w:r>
              <w:rPr>
                <w:bCs/>
                <w:szCs w:val="21"/>
              </w:rPr>
              <w:t>23</w:t>
            </w:r>
            <w:r>
              <w:rPr>
                <w:rFonts w:hint="eastAsia"/>
                <w:bCs/>
                <w:szCs w:val="21"/>
              </w:rPr>
              <w:t>)建设；车间地面一般地面硬化，对土壤及地下水影响很小。</w:t>
            </w:r>
          </w:p>
          <w:p>
            <w:pPr>
              <w:adjustRightInd w:val="0"/>
              <w:snapToGrid w:val="0"/>
              <w:spacing w:line="400" w:lineRule="exact"/>
              <w:ind w:firstLine="420" w:firstLineChars="200"/>
              <w:rPr>
                <w:bCs/>
                <w:szCs w:val="21"/>
              </w:rPr>
            </w:pPr>
            <w:r>
              <w:rPr>
                <w:rFonts w:hint="eastAsia"/>
                <w:bCs/>
                <w:szCs w:val="21"/>
              </w:rPr>
              <w:t>（6）环境风险</w:t>
            </w:r>
          </w:p>
          <w:p>
            <w:pPr>
              <w:adjustRightInd w:val="0"/>
              <w:snapToGrid w:val="0"/>
              <w:spacing w:line="400" w:lineRule="exact"/>
              <w:ind w:firstLine="420" w:firstLineChars="200"/>
              <w:rPr>
                <w:bCs/>
                <w:szCs w:val="21"/>
              </w:rPr>
            </w:pPr>
            <w:r>
              <w:rPr>
                <w:rFonts w:hint="eastAsia"/>
                <w:bCs/>
                <w:szCs w:val="21"/>
              </w:rPr>
              <w:t>本项目主要风险物质为液压油、润滑油、废活性炭、废过滤棉、废液压油和废油桶，针对可能存在的环境风险，提出如下防范措施：</w:t>
            </w:r>
          </w:p>
          <w:p>
            <w:pPr>
              <w:adjustRightInd w:val="0"/>
              <w:snapToGrid w:val="0"/>
              <w:spacing w:line="400" w:lineRule="exact"/>
              <w:ind w:firstLine="420" w:firstLineChars="200"/>
              <w:rPr>
                <w:bCs/>
                <w:szCs w:val="21"/>
              </w:rPr>
            </w:pPr>
            <w:r>
              <w:rPr>
                <w:rFonts w:hint="eastAsia"/>
                <w:bCs/>
                <w:szCs w:val="21"/>
              </w:rPr>
              <w:t>1、生产车间内液压油、润滑油存放专用设施内，并设置防渗围堰，规范操作；</w:t>
            </w:r>
          </w:p>
          <w:p>
            <w:pPr>
              <w:adjustRightInd w:val="0"/>
              <w:snapToGrid w:val="0"/>
              <w:spacing w:line="400" w:lineRule="exact"/>
              <w:ind w:firstLine="420" w:firstLineChars="200"/>
              <w:rPr>
                <w:bCs/>
                <w:szCs w:val="21"/>
              </w:rPr>
            </w:pPr>
            <w:r>
              <w:rPr>
                <w:rFonts w:hint="eastAsia"/>
                <w:bCs/>
                <w:szCs w:val="21"/>
              </w:rPr>
              <w:t>2、危废间内废液压油、废过滤棉、废活性炭密闭容器存放，废油桶密闭存放；做好火灾防护工作，避开明火、静电和高温作业。</w:t>
            </w:r>
          </w:p>
          <w:p>
            <w:pPr>
              <w:adjustRightInd w:val="0"/>
              <w:snapToGrid w:val="0"/>
              <w:spacing w:line="400" w:lineRule="exact"/>
              <w:ind w:firstLine="420" w:firstLineChars="200"/>
              <w:rPr>
                <w:bCs/>
                <w:szCs w:val="21"/>
              </w:rPr>
            </w:pPr>
            <w:r>
              <w:rPr>
                <w:rFonts w:hint="eastAsia"/>
                <w:bCs/>
                <w:szCs w:val="21"/>
              </w:rPr>
              <w:t>（7）碳排放</w:t>
            </w:r>
          </w:p>
          <w:p>
            <w:pPr>
              <w:adjustRightInd w:val="0"/>
              <w:snapToGrid w:val="0"/>
              <w:spacing w:line="400" w:lineRule="exact"/>
              <w:ind w:firstLine="420" w:firstLineChars="200"/>
              <w:rPr>
                <w:bCs/>
                <w:szCs w:val="21"/>
              </w:rPr>
            </w:pPr>
            <w:r>
              <w:rPr>
                <w:rFonts w:hint="eastAsia"/>
                <w:bCs/>
                <w:szCs w:val="21"/>
              </w:rPr>
              <w:t>项目建设符合碳排放相关政策要求，在设备、技术和管理角度等方面落实减排理念，加强日常管理，逐步降低碳排放水平。同时项目主要碳排放节点为净购入电力，为清洁能源。综合分析，项目建设符合碳排放管理要求。</w:t>
            </w:r>
          </w:p>
          <w:p>
            <w:pPr>
              <w:adjustRightInd w:val="0"/>
              <w:snapToGrid w:val="0"/>
              <w:spacing w:line="400" w:lineRule="exact"/>
              <w:ind w:firstLine="420" w:firstLineChars="200"/>
              <w:rPr>
                <w:bCs/>
                <w:szCs w:val="21"/>
              </w:rPr>
            </w:pPr>
            <w:r>
              <w:rPr>
                <w:rFonts w:hint="eastAsia"/>
                <w:bCs/>
                <w:szCs w:val="21"/>
              </w:rPr>
              <w:t>综上，</w:t>
            </w:r>
            <w:r>
              <w:rPr>
                <w:bCs/>
                <w:szCs w:val="21"/>
              </w:rPr>
              <w:t>本项目</w:t>
            </w:r>
            <w:r>
              <w:rPr>
                <w:rFonts w:hint="eastAsia"/>
                <w:bCs/>
                <w:szCs w:val="21"/>
              </w:rPr>
              <w:t>建设</w:t>
            </w:r>
            <w:r>
              <w:rPr>
                <w:bCs/>
                <w:szCs w:val="21"/>
              </w:rPr>
              <w:t>从环境</w:t>
            </w:r>
            <w:r>
              <w:rPr>
                <w:rFonts w:hint="eastAsia"/>
                <w:bCs/>
                <w:szCs w:val="21"/>
              </w:rPr>
              <w:t>影响</w:t>
            </w:r>
            <w:r>
              <w:rPr>
                <w:bCs/>
                <w:szCs w:val="21"/>
              </w:rPr>
              <w:t>的角度分析，本项目的建设是可行的。</w:t>
            </w:r>
          </w:p>
        </w:tc>
      </w:tr>
    </w:tbl>
    <w:p>
      <w:pPr>
        <w:rPr>
          <w:rFonts w:ascii="宋体"/>
        </w:rPr>
        <w:sectPr>
          <w:pgSz w:w="11906" w:h="16838"/>
          <w:pgMar w:top="1701" w:right="1531" w:bottom="1701" w:left="1531" w:header="851" w:footer="851" w:gutter="0"/>
          <w:cols w:space="720" w:num="1"/>
          <w:docGrid w:linePitch="312" w:charSpace="0"/>
        </w:sectPr>
      </w:pPr>
    </w:p>
    <w:p>
      <w:pPr>
        <w:pStyle w:val="13"/>
        <w:adjustRightInd w:val="0"/>
        <w:snapToGrid w:val="0"/>
        <w:spacing w:before="0" w:beforeAutospacing="0" w:after="0" w:afterAutospacing="0"/>
        <w:outlineLvl w:val="0"/>
        <w:rPr>
          <w:rFonts w:ascii="黑体" w:hAnsi="黑体" w:eastAsia="黑体"/>
          <w:snapToGrid w:val="0"/>
          <w:sz w:val="32"/>
          <w:szCs w:val="32"/>
        </w:rPr>
      </w:pPr>
      <w:r>
        <w:rPr>
          <w:rFonts w:hint="eastAsia" w:ascii="黑体" w:hAnsi="黑体" w:eastAsia="黑体"/>
          <w:snapToGrid w:val="0"/>
          <w:sz w:val="32"/>
          <w:szCs w:val="32"/>
        </w:rPr>
        <w:t>附表</w:t>
      </w:r>
    </w:p>
    <w:p>
      <w:pPr>
        <w:pStyle w:val="13"/>
        <w:adjustRightInd w:val="0"/>
        <w:snapToGrid w:val="0"/>
        <w:spacing w:before="0" w:beforeAutospacing="0" w:after="0" w:afterAutospacing="0"/>
        <w:jc w:val="center"/>
        <w:outlineLvl w:val="0"/>
        <w:rPr>
          <w:rFonts w:ascii="方正小标宋_GBK" w:hAnsi="黑体" w:eastAsia="方正小标宋_GBK"/>
          <w:snapToGrid w:val="0"/>
          <w:sz w:val="38"/>
          <w:szCs w:val="38"/>
        </w:rPr>
      </w:pPr>
      <w:r>
        <w:rPr>
          <w:rFonts w:hint="eastAsia" w:ascii="方正小标宋_GBK" w:hAnsi="黑体" w:eastAsia="方正小标宋_GBK"/>
          <w:snapToGrid w:val="0"/>
          <w:sz w:val="38"/>
          <w:szCs w:val="38"/>
        </w:rPr>
        <w:t>建设项目污染物排放量汇总表</w:t>
      </w:r>
    </w:p>
    <w:tbl>
      <w:tblPr>
        <w:tblStyle w:val="16"/>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04"/>
        <w:gridCol w:w="1701"/>
        <w:gridCol w:w="1701"/>
        <w:gridCol w:w="1276"/>
        <w:gridCol w:w="1701"/>
        <w:gridCol w:w="1559"/>
        <w:gridCol w:w="1761"/>
        <w:gridCol w:w="1499"/>
        <w:gridCol w:w="128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304" w:type="dxa"/>
            <w:tcBorders>
              <w:tl2br w:val="single" w:color="auto" w:sz="4" w:space="0"/>
            </w:tcBorders>
            <w:tcMar>
              <w:left w:w="28" w:type="dxa"/>
              <w:right w:w="28" w:type="dxa"/>
            </w:tcMar>
            <w:vAlign w:val="center"/>
          </w:tcPr>
          <w:p>
            <w:pPr>
              <w:pStyle w:val="30"/>
              <w:spacing w:beforeLines="0" w:afterLines="0" w:line="240" w:lineRule="auto"/>
              <w:jc w:val="right"/>
              <w:rPr>
                <w:rFonts w:ascii="Times New Roman" w:eastAsia="黑体"/>
                <w:snapToGrid w:val="0"/>
                <w:color w:val="000000"/>
                <w:spacing w:val="-6"/>
                <w:kern w:val="21"/>
                <w:szCs w:val="21"/>
              </w:rPr>
            </w:pPr>
            <w:r>
              <w:rPr>
                <w:rFonts w:ascii="Times New Roman" w:eastAsia="黑体"/>
                <w:snapToGrid w:val="0"/>
                <w:color w:val="000000"/>
                <w:spacing w:val="-6"/>
                <w:kern w:val="21"/>
                <w:szCs w:val="21"/>
              </w:rPr>
              <w:t>项目</w:t>
            </w:r>
          </w:p>
          <w:p>
            <w:pPr>
              <w:pStyle w:val="30"/>
              <w:spacing w:beforeLines="0" w:afterLines="0" w:line="240" w:lineRule="auto"/>
              <w:jc w:val="left"/>
              <w:rPr>
                <w:rFonts w:ascii="Times New Roman" w:eastAsia="黑体"/>
                <w:snapToGrid w:val="0"/>
                <w:color w:val="000000"/>
                <w:spacing w:val="-6"/>
                <w:kern w:val="21"/>
                <w:szCs w:val="21"/>
              </w:rPr>
            </w:pPr>
            <w:r>
              <w:rPr>
                <w:rFonts w:ascii="Times New Roman" w:eastAsia="黑体"/>
                <w:snapToGrid w:val="0"/>
                <w:color w:val="000000"/>
                <w:spacing w:val="-6"/>
                <w:kern w:val="21"/>
                <w:szCs w:val="21"/>
              </w:rPr>
              <w:t>分类</w:t>
            </w:r>
          </w:p>
        </w:tc>
        <w:tc>
          <w:tcPr>
            <w:tcW w:w="1701"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污染物名称</w:t>
            </w:r>
          </w:p>
        </w:tc>
        <w:tc>
          <w:tcPr>
            <w:tcW w:w="1701"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现有工程</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排放量（固体废物产生量）</w:t>
            </w: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1 \* GB3 \* MERGEFORMAT </w:instrText>
            </w:r>
            <w:r>
              <w:rPr>
                <w:rFonts w:ascii="Times New Roman" w:eastAsia="黑体"/>
                <w:snapToGrid w:val="0"/>
                <w:color w:val="000000"/>
                <w:spacing w:val="-6"/>
                <w:kern w:val="21"/>
                <w:szCs w:val="21"/>
              </w:rPr>
              <w:fldChar w:fldCharType="separate"/>
            </w:r>
            <w:r>
              <w:rPr>
                <w:rFonts w:hint="eastAsia" w:hAnsi="宋体" w:cs="宋体"/>
                <w:kern w:val="2"/>
                <w:szCs w:val="21"/>
              </w:rPr>
              <w:t>①</w:t>
            </w:r>
            <w:r>
              <w:rPr>
                <w:rFonts w:ascii="Times New Roman" w:eastAsia="黑体"/>
                <w:snapToGrid w:val="0"/>
                <w:color w:val="000000"/>
                <w:spacing w:val="-6"/>
                <w:kern w:val="21"/>
                <w:szCs w:val="21"/>
              </w:rPr>
              <w:fldChar w:fldCharType="end"/>
            </w:r>
          </w:p>
        </w:tc>
        <w:tc>
          <w:tcPr>
            <w:tcW w:w="1276"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现有工程</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许可排放量</w:t>
            </w:r>
          </w:p>
          <w:p>
            <w:pPr>
              <w:pStyle w:val="30"/>
              <w:spacing w:beforeLines="0" w:afterLines="0"/>
              <w:rPr>
                <w:rFonts w:ascii="Times New Roman" w:eastAsia="黑体"/>
                <w:snapToGrid w:val="0"/>
                <w:color w:val="000000"/>
                <w:spacing w:val="-6"/>
                <w:kern w:val="21"/>
                <w:szCs w:val="21"/>
              </w:rPr>
            </w:pP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2 \* GB3 \* MERGEFORMAT </w:instrText>
            </w:r>
            <w:r>
              <w:rPr>
                <w:rFonts w:ascii="Times New Roman" w:eastAsia="黑体"/>
                <w:snapToGrid w:val="0"/>
                <w:color w:val="000000"/>
                <w:spacing w:val="-6"/>
                <w:kern w:val="21"/>
                <w:szCs w:val="21"/>
              </w:rPr>
              <w:fldChar w:fldCharType="separate"/>
            </w:r>
            <w:r>
              <w:rPr>
                <w:rFonts w:hint="eastAsia" w:hAnsi="宋体" w:cs="宋体"/>
                <w:snapToGrid w:val="0"/>
                <w:color w:val="000000"/>
                <w:spacing w:val="-6"/>
                <w:kern w:val="21"/>
                <w:szCs w:val="21"/>
              </w:rPr>
              <w:t>②</w:t>
            </w:r>
            <w:r>
              <w:rPr>
                <w:rFonts w:ascii="Times New Roman" w:eastAsia="黑体"/>
                <w:snapToGrid w:val="0"/>
                <w:color w:val="000000"/>
                <w:spacing w:val="-6"/>
                <w:kern w:val="21"/>
                <w:szCs w:val="21"/>
              </w:rPr>
              <w:fldChar w:fldCharType="end"/>
            </w:r>
          </w:p>
        </w:tc>
        <w:tc>
          <w:tcPr>
            <w:tcW w:w="1701"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在建工程</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排放量（固体废物产生量）</w:t>
            </w: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3 \* GB3 \* MERGEFORMAT </w:instrText>
            </w:r>
            <w:r>
              <w:rPr>
                <w:rFonts w:ascii="Times New Roman" w:eastAsia="黑体"/>
                <w:snapToGrid w:val="0"/>
                <w:color w:val="000000"/>
                <w:spacing w:val="-6"/>
                <w:kern w:val="21"/>
                <w:szCs w:val="21"/>
              </w:rPr>
              <w:fldChar w:fldCharType="separate"/>
            </w:r>
            <w:r>
              <w:rPr>
                <w:rFonts w:hint="eastAsia" w:hAnsi="宋体" w:cs="宋体"/>
                <w:kern w:val="2"/>
                <w:szCs w:val="21"/>
              </w:rPr>
              <w:t>③</w:t>
            </w:r>
            <w:r>
              <w:rPr>
                <w:rFonts w:ascii="Times New Roman" w:eastAsia="黑体"/>
                <w:snapToGrid w:val="0"/>
                <w:color w:val="000000"/>
                <w:spacing w:val="-6"/>
                <w:kern w:val="21"/>
                <w:szCs w:val="21"/>
              </w:rPr>
              <w:fldChar w:fldCharType="end"/>
            </w:r>
          </w:p>
        </w:tc>
        <w:tc>
          <w:tcPr>
            <w:tcW w:w="1559"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本项目</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排放量（固体废物产生量）</w:t>
            </w: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4 \* GB3 \* MERGEFORMAT </w:instrText>
            </w:r>
            <w:r>
              <w:rPr>
                <w:rFonts w:ascii="Times New Roman" w:eastAsia="黑体"/>
                <w:snapToGrid w:val="0"/>
                <w:color w:val="000000"/>
                <w:spacing w:val="-6"/>
                <w:kern w:val="21"/>
                <w:szCs w:val="21"/>
              </w:rPr>
              <w:fldChar w:fldCharType="separate"/>
            </w:r>
            <w:r>
              <w:rPr>
                <w:rFonts w:hint="eastAsia" w:hAnsi="宋体" w:cs="宋体"/>
                <w:kern w:val="2"/>
                <w:szCs w:val="21"/>
              </w:rPr>
              <w:t>④</w:t>
            </w:r>
            <w:r>
              <w:rPr>
                <w:rFonts w:ascii="Times New Roman" w:eastAsia="黑体"/>
                <w:snapToGrid w:val="0"/>
                <w:color w:val="000000"/>
                <w:spacing w:val="-6"/>
                <w:kern w:val="21"/>
                <w:szCs w:val="21"/>
              </w:rPr>
              <w:fldChar w:fldCharType="end"/>
            </w:r>
          </w:p>
        </w:tc>
        <w:tc>
          <w:tcPr>
            <w:tcW w:w="1761" w:type="dxa"/>
            <w:tcMar>
              <w:left w:w="28" w:type="dxa"/>
              <w:right w:w="28" w:type="dxa"/>
            </w:tcMar>
            <w:vAlign w:val="center"/>
          </w:tcPr>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以新带老削减量</w:t>
            </w:r>
          </w:p>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（新建项目不填）</w:t>
            </w:r>
            <w:r>
              <w:rPr>
                <w:rFonts w:ascii="Times New Roman" w:eastAsia="黑体"/>
                <w:snapToGrid w:val="0"/>
                <w:color w:val="000000"/>
                <w:spacing w:val="-16"/>
                <w:kern w:val="21"/>
                <w:szCs w:val="21"/>
              </w:rPr>
              <w:fldChar w:fldCharType="begin"/>
            </w:r>
            <w:r>
              <w:rPr>
                <w:rFonts w:ascii="Times New Roman" w:eastAsia="黑体"/>
                <w:snapToGrid w:val="0"/>
                <w:color w:val="000000"/>
                <w:spacing w:val="-16"/>
                <w:kern w:val="21"/>
                <w:szCs w:val="21"/>
              </w:rPr>
              <w:instrText xml:space="preserve"> = 5 \* GB3 \* MERGEFORMAT </w:instrText>
            </w:r>
            <w:r>
              <w:rPr>
                <w:rFonts w:ascii="Times New Roman" w:eastAsia="黑体"/>
                <w:snapToGrid w:val="0"/>
                <w:color w:val="000000"/>
                <w:spacing w:val="-16"/>
                <w:kern w:val="21"/>
                <w:szCs w:val="21"/>
              </w:rPr>
              <w:fldChar w:fldCharType="separate"/>
            </w:r>
            <w:r>
              <w:rPr>
                <w:rFonts w:hint="eastAsia" w:hAnsi="宋体" w:cs="宋体"/>
                <w:kern w:val="2"/>
                <w:szCs w:val="21"/>
              </w:rPr>
              <w:t>⑤</w:t>
            </w:r>
            <w:r>
              <w:rPr>
                <w:rFonts w:ascii="Times New Roman" w:eastAsia="黑体"/>
                <w:snapToGrid w:val="0"/>
                <w:color w:val="000000"/>
                <w:spacing w:val="-16"/>
                <w:kern w:val="21"/>
                <w:szCs w:val="21"/>
              </w:rPr>
              <w:fldChar w:fldCharType="end"/>
            </w:r>
          </w:p>
        </w:tc>
        <w:tc>
          <w:tcPr>
            <w:tcW w:w="1499" w:type="dxa"/>
            <w:tcMar>
              <w:left w:w="28" w:type="dxa"/>
              <w:right w:w="28" w:type="dxa"/>
            </w:tcMar>
            <w:vAlign w:val="center"/>
          </w:tcPr>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本项目建成后</w:t>
            </w:r>
          </w:p>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全厂排放量（固体废物产生量）</w:t>
            </w:r>
            <w:r>
              <w:rPr>
                <w:rFonts w:ascii="Times New Roman" w:eastAsia="黑体"/>
                <w:snapToGrid w:val="0"/>
                <w:color w:val="000000"/>
                <w:spacing w:val="-16"/>
                <w:kern w:val="21"/>
                <w:szCs w:val="21"/>
              </w:rPr>
              <w:fldChar w:fldCharType="begin"/>
            </w:r>
            <w:r>
              <w:rPr>
                <w:rFonts w:ascii="Times New Roman" w:eastAsia="黑体"/>
                <w:snapToGrid w:val="0"/>
                <w:color w:val="000000"/>
                <w:spacing w:val="-16"/>
                <w:kern w:val="21"/>
                <w:szCs w:val="21"/>
              </w:rPr>
              <w:instrText xml:space="preserve"> = 6 \* GB3 \* MERGEFORMAT </w:instrText>
            </w:r>
            <w:r>
              <w:rPr>
                <w:rFonts w:ascii="Times New Roman" w:eastAsia="黑体"/>
                <w:snapToGrid w:val="0"/>
                <w:color w:val="000000"/>
                <w:spacing w:val="-16"/>
                <w:kern w:val="21"/>
                <w:szCs w:val="21"/>
              </w:rPr>
              <w:fldChar w:fldCharType="separate"/>
            </w:r>
            <w:r>
              <w:rPr>
                <w:rFonts w:hint="eastAsia" w:hAnsi="宋体" w:cs="宋体"/>
                <w:kern w:val="2"/>
                <w:szCs w:val="21"/>
              </w:rPr>
              <w:t>⑥</w:t>
            </w:r>
            <w:r>
              <w:rPr>
                <w:rFonts w:ascii="Times New Roman" w:eastAsia="黑体"/>
                <w:snapToGrid w:val="0"/>
                <w:color w:val="000000"/>
                <w:spacing w:val="-16"/>
                <w:kern w:val="21"/>
                <w:szCs w:val="21"/>
              </w:rPr>
              <w:fldChar w:fldCharType="end"/>
            </w:r>
          </w:p>
        </w:tc>
        <w:tc>
          <w:tcPr>
            <w:tcW w:w="1286"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变化量</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7 \* GB3 \* MERGEFORMAT </w:instrText>
            </w:r>
            <w:r>
              <w:rPr>
                <w:rFonts w:ascii="Times New Roman" w:eastAsia="黑体"/>
                <w:snapToGrid w:val="0"/>
                <w:color w:val="000000"/>
                <w:spacing w:val="-6"/>
                <w:kern w:val="21"/>
                <w:szCs w:val="21"/>
              </w:rPr>
              <w:fldChar w:fldCharType="separate"/>
            </w:r>
            <w:r>
              <w:rPr>
                <w:rFonts w:hint="eastAsia" w:hAnsi="宋体" w:cs="宋体"/>
                <w:kern w:val="2"/>
                <w:szCs w:val="21"/>
              </w:rPr>
              <w:t>⑦</w:t>
            </w:r>
            <w:r>
              <w:rPr>
                <w:rFonts w:ascii="Times New Roman" w:eastAsia="黑体"/>
                <w:snapToGrid w:val="0"/>
                <w:color w:val="000000"/>
                <w:spacing w:val="-6"/>
                <w:kern w:val="21"/>
                <w:szCs w:val="21"/>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Merge w:val="restart"/>
            <w:vAlign w:val="center"/>
          </w:tcPr>
          <w:p>
            <w:pPr>
              <w:pStyle w:val="30"/>
              <w:spacing w:beforeLines="0" w:afterLines="0" w:line="240" w:lineRule="auto"/>
              <w:rPr>
                <w:rFonts w:ascii="Times New Roman"/>
                <w:snapToGrid w:val="0"/>
                <w:color w:val="000000"/>
                <w:kern w:val="21"/>
                <w:szCs w:val="21"/>
              </w:rPr>
            </w:pPr>
            <w:r>
              <w:rPr>
                <w:rFonts w:ascii="Times New Roman"/>
                <w:snapToGrid w:val="0"/>
                <w:color w:val="000000"/>
                <w:kern w:val="21"/>
                <w:szCs w:val="21"/>
              </w:rPr>
              <w:t>废气</w:t>
            </w:r>
          </w:p>
        </w:tc>
        <w:tc>
          <w:tcPr>
            <w:tcW w:w="1701" w:type="dxa"/>
            <w:vAlign w:val="center"/>
          </w:tcPr>
          <w:p>
            <w:pPr>
              <w:pStyle w:val="3"/>
              <w:ind w:firstLine="0"/>
              <w:jc w:val="center"/>
              <w:rPr>
                <w:szCs w:val="21"/>
              </w:rPr>
            </w:pPr>
            <w:r>
              <w:rPr>
                <w:rFonts w:hint="eastAsia"/>
                <w:szCs w:val="21"/>
              </w:rPr>
              <w:t>非甲烷总烃</w:t>
            </w:r>
          </w:p>
        </w:tc>
        <w:tc>
          <w:tcPr>
            <w:tcW w:w="1701" w:type="dxa"/>
            <w:vAlign w:val="center"/>
          </w:tcPr>
          <w:p>
            <w:pPr>
              <w:jc w:val="center"/>
            </w:pPr>
            <w:r>
              <w:rPr>
                <w:szCs w:val="21"/>
              </w:rPr>
              <w:t>/</w:t>
            </w:r>
          </w:p>
        </w:tc>
        <w:tc>
          <w:tcPr>
            <w:tcW w:w="1276" w:type="dxa"/>
            <w:vAlign w:val="center"/>
          </w:tcPr>
          <w:p>
            <w:pPr>
              <w:jc w:val="center"/>
            </w:pPr>
            <w:r>
              <w:rPr>
                <w:szCs w:val="21"/>
              </w:rPr>
              <w:t>/</w:t>
            </w:r>
          </w:p>
        </w:tc>
        <w:tc>
          <w:tcPr>
            <w:tcW w:w="1701" w:type="dxa"/>
            <w:vAlign w:val="center"/>
          </w:tcPr>
          <w:p>
            <w:pPr>
              <w:jc w:val="center"/>
            </w:pPr>
            <w:r>
              <w:rPr>
                <w:szCs w:val="21"/>
              </w:rPr>
              <w:t>/</w:t>
            </w:r>
          </w:p>
        </w:tc>
        <w:tc>
          <w:tcPr>
            <w:tcW w:w="1559" w:type="dxa"/>
            <w:vAlign w:val="center"/>
          </w:tcPr>
          <w:p>
            <w:pPr>
              <w:jc w:val="center"/>
              <w:rPr>
                <w:szCs w:val="21"/>
              </w:rPr>
            </w:pPr>
            <w:r>
              <w:rPr>
                <w:rFonts w:hint="eastAsia"/>
                <w:szCs w:val="21"/>
              </w:rPr>
              <w:t>0</w:t>
            </w:r>
            <w:r>
              <w:rPr>
                <w:szCs w:val="21"/>
              </w:rPr>
              <w:t>.041 t/a</w:t>
            </w:r>
          </w:p>
        </w:tc>
        <w:tc>
          <w:tcPr>
            <w:tcW w:w="1761" w:type="dxa"/>
            <w:vAlign w:val="center"/>
          </w:tcPr>
          <w:p>
            <w:pPr>
              <w:pStyle w:val="3"/>
              <w:ind w:firstLine="0"/>
              <w:jc w:val="center"/>
              <w:rPr>
                <w:szCs w:val="21"/>
              </w:rPr>
            </w:pPr>
            <w:r>
              <w:rPr>
                <w:rFonts w:hint="eastAsia"/>
              </w:rPr>
              <w:t>/</w:t>
            </w:r>
          </w:p>
        </w:tc>
        <w:tc>
          <w:tcPr>
            <w:tcW w:w="1499" w:type="dxa"/>
            <w:vAlign w:val="center"/>
          </w:tcPr>
          <w:p>
            <w:pPr>
              <w:pStyle w:val="3"/>
              <w:ind w:firstLine="0"/>
              <w:jc w:val="center"/>
              <w:rPr>
                <w:szCs w:val="21"/>
              </w:rPr>
            </w:pPr>
            <w:r>
              <w:rPr>
                <w:szCs w:val="21"/>
              </w:rPr>
              <w:t>0.041 t/a</w:t>
            </w:r>
          </w:p>
        </w:tc>
        <w:tc>
          <w:tcPr>
            <w:tcW w:w="1286" w:type="dxa"/>
            <w:vAlign w:val="center"/>
          </w:tcPr>
          <w:p>
            <w:pPr>
              <w:pStyle w:val="3"/>
              <w:ind w:firstLine="0"/>
              <w:jc w:val="center"/>
              <w:rPr>
                <w:szCs w:val="21"/>
              </w:rPr>
            </w:pPr>
            <w:r>
              <w:rPr>
                <w:szCs w:val="21"/>
              </w:rPr>
              <w:t>+0.041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Merge w:val="continue"/>
            <w:vAlign w:val="center"/>
          </w:tcPr>
          <w:p>
            <w:pPr>
              <w:pStyle w:val="30"/>
              <w:spacing w:beforeLines="0" w:afterLines="0" w:line="240" w:lineRule="auto"/>
              <w:rPr>
                <w:rFonts w:ascii="Times New Roman"/>
                <w:snapToGrid w:val="0"/>
                <w:color w:val="000000"/>
                <w:kern w:val="21"/>
                <w:szCs w:val="21"/>
              </w:rPr>
            </w:pPr>
          </w:p>
        </w:tc>
        <w:tc>
          <w:tcPr>
            <w:tcW w:w="1701" w:type="dxa"/>
            <w:vAlign w:val="center"/>
          </w:tcPr>
          <w:p>
            <w:pPr>
              <w:pStyle w:val="3"/>
              <w:ind w:firstLine="0"/>
              <w:jc w:val="center"/>
              <w:rPr>
                <w:szCs w:val="21"/>
              </w:rPr>
            </w:pPr>
            <w:r>
              <w:rPr>
                <w:rFonts w:hint="eastAsia"/>
                <w:szCs w:val="21"/>
              </w:rPr>
              <w:t>颗粒物</w:t>
            </w:r>
          </w:p>
        </w:tc>
        <w:tc>
          <w:tcPr>
            <w:tcW w:w="1701" w:type="dxa"/>
            <w:vAlign w:val="center"/>
          </w:tcPr>
          <w:p>
            <w:pPr>
              <w:jc w:val="center"/>
              <w:rPr>
                <w:szCs w:val="21"/>
              </w:rPr>
            </w:pPr>
            <w:r>
              <w:rPr>
                <w:szCs w:val="21"/>
              </w:rPr>
              <w:t>/</w:t>
            </w:r>
          </w:p>
        </w:tc>
        <w:tc>
          <w:tcPr>
            <w:tcW w:w="1276" w:type="dxa"/>
            <w:vAlign w:val="center"/>
          </w:tcPr>
          <w:p>
            <w:pPr>
              <w:jc w:val="center"/>
              <w:rPr>
                <w:szCs w:val="21"/>
              </w:rPr>
            </w:pPr>
            <w:r>
              <w:rPr>
                <w:szCs w:val="21"/>
              </w:rPr>
              <w:t>/</w:t>
            </w:r>
          </w:p>
        </w:tc>
        <w:tc>
          <w:tcPr>
            <w:tcW w:w="1701" w:type="dxa"/>
            <w:vAlign w:val="center"/>
          </w:tcPr>
          <w:p>
            <w:pPr>
              <w:jc w:val="center"/>
              <w:rPr>
                <w:szCs w:val="21"/>
              </w:rPr>
            </w:pPr>
            <w:r>
              <w:rPr>
                <w:szCs w:val="21"/>
              </w:rPr>
              <w:t>/</w:t>
            </w:r>
          </w:p>
        </w:tc>
        <w:tc>
          <w:tcPr>
            <w:tcW w:w="1559" w:type="dxa"/>
            <w:vAlign w:val="center"/>
          </w:tcPr>
          <w:p>
            <w:pPr>
              <w:pStyle w:val="3"/>
              <w:ind w:firstLine="0"/>
              <w:jc w:val="center"/>
              <w:rPr>
                <w:szCs w:val="21"/>
              </w:rPr>
            </w:pPr>
            <w:r>
              <w:rPr>
                <w:rFonts w:hint="eastAsia"/>
                <w:szCs w:val="21"/>
              </w:rPr>
              <w:t>0</w:t>
            </w:r>
          </w:p>
        </w:tc>
        <w:tc>
          <w:tcPr>
            <w:tcW w:w="1761" w:type="dxa"/>
            <w:vAlign w:val="center"/>
          </w:tcPr>
          <w:p>
            <w:pPr>
              <w:pStyle w:val="3"/>
              <w:ind w:firstLine="0"/>
              <w:jc w:val="center"/>
              <w:rPr>
                <w:szCs w:val="21"/>
              </w:rPr>
            </w:pPr>
            <w:r>
              <w:rPr>
                <w:rFonts w:hint="eastAsia"/>
              </w:rPr>
              <w:t>/</w:t>
            </w:r>
          </w:p>
        </w:tc>
        <w:tc>
          <w:tcPr>
            <w:tcW w:w="1499" w:type="dxa"/>
            <w:vAlign w:val="center"/>
          </w:tcPr>
          <w:p>
            <w:pPr>
              <w:pStyle w:val="3"/>
              <w:ind w:firstLine="0"/>
              <w:jc w:val="center"/>
              <w:rPr>
                <w:szCs w:val="21"/>
              </w:rPr>
            </w:pPr>
            <w:r>
              <w:rPr>
                <w:rFonts w:hint="eastAsia"/>
                <w:szCs w:val="21"/>
              </w:rPr>
              <w:t>0</w:t>
            </w:r>
          </w:p>
        </w:tc>
        <w:tc>
          <w:tcPr>
            <w:tcW w:w="1286" w:type="dxa"/>
            <w:vAlign w:val="center"/>
          </w:tcPr>
          <w:p>
            <w:pPr>
              <w:pStyle w:val="3"/>
              <w:ind w:firstLine="0"/>
              <w:jc w:val="center"/>
              <w:rPr>
                <w:szCs w:val="21"/>
              </w:rPr>
            </w:pPr>
            <w:r>
              <w:rPr>
                <w:rFonts w:hint="eastAsia"/>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Merge w:val="restart"/>
            <w:vAlign w:val="center"/>
          </w:tcPr>
          <w:p>
            <w:pPr>
              <w:pStyle w:val="30"/>
              <w:spacing w:before="24" w:after="24" w:line="240" w:lineRule="auto"/>
              <w:rPr>
                <w:rFonts w:ascii="Times New Roman"/>
                <w:snapToGrid w:val="0"/>
                <w:color w:val="000000"/>
                <w:kern w:val="21"/>
                <w:szCs w:val="21"/>
              </w:rPr>
            </w:pPr>
            <w:r>
              <w:rPr>
                <w:rFonts w:ascii="Times New Roman"/>
                <w:snapToGrid w:val="0"/>
                <w:color w:val="000000"/>
                <w:kern w:val="21"/>
                <w:szCs w:val="21"/>
              </w:rPr>
              <w:t>废水</w:t>
            </w:r>
          </w:p>
        </w:tc>
        <w:tc>
          <w:tcPr>
            <w:tcW w:w="1701" w:type="dxa"/>
            <w:vAlign w:val="center"/>
          </w:tcPr>
          <w:p>
            <w:pPr>
              <w:pStyle w:val="3"/>
              <w:ind w:firstLine="0"/>
              <w:jc w:val="center"/>
              <w:rPr>
                <w:szCs w:val="21"/>
              </w:rPr>
            </w:pPr>
            <w:r>
              <w:rPr>
                <w:szCs w:val="21"/>
              </w:rPr>
              <w:t>COD</w:t>
            </w:r>
          </w:p>
        </w:tc>
        <w:tc>
          <w:tcPr>
            <w:tcW w:w="1701" w:type="dxa"/>
            <w:vAlign w:val="center"/>
          </w:tcPr>
          <w:p>
            <w:pPr>
              <w:jc w:val="center"/>
            </w:pPr>
            <w:r>
              <w:rPr>
                <w:szCs w:val="21"/>
              </w:rPr>
              <w:t>/</w:t>
            </w:r>
          </w:p>
        </w:tc>
        <w:tc>
          <w:tcPr>
            <w:tcW w:w="1276" w:type="dxa"/>
            <w:vAlign w:val="center"/>
          </w:tcPr>
          <w:p>
            <w:pPr>
              <w:jc w:val="center"/>
            </w:pPr>
            <w:r>
              <w:rPr>
                <w:szCs w:val="21"/>
              </w:rPr>
              <w:t>/</w:t>
            </w:r>
          </w:p>
        </w:tc>
        <w:tc>
          <w:tcPr>
            <w:tcW w:w="1701" w:type="dxa"/>
            <w:vAlign w:val="center"/>
          </w:tcPr>
          <w:p>
            <w:pPr>
              <w:jc w:val="center"/>
            </w:pPr>
            <w:r>
              <w:rPr>
                <w:szCs w:val="21"/>
              </w:rPr>
              <w:t>/</w:t>
            </w:r>
          </w:p>
        </w:tc>
        <w:tc>
          <w:tcPr>
            <w:tcW w:w="1559" w:type="dxa"/>
            <w:vAlign w:val="center"/>
          </w:tcPr>
          <w:p>
            <w:pPr>
              <w:jc w:val="center"/>
            </w:pPr>
            <w:r>
              <w:rPr>
                <w:szCs w:val="21"/>
              </w:rPr>
              <w:t>/</w:t>
            </w:r>
          </w:p>
        </w:tc>
        <w:tc>
          <w:tcPr>
            <w:tcW w:w="1761" w:type="dxa"/>
            <w:vAlign w:val="center"/>
          </w:tcPr>
          <w:p>
            <w:pPr>
              <w:jc w:val="center"/>
            </w:pPr>
            <w:r>
              <w:rPr>
                <w:rFonts w:hint="eastAsia"/>
              </w:rPr>
              <w:t>/</w:t>
            </w:r>
          </w:p>
        </w:tc>
        <w:tc>
          <w:tcPr>
            <w:tcW w:w="1499" w:type="dxa"/>
            <w:vAlign w:val="center"/>
          </w:tcPr>
          <w:p>
            <w:pPr>
              <w:jc w:val="center"/>
            </w:pPr>
            <w:r>
              <w:rPr>
                <w:szCs w:val="21"/>
              </w:rPr>
              <w:t>/</w:t>
            </w:r>
          </w:p>
        </w:tc>
        <w:tc>
          <w:tcPr>
            <w:tcW w:w="1286" w:type="dxa"/>
            <w:vAlign w:val="center"/>
          </w:tcPr>
          <w:p>
            <w:pPr>
              <w:jc w:val="center"/>
            </w:pPr>
            <w:r>
              <w:rPr>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Merge w:val="continue"/>
            <w:vAlign w:val="center"/>
          </w:tcPr>
          <w:p>
            <w:pPr>
              <w:pStyle w:val="30"/>
              <w:spacing w:before="24" w:after="24" w:line="240" w:lineRule="auto"/>
              <w:rPr>
                <w:rFonts w:ascii="Times New Roman"/>
                <w:snapToGrid w:val="0"/>
                <w:color w:val="000000"/>
                <w:kern w:val="21"/>
                <w:szCs w:val="21"/>
              </w:rPr>
            </w:pPr>
          </w:p>
        </w:tc>
        <w:tc>
          <w:tcPr>
            <w:tcW w:w="1701" w:type="dxa"/>
            <w:vAlign w:val="center"/>
          </w:tcPr>
          <w:p>
            <w:pPr>
              <w:pStyle w:val="3"/>
              <w:ind w:firstLine="0"/>
              <w:jc w:val="center"/>
              <w:rPr>
                <w:szCs w:val="21"/>
              </w:rPr>
            </w:pPr>
            <w:r>
              <w:rPr>
                <w:rFonts w:hint="eastAsia"/>
                <w:szCs w:val="21"/>
              </w:rPr>
              <w:t>氨氮</w:t>
            </w:r>
          </w:p>
        </w:tc>
        <w:tc>
          <w:tcPr>
            <w:tcW w:w="1701" w:type="dxa"/>
            <w:vAlign w:val="center"/>
          </w:tcPr>
          <w:p>
            <w:pPr>
              <w:jc w:val="center"/>
              <w:rPr>
                <w:szCs w:val="21"/>
              </w:rPr>
            </w:pPr>
            <w:r>
              <w:rPr>
                <w:szCs w:val="21"/>
              </w:rPr>
              <w:t>/</w:t>
            </w:r>
          </w:p>
        </w:tc>
        <w:tc>
          <w:tcPr>
            <w:tcW w:w="1276" w:type="dxa"/>
            <w:vAlign w:val="center"/>
          </w:tcPr>
          <w:p>
            <w:pPr>
              <w:jc w:val="center"/>
              <w:rPr>
                <w:szCs w:val="21"/>
              </w:rPr>
            </w:pPr>
            <w:r>
              <w:rPr>
                <w:szCs w:val="21"/>
              </w:rPr>
              <w:t>/</w:t>
            </w:r>
          </w:p>
        </w:tc>
        <w:tc>
          <w:tcPr>
            <w:tcW w:w="1701" w:type="dxa"/>
            <w:vAlign w:val="center"/>
          </w:tcPr>
          <w:p>
            <w:pPr>
              <w:jc w:val="center"/>
              <w:rPr>
                <w:szCs w:val="21"/>
              </w:rPr>
            </w:pPr>
            <w:r>
              <w:rPr>
                <w:szCs w:val="21"/>
              </w:rPr>
              <w:t>/</w:t>
            </w:r>
          </w:p>
        </w:tc>
        <w:tc>
          <w:tcPr>
            <w:tcW w:w="1559" w:type="dxa"/>
            <w:vAlign w:val="center"/>
          </w:tcPr>
          <w:p>
            <w:pPr>
              <w:jc w:val="center"/>
              <w:rPr>
                <w:szCs w:val="21"/>
              </w:rPr>
            </w:pPr>
            <w:r>
              <w:rPr>
                <w:szCs w:val="21"/>
              </w:rPr>
              <w:t>/</w:t>
            </w:r>
          </w:p>
        </w:tc>
        <w:tc>
          <w:tcPr>
            <w:tcW w:w="1761" w:type="dxa"/>
            <w:vAlign w:val="center"/>
          </w:tcPr>
          <w:p>
            <w:pPr>
              <w:jc w:val="center"/>
              <w:rPr>
                <w:szCs w:val="21"/>
              </w:rPr>
            </w:pPr>
            <w:r>
              <w:rPr>
                <w:rFonts w:hint="eastAsia"/>
              </w:rPr>
              <w:t>/</w:t>
            </w:r>
          </w:p>
        </w:tc>
        <w:tc>
          <w:tcPr>
            <w:tcW w:w="1499" w:type="dxa"/>
            <w:vAlign w:val="center"/>
          </w:tcPr>
          <w:p>
            <w:pPr>
              <w:jc w:val="center"/>
              <w:rPr>
                <w:szCs w:val="21"/>
              </w:rPr>
            </w:pPr>
            <w:r>
              <w:rPr>
                <w:szCs w:val="21"/>
              </w:rPr>
              <w:t>/</w:t>
            </w:r>
          </w:p>
        </w:tc>
        <w:tc>
          <w:tcPr>
            <w:tcW w:w="1286" w:type="dxa"/>
            <w:vAlign w:val="center"/>
          </w:tcPr>
          <w:p>
            <w:pPr>
              <w:jc w:val="center"/>
              <w:rPr>
                <w:szCs w:val="21"/>
              </w:rPr>
            </w:pPr>
            <w:r>
              <w:rPr>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Merge w:val="restart"/>
            <w:vAlign w:val="center"/>
          </w:tcPr>
          <w:p>
            <w:pPr>
              <w:pStyle w:val="30"/>
              <w:spacing w:beforeLines="0" w:afterLines="0" w:line="240" w:lineRule="auto"/>
              <w:rPr>
                <w:rFonts w:ascii="Times New Roman"/>
                <w:snapToGrid w:val="0"/>
                <w:color w:val="000000"/>
                <w:kern w:val="21"/>
                <w:szCs w:val="21"/>
              </w:rPr>
            </w:pPr>
            <w:r>
              <w:rPr>
                <w:rFonts w:ascii="Times New Roman"/>
                <w:snapToGrid w:val="0"/>
                <w:color w:val="000000"/>
                <w:kern w:val="21"/>
                <w:szCs w:val="21"/>
              </w:rPr>
              <w:t>一般工业</w:t>
            </w:r>
          </w:p>
          <w:p>
            <w:pPr>
              <w:pStyle w:val="30"/>
              <w:spacing w:beforeLines="0" w:afterLines="0" w:line="240" w:lineRule="auto"/>
              <w:rPr>
                <w:rFonts w:ascii="Times New Roman"/>
                <w:snapToGrid w:val="0"/>
                <w:color w:val="000000"/>
                <w:kern w:val="21"/>
                <w:szCs w:val="21"/>
              </w:rPr>
            </w:pPr>
            <w:r>
              <w:rPr>
                <w:rFonts w:ascii="Times New Roman"/>
                <w:snapToGrid w:val="0"/>
                <w:color w:val="000000"/>
                <w:kern w:val="21"/>
                <w:szCs w:val="21"/>
              </w:rPr>
              <w:t>固体废物</w:t>
            </w:r>
          </w:p>
        </w:tc>
        <w:tc>
          <w:tcPr>
            <w:tcW w:w="1701" w:type="dxa"/>
            <w:vAlign w:val="center"/>
          </w:tcPr>
          <w:p>
            <w:pPr>
              <w:jc w:val="center"/>
              <w:rPr>
                <w:szCs w:val="21"/>
              </w:rPr>
            </w:pPr>
            <w:r>
              <w:rPr>
                <w:rFonts w:hint="eastAsia"/>
                <w:szCs w:val="21"/>
              </w:rPr>
              <w:t>废包装</w:t>
            </w:r>
          </w:p>
        </w:tc>
        <w:tc>
          <w:tcPr>
            <w:tcW w:w="1701" w:type="dxa"/>
            <w:vAlign w:val="center"/>
          </w:tcPr>
          <w:p>
            <w:pPr>
              <w:jc w:val="center"/>
            </w:pPr>
            <w:r>
              <w:rPr>
                <w:szCs w:val="21"/>
              </w:rPr>
              <w:t>/</w:t>
            </w:r>
          </w:p>
        </w:tc>
        <w:tc>
          <w:tcPr>
            <w:tcW w:w="1276" w:type="dxa"/>
            <w:vAlign w:val="center"/>
          </w:tcPr>
          <w:p>
            <w:pPr>
              <w:jc w:val="center"/>
            </w:pPr>
            <w:r>
              <w:rPr>
                <w:szCs w:val="21"/>
              </w:rPr>
              <w:t>/</w:t>
            </w:r>
          </w:p>
        </w:tc>
        <w:tc>
          <w:tcPr>
            <w:tcW w:w="1701" w:type="dxa"/>
            <w:vAlign w:val="center"/>
          </w:tcPr>
          <w:p>
            <w:pPr>
              <w:jc w:val="center"/>
            </w:pPr>
            <w:r>
              <w:rPr>
                <w:szCs w:val="21"/>
              </w:rPr>
              <w:t>/</w:t>
            </w:r>
          </w:p>
        </w:tc>
        <w:tc>
          <w:tcPr>
            <w:tcW w:w="1559" w:type="dxa"/>
            <w:vAlign w:val="center"/>
          </w:tcPr>
          <w:p>
            <w:pPr>
              <w:jc w:val="center"/>
            </w:pPr>
            <w:r>
              <w:t>1.0 t/a</w:t>
            </w:r>
          </w:p>
        </w:tc>
        <w:tc>
          <w:tcPr>
            <w:tcW w:w="1761" w:type="dxa"/>
            <w:vAlign w:val="center"/>
          </w:tcPr>
          <w:p>
            <w:pPr>
              <w:jc w:val="center"/>
            </w:pPr>
            <w:r>
              <w:rPr>
                <w:rFonts w:hint="eastAsia"/>
              </w:rPr>
              <w:t>/</w:t>
            </w:r>
          </w:p>
        </w:tc>
        <w:tc>
          <w:tcPr>
            <w:tcW w:w="1499" w:type="dxa"/>
            <w:vAlign w:val="center"/>
          </w:tcPr>
          <w:p>
            <w:pPr>
              <w:jc w:val="center"/>
            </w:pPr>
            <w:r>
              <w:t>1.0 t/a</w:t>
            </w:r>
          </w:p>
        </w:tc>
        <w:tc>
          <w:tcPr>
            <w:tcW w:w="1286" w:type="dxa"/>
            <w:vAlign w:val="center"/>
          </w:tcPr>
          <w:p>
            <w:pPr>
              <w:jc w:val="center"/>
            </w:pPr>
            <w:r>
              <w:t>+1.0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Merge w:val="continue"/>
            <w:vAlign w:val="center"/>
          </w:tcPr>
          <w:p>
            <w:pPr>
              <w:pStyle w:val="30"/>
              <w:spacing w:beforeLines="0" w:afterLines="0" w:line="240" w:lineRule="auto"/>
              <w:rPr>
                <w:rFonts w:ascii="Times New Roman"/>
                <w:snapToGrid w:val="0"/>
                <w:color w:val="000000"/>
                <w:kern w:val="21"/>
                <w:szCs w:val="21"/>
              </w:rPr>
            </w:pPr>
          </w:p>
        </w:tc>
        <w:tc>
          <w:tcPr>
            <w:tcW w:w="1701" w:type="dxa"/>
            <w:vAlign w:val="center"/>
          </w:tcPr>
          <w:p>
            <w:pPr>
              <w:jc w:val="center"/>
              <w:rPr>
                <w:szCs w:val="21"/>
              </w:rPr>
            </w:pPr>
            <w:r>
              <w:rPr>
                <w:rFonts w:hint="eastAsia"/>
                <w:szCs w:val="21"/>
              </w:rPr>
              <w:t>除尘灰</w:t>
            </w:r>
          </w:p>
        </w:tc>
        <w:tc>
          <w:tcPr>
            <w:tcW w:w="1701" w:type="dxa"/>
            <w:vAlign w:val="center"/>
          </w:tcPr>
          <w:p>
            <w:pPr>
              <w:jc w:val="center"/>
              <w:rPr>
                <w:szCs w:val="21"/>
              </w:rPr>
            </w:pPr>
            <w:r>
              <w:rPr>
                <w:szCs w:val="21"/>
              </w:rPr>
              <w:t>/</w:t>
            </w:r>
          </w:p>
        </w:tc>
        <w:tc>
          <w:tcPr>
            <w:tcW w:w="1276" w:type="dxa"/>
            <w:vAlign w:val="center"/>
          </w:tcPr>
          <w:p>
            <w:pPr>
              <w:jc w:val="center"/>
              <w:rPr>
                <w:szCs w:val="21"/>
              </w:rPr>
            </w:pPr>
            <w:r>
              <w:rPr>
                <w:szCs w:val="21"/>
              </w:rPr>
              <w:t>/</w:t>
            </w:r>
          </w:p>
        </w:tc>
        <w:tc>
          <w:tcPr>
            <w:tcW w:w="1701" w:type="dxa"/>
            <w:vAlign w:val="center"/>
          </w:tcPr>
          <w:p>
            <w:pPr>
              <w:jc w:val="center"/>
              <w:rPr>
                <w:szCs w:val="21"/>
              </w:rPr>
            </w:pPr>
            <w:r>
              <w:rPr>
                <w:szCs w:val="21"/>
              </w:rPr>
              <w:t>/</w:t>
            </w:r>
          </w:p>
        </w:tc>
        <w:tc>
          <w:tcPr>
            <w:tcW w:w="1559" w:type="dxa"/>
            <w:vAlign w:val="center"/>
          </w:tcPr>
          <w:p>
            <w:pPr>
              <w:jc w:val="center"/>
            </w:pPr>
            <w:r>
              <w:rPr>
                <w:rFonts w:hint="eastAsia"/>
              </w:rPr>
              <w:t>0</w:t>
            </w:r>
            <w:r>
              <w:t>.8 t/a</w:t>
            </w:r>
          </w:p>
        </w:tc>
        <w:tc>
          <w:tcPr>
            <w:tcW w:w="1761" w:type="dxa"/>
            <w:vAlign w:val="center"/>
          </w:tcPr>
          <w:p>
            <w:pPr>
              <w:jc w:val="center"/>
            </w:pPr>
            <w:r>
              <w:rPr>
                <w:rFonts w:hint="eastAsia"/>
              </w:rPr>
              <w:t>/</w:t>
            </w:r>
          </w:p>
        </w:tc>
        <w:tc>
          <w:tcPr>
            <w:tcW w:w="1499" w:type="dxa"/>
            <w:vAlign w:val="center"/>
          </w:tcPr>
          <w:p>
            <w:pPr>
              <w:jc w:val="center"/>
            </w:pPr>
            <w:r>
              <w:rPr>
                <w:rFonts w:hint="eastAsia"/>
              </w:rPr>
              <w:t>0</w:t>
            </w:r>
            <w:r>
              <w:t>.8 t/a</w:t>
            </w:r>
          </w:p>
        </w:tc>
        <w:tc>
          <w:tcPr>
            <w:tcW w:w="1286" w:type="dxa"/>
            <w:vAlign w:val="center"/>
          </w:tcPr>
          <w:p>
            <w:pPr>
              <w:jc w:val="center"/>
            </w:pPr>
            <w:r>
              <w:t>+</w:t>
            </w:r>
            <w:r>
              <w:rPr>
                <w:rFonts w:hint="eastAsia"/>
              </w:rPr>
              <w:t>0</w:t>
            </w:r>
            <w:r>
              <w:t>.8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Align w:val="center"/>
          </w:tcPr>
          <w:p>
            <w:pPr>
              <w:pStyle w:val="30"/>
              <w:spacing w:beforeLines="0" w:afterLines="0" w:line="240" w:lineRule="auto"/>
              <w:rPr>
                <w:rFonts w:ascii="Times New Roman"/>
                <w:snapToGrid w:val="0"/>
                <w:color w:val="000000"/>
                <w:kern w:val="21"/>
                <w:szCs w:val="21"/>
              </w:rPr>
            </w:pPr>
            <w:r>
              <w:rPr>
                <w:rFonts w:hint="eastAsia" w:ascii="Times New Roman"/>
                <w:snapToGrid w:val="0"/>
                <w:color w:val="000000"/>
                <w:kern w:val="21"/>
                <w:szCs w:val="21"/>
              </w:rPr>
              <w:t>/</w:t>
            </w:r>
          </w:p>
        </w:tc>
        <w:tc>
          <w:tcPr>
            <w:tcW w:w="1701" w:type="dxa"/>
            <w:vAlign w:val="center"/>
          </w:tcPr>
          <w:p>
            <w:pPr>
              <w:jc w:val="center"/>
              <w:rPr>
                <w:szCs w:val="21"/>
              </w:rPr>
            </w:pPr>
            <w:r>
              <w:rPr>
                <w:rFonts w:hint="eastAsia"/>
                <w:szCs w:val="21"/>
              </w:rPr>
              <w:t>生活垃圾</w:t>
            </w:r>
          </w:p>
        </w:tc>
        <w:tc>
          <w:tcPr>
            <w:tcW w:w="1701" w:type="dxa"/>
            <w:vAlign w:val="center"/>
          </w:tcPr>
          <w:p>
            <w:pPr>
              <w:jc w:val="center"/>
              <w:rPr>
                <w:szCs w:val="21"/>
              </w:rPr>
            </w:pPr>
            <w:r>
              <w:rPr>
                <w:szCs w:val="21"/>
              </w:rPr>
              <w:t>/</w:t>
            </w:r>
          </w:p>
        </w:tc>
        <w:tc>
          <w:tcPr>
            <w:tcW w:w="1276" w:type="dxa"/>
            <w:vAlign w:val="center"/>
          </w:tcPr>
          <w:p>
            <w:pPr>
              <w:jc w:val="center"/>
              <w:rPr>
                <w:szCs w:val="21"/>
              </w:rPr>
            </w:pPr>
            <w:r>
              <w:rPr>
                <w:szCs w:val="21"/>
              </w:rPr>
              <w:t>/</w:t>
            </w:r>
          </w:p>
        </w:tc>
        <w:tc>
          <w:tcPr>
            <w:tcW w:w="1701" w:type="dxa"/>
            <w:vAlign w:val="center"/>
          </w:tcPr>
          <w:p>
            <w:pPr>
              <w:jc w:val="center"/>
              <w:rPr>
                <w:szCs w:val="21"/>
              </w:rPr>
            </w:pPr>
            <w:r>
              <w:rPr>
                <w:szCs w:val="21"/>
              </w:rPr>
              <w:t>/</w:t>
            </w:r>
          </w:p>
        </w:tc>
        <w:tc>
          <w:tcPr>
            <w:tcW w:w="1559" w:type="dxa"/>
            <w:vAlign w:val="center"/>
          </w:tcPr>
          <w:p>
            <w:pPr>
              <w:jc w:val="center"/>
            </w:pPr>
            <w:r>
              <w:rPr>
                <w:szCs w:val="21"/>
              </w:rPr>
              <w:t>1.5 t/a</w:t>
            </w:r>
          </w:p>
        </w:tc>
        <w:tc>
          <w:tcPr>
            <w:tcW w:w="1761" w:type="dxa"/>
            <w:vAlign w:val="center"/>
          </w:tcPr>
          <w:p>
            <w:pPr>
              <w:jc w:val="center"/>
              <w:rPr>
                <w:snapToGrid w:val="0"/>
                <w:color w:val="000000"/>
                <w:kern w:val="21"/>
                <w:szCs w:val="21"/>
              </w:rPr>
            </w:pPr>
            <w:r>
              <w:rPr>
                <w:rFonts w:hint="eastAsia"/>
              </w:rPr>
              <w:t>/</w:t>
            </w:r>
          </w:p>
        </w:tc>
        <w:tc>
          <w:tcPr>
            <w:tcW w:w="1499" w:type="dxa"/>
            <w:vAlign w:val="center"/>
          </w:tcPr>
          <w:p>
            <w:pPr>
              <w:jc w:val="center"/>
              <w:rPr>
                <w:szCs w:val="21"/>
              </w:rPr>
            </w:pPr>
            <w:r>
              <w:rPr>
                <w:szCs w:val="21"/>
              </w:rPr>
              <w:t>1.5 t/a</w:t>
            </w:r>
          </w:p>
        </w:tc>
        <w:tc>
          <w:tcPr>
            <w:tcW w:w="1286" w:type="dxa"/>
            <w:vAlign w:val="center"/>
          </w:tcPr>
          <w:p>
            <w:pPr>
              <w:jc w:val="center"/>
              <w:rPr>
                <w:szCs w:val="21"/>
              </w:rPr>
            </w:pPr>
            <w:r>
              <w:rPr>
                <w:szCs w:val="21"/>
              </w:rPr>
              <w:t>+1.5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Merge w:val="restart"/>
            <w:vAlign w:val="center"/>
          </w:tcPr>
          <w:p>
            <w:pPr>
              <w:pStyle w:val="30"/>
              <w:spacing w:before="24" w:after="24" w:line="240" w:lineRule="auto"/>
              <w:rPr>
                <w:rFonts w:ascii="Times New Roman"/>
                <w:snapToGrid w:val="0"/>
                <w:color w:val="000000"/>
                <w:kern w:val="21"/>
                <w:szCs w:val="21"/>
              </w:rPr>
            </w:pPr>
            <w:r>
              <w:rPr>
                <w:rFonts w:ascii="Times New Roman"/>
                <w:snapToGrid w:val="0"/>
                <w:color w:val="000000"/>
                <w:kern w:val="21"/>
                <w:szCs w:val="21"/>
              </w:rPr>
              <w:t>危险废物</w:t>
            </w:r>
          </w:p>
        </w:tc>
        <w:tc>
          <w:tcPr>
            <w:tcW w:w="1701" w:type="dxa"/>
            <w:vAlign w:val="center"/>
          </w:tcPr>
          <w:p>
            <w:pPr>
              <w:jc w:val="center"/>
              <w:rPr>
                <w:szCs w:val="21"/>
              </w:rPr>
            </w:pPr>
            <w:r>
              <w:rPr>
                <w:rFonts w:hint="eastAsia"/>
                <w:szCs w:val="21"/>
              </w:rPr>
              <w:t>废活性炭、废过滤棉</w:t>
            </w:r>
          </w:p>
        </w:tc>
        <w:tc>
          <w:tcPr>
            <w:tcW w:w="1701" w:type="dxa"/>
            <w:vAlign w:val="center"/>
          </w:tcPr>
          <w:p>
            <w:pPr>
              <w:jc w:val="center"/>
            </w:pPr>
            <w:r>
              <w:rPr>
                <w:szCs w:val="21"/>
              </w:rPr>
              <w:t>/</w:t>
            </w:r>
          </w:p>
        </w:tc>
        <w:tc>
          <w:tcPr>
            <w:tcW w:w="1276" w:type="dxa"/>
            <w:vAlign w:val="center"/>
          </w:tcPr>
          <w:p>
            <w:pPr>
              <w:jc w:val="center"/>
            </w:pPr>
            <w:r>
              <w:rPr>
                <w:szCs w:val="21"/>
              </w:rPr>
              <w:t>/</w:t>
            </w:r>
          </w:p>
        </w:tc>
        <w:tc>
          <w:tcPr>
            <w:tcW w:w="1701" w:type="dxa"/>
            <w:vAlign w:val="center"/>
          </w:tcPr>
          <w:p>
            <w:pPr>
              <w:jc w:val="center"/>
            </w:pPr>
            <w:r>
              <w:rPr>
                <w:szCs w:val="21"/>
              </w:rPr>
              <w:t>/</w:t>
            </w:r>
          </w:p>
        </w:tc>
        <w:tc>
          <w:tcPr>
            <w:tcW w:w="1559" w:type="dxa"/>
            <w:vAlign w:val="center"/>
          </w:tcPr>
          <w:p>
            <w:pPr>
              <w:spacing w:line="300" w:lineRule="exact"/>
              <w:jc w:val="center"/>
              <w:rPr>
                <w:szCs w:val="21"/>
              </w:rPr>
            </w:pPr>
            <w:r>
              <w:rPr>
                <w:szCs w:val="21"/>
              </w:rPr>
              <w:t>1.2 t/a</w:t>
            </w:r>
          </w:p>
        </w:tc>
        <w:tc>
          <w:tcPr>
            <w:tcW w:w="1761" w:type="dxa"/>
            <w:vAlign w:val="center"/>
          </w:tcPr>
          <w:p>
            <w:pPr>
              <w:jc w:val="center"/>
            </w:pPr>
            <w:r>
              <w:rPr>
                <w:rFonts w:hint="eastAsia"/>
              </w:rPr>
              <w:t>/</w:t>
            </w:r>
          </w:p>
        </w:tc>
        <w:tc>
          <w:tcPr>
            <w:tcW w:w="1499" w:type="dxa"/>
            <w:vAlign w:val="center"/>
          </w:tcPr>
          <w:p>
            <w:pPr>
              <w:spacing w:line="300" w:lineRule="exact"/>
              <w:jc w:val="center"/>
              <w:rPr>
                <w:szCs w:val="21"/>
              </w:rPr>
            </w:pPr>
            <w:r>
              <w:rPr>
                <w:szCs w:val="21"/>
              </w:rPr>
              <w:t>1.2 t/a</w:t>
            </w:r>
          </w:p>
        </w:tc>
        <w:tc>
          <w:tcPr>
            <w:tcW w:w="1286" w:type="dxa"/>
            <w:vAlign w:val="center"/>
          </w:tcPr>
          <w:p>
            <w:pPr>
              <w:spacing w:line="300" w:lineRule="exact"/>
              <w:jc w:val="center"/>
              <w:rPr>
                <w:szCs w:val="21"/>
              </w:rPr>
            </w:pPr>
            <w:r>
              <w:rPr>
                <w:szCs w:val="21"/>
              </w:rPr>
              <w:t>+1.2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Merge w:val="continue"/>
            <w:vAlign w:val="center"/>
          </w:tcPr>
          <w:p>
            <w:pPr>
              <w:pStyle w:val="30"/>
              <w:spacing w:before="24" w:after="24" w:line="240" w:lineRule="auto"/>
              <w:rPr>
                <w:rFonts w:ascii="Times New Roman"/>
                <w:snapToGrid w:val="0"/>
                <w:color w:val="000000"/>
                <w:kern w:val="21"/>
                <w:szCs w:val="21"/>
              </w:rPr>
            </w:pPr>
          </w:p>
        </w:tc>
        <w:tc>
          <w:tcPr>
            <w:tcW w:w="1701" w:type="dxa"/>
            <w:vAlign w:val="center"/>
          </w:tcPr>
          <w:p>
            <w:pPr>
              <w:jc w:val="center"/>
              <w:rPr>
                <w:szCs w:val="21"/>
              </w:rPr>
            </w:pPr>
            <w:r>
              <w:rPr>
                <w:rFonts w:hint="eastAsia"/>
                <w:szCs w:val="21"/>
              </w:rPr>
              <w:t>废液压油</w:t>
            </w:r>
          </w:p>
        </w:tc>
        <w:tc>
          <w:tcPr>
            <w:tcW w:w="1701" w:type="dxa"/>
            <w:vAlign w:val="center"/>
          </w:tcPr>
          <w:p>
            <w:pPr>
              <w:jc w:val="center"/>
              <w:rPr>
                <w:szCs w:val="21"/>
              </w:rPr>
            </w:pPr>
            <w:r>
              <w:rPr>
                <w:szCs w:val="21"/>
              </w:rPr>
              <w:t>/</w:t>
            </w:r>
          </w:p>
        </w:tc>
        <w:tc>
          <w:tcPr>
            <w:tcW w:w="1276" w:type="dxa"/>
            <w:vAlign w:val="center"/>
          </w:tcPr>
          <w:p>
            <w:pPr>
              <w:jc w:val="center"/>
              <w:rPr>
                <w:szCs w:val="21"/>
              </w:rPr>
            </w:pPr>
            <w:r>
              <w:rPr>
                <w:szCs w:val="21"/>
              </w:rPr>
              <w:t>/</w:t>
            </w:r>
          </w:p>
        </w:tc>
        <w:tc>
          <w:tcPr>
            <w:tcW w:w="1701" w:type="dxa"/>
            <w:vAlign w:val="center"/>
          </w:tcPr>
          <w:p>
            <w:pPr>
              <w:jc w:val="center"/>
              <w:rPr>
                <w:szCs w:val="21"/>
              </w:rPr>
            </w:pPr>
            <w:r>
              <w:rPr>
                <w:szCs w:val="21"/>
              </w:rPr>
              <w:t>/</w:t>
            </w:r>
          </w:p>
        </w:tc>
        <w:tc>
          <w:tcPr>
            <w:tcW w:w="1559" w:type="dxa"/>
            <w:vAlign w:val="center"/>
          </w:tcPr>
          <w:p>
            <w:pPr>
              <w:spacing w:line="300" w:lineRule="exact"/>
              <w:jc w:val="center"/>
              <w:rPr>
                <w:szCs w:val="21"/>
              </w:rPr>
            </w:pPr>
            <w:r>
              <w:rPr>
                <w:rFonts w:hint="eastAsia"/>
                <w:szCs w:val="21"/>
              </w:rPr>
              <w:t>0</w:t>
            </w:r>
            <w:r>
              <w:rPr>
                <w:szCs w:val="21"/>
              </w:rPr>
              <w:t>.1 t/a</w:t>
            </w:r>
          </w:p>
        </w:tc>
        <w:tc>
          <w:tcPr>
            <w:tcW w:w="1761" w:type="dxa"/>
            <w:vAlign w:val="center"/>
          </w:tcPr>
          <w:p>
            <w:pPr>
              <w:jc w:val="center"/>
            </w:pPr>
            <w:r>
              <w:rPr>
                <w:szCs w:val="21"/>
              </w:rPr>
              <w:t>/</w:t>
            </w:r>
          </w:p>
        </w:tc>
        <w:tc>
          <w:tcPr>
            <w:tcW w:w="1499" w:type="dxa"/>
            <w:vAlign w:val="center"/>
          </w:tcPr>
          <w:p>
            <w:pPr>
              <w:spacing w:line="300" w:lineRule="exact"/>
              <w:jc w:val="center"/>
              <w:rPr>
                <w:szCs w:val="21"/>
              </w:rPr>
            </w:pPr>
            <w:r>
              <w:rPr>
                <w:rFonts w:hint="eastAsia"/>
                <w:szCs w:val="21"/>
              </w:rPr>
              <w:t>0</w:t>
            </w:r>
            <w:r>
              <w:rPr>
                <w:szCs w:val="21"/>
              </w:rPr>
              <w:t>.1 t/a</w:t>
            </w:r>
          </w:p>
        </w:tc>
        <w:tc>
          <w:tcPr>
            <w:tcW w:w="1286" w:type="dxa"/>
            <w:vAlign w:val="center"/>
          </w:tcPr>
          <w:p>
            <w:pPr>
              <w:spacing w:line="300" w:lineRule="exact"/>
              <w:jc w:val="center"/>
              <w:rPr>
                <w:szCs w:val="21"/>
              </w:rPr>
            </w:pPr>
            <w:r>
              <w:rPr>
                <w:szCs w:val="21"/>
              </w:rPr>
              <w:t>+</w:t>
            </w:r>
            <w:r>
              <w:rPr>
                <w:rFonts w:hint="eastAsia"/>
                <w:szCs w:val="21"/>
              </w:rPr>
              <w:t>0</w:t>
            </w:r>
            <w:r>
              <w:rPr>
                <w:szCs w:val="21"/>
              </w:rPr>
              <w:t>.1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vMerge w:val="continue"/>
            <w:vAlign w:val="center"/>
          </w:tcPr>
          <w:p>
            <w:pPr>
              <w:pStyle w:val="30"/>
              <w:spacing w:before="24" w:after="24" w:line="240" w:lineRule="auto"/>
              <w:rPr>
                <w:rFonts w:ascii="Times New Roman"/>
                <w:snapToGrid w:val="0"/>
                <w:color w:val="000000"/>
                <w:kern w:val="21"/>
                <w:szCs w:val="21"/>
              </w:rPr>
            </w:pPr>
          </w:p>
        </w:tc>
        <w:tc>
          <w:tcPr>
            <w:tcW w:w="1701" w:type="dxa"/>
            <w:vAlign w:val="center"/>
          </w:tcPr>
          <w:p>
            <w:pPr>
              <w:jc w:val="center"/>
              <w:rPr>
                <w:szCs w:val="21"/>
              </w:rPr>
            </w:pPr>
            <w:r>
              <w:rPr>
                <w:rFonts w:hint="eastAsia"/>
                <w:szCs w:val="21"/>
              </w:rPr>
              <w:t>废油桶</w:t>
            </w:r>
          </w:p>
        </w:tc>
        <w:tc>
          <w:tcPr>
            <w:tcW w:w="1701" w:type="dxa"/>
            <w:vAlign w:val="center"/>
          </w:tcPr>
          <w:p>
            <w:pPr>
              <w:jc w:val="center"/>
              <w:rPr>
                <w:szCs w:val="21"/>
              </w:rPr>
            </w:pPr>
            <w:r>
              <w:rPr>
                <w:szCs w:val="21"/>
              </w:rPr>
              <w:t>/</w:t>
            </w:r>
          </w:p>
        </w:tc>
        <w:tc>
          <w:tcPr>
            <w:tcW w:w="1276" w:type="dxa"/>
            <w:vAlign w:val="center"/>
          </w:tcPr>
          <w:p>
            <w:pPr>
              <w:jc w:val="center"/>
              <w:rPr>
                <w:szCs w:val="21"/>
              </w:rPr>
            </w:pPr>
            <w:r>
              <w:rPr>
                <w:szCs w:val="21"/>
              </w:rPr>
              <w:t>/</w:t>
            </w:r>
          </w:p>
        </w:tc>
        <w:tc>
          <w:tcPr>
            <w:tcW w:w="1701" w:type="dxa"/>
            <w:vAlign w:val="center"/>
          </w:tcPr>
          <w:p>
            <w:pPr>
              <w:jc w:val="center"/>
              <w:rPr>
                <w:szCs w:val="21"/>
              </w:rPr>
            </w:pPr>
            <w:r>
              <w:rPr>
                <w:szCs w:val="21"/>
              </w:rPr>
              <w:t>/</w:t>
            </w:r>
          </w:p>
        </w:tc>
        <w:tc>
          <w:tcPr>
            <w:tcW w:w="1559" w:type="dxa"/>
            <w:vAlign w:val="center"/>
          </w:tcPr>
          <w:p>
            <w:pPr>
              <w:spacing w:line="300" w:lineRule="exact"/>
              <w:jc w:val="center"/>
              <w:rPr>
                <w:szCs w:val="21"/>
              </w:rPr>
            </w:pPr>
            <w:r>
              <w:rPr>
                <w:rFonts w:hint="eastAsia"/>
                <w:szCs w:val="21"/>
              </w:rPr>
              <w:t>0</w:t>
            </w:r>
            <w:r>
              <w:rPr>
                <w:szCs w:val="21"/>
              </w:rPr>
              <w:t>.05 t/a</w:t>
            </w:r>
          </w:p>
        </w:tc>
        <w:tc>
          <w:tcPr>
            <w:tcW w:w="1761" w:type="dxa"/>
            <w:vAlign w:val="center"/>
          </w:tcPr>
          <w:p>
            <w:pPr>
              <w:jc w:val="center"/>
            </w:pPr>
            <w:r>
              <w:rPr>
                <w:szCs w:val="21"/>
              </w:rPr>
              <w:t>/</w:t>
            </w:r>
          </w:p>
        </w:tc>
        <w:tc>
          <w:tcPr>
            <w:tcW w:w="1499" w:type="dxa"/>
            <w:vAlign w:val="center"/>
          </w:tcPr>
          <w:p>
            <w:pPr>
              <w:spacing w:line="300" w:lineRule="exact"/>
              <w:jc w:val="center"/>
              <w:rPr>
                <w:szCs w:val="21"/>
              </w:rPr>
            </w:pPr>
            <w:r>
              <w:rPr>
                <w:rFonts w:hint="eastAsia"/>
                <w:szCs w:val="21"/>
              </w:rPr>
              <w:t>0</w:t>
            </w:r>
            <w:r>
              <w:rPr>
                <w:szCs w:val="21"/>
              </w:rPr>
              <w:t>.05 t/a</w:t>
            </w:r>
          </w:p>
        </w:tc>
        <w:tc>
          <w:tcPr>
            <w:tcW w:w="1286" w:type="dxa"/>
            <w:vAlign w:val="center"/>
          </w:tcPr>
          <w:p>
            <w:pPr>
              <w:spacing w:line="300" w:lineRule="exact"/>
              <w:jc w:val="center"/>
              <w:rPr>
                <w:szCs w:val="21"/>
              </w:rPr>
            </w:pPr>
            <w:r>
              <w:rPr>
                <w:szCs w:val="21"/>
              </w:rPr>
              <w:t>+</w:t>
            </w:r>
            <w:r>
              <w:rPr>
                <w:rFonts w:hint="eastAsia"/>
                <w:szCs w:val="21"/>
              </w:rPr>
              <w:t>0</w:t>
            </w:r>
            <w:r>
              <w:rPr>
                <w:szCs w:val="21"/>
              </w:rPr>
              <w:t>.05 t/a</w:t>
            </w:r>
          </w:p>
        </w:tc>
      </w:tr>
    </w:tbl>
    <w:p>
      <w:pPr>
        <w:pStyle w:val="30"/>
        <w:spacing w:before="192" w:beforeLines="80" w:after="24"/>
        <w:jc w:val="left"/>
        <w:rPr>
          <w:rFonts w:hAnsi="宋体" w:eastAsia="黑体"/>
        </w:rPr>
      </w:pPr>
      <w:r>
        <w:rPr>
          <w:rFonts w:hAnsi="宋体"/>
          <w:snapToGrid w:val="0"/>
          <w:color w:val="000000"/>
          <w:kern w:val="21"/>
          <w:szCs w:val="21"/>
        </w:rPr>
        <w:t>注：</w:t>
      </w:r>
      <w:r>
        <w:rPr>
          <w:rFonts w:hAnsi="宋体"/>
          <w:snapToGrid w:val="0"/>
          <w:color w:val="000000"/>
          <w:spacing w:val="-16"/>
          <w:kern w:val="21"/>
          <w:szCs w:val="21"/>
        </w:rPr>
        <w:fldChar w:fldCharType="begin"/>
      </w:r>
      <w:r>
        <w:rPr>
          <w:rFonts w:hAnsi="宋体"/>
          <w:snapToGrid w:val="0"/>
          <w:color w:val="000000"/>
          <w:spacing w:val="-16"/>
          <w:kern w:val="21"/>
          <w:szCs w:val="21"/>
        </w:rPr>
        <w:instrText xml:space="preserve"> = 6 \* GB3 \* MERGEFORMAT </w:instrText>
      </w:r>
      <w:r>
        <w:rPr>
          <w:rFonts w:hAnsi="宋体"/>
          <w:snapToGrid w:val="0"/>
          <w:color w:val="000000"/>
          <w:spacing w:val="-16"/>
          <w:kern w:val="21"/>
          <w:szCs w:val="21"/>
        </w:rPr>
        <w:fldChar w:fldCharType="separate"/>
      </w:r>
      <w:r>
        <w:rPr>
          <w:rFonts w:hint="eastAsia" w:hAnsi="宋体"/>
          <w:szCs w:val="21"/>
        </w:rPr>
        <w:t>⑥</w:t>
      </w:r>
      <w:r>
        <w:rPr>
          <w:rFonts w:hAnsi="宋体"/>
          <w:snapToGrid w:val="0"/>
          <w:color w:val="000000"/>
          <w:spacing w:val="-16"/>
          <w:kern w:val="21"/>
          <w:szCs w:val="21"/>
        </w:rPr>
        <w:fldChar w:fldCharType="end"/>
      </w:r>
      <w:r>
        <w:rPr>
          <w:rFonts w:hAnsi="宋体"/>
          <w:snapToGrid w:val="0"/>
          <w:color w:val="000000"/>
          <w:spacing w:val="-1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1 \* GB3 \* MERGEFORMAT </w:instrText>
      </w:r>
      <w:r>
        <w:rPr>
          <w:rFonts w:hAnsi="宋体"/>
          <w:snapToGrid w:val="0"/>
          <w:color w:val="000000"/>
          <w:spacing w:val="-6"/>
          <w:kern w:val="21"/>
          <w:szCs w:val="21"/>
        </w:rPr>
        <w:fldChar w:fldCharType="separate"/>
      </w:r>
      <w:r>
        <w:rPr>
          <w:rFonts w:hint="eastAsia" w:hAnsi="宋体"/>
          <w:szCs w:val="21"/>
        </w:rPr>
        <w:t>①</w:t>
      </w:r>
      <w:r>
        <w:rPr>
          <w:rFonts w:hAnsi="宋体"/>
          <w:snapToGrid w:val="0"/>
          <w:color w:val="000000"/>
          <w:spacing w:val="-6"/>
          <w:kern w:val="21"/>
          <w:szCs w:val="21"/>
        </w:rPr>
        <w:fldChar w:fldCharType="end"/>
      </w:r>
      <w:r>
        <w:rPr>
          <w:rFonts w:hAnsi="宋体"/>
          <w:snapToGrid w:val="0"/>
          <w:color w:val="000000"/>
          <w:spacing w:val="-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3 \* GB3 \* MERGEFORMAT </w:instrText>
      </w:r>
      <w:r>
        <w:rPr>
          <w:rFonts w:hAnsi="宋体"/>
          <w:snapToGrid w:val="0"/>
          <w:color w:val="000000"/>
          <w:spacing w:val="-6"/>
          <w:kern w:val="21"/>
          <w:szCs w:val="21"/>
        </w:rPr>
        <w:fldChar w:fldCharType="separate"/>
      </w:r>
      <w:r>
        <w:rPr>
          <w:rFonts w:hint="eastAsia" w:hAnsi="宋体"/>
          <w:szCs w:val="21"/>
        </w:rPr>
        <w:t>③</w:t>
      </w:r>
      <w:r>
        <w:rPr>
          <w:rFonts w:hAnsi="宋体"/>
          <w:snapToGrid w:val="0"/>
          <w:color w:val="000000"/>
          <w:spacing w:val="-6"/>
          <w:kern w:val="21"/>
          <w:szCs w:val="21"/>
        </w:rPr>
        <w:fldChar w:fldCharType="end"/>
      </w:r>
      <w:r>
        <w:rPr>
          <w:rFonts w:hAnsi="宋体"/>
          <w:snapToGrid w:val="0"/>
          <w:color w:val="000000"/>
          <w:spacing w:val="-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4 \* GB3 \* MERGEFORMAT </w:instrText>
      </w:r>
      <w:r>
        <w:rPr>
          <w:rFonts w:hAnsi="宋体"/>
          <w:snapToGrid w:val="0"/>
          <w:color w:val="000000"/>
          <w:spacing w:val="-6"/>
          <w:kern w:val="21"/>
          <w:szCs w:val="21"/>
        </w:rPr>
        <w:fldChar w:fldCharType="separate"/>
      </w:r>
      <w:r>
        <w:rPr>
          <w:rFonts w:hint="eastAsia" w:hAnsi="宋体"/>
          <w:szCs w:val="21"/>
        </w:rPr>
        <w:t>④</w:t>
      </w:r>
      <w:r>
        <w:rPr>
          <w:rFonts w:hAnsi="宋体"/>
          <w:snapToGrid w:val="0"/>
          <w:color w:val="000000"/>
          <w:spacing w:val="-6"/>
          <w:kern w:val="21"/>
          <w:szCs w:val="21"/>
        </w:rPr>
        <w:fldChar w:fldCharType="end"/>
      </w:r>
      <w:r>
        <w:rPr>
          <w:rFonts w:hAnsi="宋体"/>
          <w:snapToGrid w:val="0"/>
          <w:color w:val="000000"/>
          <w:spacing w:val="-6"/>
          <w:kern w:val="21"/>
          <w:szCs w:val="21"/>
        </w:rPr>
        <w:t>-</w:t>
      </w:r>
      <w:r>
        <w:rPr>
          <w:rFonts w:hAnsi="宋体"/>
          <w:snapToGrid w:val="0"/>
          <w:color w:val="000000"/>
          <w:spacing w:val="-16"/>
          <w:kern w:val="21"/>
          <w:szCs w:val="21"/>
        </w:rPr>
        <w:fldChar w:fldCharType="begin"/>
      </w:r>
      <w:r>
        <w:rPr>
          <w:rFonts w:hAnsi="宋体"/>
          <w:snapToGrid w:val="0"/>
          <w:color w:val="000000"/>
          <w:spacing w:val="-16"/>
          <w:kern w:val="21"/>
          <w:szCs w:val="21"/>
        </w:rPr>
        <w:instrText xml:space="preserve"> = 5 \* GB3 \* MERGEFORMAT </w:instrText>
      </w:r>
      <w:r>
        <w:rPr>
          <w:rFonts w:hAnsi="宋体"/>
          <w:snapToGrid w:val="0"/>
          <w:color w:val="000000"/>
          <w:spacing w:val="-16"/>
          <w:kern w:val="21"/>
          <w:szCs w:val="21"/>
        </w:rPr>
        <w:fldChar w:fldCharType="separate"/>
      </w:r>
      <w:r>
        <w:rPr>
          <w:rFonts w:hint="eastAsia" w:hAnsi="宋体"/>
          <w:szCs w:val="21"/>
        </w:rPr>
        <w:t>⑤</w:t>
      </w:r>
      <w:r>
        <w:rPr>
          <w:rFonts w:hAnsi="宋体"/>
          <w:snapToGrid w:val="0"/>
          <w:color w:val="000000"/>
          <w:spacing w:val="-16"/>
          <w:kern w:val="21"/>
          <w:szCs w:val="21"/>
        </w:rPr>
        <w:fldChar w:fldCharType="end"/>
      </w:r>
      <w:r>
        <w:rPr>
          <w:rFonts w:hAnsi="宋体"/>
          <w:snapToGrid w:val="0"/>
          <w:color w:val="000000"/>
          <w:spacing w:val="-1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7 \* GB3 \* MERGEFORMAT </w:instrText>
      </w:r>
      <w:r>
        <w:rPr>
          <w:rFonts w:hAnsi="宋体"/>
          <w:snapToGrid w:val="0"/>
          <w:color w:val="000000"/>
          <w:spacing w:val="-6"/>
          <w:kern w:val="21"/>
          <w:szCs w:val="21"/>
        </w:rPr>
        <w:fldChar w:fldCharType="separate"/>
      </w:r>
      <w:r>
        <w:rPr>
          <w:rFonts w:hint="eastAsia" w:hAnsi="宋体"/>
          <w:szCs w:val="21"/>
        </w:rPr>
        <w:t>⑦</w:t>
      </w:r>
      <w:r>
        <w:rPr>
          <w:rFonts w:hAnsi="宋体"/>
          <w:snapToGrid w:val="0"/>
          <w:color w:val="000000"/>
          <w:spacing w:val="-6"/>
          <w:kern w:val="21"/>
          <w:szCs w:val="21"/>
        </w:rPr>
        <w:fldChar w:fldCharType="end"/>
      </w:r>
      <w:r>
        <w:rPr>
          <w:rFonts w:hAnsi="宋体"/>
          <w:snapToGrid w:val="0"/>
          <w:color w:val="000000"/>
          <w:spacing w:val="-6"/>
          <w:kern w:val="21"/>
          <w:szCs w:val="21"/>
        </w:rPr>
        <w:t>=</w:t>
      </w:r>
      <w:r>
        <w:rPr>
          <w:rFonts w:hAnsi="宋体"/>
          <w:snapToGrid w:val="0"/>
          <w:color w:val="000000"/>
          <w:spacing w:val="-16"/>
          <w:kern w:val="21"/>
          <w:szCs w:val="21"/>
        </w:rPr>
        <w:fldChar w:fldCharType="begin"/>
      </w:r>
      <w:r>
        <w:rPr>
          <w:rFonts w:hAnsi="宋体"/>
          <w:snapToGrid w:val="0"/>
          <w:color w:val="000000"/>
          <w:spacing w:val="-16"/>
          <w:kern w:val="21"/>
          <w:szCs w:val="21"/>
        </w:rPr>
        <w:instrText xml:space="preserve"> = 6 \* GB3 \* MERGEFORMAT </w:instrText>
      </w:r>
      <w:r>
        <w:rPr>
          <w:rFonts w:hAnsi="宋体"/>
          <w:snapToGrid w:val="0"/>
          <w:color w:val="000000"/>
          <w:spacing w:val="-16"/>
          <w:kern w:val="21"/>
          <w:szCs w:val="21"/>
        </w:rPr>
        <w:fldChar w:fldCharType="separate"/>
      </w:r>
      <w:r>
        <w:rPr>
          <w:rFonts w:hint="eastAsia" w:hAnsi="宋体"/>
          <w:szCs w:val="21"/>
        </w:rPr>
        <w:t>⑥</w:t>
      </w:r>
      <w:r>
        <w:rPr>
          <w:rFonts w:hAnsi="宋体"/>
          <w:snapToGrid w:val="0"/>
          <w:color w:val="000000"/>
          <w:spacing w:val="-16"/>
          <w:kern w:val="21"/>
          <w:szCs w:val="21"/>
        </w:rPr>
        <w:fldChar w:fldCharType="end"/>
      </w:r>
      <w:r>
        <w:rPr>
          <w:rFonts w:hAnsi="宋体"/>
          <w:snapToGrid w:val="0"/>
          <w:color w:val="000000"/>
          <w:spacing w:val="-1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1 \* GB3 \* MERGEFORMAT </w:instrText>
      </w:r>
      <w:r>
        <w:rPr>
          <w:rFonts w:hAnsi="宋体"/>
          <w:snapToGrid w:val="0"/>
          <w:color w:val="000000"/>
          <w:spacing w:val="-6"/>
          <w:kern w:val="21"/>
          <w:szCs w:val="21"/>
        </w:rPr>
        <w:fldChar w:fldCharType="separate"/>
      </w:r>
      <w:r>
        <w:rPr>
          <w:rFonts w:hint="eastAsia" w:hAnsi="宋体"/>
          <w:szCs w:val="21"/>
        </w:rPr>
        <w:t>①</w:t>
      </w:r>
      <w:r>
        <w:rPr>
          <w:rFonts w:hAnsi="宋体"/>
          <w:snapToGrid w:val="0"/>
          <w:color w:val="000000"/>
          <w:spacing w:val="-6"/>
          <w:kern w:val="21"/>
          <w:szCs w:val="21"/>
        </w:rPr>
        <w:fldChar w:fldCharType="end"/>
      </w:r>
    </w:p>
    <w:sectPr>
      <w:footerReference r:id="rId4" w:type="default"/>
      <w:pgSz w:w="16838" w:h="11906" w:orient="landscape"/>
      <w:pgMar w:top="1531" w:right="1701" w:bottom="1531" w:left="1701" w:header="851" w:footer="85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Wingdings 2">
    <w:panose1 w:val="05020102010507070707"/>
    <w:charset w:val="02"/>
    <w:family w:val="roman"/>
    <w:pitch w:val="default"/>
    <w:sig w:usb0="00000000" w:usb1="00000000" w:usb2="00000000" w:usb3="00000000" w:csb0="80000000" w:csb1="00000000"/>
  </w:font>
  <w:font w:name="Cambria Math">
    <w:panose1 w:val="02040503050406030204"/>
    <w:charset w:val="00"/>
    <w:family w:val="roman"/>
    <w:pitch w:val="default"/>
    <w:sig w:usb0="E00002FF" w:usb1="420024FF" w:usb2="00000000"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firstLine="360"/>
      <w:jc w:val="center"/>
    </w:pP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 </w:t>
    </w:r>
    <w:r>
      <w:rPr>
        <w:b/>
        <w:bCs/>
      </w:rPr>
      <w:t>45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firstLine="360"/>
      <w:jc w:val="cen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characterSpacingControl w:val="doNotCompress"/>
  <w:noLineBreaksAfter w:lang="zh-CN" w:val="([{·‘“〈《「『【〔〖（．［｛￡￥"/>
  <w:noLineBreaksBefore w:lang="zh-CN" w:val="!),.:;?]}¨·ˇˉ―‖’”…∶、。〃々〉》」』】〕〗！＂＇），．：；？］｀｜｝～￠"/>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947"/>
    <w:rsid w:val="0000062E"/>
    <w:rsid w:val="00001EAD"/>
    <w:rsid w:val="00003AE0"/>
    <w:rsid w:val="000060B3"/>
    <w:rsid w:val="00006135"/>
    <w:rsid w:val="000064A0"/>
    <w:rsid w:val="00006DCB"/>
    <w:rsid w:val="00006EB5"/>
    <w:rsid w:val="00007C64"/>
    <w:rsid w:val="00007E24"/>
    <w:rsid w:val="000149D5"/>
    <w:rsid w:val="000155D0"/>
    <w:rsid w:val="00017D61"/>
    <w:rsid w:val="00017DAD"/>
    <w:rsid w:val="00020359"/>
    <w:rsid w:val="00022E6B"/>
    <w:rsid w:val="000239D0"/>
    <w:rsid w:val="00024723"/>
    <w:rsid w:val="000247E8"/>
    <w:rsid w:val="00025432"/>
    <w:rsid w:val="00025E15"/>
    <w:rsid w:val="000274A7"/>
    <w:rsid w:val="000307D8"/>
    <w:rsid w:val="00030A1E"/>
    <w:rsid w:val="00034954"/>
    <w:rsid w:val="0003618B"/>
    <w:rsid w:val="00040502"/>
    <w:rsid w:val="000417A2"/>
    <w:rsid w:val="00042155"/>
    <w:rsid w:val="0004248F"/>
    <w:rsid w:val="0004364B"/>
    <w:rsid w:val="000471F4"/>
    <w:rsid w:val="00047DCC"/>
    <w:rsid w:val="0005156B"/>
    <w:rsid w:val="000528C4"/>
    <w:rsid w:val="0005308C"/>
    <w:rsid w:val="00053830"/>
    <w:rsid w:val="000539E2"/>
    <w:rsid w:val="00054900"/>
    <w:rsid w:val="00060750"/>
    <w:rsid w:val="000619B3"/>
    <w:rsid w:val="00061B1F"/>
    <w:rsid w:val="00062267"/>
    <w:rsid w:val="0006248A"/>
    <w:rsid w:val="000628AF"/>
    <w:rsid w:val="00063446"/>
    <w:rsid w:val="0006378A"/>
    <w:rsid w:val="0006486B"/>
    <w:rsid w:val="00066756"/>
    <w:rsid w:val="00066B67"/>
    <w:rsid w:val="000671C0"/>
    <w:rsid w:val="000703F1"/>
    <w:rsid w:val="000704D4"/>
    <w:rsid w:val="0007239C"/>
    <w:rsid w:val="00072E41"/>
    <w:rsid w:val="000733C4"/>
    <w:rsid w:val="00074783"/>
    <w:rsid w:val="00076CA8"/>
    <w:rsid w:val="00076E18"/>
    <w:rsid w:val="00077655"/>
    <w:rsid w:val="0008070B"/>
    <w:rsid w:val="000810AC"/>
    <w:rsid w:val="000817C2"/>
    <w:rsid w:val="00081A02"/>
    <w:rsid w:val="00081B9E"/>
    <w:rsid w:val="00082231"/>
    <w:rsid w:val="0008415C"/>
    <w:rsid w:val="00084A91"/>
    <w:rsid w:val="00085130"/>
    <w:rsid w:val="000859A7"/>
    <w:rsid w:val="00085E49"/>
    <w:rsid w:val="00085FB0"/>
    <w:rsid w:val="00086346"/>
    <w:rsid w:val="00087088"/>
    <w:rsid w:val="00092D38"/>
    <w:rsid w:val="0009377B"/>
    <w:rsid w:val="00094DC6"/>
    <w:rsid w:val="00094FF3"/>
    <w:rsid w:val="0009535F"/>
    <w:rsid w:val="0009565C"/>
    <w:rsid w:val="00097FE9"/>
    <w:rsid w:val="000A1927"/>
    <w:rsid w:val="000A200E"/>
    <w:rsid w:val="000A20C9"/>
    <w:rsid w:val="000A7652"/>
    <w:rsid w:val="000A7B80"/>
    <w:rsid w:val="000B058F"/>
    <w:rsid w:val="000B1DEB"/>
    <w:rsid w:val="000B296D"/>
    <w:rsid w:val="000B2BA7"/>
    <w:rsid w:val="000B2F50"/>
    <w:rsid w:val="000B4467"/>
    <w:rsid w:val="000B4DB9"/>
    <w:rsid w:val="000B501F"/>
    <w:rsid w:val="000B5180"/>
    <w:rsid w:val="000B5612"/>
    <w:rsid w:val="000B582C"/>
    <w:rsid w:val="000B58EE"/>
    <w:rsid w:val="000B5D9E"/>
    <w:rsid w:val="000B5DEE"/>
    <w:rsid w:val="000B5F17"/>
    <w:rsid w:val="000B6082"/>
    <w:rsid w:val="000C032B"/>
    <w:rsid w:val="000C09AC"/>
    <w:rsid w:val="000C1321"/>
    <w:rsid w:val="000C2030"/>
    <w:rsid w:val="000C2213"/>
    <w:rsid w:val="000C2406"/>
    <w:rsid w:val="000C6F43"/>
    <w:rsid w:val="000C767F"/>
    <w:rsid w:val="000C7C97"/>
    <w:rsid w:val="000D4E7C"/>
    <w:rsid w:val="000D5A44"/>
    <w:rsid w:val="000E11E7"/>
    <w:rsid w:val="000E3772"/>
    <w:rsid w:val="000E3ED2"/>
    <w:rsid w:val="000E44FB"/>
    <w:rsid w:val="000E4EFF"/>
    <w:rsid w:val="000E52FF"/>
    <w:rsid w:val="000E53F4"/>
    <w:rsid w:val="000E69A5"/>
    <w:rsid w:val="000F169E"/>
    <w:rsid w:val="000F1A08"/>
    <w:rsid w:val="000F1C66"/>
    <w:rsid w:val="000F2CB2"/>
    <w:rsid w:val="000F42F5"/>
    <w:rsid w:val="000F4335"/>
    <w:rsid w:val="000F4467"/>
    <w:rsid w:val="000F558F"/>
    <w:rsid w:val="000F5C6C"/>
    <w:rsid w:val="000F6962"/>
    <w:rsid w:val="000F6EB4"/>
    <w:rsid w:val="000F787E"/>
    <w:rsid w:val="001004BA"/>
    <w:rsid w:val="001019F0"/>
    <w:rsid w:val="00101C9C"/>
    <w:rsid w:val="00104CF7"/>
    <w:rsid w:val="00104FF7"/>
    <w:rsid w:val="001061A0"/>
    <w:rsid w:val="00106233"/>
    <w:rsid w:val="0010629C"/>
    <w:rsid w:val="00106D51"/>
    <w:rsid w:val="001073FE"/>
    <w:rsid w:val="00107EED"/>
    <w:rsid w:val="00110109"/>
    <w:rsid w:val="00110FB2"/>
    <w:rsid w:val="0011262A"/>
    <w:rsid w:val="001128A0"/>
    <w:rsid w:val="00112B2F"/>
    <w:rsid w:val="001130FC"/>
    <w:rsid w:val="001145E6"/>
    <w:rsid w:val="00115DE3"/>
    <w:rsid w:val="00115E09"/>
    <w:rsid w:val="00116D0E"/>
    <w:rsid w:val="00117CC0"/>
    <w:rsid w:val="0012409D"/>
    <w:rsid w:val="00124558"/>
    <w:rsid w:val="00124A5D"/>
    <w:rsid w:val="001264A0"/>
    <w:rsid w:val="00127511"/>
    <w:rsid w:val="00130140"/>
    <w:rsid w:val="00130B71"/>
    <w:rsid w:val="0013161D"/>
    <w:rsid w:val="00131E24"/>
    <w:rsid w:val="00131F42"/>
    <w:rsid w:val="001333D5"/>
    <w:rsid w:val="001357F1"/>
    <w:rsid w:val="0014072B"/>
    <w:rsid w:val="00140FA8"/>
    <w:rsid w:val="00141C58"/>
    <w:rsid w:val="00141F7B"/>
    <w:rsid w:val="001429A1"/>
    <w:rsid w:val="00142B5E"/>
    <w:rsid w:val="00142FEB"/>
    <w:rsid w:val="00143378"/>
    <w:rsid w:val="00143A2D"/>
    <w:rsid w:val="00144ED7"/>
    <w:rsid w:val="00145762"/>
    <w:rsid w:val="00145A2A"/>
    <w:rsid w:val="00145A41"/>
    <w:rsid w:val="00150C2C"/>
    <w:rsid w:val="00151675"/>
    <w:rsid w:val="00152BEF"/>
    <w:rsid w:val="00153FE0"/>
    <w:rsid w:val="001546DE"/>
    <w:rsid w:val="00154780"/>
    <w:rsid w:val="00156A04"/>
    <w:rsid w:val="00156E09"/>
    <w:rsid w:val="00157435"/>
    <w:rsid w:val="00160D77"/>
    <w:rsid w:val="001620C0"/>
    <w:rsid w:val="00164D9D"/>
    <w:rsid w:val="00171184"/>
    <w:rsid w:val="00171907"/>
    <w:rsid w:val="001722E2"/>
    <w:rsid w:val="00172CDB"/>
    <w:rsid w:val="00173F61"/>
    <w:rsid w:val="00174012"/>
    <w:rsid w:val="0017504D"/>
    <w:rsid w:val="001758F0"/>
    <w:rsid w:val="0017671A"/>
    <w:rsid w:val="00177422"/>
    <w:rsid w:val="00180FF8"/>
    <w:rsid w:val="0018134C"/>
    <w:rsid w:val="00182719"/>
    <w:rsid w:val="00184590"/>
    <w:rsid w:val="00185DDB"/>
    <w:rsid w:val="001866A2"/>
    <w:rsid w:val="001870D1"/>
    <w:rsid w:val="001871A6"/>
    <w:rsid w:val="0018781E"/>
    <w:rsid w:val="001917AC"/>
    <w:rsid w:val="00191926"/>
    <w:rsid w:val="00192497"/>
    <w:rsid w:val="0019262D"/>
    <w:rsid w:val="00193292"/>
    <w:rsid w:val="00193D1A"/>
    <w:rsid w:val="00193F5C"/>
    <w:rsid w:val="0019521D"/>
    <w:rsid w:val="00195B51"/>
    <w:rsid w:val="00195DE4"/>
    <w:rsid w:val="001A1B35"/>
    <w:rsid w:val="001A2B8A"/>
    <w:rsid w:val="001A2CDB"/>
    <w:rsid w:val="001A48A2"/>
    <w:rsid w:val="001A5796"/>
    <w:rsid w:val="001A5991"/>
    <w:rsid w:val="001A5CF3"/>
    <w:rsid w:val="001A6C7F"/>
    <w:rsid w:val="001A6F61"/>
    <w:rsid w:val="001A7503"/>
    <w:rsid w:val="001A7B8D"/>
    <w:rsid w:val="001A7BF1"/>
    <w:rsid w:val="001B0766"/>
    <w:rsid w:val="001B0B16"/>
    <w:rsid w:val="001B1644"/>
    <w:rsid w:val="001B275D"/>
    <w:rsid w:val="001B2D9C"/>
    <w:rsid w:val="001B6413"/>
    <w:rsid w:val="001B7024"/>
    <w:rsid w:val="001B72B8"/>
    <w:rsid w:val="001B73B5"/>
    <w:rsid w:val="001C22BA"/>
    <w:rsid w:val="001C47AE"/>
    <w:rsid w:val="001C485A"/>
    <w:rsid w:val="001C4C0B"/>
    <w:rsid w:val="001C4DFD"/>
    <w:rsid w:val="001C4E2C"/>
    <w:rsid w:val="001C5C95"/>
    <w:rsid w:val="001C69B3"/>
    <w:rsid w:val="001C6DA1"/>
    <w:rsid w:val="001D12E6"/>
    <w:rsid w:val="001D3BFB"/>
    <w:rsid w:val="001D4069"/>
    <w:rsid w:val="001D4124"/>
    <w:rsid w:val="001D52D9"/>
    <w:rsid w:val="001D5595"/>
    <w:rsid w:val="001D5CCA"/>
    <w:rsid w:val="001D75B8"/>
    <w:rsid w:val="001D7874"/>
    <w:rsid w:val="001D7BEB"/>
    <w:rsid w:val="001D7F22"/>
    <w:rsid w:val="001E3BB6"/>
    <w:rsid w:val="001E53D1"/>
    <w:rsid w:val="001E5B61"/>
    <w:rsid w:val="001E67EC"/>
    <w:rsid w:val="001E727A"/>
    <w:rsid w:val="001F0302"/>
    <w:rsid w:val="001F0C64"/>
    <w:rsid w:val="001F0F17"/>
    <w:rsid w:val="001F12E3"/>
    <w:rsid w:val="001F1CD6"/>
    <w:rsid w:val="001F3024"/>
    <w:rsid w:val="001F330C"/>
    <w:rsid w:val="001F3347"/>
    <w:rsid w:val="001F4BCA"/>
    <w:rsid w:val="001F5A91"/>
    <w:rsid w:val="001F66C6"/>
    <w:rsid w:val="001F69E4"/>
    <w:rsid w:val="001F76CE"/>
    <w:rsid w:val="001F78E6"/>
    <w:rsid w:val="00200991"/>
    <w:rsid w:val="0020276C"/>
    <w:rsid w:val="00205166"/>
    <w:rsid w:val="00205D41"/>
    <w:rsid w:val="00206826"/>
    <w:rsid w:val="0020755C"/>
    <w:rsid w:val="002125B4"/>
    <w:rsid w:val="00213AC0"/>
    <w:rsid w:val="00213E18"/>
    <w:rsid w:val="002155B8"/>
    <w:rsid w:val="0021672C"/>
    <w:rsid w:val="00217A52"/>
    <w:rsid w:val="00217C00"/>
    <w:rsid w:val="00220813"/>
    <w:rsid w:val="00224839"/>
    <w:rsid w:val="002249B2"/>
    <w:rsid w:val="00226574"/>
    <w:rsid w:val="002278EC"/>
    <w:rsid w:val="00232782"/>
    <w:rsid w:val="0023280E"/>
    <w:rsid w:val="00232C8F"/>
    <w:rsid w:val="00232D0E"/>
    <w:rsid w:val="00232E91"/>
    <w:rsid w:val="00234345"/>
    <w:rsid w:val="00234431"/>
    <w:rsid w:val="0023533C"/>
    <w:rsid w:val="00235573"/>
    <w:rsid w:val="0023595A"/>
    <w:rsid w:val="00236A76"/>
    <w:rsid w:val="002377D1"/>
    <w:rsid w:val="002414FA"/>
    <w:rsid w:val="002425FD"/>
    <w:rsid w:val="00245280"/>
    <w:rsid w:val="00246C78"/>
    <w:rsid w:val="00247B28"/>
    <w:rsid w:val="00247E7D"/>
    <w:rsid w:val="002506BC"/>
    <w:rsid w:val="00250F82"/>
    <w:rsid w:val="00251E7E"/>
    <w:rsid w:val="0025219B"/>
    <w:rsid w:val="00253AE0"/>
    <w:rsid w:val="00254345"/>
    <w:rsid w:val="00254389"/>
    <w:rsid w:val="00255815"/>
    <w:rsid w:val="00256C21"/>
    <w:rsid w:val="002572BB"/>
    <w:rsid w:val="002600E6"/>
    <w:rsid w:val="00260CA9"/>
    <w:rsid w:val="00262244"/>
    <w:rsid w:val="00262739"/>
    <w:rsid w:val="00263462"/>
    <w:rsid w:val="00263C1E"/>
    <w:rsid w:val="00264557"/>
    <w:rsid w:val="00267672"/>
    <w:rsid w:val="00267B6D"/>
    <w:rsid w:val="002742A0"/>
    <w:rsid w:val="0027503B"/>
    <w:rsid w:val="00276D87"/>
    <w:rsid w:val="0028017F"/>
    <w:rsid w:val="002805AB"/>
    <w:rsid w:val="0028171A"/>
    <w:rsid w:val="0028198C"/>
    <w:rsid w:val="002824CD"/>
    <w:rsid w:val="00282FB8"/>
    <w:rsid w:val="00283107"/>
    <w:rsid w:val="00283761"/>
    <w:rsid w:val="00284204"/>
    <w:rsid w:val="002847BA"/>
    <w:rsid w:val="00286212"/>
    <w:rsid w:val="00286B80"/>
    <w:rsid w:val="0029080A"/>
    <w:rsid w:val="00291773"/>
    <w:rsid w:val="00292530"/>
    <w:rsid w:val="00295CBF"/>
    <w:rsid w:val="002961B1"/>
    <w:rsid w:val="002A08C7"/>
    <w:rsid w:val="002A168C"/>
    <w:rsid w:val="002A3DC7"/>
    <w:rsid w:val="002A56C9"/>
    <w:rsid w:val="002A5A6E"/>
    <w:rsid w:val="002A681C"/>
    <w:rsid w:val="002A7AF3"/>
    <w:rsid w:val="002B005A"/>
    <w:rsid w:val="002B1F09"/>
    <w:rsid w:val="002B212C"/>
    <w:rsid w:val="002B2244"/>
    <w:rsid w:val="002B2B4D"/>
    <w:rsid w:val="002B49E2"/>
    <w:rsid w:val="002B6EEB"/>
    <w:rsid w:val="002B7AB6"/>
    <w:rsid w:val="002B7B00"/>
    <w:rsid w:val="002B7C44"/>
    <w:rsid w:val="002C2B17"/>
    <w:rsid w:val="002C4112"/>
    <w:rsid w:val="002C500A"/>
    <w:rsid w:val="002C5B8D"/>
    <w:rsid w:val="002C6057"/>
    <w:rsid w:val="002C6E31"/>
    <w:rsid w:val="002D2118"/>
    <w:rsid w:val="002D3965"/>
    <w:rsid w:val="002D3DD0"/>
    <w:rsid w:val="002D6029"/>
    <w:rsid w:val="002D70CE"/>
    <w:rsid w:val="002E02B3"/>
    <w:rsid w:val="002E1F3A"/>
    <w:rsid w:val="002E298A"/>
    <w:rsid w:val="002E3CDF"/>
    <w:rsid w:val="002E6436"/>
    <w:rsid w:val="002E775D"/>
    <w:rsid w:val="002F0417"/>
    <w:rsid w:val="002F088E"/>
    <w:rsid w:val="002F092A"/>
    <w:rsid w:val="002F27FA"/>
    <w:rsid w:val="002F29CC"/>
    <w:rsid w:val="002F3781"/>
    <w:rsid w:val="002F53B5"/>
    <w:rsid w:val="002F5557"/>
    <w:rsid w:val="002F5DDA"/>
    <w:rsid w:val="002F74F0"/>
    <w:rsid w:val="00301978"/>
    <w:rsid w:val="0030332C"/>
    <w:rsid w:val="0030512C"/>
    <w:rsid w:val="003051C2"/>
    <w:rsid w:val="00306680"/>
    <w:rsid w:val="0031056C"/>
    <w:rsid w:val="00310809"/>
    <w:rsid w:val="00310B48"/>
    <w:rsid w:val="00311705"/>
    <w:rsid w:val="00311EA0"/>
    <w:rsid w:val="00312296"/>
    <w:rsid w:val="0031400B"/>
    <w:rsid w:val="00314BCC"/>
    <w:rsid w:val="00314F0E"/>
    <w:rsid w:val="0031539F"/>
    <w:rsid w:val="003163AC"/>
    <w:rsid w:val="00321D8E"/>
    <w:rsid w:val="00322A88"/>
    <w:rsid w:val="0032406D"/>
    <w:rsid w:val="0032424D"/>
    <w:rsid w:val="00325928"/>
    <w:rsid w:val="00330078"/>
    <w:rsid w:val="00332863"/>
    <w:rsid w:val="00332A17"/>
    <w:rsid w:val="00334466"/>
    <w:rsid w:val="00335011"/>
    <w:rsid w:val="003361D2"/>
    <w:rsid w:val="0033684D"/>
    <w:rsid w:val="00337127"/>
    <w:rsid w:val="00337B42"/>
    <w:rsid w:val="00340050"/>
    <w:rsid w:val="00341B42"/>
    <w:rsid w:val="0034348F"/>
    <w:rsid w:val="00344970"/>
    <w:rsid w:val="00344CDB"/>
    <w:rsid w:val="00344D25"/>
    <w:rsid w:val="0034605E"/>
    <w:rsid w:val="00350186"/>
    <w:rsid w:val="00350D44"/>
    <w:rsid w:val="003510A2"/>
    <w:rsid w:val="00351BC6"/>
    <w:rsid w:val="00352603"/>
    <w:rsid w:val="00356653"/>
    <w:rsid w:val="00356B6E"/>
    <w:rsid w:val="0035743F"/>
    <w:rsid w:val="003579AD"/>
    <w:rsid w:val="00357BE2"/>
    <w:rsid w:val="00357DF9"/>
    <w:rsid w:val="0036170C"/>
    <w:rsid w:val="003619D5"/>
    <w:rsid w:val="00361DEA"/>
    <w:rsid w:val="00361FF3"/>
    <w:rsid w:val="0036323D"/>
    <w:rsid w:val="003650DA"/>
    <w:rsid w:val="00365174"/>
    <w:rsid w:val="003658F1"/>
    <w:rsid w:val="003668EC"/>
    <w:rsid w:val="00366C67"/>
    <w:rsid w:val="00366E0F"/>
    <w:rsid w:val="0037115B"/>
    <w:rsid w:val="003737AB"/>
    <w:rsid w:val="0037474F"/>
    <w:rsid w:val="00376F22"/>
    <w:rsid w:val="003779B3"/>
    <w:rsid w:val="00380056"/>
    <w:rsid w:val="00380FEA"/>
    <w:rsid w:val="00381A72"/>
    <w:rsid w:val="00381B14"/>
    <w:rsid w:val="00382F08"/>
    <w:rsid w:val="003831CE"/>
    <w:rsid w:val="00383977"/>
    <w:rsid w:val="00384676"/>
    <w:rsid w:val="00384E1C"/>
    <w:rsid w:val="00387CE1"/>
    <w:rsid w:val="00387D95"/>
    <w:rsid w:val="00390128"/>
    <w:rsid w:val="00390857"/>
    <w:rsid w:val="00390D79"/>
    <w:rsid w:val="00391F44"/>
    <w:rsid w:val="00393653"/>
    <w:rsid w:val="00393750"/>
    <w:rsid w:val="003942F1"/>
    <w:rsid w:val="00394B20"/>
    <w:rsid w:val="00396B37"/>
    <w:rsid w:val="003976F1"/>
    <w:rsid w:val="003A021A"/>
    <w:rsid w:val="003A0CD4"/>
    <w:rsid w:val="003A1440"/>
    <w:rsid w:val="003A1A28"/>
    <w:rsid w:val="003A1ED6"/>
    <w:rsid w:val="003A3AF4"/>
    <w:rsid w:val="003A3D70"/>
    <w:rsid w:val="003A44FE"/>
    <w:rsid w:val="003A4644"/>
    <w:rsid w:val="003A4BF3"/>
    <w:rsid w:val="003A587E"/>
    <w:rsid w:val="003A706D"/>
    <w:rsid w:val="003A7CCF"/>
    <w:rsid w:val="003B042B"/>
    <w:rsid w:val="003B04C8"/>
    <w:rsid w:val="003B1B6B"/>
    <w:rsid w:val="003B420D"/>
    <w:rsid w:val="003B5153"/>
    <w:rsid w:val="003B643B"/>
    <w:rsid w:val="003B6FB6"/>
    <w:rsid w:val="003B7177"/>
    <w:rsid w:val="003B7799"/>
    <w:rsid w:val="003C0211"/>
    <w:rsid w:val="003C1968"/>
    <w:rsid w:val="003C2FB9"/>
    <w:rsid w:val="003C3148"/>
    <w:rsid w:val="003C3EE9"/>
    <w:rsid w:val="003C4398"/>
    <w:rsid w:val="003C508E"/>
    <w:rsid w:val="003C5919"/>
    <w:rsid w:val="003C5EE6"/>
    <w:rsid w:val="003C634B"/>
    <w:rsid w:val="003C6369"/>
    <w:rsid w:val="003C64BC"/>
    <w:rsid w:val="003C6C16"/>
    <w:rsid w:val="003C6C4C"/>
    <w:rsid w:val="003C71F3"/>
    <w:rsid w:val="003C7598"/>
    <w:rsid w:val="003D0273"/>
    <w:rsid w:val="003D1C07"/>
    <w:rsid w:val="003D2303"/>
    <w:rsid w:val="003D2884"/>
    <w:rsid w:val="003D3FE6"/>
    <w:rsid w:val="003D40B3"/>
    <w:rsid w:val="003D4931"/>
    <w:rsid w:val="003D6C41"/>
    <w:rsid w:val="003D794D"/>
    <w:rsid w:val="003E0120"/>
    <w:rsid w:val="003E0E2E"/>
    <w:rsid w:val="003E3058"/>
    <w:rsid w:val="003E361A"/>
    <w:rsid w:val="003E3E91"/>
    <w:rsid w:val="003E43D4"/>
    <w:rsid w:val="003E595C"/>
    <w:rsid w:val="003E75EF"/>
    <w:rsid w:val="003E76A9"/>
    <w:rsid w:val="003E79CA"/>
    <w:rsid w:val="003E7F5F"/>
    <w:rsid w:val="003F0809"/>
    <w:rsid w:val="003F0A46"/>
    <w:rsid w:val="003F0C20"/>
    <w:rsid w:val="003F1333"/>
    <w:rsid w:val="003F1952"/>
    <w:rsid w:val="003F264D"/>
    <w:rsid w:val="003F3A88"/>
    <w:rsid w:val="003F5AA2"/>
    <w:rsid w:val="003F6A8C"/>
    <w:rsid w:val="003F755C"/>
    <w:rsid w:val="003F7867"/>
    <w:rsid w:val="003F7C46"/>
    <w:rsid w:val="00400361"/>
    <w:rsid w:val="0040038A"/>
    <w:rsid w:val="00400905"/>
    <w:rsid w:val="0040124C"/>
    <w:rsid w:val="0040172A"/>
    <w:rsid w:val="00402F71"/>
    <w:rsid w:val="0040469F"/>
    <w:rsid w:val="00406F01"/>
    <w:rsid w:val="00411FAD"/>
    <w:rsid w:val="0041274C"/>
    <w:rsid w:val="00416BBB"/>
    <w:rsid w:val="00416D50"/>
    <w:rsid w:val="00416EBF"/>
    <w:rsid w:val="00416FD5"/>
    <w:rsid w:val="00417772"/>
    <w:rsid w:val="004201F0"/>
    <w:rsid w:val="00420E6A"/>
    <w:rsid w:val="00425A9E"/>
    <w:rsid w:val="004262E2"/>
    <w:rsid w:val="00426D6B"/>
    <w:rsid w:val="00427510"/>
    <w:rsid w:val="00430D0A"/>
    <w:rsid w:val="004311D8"/>
    <w:rsid w:val="00431E6C"/>
    <w:rsid w:val="00432574"/>
    <w:rsid w:val="004336EE"/>
    <w:rsid w:val="00433C5F"/>
    <w:rsid w:val="00433CE7"/>
    <w:rsid w:val="00434136"/>
    <w:rsid w:val="00435931"/>
    <w:rsid w:val="004401D0"/>
    <w:rsid w:val="00441EBE"/>
    <w:rsid w:val="00442259"/>
    <w:rsid w:val="00444554"/>
    <w:rsid w:val="004456D0"/>
    <w:rsid w:val="0044573E"/>
    <w:rsid w:val="00446002"/>
    <w:rsid w:val="00446656"/>
    <w:rsid w:val="00447FD0"/>
    <w:rsid w:val="004511C9"/>
    <w:rsid w:val="004517F1"/>
    <w:rsid w:val="00451CB6"/>
    <w:rsid w:val="00452738"/>
    <w:rsid w:val="004529DC"/>
    <w:rsid w:val="00453233"/>
    <w:rsid w:val="004537A3"/>
    <w:rsid w:val="00456091"/>
    <w:rsid w:val="00456219"/>
    <w:rsid w:val="00456739"/>
    <w:rsid w:val="004602F8"/>
    <w:rsid w:val="00460923"/>
    <w:rsid w:val="004619BA"/>
    <w:rsid w:val="00461C6D"/>
    <w:rsid w:val="00462B9C"/>
    <w:rsid w:val="004636D7"/>
    <w:rsid w:val="00466321"/>
    <w:rsid w:val="00467775"/>
    <w:rsid w:val="004701EA"/>
    <w:rsid w:val="00470E18"/>
    <w:rsid w:val="00471BDF"/>
    <w:rsid w:val="00473669"/>
    <w:rsid w:val="00473C30"/>
    <w:rsid w:val="0047484D"/>
    <w:rsid w:val="00475A0E"/>
    <w:rsid w:val="00476235"/>
    <w:rsid w:val="00476B12"/>
    <w:rsid w:val="00477383"/>
    <w:rsid w:val="00480385"/>
    <w:rsid w:val="004813FD"/>
    <w:rsid w:val="0048182F"/>
    <w:rsid w:val="00481FF7"/>
    <w:rsid w:val="004825A2"/>
    <w:rsid w:val="00482AF9"/>
    <w:rsid w:val="00482C53"/>
    <w:rsid w:val="00484B9B"/>
    <w:rsid w:val="004855F6"/>
    <w:rsid w:val="0048661E"/>
    <w:rsid w:val="004912AA"/>
    <w:rsid w:val="004918C5"/>
    <w:rsid w:val="00492770"/>
    <w:rsid w:val="00494670"/>
    <w:rsid w:val="00494B28"/>
    <w:rsid w:val="00496A93"/>
    <w:rsid w:val="00497656"/>
    <w:rsid w:val="004A1570"/>
    <w:rsid w:val="004A2213"/>
    <w:rsid w:val="004A2471"/>
    <w:rsid w:val="004A3182"/>
    <w:rsid w:val="004A360E"/>
    <w:rsid w:val="004A3823"/>
    <w:rsid w:val="004A3B52"/>
    <w:rsid w:val="004A6FD3"/>
    <w:rsid w:val="004A71F8"/>
    <w:rsid w:val="004B0052"/>
    <w:rsid w:val="004B0100"/>
    <w:rsid w:val="004B0A31"/>
    <w:rsid w:val="004B252F"/>
    <w:rsid w:val="004B463A"/>
    <w:rsid w:val="004B550A"/>
    <w:rsid w:val="004B66BF"/>
    <w:rsid w:val="004B77FA"/>
    <w:rsid w:val="004C3112"/>
    <w:rsid w:val="004C3643"/>
    <w:rsid w:val="004C3DE8"/>
    <w:rsid w:val="004C4650"/>
    <w:rsid w:val="004C4C59"/>
    <w:rsid w:val="004C4E6C"/>
    <w:rsid w:val="004C50E4"/>
    <w:rsid w:val="004C5EEE"/>
    <w:rsid w:val="004C6590"/>
    <w:rsid w:val="004C6F7F"/>
    <w:rsid w:val="004C7674"/>
    <w:rsid w:val="004C7BC2"/>
    <w:rsid w:val="004D07BA"/>
    <w:rsid w:val="004D306E"/>
    <w:rsid w:val="004D6468"/>
    <w:rsid w:val="004E0C47"/>
    <w:rsid w:val="004E0CCF"/>
    <w:rsid w:val="004E12CB"/>
    <w:rsid w:val="004E2115"/>
    <w:rsid w:val="004E2152"/>
    <w:rsid w:val="004E2465"/>
    <w:rsid w:val="004E32F2"/>
    <w:rsid w:val="004E5AC8"/>
    <w:rsid w:val="004E61DA"/>
    <w:rsid w:val="004E68B7"/>
    <w:rsid w:val="004E6946"/>
    <w:rsid w:val="004E74C7"/>
    <w:rsid w:val="004F06FF"/>
    <w:rsid w:val="004F071D"/>
    <w:rsid w:val="004F150B"/>
    <w:rsid w:val="004F1A04"/>
    <w:rsid w:val="004F1AD8"/>
    <w:rsid w:val="004F1FC3"/>
    <w:rsid w:val="004F287E"/>
    <w:rsid w:val="004F2EF8"/>
    <w:rsid w:val="004F7A87"/>
    <w:rsid w:val="004F7E05"/>
    <w:rsid w:val="005005E3"/>
    <w:rsid w:val="00500B73"/>
    <w:rsid w:val="005013EC"/>
    <w:rsid w:val="005018B4"/>
    <w:rsid w:val="005018D4"/>
    <w:rsid w:val="00501FA7"/>
    <w:rsid w:val="00502E6F"/>
    <w:rsid w:val="005031BA"/>
    <w:rsid w:val="005039CB"/>
    <w:rsid w:val="0050558F"/>
    <w:rsid w:val="00506286"/>
    <w:rsid w:val="005101E5"/>
    <w:rsid w:val="00510813"/>
    <w:rsid w:val="00511990"/>
    <w:rsid w:val="00511DE0"/>
    <w:rsid w:val="00512046"/>
    <w:rsid w:val="00514870"/>
    <w:rsid w:val="00514B9B"/>
    <w:rsid w:val="00516383"/>
    <w:rsid w:val="005169E4"/>
    <w:rsid w:val="00517F02"/>
    <w:rsid w:val="00520B78"/>
    <w:rsid w:val="00521384"/>
    <w:rsid w:val="00521999"/>
    <w:rsid w:val="00523A13"/>
    <w:rsid w:val="00523BB1"/>
    <w:rsid w:val="00524303"/>
    <w:rsid w:val="005258A2"/>
    <w:rsid w:val="00526D6B"/>
    <w:rsid w:val="00527E91"/>
    <w:rsid w:val="00532DB3"/>
    <w:rsid w:val="00535350"/>
    <w:rsid w:val="00535432"/>
    <w:rsid w:val="00536243"/>
    <w:rsid w:val="005362AD"/>
    <w:rsid w:val="00537ABF"/>
    <w:rsid w:val="005401AE"/>
    <w:rsid w:val="0054077B"/>
    <w:rsid w:val="00541C97"/>
    <w:rsid w:val="005423A8"/>
    <w:rsid w:val="00542E07"/>
    <w:rsid w:val="00543C48"/>
    <w:rsid w:val="00543FAD"/>
    <w:rsid w:val="00544FD1"/>
    <w:rsid w:val="00545424"/>
    <w:rsid w:val="005457B8"/>
    <w:rsid w:val="00547A19"/>
    <w:rsid w:val="00550B70"/>
    <w:rsid w:val="00550E1E"/>
    <w:rsid w:val="005518B1"/>
    <w:rsid w:val="00551CD6"/>
    <w:rsid w:val="00553B39"/>
    <w:rsid w:val="00553C85"/>
    <w:rsid w:val="00554A7B"/>
    <w:rsid w:val="00554F41"/>
    <w:rsid w:val="005553A6"/>
    <w:rsid w:val="0055572C"/>
    <w:rsid w:val="00556BB3"/>
    <w:rsid w:val="00557A00"/>
    <w:rsid w:val="00557ADC"/>
    <w:rsid w:val="00557E49"/>
    <w:rsid w:val="0056106A"/>
    <w:rsid w:val="00563212"/>
    <w:rsid w:val="0056554B"/>
    <w:rsid w:val="00565684"/>
    <w:rsid w:val="005701B5"/>
    <w:rsid w:val="005703FA"/>
    <w:rsid w:val="00570858"/>
    <w:rsid w:val="005711F5"/>
    <w:rsid w:val="00571A82"/>
    <w:rsid w:val="005720AE"/>
    <w:rsid w:val="00575887"/>
    <w:rsid w:val="005758F5"/>
    <w:rsid w:val="00575DCA"/>
    <w:rsid w:val="00575E9A"/>
    <w:rsid w:val="005775BD"/>
    <w:rsid w:val="0058141B"/>
    <w:rsid w:val="00581602"/>
    <w:rsid w:val="00582C96"/>
    <w:rsid w:val="00582DB2"/>
    <w:rsid w:val="005843AD"/>
    <w:rsid w:val="00585415"/>
    <w:rsid w:val="00587035"/>
    <w:rsid w:val="00587692"/>
    <w:rsid w:val="005917DE"/>
    <w:rsid w:val="00591FF1"/>
    <w:rsid w:val="00592E1F"/>
    <w:rsid w:val="00593534"/>
    <w:rsid w:val="00594AED"/>
    <w:rsid w:val="00594CBD"/>
    <w:rsid w:val="00594D77"/>
    <w:rsid w:val="00595A35"/>
    <w:rsid w:val="00595D2A"/>
    <w:rsid w:val="005969E4"/>
    <w:rsid w:val="00597020"/>
    <w:rsid w:val="005A06B7"/>
    <w:rsid w:val="005A1759"/>
    <w:rsid w:val="005A2700"/>
    <w:rsid w:val="005A68A7"/>
    <w:rsid w:val="005A6ABF"/>
    <w:rsid w:val="005A6C97"/>
    <w:rsid w:val="005A7570"/>
    <w:rsid w:val="005B0424"/>
    <w:rsid w:val="005B16E3"/>
    <w:rsid w:val="005B68ED"/>
    <w:rsid w:val="005B7214"/>
    <w:rsid w:val="005C1385"/>
    <w:rsid w:val="005C275E"/>
    <w:rsid w:val="005C2A89"/>
    <w:rsid w:val="005C4E25"/>
    <w:rsid w:val="005C677E"/>
    <w:rsid w:val="005C7F77"/>
    <w:rsid w:val="005D19A2"/>
    <w:rsid w:val="005D36AB"/>
    <w:rsid w:val="005D40D3"/>
    <w:rsid w:val="005D475E"/>
    <w:rsid w:val="005D5ECD"/>
    <w:rsid w:val="005D61AA"/>
    <w:rsid w:val="005E0391"/>
    <w:rsid w:val="005E120F"/>
    <w:rsid w:val="005E3740"/>
    <w:rsid w:val="005E40EC"/>
    <w:rsid w:val="005E4481"/>
    <w:rsid w:val="005E4C00"/>
    <w:rsid w:val="005E4D5C"/>
    <w:rsid w:val="005E62D7"/>
    <w:rsid w:val="005E6942"/>
    <w:rsid w:val="005E6979"/>
    <w:rsid w:val="005F1A6D"/>
    <w:rsid w:val="005F2596"/>
    <w:rsid w:val="005F309B"/>
    <w:rsid w:val="005F3685"/>
    <w:rsid w:val="005F3AFB"/>
    <w:rsid w:val="005F4209"/>
    <w:rsid w:val="005F5799"/>
    <w:rsid w:val="005F60DA"/>
    <w:rsid w:val="005F7CF6"/>
    <w:rsid w:val="0060202C"/>
    <w:rsid w:val="00603120"/>
    <w:rsid w:val="006061E9"/>
    <w:rsid w:val="00606DE2"/>
    <w:rsid w:val="006101DF"/>
    <w:rsid w:val="00611E5B"/>
    <w:rsid w:val="00612E54"/>
    <w:rsid w:val="00613122"/>
    <w:rsid w:val="006135D1"/>
    <w:rsid w:val="00614490"/>
    <w:rsid w:val="0061481C"/>
    <w:rsid w:val="00615F55"/>
    <w:rsid w:val="00616797"/>
    <w:rsid w:val="006177B2"/>
    <w:rsid w:val="00617CC3"/>
    <w:rsid w:val="006206F9"/>
    <w:rsid w:val="00621580"/>
    <w:rsid w:val="00621FA9"/>
    <w:rsid w:val="0062544A"/>
    <w:rsid w:val="00625EFE"/>
    <w:rsid w:val="00631992"/>
    <w:rsid w:val="00633B2F"/>
    <w:rsid w:val="00634EDB"/>
    <w:rsid w:val="00635533"/>
    <w:rsid w:val="00636D4B"/>
    <w:rsid w:val="00636F57"/>
    <w:rsid w:val="006370DB"/>
    <w:rsid w:val="006377A6"/>
    <w:rsid w:val="00637A3D"/>
    <w:rsid w:val="006411EF"/>
    <w:rsid w:val="00641B5B"/>
    <w:rsid w:val="00641BB2"/>
    <w:rsid w:val="00642096"/>
    <w:rsid w:val="006427B2"/>
    <w:rsid w:val="00643240"/>
    <w:rsid w:val="006446C7"/>
    <w:rsid w:val="006448E0"/>
    <w:rsid w:val="006451D5"/>
    <w:rsid w:val="00645891"/>
    <w:rsid w:val="00646A95"/>
    <w:rsid w:val="00646CED"/>
    <w:rsid w:val="00646F33"/>
    <w:rsid w:val="006503C8"/>
    <w:rsid w:val="00650484"/>
    <w:rsid w:val="00652B3C"/>
    <w:rsid w:val="00653550"/>
    <w:rsid w:val="006548D5"/>
    <w:rsid w:val="006556C8"/>
    <w:rsid w:val="00655E71"/>
    <w:rsid w:val="0065680B"/>
    <w:rsid w:val="00656B71"/>
    <w:rsid w:val="00660415"/>
    <w:rsid w:val="0066223C"/>
    <w:rsid w:val="00663688"/>
    <w:rsid w:val="006641F9"/>
    <w:rsid w:val="0066421F"/>
    <w:rsid w:val="00664962"/>
    <w:rsid w:val="006676AB"/>
    <w:rsid w:val="00672139"/>
    <w:rsid w:val="006725BD"/>
    <w:rsid w:val="0067329A"/>
    <w:rsid w:val="006748B8"/>
    <w:rsid w:val="00674C84"/>
    <w:rsid w:val="006751D2"/>
    <w:rsid w:val="006775C3"/>
    <w:rsid w:val="00677989"/>
    <w:rsid w:val="0068020C"/>
    <w:rsid w:val="00680400"/>
    <w:rsid w:val="00681887"/>
    <w:rsid w:val="006819DD"/>
    <w:rsid w:val="0068209D"/>
    <w:rsid w:val="00691285"/>
    <w:rsid w:val="0069290A"/>
    <w:rsid w:val="00692DA9"/>
    <w:rsid w:val="00694057"/>
    <w:rsid w:val="00697486"/>
    <w:rsid w:val="006976DF"/>
    <w:rsid w:val="0069775A"/>
    <w:rsid w:val="00697813"/>
    <w:rsid w:val="006A0768"/>
    <w:rsid w:val="006A1C88"/>
    <w:rsid w:val="006A3EE8"/>
    <w:rsid w:val="006A45B8"/>
    <w:rsid w:val="006A6DF8"/>
    <w:rsid w:val="006A6FFA"/>
    <w:rsid w:val="006A72BF"/>
    <w:rsid w:val="006B03F2"/>
    <w:rsid w:val="006B24C8"/>
    <w:rsid w:val="006B25A2"/>
    <w:rsid w:val="006B2974"/>
    <w:rsid w:val="006B2AE8"/>
    <w:rsid w:val="006B37DC"/>
    <w:rsid w:val="006B48CA"/>
    <w:rsid w:val="006B4F68"/>
    <w:rsid w:val="006B7E50"/>
    <w:rsid w:val="006C012C"/>
    <w:rsid w:val="006C0592"/>
    <w:rsid w:val="006C272E"/>
    <w:rsid w:val="006C2A34"/>
    <w:rsid w:val="006C3142"/>
    <w:rsid w:val="006C3742"/>
    <w:rsid w:val="006C5479"/>
    <w:rsid w:val="006C7779"/>
    <w:rsid w:val="006D13B5"/>
    <w:rsid w:val="006D1599"/>
    <w:rsid w:val="006D2020"/>
    <w:rsid w:val="006D2269"/>
    <w:rsid w:val="006D3305"/>
    <w:rsid w:val="006D3691"/>
    <w:rsid w:val="006D3F09"/>
    <w:rsid w:val="006D78BA"/>
    <w:rsid w:val="006D7DBA"/>
    <w:rsid w:val="006E058A"/>
    <w:rsid w:val="006E12FF"/>
    <w:rsid w:val="006E3B2B"/>
    <w:rsid w:val="006E432D"/>
    <w:rsid w:val="006E607E"/>
    <w:rsid w:val="006E7F5A"/>
    <w:rsid w:val="006F0D51"/>
    <w:rsid w:val="006F2375"/>
    <w:rsid w:val="006F2C2D"/>
    <w:rsid w:val="006F3BDE"/>
    <w:rsid w:val="006F3DFE"/>
    <w:rsid w:val="00703B75"/>
    <w:rsid w:val="007060A9"/>
    <w:rsid w:val="00706C5D"/>
    <w:rsid w:val="007109B0"/>
    <w:rsid w:val="00710EB3"/>
    <w:rsid w:val="00711844"/>
    <w:rsid w:val="0071262E"/>
    <w:rsid w:val="00713A03"/>
    <w:rsid w:val="0071411C"/>
    <w:rsid w:val="00714CB3"/>
    <w:rsid w:val="00714E8D"/>
    <w:rsid w:val="00715429"/>
    <w:rsid w:val="007164E7"/>
    <w:rsid w:val="0071784A"/>
    <w:rsid w:val="00721FBB"/>
    <w:rsid w:val="007223E6"/>
    <w:rsid w:val="0072580C"/>
    <w:rsid w:val="00725ABE"/>
    <w:rsid w:val="00726BCF"/>
    <w:rsid w:val="007303FF"/>
    <w:rsid w:val="007312EE"/>
    <w:rsid w:val="007321E1"/>
    <w:rsid w:val="00732922"/>
    <w:rsid w:val="00733022"/>
    <w:rsid w:val="007339F6"/>
    <w:rsid w:val="00733B83"/>
    <w:rsid w:val="007359A0"/>
    <w:rsid w:val="00736204"/>
    <w:rsid w:val="00736521"/>
    <w:rsid w:val="007404F7"/>
    <w:rsid w:val="007408AB"/>
    <w:rsid w:val="00741FB7"/>
    <w:rsid w:val="00742DFF"/>
    <w:rsid w:val="00742F27"/>
    <w:rsid w:val="00742FC5"/>
    <w:rsid w:val="007430A5"/>
    <w:rsid w:val="00743DBD"/>
    <w:rsid w:val="00744C8C"/>
    <w:rsid w:val="00745EDA"/>
    <w:rsid w:val="007467D4"/>
    <w:rsid w:val="00747534"/>
    <w:rsid w:val="00747FB6"/>
    <w:rsid w:val="007506D7"/>
    <w:rsid w:val="0075162E"/>
    <w:rsid w:val="0075222C"/>
    <w:rsid w:val="00752381"/>
    <w:rsid w:val="007538C9"/>
    <w:rsid w:val="0075392B"/>
    <w:rsid w:val="00754034"/>
    <w:rsid w:val="007550D1"/>
    <w:rsid w:val="007557E8"/>
    <w:rsid w:val="00755E40"/>
    <w:rsid w:val="00756556"/>
    <w:rsid w:val="007618C4"/>
    <w:rsid w:val="007639BF"/>
    <w:rsid w:val="00764139"/>
    <w:rsid w:val="0076468B"/>
    <w:rsid w:val="00764F2D"/>
    <w:rsid w:val="00765164"/>
    <w:rsid w:val="007651AA"/>
    <w:rsid w:val="00765DCD"/>
    <w:rsid w:val="00766094"/>
    <w:rsid w:val="00766A2C"/>
    <w:rsid w:val="0076781D"/>
    <w:rsid w:val="00767980"/>
    <w:rsid w:val="00770B19"/>
    <w:rsid w:val="0077126F"/>
    <w:rsid w:val="00772BDD"/>
    <w:rsid w:val="00773331"/>
    <w:rsid w:val="0077463F"/>
    <w:rsid w:val="007766F5"/>
    <w:rsid w:val="00782272"/>
    <w:rsid w:val="007836EA"/>
    <w:rsid w:val="00784CDA"/>
    <w:rsid w:val="00785B82"/>
    <w:rsid w:val="007865C4"/>
    <w:rsid w:val="00787154"/>
    <w:rsid w:val="00790641"/>
    <w:rsid w:val="007906C4"/>
    <w:rsid w:val="00793CAF"/>
    <w:rsid w:val="007940EA"/>
    <w:rsid w:val="00794D3F"/>
    <w:rsid w:val="00795A00"/>
    <w:rsid w:val="00795C5C"/>
    <w:rsid w:val="007967E8"/>
    <w:rsid w:val="00796C11"/>
    <w:rsid w:val="007A0648"/>
    <w:rsid w:val="007A2170"/>
    <w:rsid w:val="007A221E"/>
    <w:rsid w:val="007A2283"/>
    <w:rsid w:val="007A22BF"/>
    <w:rsid w:val="007A3323"/>
    <w:rsid w:val="007A3E58"/>
    <w:rsid w:val="007A4157"/>
    <w:rsid w:val="007A4FF5"/>
    <w:rsid w:val="007A5560"/>
    <w:rsid w:val="007B03F7"/>
    <w:rsid w:val="007B5CF0"/>
    <w:rsid w:val="007B72B8"/>
    <w:rsid w:val="007B7335"/>
    <w:rsid w:val="007B7A58"/>
    <w:rsid w:val="007C041B"/>
    <w:rsid w:val="007C06E0"/>
    <w:rsid w:val="007C1868"/>
    <w:rsid w:val="007C1B05"/>
    <w:rsid w:val="007C1E79"/>
    <w:rsid w:val="007C21B5"/>
    <w:rsid w:val="007C4911"/>
    <w:rsid w:val="007C4E2F"/>
    <w:rsid w:val="007C577C"/>
    <w:rsid w:val="007C68BD"/>
    <w:rsid w:val="007C7689"/>
    <w:rsid w:val="007C7F16"/>
    <w:rsid w:val="007D1B94"/>
    <w:rsid w:val="007D26B4"/>
    <w:rsid w:val="007D467F"/>
    <w:rsid w:val="007D4F35"/>
    <w:rsid w:val="007D5160"/>
    <w:rsid w:val="007D5B29"/>
    <w:rsid w:val="007D5B8C"/>
    <w:rsid w:val="007D797A"/>
    <w:rsid w:val="007E0A55"/>
    <w:rsid w:val="007E0A68"/>
    <w:rsid w:val="007E1176"/>
    <w:rsid w:val="007E2102"/>
    <w:rsid w:val="007E222E"/>
    <w:rsid w:val="007E283C"/>
    <w:rsid w:val="007E4BD2"/>
    <w:rsid w:val="007E5BE6"/>
    <w:rsid w:val="007F03C7"/>
    <w:rsid w:val="007F066C"/>
    <w:rsid w:val="007F0FCD"/>
    <w:rsid w:val="007F2D9A"/>
    <w:rsid w:val="007F3464"/>
    <w:rsid w:val="007F50A1"/>
    <w:rsid w:val="007F6F5A"/>
    <w:rsid w:val="00801393"/>
    <w:rsid w:val="00802F88"/>
    <w:rsid w:val="0080638D"/>
    <w:rsid w:val="00807B7B"/>
    <w:rsid w:val="0081293E"/>
    <w:rsid w:val="00812A00"/>
    <w:rsid w:val="0081395A"/>
    <w:rsid w:val="00813F9E"/>
    <w:rsid w:val="00815465"/>
    <w:rsid w:val="008170B4"/>
    <w:rsid w:val="00817E9A"/>
    <w:rsid w:val="0082021A"/>
    <w:rsid w:val="0082063E"/>
    <w:rsid w:val="00822C4B"/>
    <w:rsid w:val="0082425B"/>
    <w:rsid w:val="0082471E"/>
    <w:rsid w:val="008264BF"/>
    <w:rsid w:val="00826A90"/>
    <w:rsid w:val="00827886"/>
    <w:rsid w:val="008306BD"/>
    <w:rsid w:val="00831A80"/>
    <w:rsid w:val="008326DB"/>
    <w:rsid w:val="0083329D"/>
    <w:rsid w:val="00833743"/>
    <w:rsid w:val="008340A4"/>
    <w:rsid w:val="00834294"/>
    <w:rsid w:val="008348A0"/>
    <w:rsid w:val="00834ADC"/>
    <w:rsid w:val="00835BAE"/>
    <w:rsid w:val="008371C2"/>
    <w:rsid w:val="00840462"/>
    <w:rsid w:val="00841A86"/>
    <w:rsid w:val="00843795"/>
    <w:rsid w:val="00844D9A"/>
    <w:rsid w:val="008470AA"/>
    <w:rsid w:val="00847DEA"/>
    <w:rsid w:val="008502D9"/>
    <w:rsid w:val="008534C4"/>
    <w:rsid w:val="00856889"/>
    <w:rsid w:val="008608C6"/>
    <w:rsid w:val="00860DED"/>
    <w:rsid w:val="00862DD8"/>
    <w:rsid w:val="00863AC9"/>
    <w:rsid w:val="00864238"/>
    <w:rsid w:val="008642EE"/>
    <w:rsid w:val="00865858"/>
    <w:rsid w:val="00867EA6"/>
    <w:rsid w:val="00870D61"/>
    <w:rsid w:val="00871021"/>
    <w:rsid w:val="0087135F"/>
    <w:rsid w:val="00872763"/>
    <w:rsid w:val="00872D94"/>
    <w:rsid w:val="0087339D"/>
    <w:rsid w:val="00876131"/>
    <w:rsid w:val="0087623A"/>
    <w:rsid w:val="00876C34"/>
    <w:rsid w:val="0087710A"/>
    <w:rsid w:val="00880364"/>
    <w:rsid w:val="0088199E"/>
    <w:rsid w:val="008831FA"/>
    <w:rsid w:val="0088534D"/>
    <w:rsid w:val="00885355"/>
    <w:rsid w:val="00886BD5"/>
    <w:rsid w:val="00886CFC"/>
    <w:rsid w:val="00887A6E"/>
    <w:rsid w:val="00891592"/>
    <w:rsid w:val="00891E9E"/>
    <w:rsid w:val="00893528"/>
    <w:rsid w:val="00894ED2"/>
    <w:rsid w:val="00894F58"/>
    <w:rsid w:val="00895852"/>
    <w:rsid w:val="00895A5A"/>
    <w:rsid w:val="008A03AC"/>
    <w:rsid w:val="008A0A52"/>
    <w:rsid w:val="008A1B65"/>
    <w:rsid w:val="008A1CC7"/>
    <w:rsid w:val="008A1E7F"/>
    <w:rsid w:val="008A23C0"/>
    <w:rsid w:val="008A2F68"/>
    <w:rsid w:val="008A415F"/>
    <w:rsid w:val="008A4E71"/>
    <w:rsid w:val="008A6B0D"/>
    <w:rsid w:val="008B0B3F"/>
    <w:rsid w:val="008B414B"/>
    <w:rsid w:val="008B44A3"/>
    <w:rsid w:val="008B4FA6"/>
    <w:rsid w:val="008B5282"/>
    <w:rsid w:val="008B5B4D"/>
    <w:rsid w:val="008B5B92"/>
    <w:rsid w:val="008B6B50"/>
    <w:rsid w:val="008B74C6"/>
    <w:rsid w:val="008B7C17"/>
    <w:rsid w:val="008C0014"/>
    <w:rsid w:val="008C03C3"/>
    <w:rsid w:val="008C0C33"/>
    <w:rsid w:val="008C0F0D"/>
    <w:rsid w:val="008C19BE"/>
    <w:rsid w:val="008C2D01"/>
    <w:rsid w:val="008C40E6"/>
    <w:rsid w:val="008C46E3"/>
    <w:rsid w:val="008C6E39"/>
    <w:rsid w:val="008D0F7A"/>
    <w:rsid w:val="008D1693"/>
    <w:rsid w:val="008D1F81"/>
    <w:rsid w:val="008D233D"/>
    <w:rsid w:val="008D298F"/>
    <w:rsid w:val="008D2F07"/>
    <w:rsid w:val="008D2F8C"/>
    <w:rsid w:val="008D4F3E"/>
    <w:rsid w:val="008D68E4"/>
    <w:rsid w:val="008D6EAD"/>
    <w:rsid w:val="008E0506"/>
    <w:rsid w:val="008E0CFF"/>
    <w:rsid w:val="008E0DF6"/>
    <w:rsid w:val="008E1387"/>
    <w:rsid w:val="008E289D"/>
    <w:rsid w:val="008E2D91"/>
    <w:rsid w:val="008E4486"/>
    <w:rsid w:val="008E45A6"/>
    <w:rsid w:val="008E5512"/>
    <w:rsid w:val="008E5765"/>
    <w:rsid w:val="008E5D6B"/>
    <w:rsid w:val="008E64AA"/>
    <w:rsid w:val="008E738A"/>
    <w:rsid w:val="008E76F0"/>
    <w:rsid w:val="008F000D"/>
    <w:rsid w:val="008F01E1"/>
    <w:rsid w:val="008F0D2D"/>
    <w:rsid w:val="008F15FE"/>
    <w:rsid w:val="008F1721"/>
    <w:rsid w:val="008F1F0B"/>
    <w:rsid w:val="008F2D29"/>
    <w:rsid w:val="008F4125"/>
    <w:rsid w:val="008F455C"/>
    <w:rsid w:val="008F5187"/>
    <w:rsid w:val="008F60D8"/>
    <w:rsid w:val="008F7224"/>
    <w:rsid w:val="008F75F6"/>
    <w:rsid w:val="00901E8D"/>
    <w:rsid w:val="00902727"/>
    <w:rsid w:val="00902E3A"/>
    <w:rsid w:val="0090312B"/>
    <w:rsid w:val="009045FC"/>
    <w:rsid w:val="009057EC"/>
    <w:rsid w:val="009076D4"/>
    <w:rsid w:val="00907A8E"/>
    <w:rsid w:val="009115F3"/>
    <w:rsid w:val="0091338E"/>
    <w:rsid w:val="00913B6E"/>
    <w:rsid w:val="00913CD9"/>
    <w:rsid w:val="00913E3B"/>
    <w:rsid w:val="00913FD7"/>
    <w:rsid w:val="009140C9"/>
    <w:rsid w:val="00914413"/>
    <w:rsid w:val="00915065"/>
    <w:rsid w:val="00916807"/>
    <w:rsid w:val="00916DEB"/>
    <w:rsid w:val="0091736D"/>
    <w:rsid w:val="00922C51"/>
    <w:rsid w:val="00923159"/>
    <w:rsid w:val="00924497"/>
    <w:rsid w:val="00924803"/>
    <w:rsid w:val="00927124"/>
    <w:rsid w:val="0093037A"/>
    <w:rsid w:val="00932959"/>
    <w:rsid w:val="00933D4F"/>
    <w:rsid w:val="00936509"/>
    <w:rsid w:val="00937264"/>
    <w:rsid w:val="0093779F"/>
    <w:rsid w:val="009402AE"/>
    <w:rsid w:val="0094075B"/>
    <w:rsid w:val="00940EB3"/>
    <w:rsid w:val="009413A6"/>
    <w:rsid w:val="0094154D"/>
    <w:rsid w:val="00942787"/>
    <w:rsid w:val="00943AA8"/>
    <w:rsid w:val="00943FE4"/>
    <w:rsid w:val="00944337"/>
    <w:rsid w:val="0094442A"/>
    <w:rsid w:val="00944B55"/>
    <w:rsid w:val="00945B39"/>
    <w:rsid w:val="00946C1F"/>
    <w:rsid w:val="0095155F"/>
    <w:rsid w:val="00951731"/>
    <w:rsid w:val="00954429"/>
    <w:rsid w:val="00955223"/>
    <w:rsid w:val="00955A7D"/>
    <w:rsid w:val="00955C57"/>
    <w:rsid w:val="009563CE"/>
    <w:rsid w:val="00960101"/>
    <w:rsid w:val="0096021E"/>
    <w:rsid w:val="00960352"/>
    <w:rsid w:val="00960556"/>
    <w:rsid w:val="00962925"/>
    <w:rsid w:val="00963110"/>
    <w:rsid w:val="00965E80"/>
    <w:rsid w:val="00966C4F"/>
    <w:rsid w:val="009670DD"/>
    <w:rsid w:val="00967407"/>
    <w:rsid w:val="0097009C"/>
    <w:rsid w:val="0097102B"/>
    <w:rsid w:val="00971B2F"/>
    <w:rsid w:val="009726B9"/>
    <w:rsid w:val="00974DD1"/>
    <w:rsid w:val="009755B1"/>
    <w:rsid w:val="00976328"/>
    <w:rsid w:val="0097680D"/>
    <w:rsid w:val="0098004C"/>
    <w:rsid w:val="00980C14"/>
    <w:rsid w:val="00980C67"/>
    <w:rsid w:val="00982438"/>
    <w:rsid w:val="00982589"/>
    <w:rsid w:val="0098374A"/>
    <w:rsid w:val="00983BBF"/>
    <w:rsid w:val="0098404C"/>
    <w:rsid w:val="00985283"/>
    <w:rsid w:val="009865B7"/>
    <w:rsid w:val="00986967"/>
    <w:rsid w:val="009877EE"/>
    <w:rsid w:val="00987E8E"/>
    <w:rsid w:val="00991B92"/>
    <w:rsid w:val="009926F3"/>
    <w:rsid w:val="00993973"/>
    <w:rsid w:val="00995732"/>
    <w:rsid w:val="00995992"/>
    <w:rsid w:val="0099640C"/>
    <w:rsid w:val="0099715A"/>
    <w:rsid w:val="00997316"/>
    <w:rsid w:val="00997AB2"/>
    <w:rsid w:val="00997BD4"/>
    <w:rsid w:val="00997C34"/>
    <w:rsid w:val="009A00ED"/>
    <w:rsid w:val="009A03E5"/>
    <w:rsid w:val="009A0F3B"/>
    <w:rsid w:val="009A1BB4"/>
    <w:rsid w:val="009A20C3"/>
    <w:rsid w:val="009A237D"/>
    <w:rsid w:val="009A2628"/>
    <w:rsid w:val="009A3200"/>
    <w:rsid w:val="009A3693"/>
    <w:rsid w:val="009A3F1C"/>
    <w:rsid w:val="009A432C"/>
    <w:rsid w:val="009A5C7C"/>
    <w:rsid w:val="009A5CA7"/>
    <w:rsid w:val="009A7BB8"/>
    <w:rsid w:val="009B0897"/>
    <w:rsid w:val="009B3292"/>
    <w:rsid w:val="009B44B4"/>
    <w:rsid w:val="009B62DE"/>
    <w:rsid w:val="009B64CC"/>
    <w:rsid w:val="009B714A"/>
    <w:rsid w:val="009B7BD9"/>
    <w:rsid w:val="009B7BF7"/>
    <w:rsid w:val="009C05B6"/>
    <w:rsid w:val="009C1E5B"/>
    <w:rsid w:val="009C23EB"/>
    <w:rsid w:val="009C65C8"/>
    <w:rsid w:val="009C7DD5"/>
    <w:rsid w:val="009D1900"/>
    <w:rsid w:val="009D1FF6"/>
    <w:rsid w:val="009D20F4"/>
    <w:rsid w:val="009D24E0"/>
    <w:rsid w:val="009D3262"/>
    <w:rsid w:val="009D4BDA"/>
    <w:rsid w:val="009D4EAA"/>
    <w:rsid w:val="009D4F99"/>
    <w:rsid w:val="009D5855"/>
    <w:rsid w:val="009D6B34"/>
    <w:rsid w:val="009D7736"/>
    <w:rsid w:val="009D7BBE"/>
    <w:rsid w:val="009E02A1"/>
    <w:rsid w:val="009E16A4"/>
    <w:rsid w:val="009E1DCC"/>
    <w:rsid w:val="009E227D"/>
    <w:rsid w:val="009E2585"/>
    <w:rsid w:val="009E3E63"/>
    <w:rsid w:val="009E4073"/>
    <w:rsid w:val="009E5019"/>
    <w:rsid w:val="009E5DCB"/>
    <w:rsid w:val="009E5EFF"/>
    <w:rsid w:val="009E6328"/>
    <w:rsid w:val="009F0195"/>
    <w:rsid w:val="009F324B"/>
    <w:rsid w:val="009F4343"/>
    <w:rsid w:val="009F6156"/>
    <w:rsid w:val="00A01095"/>
    <w:rsid w:val="00A024EA"/>
    <w:rsid w:val="00A03A48"/>
    <w:rsid w:val="00A04477"/>
    <w:rsid w:val="00A04F1B"/>
    <w:rsid w:val="00A0501B"/>
    <w:rsid w:val="00A05374"/>
    <w:rsid w:val="00A066BF"/>
    <w:rsid w:val="00A074B7"/>
    <w:rsid w:val="00A1017F"/>
    <w:rsid w:val="00A11F10"/>
    <w:rsid w:val="00A130A7"/>
    <w:rsid w:val="00A1330F"/>
    <w:rsid w:val="00A14947"/>
    <w:rsid w:val="00A15491"/>
    <w:rsid w:val="00A1604F"/>
    <w:rsid w:val="00A17197"/>
    <w:rsid w:val="00A1723A"/>
    <w:rsid w:val="00A173DD"/>
    <w:rsid w:val="00A17D36"/>
    <w:rsid w:val="00A17E02"/>
    <w:rsid w:val="00A23C17"/>
    <w:rsid w:val="00A23E1D"/>
    <w:rsid w:val="00A24B1B"/>
    <w:rsid w:val="00A3013C"/>
    <w:rsid w:val="00A30848"/>
    <w:rsid w:val="00A32A83"/>
    <w:rsid w:val="00A34A64"/>
    <w:rsid w:val="00A35337"/>
    <w:rsid w:val="00A368DB"/>
    <w:rsid w:val="00A3758D"/>
    <w:rsid w:val="00A37DAA"/>
    <w:rsid w:val="00A41CA2"/>
    <w:rsid w:val="00A4201A"/>
    <w:rsid w:val="00A423AA"/>
    <w:rsid w:val="00A427B3"/>
    <w:rsid w:val="00A42EAC"/>
    <w:rsid w:val="00A4463B"/>
    <w:rsid w:val="00A44BCE"/>
    <w:rsid w:val="00A44E05"/>
    <w:rsid w:val="00A4711C"/>
    <w:rsid w:val="00A501E9"/>
    <w:rsid w:val="00A504C7"/>
    <w:rsid w:val="00A52323"/>
    <w:rsid w:val="00A5271C"/>
    <w:rsid w:val="00A53EC6"/>
    <w:rsid w:val="00A54EAA"/>
    <w:rsid w:val="00A55228"/>
    <w:rsid w:val="00A55C0F"/>
    <w:rsid w:val="00A5640F"/>
    <w:rsid w:val="00A565B9"/>
    <w:rsid w:val="00A57307"/>
    <w:rsid w:val="00A60773"/>
    <w:rsid w:val="00A60E0C"/>
    <w:rsid w:val="00A61948"/>
    <w:rsid w:val="00A62500"/>
    <w:rsid w:val="00A651D1"/>
    <w:rsid w:val="00A66FB5"/>
    <w:rsid w:val="00A67089"/>
    <w:rsid w:val="00A67AAD"/>
    <w:rsid w:val="00A7032D"/>
    <w:rsid w:val="00A719EA"/>
    <w:rsid w:val="00A76319"/>
    <w:rsid w:val="00A77895"/>
    <w:rsid w:val="00A80F52"/>
    <w:rsid w:val="00A82939"/>
    <w:rsid w:val="00A83EDB"/>
    <w:rsid w:val="00A83FFF"/>
    <w:rsid w:val="00A84218"/>
    <w:rsid w:val="00A84644"/>
    <w:rsid w:val="00A84DB5"/>
    <w:rsid w:val="00A8713F"/>
    <w:rsid w:val="00A906CD"/>
    <w:rsid w:val="00A90BA1"/>
    <w:rsid w:val="00A91249"/>
    <w:rsid w:val="00A91889"/>
    <w:rsid w:val="00A91AAE"/>
    <w:rsid w:val="00A9204F"/>
    <w:rsid w:val="00A92A59"/>
    <w:rsid w:val="00A936D4"/>
    <w:rsid w:val="00A966CC"/>
    <w:rsid w:val="00A96A1B"/>
    <w:rsid w:val="00A96F76"/>
    <w:rsid w:val="00A97680"/>
    <w:rsid w:val="00A97A9A"/>
    <w:rsid w:val="00A97BC9"/>
    <w:rsid w:val="00AA0671"/>
    <w:rsid w:val="00AA1613"/>
    <w:rsid w:val="00AA16D0"/>
    <w:rsid w:val="00AA2371"/>
    <w:rsid w:val="00AA2531"/>
    <w:rsid w:val="00AA3847"/>
    <w:rsid w:val="00AA464D"/>
    <w:rsid w:val="00AA58A8"/>
    <w:rsid w:val="00AA6A69"/>
    <w:rsid w:val="00AB08B9"/>
    <w:rsid w:val="00AB1159"/>
    <w:rsid w:val="00AB1E09"/>
    <w:rsid w:val="00AB3F64"/>
    <w:rsid w:val="00AB4BD2"/>
    <w:rsid w:val="00AB5330"/>
    <w:rsid w:val="00AB656E"/>
    <w:rsid w:val="00AB6780"/>
    <w:rsid w:val="00AB7747"/>
    <w:rsid w:val="00AB7D6A"/>
    <w:rsid w:val="00AC14CE"/>
    <w:rsid w:val="00AC180B"/>
    <w:rsid w:val="00AC19C7"/>
    <w:rsid w:val="00AC2510"/>
    <w:rsid w:val="00AC2A56"/>
    <w:rsid w:val="00AC2FEA"/>
    <w:rsid w:val="00AC7266"/>
    <w:rsid w:val="00AC7305"/>
    <w:rsid w:val="00AC7F8E"/>
    <w:rsid w:val="00AD055E"/>
    <w:rsid w:val="00AD1175"/>
    <w:rsid w:val="00AD2A57"/>
    <w:rsid w:val="00AD47A7"/>
    <w:rsid w:val="00AD4E1C"/>
    <w:rsid w:val="00AD59C5"/>
    <w:rsid w:val="00AD5D93"/>
    <w:rsid w:val="00AD6AA4"/>
    <w:rsid w:val="00AE1AFB"/>
    <w:rsid w:val="00AE1E31"/>
    <w:rsid w:val="00AE1FFE"/>
    <w:rsid w:val="00AF0CBF"/>
    <w:rsid w:val="00AF257F"/>
    <w:rsid w:val="00AF29A7"/>
    <w:rsid w:val="00AF33CF"/>
    <w:rsid w:val="00AF4D50"/>
    <w:rsid w:val="00AF5457"/>
    <w:rsid w:val="00AF598A"/>
    <w:rsid w:val="00AF5CEA"/>
    <w:rsid w:val="00AF6179"/>
    <w:rsid w:val="00AF7074"/>
    <w:rsid w:val="00B0136E"/>
    <w:rsid w:val="00B020E1"/>
    <w:rsid w:val="00B02457"/>
    <w:rsid w:val="00B0312C"/>
    <w:rsid w:val="00B03905"/>
    <w:rsid w:val="00B070B1"/>
    <w:rsid w:val="00B072F0"/>
    <w:rsid w:val="00B10994"/>
    <w:rsid w:val="00B123F8"/>
    <w:rsid w:val="00B1295A"/>
    <w:rsid w:val="00B15727"/>
    <w:rsid w:val="00B158BF"/>
    <w:rsid w:val="00B1691A"/>
    <w:rsid w:val="00B17847"/>
    <w:rsid w:val="00B20A45"/>
    <w:rsid w:val="00B20CC5"/>
    <w:rsid w:val="00B216A1"/>
    <w:rsid w:val="00B22C5C"/>
    <w:rsid w:val="00B24D2F"/>
    <w:rsid w:val="00B24F30"/>
    <w:rsid w:val="00B25967"/>
    <w:rsid w:val="00B25A22"/>
    <w:rsid w:val="00B30719"/>
    <w:rsid w:val="00B30846"/>
    <w:rsid w:val="00B31857"/>
    <w:rsid w:val="00B31ABF"/>
    <w:rsid w:val="00B33385"/>
    <w:rsid w:val="00B33BE3"/>
    <w:rsid w:val="00B353AF"/>
    <w:rsid w:val="00B356A8"/>
    <w:rsid w:val="00B40CFF"/>
    <w:rsid w:val="00B42363"/>
    <w:rsid w:val="00B42F02"/>
    <w:rsid w:val="00B42FE2"/>
    <w:rsid w:val="00B45361"/>
    <w:rsid w:val="00B467E9"/>
    <w:rsid w:val="00B4739D"/>
    <w:rsid w:val="00B50533"/>
    <w:rsid w:val="00B50A89"/>
    <w:rsid w:val="00B52A75"/>
    <w:rsid w:val="00B536B3"/>
    <w:rsid w:val="00B53B5D"/>
    <w:rsid w:val="00B54AB7"/>
    <w:rsid w:val="00B54FE5"/>
    <w:rsid w:val="00B55E76"/>
    <w:rsid w:val="00B6055E"/>
    <w:rsid w:val="00B6317D"/>
    <w:rsid w:val="00B6372C"/>
    <w:rsid w:val="00B6513B"/>
    <w:rsid w:val="00B652E7"/>
    <w:rsid w:val="00B6601F"/>
    <w:rsid w:val="00B671D9"/>
    <w:rsid w:val="00B704CE"/>
    <w:rsid w:val="00B72861"/>
    <w:rsid w:val="00B72F47"/>
    <w:rsid w:val="00B762A3"/>
    <w:rsid w:val="00B76B96"/>
    <w:rsid w:val="00B7723F"/>
    <w:rsid w:val="00B80534"/>
    <w:rsid w:val="00B810C3"/>
    <w:rsid w:val="00B81629"/>
    <w:rsid w:val="00B83535"/>
    <w:rsid w:val="00B8354B"/>
    <w:rsid w:val="00B8433C"/>
    <w:rsid w:val="00B84375"/>
    <w:rsid w:val="00B852BB"/>
    <w:rsid w:val="00B852E3"/>
    <w:rsid w:val="00B858A9"/>
    <w:rsid w:val="00B85FB9"/>
    <w:rsid w:val="00B86398"/>
    <w:rsid w:val="00B87491"/>
    <w:rsid w:val="00B8789D"/>
    <w:rsid w:val="00B87CB6"/>
    <w:rsid w:val="00B90C1C"/>
    <w:rsid w:val="00B913C9"/>
    <w:rsid w:val="00B91E9C"/>
    <w:rsid w:val="00B9253C"/>
    <w:rsid w:val="00B92751"/>
    <w:rsid w:val="00B9334A"/>
    <w:rsid w:val="00B944C3"/>
    <w:rsid w:val="00B94F2D"/>
    <w:rsid w:val="00B95831"/>
    <w:rsid w:val="00B967A0"/>
    <w:rsid w:val="00BA29E9"/>
    <w:rsid w:val="00BA2D44"/>
    <w:rsid w:val="00BA36EC"/>
    <w:rsid w:val="00BA3872"/>
    <w:rsid w:val="00BA7142"/>
    <w:rsid w:val="00BA7159"/>
    <w:rsid w:val="00BA78B4"/>
    <w:rsid w:val="00BA7D1B"/>
    <w:rsid w:val="00BB1FAD"/>
    <w:rsid w:val="00BB237C"/>
    <w:rsid w:val="00BB28D1"/>
    <w:rsid w:val="00BB41A3"/>
    <w:rsid w:val="00BB4347"/>
    <w:rsid w:val="00BB456B"/>
    <w:rsid w:val="00BB5B25"/>
    <w:rsid w:val="00BB762F"/>
    <w:rsid w:val="00BC0B0F"/>
    <w:rsid w:val="00BC0B53"/>
    <w:rsid w:val="00BC2E48"/>
    <w:rsid w:val="00BC32DC"/>
    <w:rsid w:val="00BC35B6"/>
    <w:rsid w:val="00BC36B1"/>
    <w:rsid w:val="00BC3A70"/>
    <w:rsid w:val="00BC3ADE"/>
    <w:rsid w:val="00BC446E"/>
    <w:rsid w:val="00BC6273"/>
    <w:rsid w:val="00BC63CA"/>
    <w:rsid w:val="00BC7641"/>
    <w:rsid w:val="00BC7BDE"/>
    <w:rsid w:val="00BD1B51"/>
    <w:rsid w:val="00BD1E3C"/>
    <w:rsid w:val="00BD261E"/>
    <w:rsid w:val="00BD2C59"/>
    <w:rsid w:val="00BD4596"/>
    <w:rsid w:val="00BD7858"/>
    <w:rsid w:val="00BD7CBE"/>
    <w:rsid w:val="00BD7E44"/>
    <w:rsid w:val="00BE1405"/>
    <w:rsid w:val="00BE1572"/>
    <w:rsid w:val="00BE1E04"/>
    <w:rsid w:val="00BE27EE"/>
    <w:rsid w:val="00BE29FA"/>
    <w:rsid w:val="00BE2C36"/>
    <w:rsid w:val="00BE2C81"/>
    <w:rsid w:val="00BE312D"/>
    <w:rsid w:val="00BE5833"/>
    <w:rsid w:val="00BE601A"/>
    <w:rsid w:val="00BE6BFE"/>
    <w:rsid w:val="00BF0A17"/>
    <w:rsid w:val="00BF0E8A"/>
    <w:rsid w:val="00BF1C20"/>
    <w:rsid w:val="00BF2330"/>
    <w:rsid w:val="00BF3AF0"/>
    <w:rsid w:val="00BF4CA4"/>
    <w:rsid w:val="00BF5E6A"/>
    <w:rsid w:val="00BF7992"/>
    <w:rsid w:val="00C04E57"/>
    <w:rsid w:val="00C0563B"/>
    <w:rsid w:val="00C064D7"/>
    <w:rsid w:val="00C06936"/>
    <w:rsid w:val="00C07266"/>
    <w:rsid w:val="00C10578"/>
    <w:rsid w:val="00C10718"/>
    <w:rsid w:val="00C11519"/>
    <w:rsid w:val="00C11903"/>
    <w:rsid w:val="00C12215"/>
    <w:rsid w:val="00C135BC"/>
    <w:rsid w:val="00C14977"/>
    <w:rsid w:val="00C15226"/>
    <w:rsid w:val="00C15C95"/>
    <w:rsid w:val="00C15F0C"/>
    <w:rsid w:val="00C16770"/>
    <w:rsid w:val="00C1741E"/>
    <w:rsid w:val="00C21028"/>
    <w:rsid w:val="00C21944"/>
    <w:rsid w:val="00C220CF"/>
    <w:rsid w:val="00C23BDD"/>
    <w:rsid w:val="00C23F50"/>
    <w:rsid w:val="00C2499C"/>
    <w:rsid w:val="00C24A63"/>
    <w:rsid w:val="00C2596A"/>
    <w:rsid w:val="00C25E72"/>
    <w:rsid w:val="00C27537"/>
    <w:rsid w:val="00C279D6"/>
    <w:rsid w:val="00C32544"/>
    <w:rsid w:val="00C328FE"/>
    <w:rsid w:val="00C33507"/>
    <w:rsid w:val="00C33E7F"/>
    <w:rsid w:val="00C34647"/>
    <w:rsid w:val="00C3473E"/>
    <w:rsid w:val="00C34BCB"/>
    <w:rsid w:val="00C436AB"/>
    <w:rsid w:val="00C4409D"/>
    <w:rsid w:val="00C44820"/>
    <w:rsid w:val="00C44E72"/>
    <w:rsid w:val="00C45A06"/>
    <w:rsid w:val="00C45B83"/>
    <w:rsid w:val="00C475AD"/>
    <w:rsid w:val="00C47E5B"/>
    <w:rsid w:val="00C52247"/>
    <w:rsid w:val="00C53278"/>
    <w:rsid w:val="00C54C28"/>
    <w:rsid w:val="00C54EB7"/>
    <w:rsid w:val="00C55C9E"/>
    <w:rsid w:val="00C605C6"/>
    <w:rsid w:val="00C60F6E"/>
    <w:rsid w:val="00C61765"/>
    <w:rsid w:val="00C61E4B"/>
    <w:rsid w:val="00C63772"/>
    <w:rsid w:val="00C63AE6"/>
    <w:rsid w:val="00C64BFF"/>
    <w:rsid w:val="00C65B4A"/>
    <w:rsid w:val="00C704E9"/>
    <w:rsid w:val="00C71048"/>
    <w:rsid w:val="00C728F3"/>
    <w:rsid w:val="00C72E1C"/>
    <w:rsid w:val="00C73768"/>
    <w:rsid w:val="00C74215"/>
    <w:rsid w:val="00C763C9"/>
    <w:rsid w:val="00C76EFB"/>
    <w:rsid w:val="00C77A69"/>
    <w:rsid w:val="00C77C47"/>
    <w:rsid w:val="00C80057"/>
    <w:rsid w:val="00C807D7"/>
    <w:rsid w:val="00C811AA"/>
    <w:rsid w:val="00C819AA"/>
    <w:rsid w:val="00C82232"/>
    <w:rsid w:val="00C82913"/>
    <w:rsid w:val="00C839B6"/>
    <w:rsid w:val="00C85550"/>
    <w:rsid w:val="00C87164"/>
    <w:rsid w:val="00C94107"/>
    <w:rsid w:val="00C94B08"/>
    <w:rsid w:val="00C9548E"/>
    <w:rsid w:val="00C9629C"/>
    <w:rsid w:val="00C96717"/>
    <w:rsid w:val="00C972B1"/>
    <w:rsid w:val="00CA1375"/>
    <w:rsid w:val="00CA25A6"/>
    <w:rsid w:val="00CA2CCE"/>
    <w:rsid w:val="00CA4329"/>
    <w:rsid w:val="00CA438B"/>
    <w:rsid w:val="00CA43FD"/>
    <w:rsid w:val="00CA4EB9"/>
    <w:rsid w:val="00CA5272"/>
    <w:rsid w:val="00CA5739"/>
    <w:rsid w:val="00CA5788"/>
    <w:rsid w:val="00CA65E6"/>
    <w:rsid w:val="00CA70C4"/>
    <w:rsid w:val="00CA70D6"/>
    <w:rsid w:val="00CA7ECE"/>
    <w:rsid w:val="00CA7EF8"/>
    <w:rsid w:val="00CA7F49"/>
    <w:rsid w:val="00CB0851"/>
    <w:rsid w:val="00CB096C"/>
    <w:rsid w:val="00CB0A34"/>
    <w:rsid w:val="00CB0F23"/>
    <w:rsid w:val="00CB38D4"/>
    <w:rsid w:val="00CB5BE0"/>
    <w:rsid w:val="00CB7AEF"/>
    <w:rsid w:val="00CC1D58"/>
    <w:rsid w:val="00CC489B"/>
    <w:rsid w:val="00CC5418"/>
    <w:rsid w:val="00CD09F0"/>
    <w:rsid w:val="00CD206B"/>
    <w:rsid w:val="00CD2238"/>
    <w:rsid w:val="00CD268A"/>
    <w:rsid w:val="00CD2BCD"/>
    <w:rsid w:val="00CD3A4C"/>
    <w:rsid w:val="00CD3BA5"/>
    <w:rsid w:val="00CD5143"/>
    <w:rsid w:val="00CD5BDF"/>
    <w:rsid w:val="00CD64AA"/>
    <w:rsid w:val="00CD67E8"/>
    <w:rsid w:val="00CE10E9"/>
    <w:rsid w:val="00CE1B04"/>
    <w:rsid w:val="00CE2259"/>
    <w:rsid w:val="00CE2517"/>
    <w:rsid w:val="00CE2910"/>
    <w:rsid w:val="00CE3FF2"/>
    <w:rsid w:val="00CE4A12"/>
    <w:rsid w:val="00CE5393"/>
    <w:rsid w:val="00CF2C30"/>
    <w:rsid w:val="00CF36BE"/>
    <w:rsid w:val="00CF3FB3"/>
    <w:rsid w:val="00CF40C5"/>
    <w:rsid w:val="00CF40FF"/>
    <w:rsid w:val="00CF4B41"/>
    <w:rsid w:val="00CF6000"/>
    <w:rsid w:val="00CF6B68"/>
    <w:rsid w:val="00D003F3"/>
    <w:rsid w:val="00D008DD"/>
    <w:rsid w:val="00D03025"/>
    <w:rsid w:val="00D0364F"/>
    <w:rsid w:val="00D046CF"/>
    <w:rsid w:val="00D06710"/>
    <w:rsid w:val="00D06834"/>
    <w:rsid w:val="00D06E72"/>
    <w:rsid w:val="00D07DA3"/>
    <w:rsid w:val="00D07ECA"/>
    <w:rsid w:val="00D1124C"/>
    <w:rsid w:val="00D11269"/>
    <w:rsid w:val="00D118C8"/>
    <w:rsid w:val="00D120BC"/>
    <w:rsid w:val="00D122E1"/>
    <w:rsid w:val="00D1272D"/>
    <w:rsid w:val="00D132F1"/>
    <w:rsid w:val="00D14BD3"/>
    <w:rsid w:val="00D14FFB"/>
    <w:rsid w:val="00D15281"/>
    <w:rsid w:val="00D15CBE"/>
    <w:rsid w:val="00D16DD3"/>
    <w:rsid w:val="00D17E5E"/>
    <w:rsid w:val="00D22079"/>
    <w:rsid w:val="00D221BE"/>
    <w:rsid w:val="00D22813"/>
    <w:rsid w:val="00D238B8"/>
    <w:rsid w:val="00D23D62"/>
    <w:rsid w:val="00D23F8D"/>
    <w:rsid w:val="00D25CC7"/>
    <w:rsid w:val="00D25CEC"/>
    <w:rsid w:val="00D2660D"/>
    <w:rsid w:val="00D26D84"/>
    <w:rsid w:val="00D304C6"/>
    <w:rsid w:val="00D308ED"/>
    <w:rsid w:val="00D30B89"/>
    <w:rsid w:val="00D3110C"/>
    <w:rsid w:val="00D319C0"/>
    <w:rsid w:val="00D31B4B"/>
    <w:rsid w:val="00D31D08"/>
    <w:rsid w:val="00D351BB"/>
    <w:rsid w:val="00D35878"/>
    <w:rsid w:val="00D36537"/>
    <w:rsid w:val="00D36C75"/>
    <w:rsid w:val="00D36D86"/>
    <w:rsid w:val="00D37F11"/>
    <w:rsid w:val="00D428AA"/>
    <w:rsid w:val="00D42AAC"/>
    <w:rsid w:val="00D42DC6"/>
    <w:rsid w:val="00D435D7"/>
    <w:rsid w:val="00D43852"/>
    <w:rsid w:val="00D43E2D"/>
    <w:rsid w:val="00D45C17"/>
    <w:rsid w:val="00D45D67"/>
    <w:rsid w:val="00D45DB2"/>
    <w:rsid w:val="00D45ED0"/>
    <w:rsid w:val="00D460CD"/>
    <w:rsid w:val="00D46B2F"/>
    <w:rsid w:val="00D46CB9"/>
    <w:rsid w:val="00D47631"/>
    <w:rsid w:val="00D50A34"/>
    <w:rsid w:val="00D51F9D"/>
    <w:rsid w:val="00D52108"/>
    <w:rsid w:val="00D53EFA"/>
    <w:rsid w:val="00D6029A"/>
    <w:rsid w:val="00D60384"/>
    <w:rsid w:val="00D604AF"/>
    <w:rsid w:val="00D62ED6"/>
    <w:rsid w:val="00D6439E"/>
    <w:rsid w:val="00D64D43"/>
    <w:rsid w:val="00D650BE"/>
    <w:rsid w:val="00D65A0E"/>
    <w:rsid w:val="00D67CE6"/>
    <w:rsid w:val="00D7003C"/>
    <w:rsid w:val="00D72600"/>
    <w:rsid w:val="00D72B26"/>
    <w:rsid w:val="00D73844"/>
    <w:rsid w:val="00D7428F"/>
    <w:rsid w:val="00D75E81"/>
    <w:rsid w:val="00D77E0B"/>
    <w:rsid w:val="00D8100E"/>
    <w:rsid w:val="00D81D59"/>
    <w:rsid w:val="00D823B0"/>
    <w:rsid w:val="00D83191"/>
    <w:rsid w:val="00D833A3"/>
    <w:rsid w:val="00D84C2B"/>
    <w:rsid w:val="00D856A2"/>
    <w:rsid w:val="00D8612B"/>
    <w:rsid w:val="00D86D5E"/>
    <w:rsid w:val="00D876A1"/>
    <w:rsid w:val="00D87A1B"/>
    <w:rsid w:val="00D9376C"/>
    <w:rsid w:val="00D94A7C"/>
    <w:rsid w:val="00D95896"/>
    <w:rsid w:val="00D95C93"/>
    <w:rsid w:val="00D97412"/>
    <w:rsid w:val="00DA1515"/>
    <w:rsid w:val="00DA1D85"/>
    <w:rsid w:val="00DA2223"/>
    <w:rsid w:val="00DA408A"/>
    <w:rsid w:val="00DA49AA"/>
    <w:rsid w:val="00DA4DD4"/>
    <w:rsid w:val="00DA541B"/>
    <w:rsid w:val="00DA5CDB"/>
    <w:rsid w:val="00DA6D59"/>
    <w:rsid w:val="00DB2983"/>
    <w:rsid w:val="00DB3148"/>
    <w:rsid w:val="00DB4E15"/>
    <w:rsid w:val="00DB5DDE"/>
    <w:rsid w:val="00DB69C2"/>
    <w:rsid w:val="00DB7D9B"/>
    <w:rsid w:val="00DC0866"/>
    <w:rsid w:val="00DC1257"/>
    <w:rsid w:val="00DC1411"/>
    <w:rsid w:val="00DC17CB"/>
    <w:rsid w:val="00DC1E7D"/>
    <w:rsid w:val="00DC29B9"/>
    <w:rsid w:val="00DC2D4C"/>
    <w:rsid w:val="00DC3340"/>
    <w:rsid w:val="00DC3DC0"/>
    <w:rsid w:val="00DC5B2B"/>
    <w:rsid w:val="00DC74B9"/>
    <w:rsid w:val="00DD0CE9"/>
    <w:rsid w:val="00DD11F8"/>
    <w:rsid w:val="00DD120C"/>
    <w:rsid w:val="00DD13C7"/>
    <w:rsid w:val="00DD1FE9"/>
    <w:rsid w:val="00DD318D"/>
    <w:rsid w:val="00DD33D8"/>
    <w:rsid w:val="00DD51BD"/>
    <w:rsid w:val="00DD5448"/>
    <w:rsid w:val="00DD5ADC"/>
    <w:rsid w:val="00DD68AA"/>
    <w:rsid w:val="00DE153C"/>
    <w:rsid w:val="00DE19EC"/>
    <w:rsid w:val="00DE32E9"/>
    <w:rsid w:val="00DE3F38"/>
    <w:rsid w:val="00DE4961"/>
    <w:rsid w:val="00DE4A00"/>
    <w:rsid w:val="00DE6480"/>
    <w:rsid w:val="00DE7959"/>
    <w:rsid w:val="00DF00EA"/>
    <w:rsid w:val="00DF1C5F"/>
    <w:rsid w:val="00DF2397"/>
    <w:rsid w:val="00DF2E12"/>
    <w:rsid w:val="00DF3E44"/>
    <w:rsid w:val="00DF42B1"/>
    <w:rsid w:val="00DF514A"/>
    <w:rsid w:val="00DF6690"/>
    <w:rsid w:val="00DF6804"/>
    <w:rsid w:val="00DF739D"/>
    <w:rsid w:val="00E0358D"/>
    <w:rsid w:val="00E04072"/>
    <w:rsid w:val="00E04227"/>
    <w:rsid w:val="00E04323"/>
    <w:rsid w:val="00E04BB1"/>
    <w:rsid w:val="00E05501"/>
    <w:rsid w:val="00E070A2"/>
    <w:rsid w:val="00E11B76"/>
    <w:rsid w:val="00E14068"/>
    <w:rsid w:val="00E1631D"/>
    <w:rsid w:val="00E16C6D"/>
    <w:rsid w:val="00E17623"/>
    <w:rsid w:val="00E20693"/>
    <w:rsid w:val="00E222D7"/>
    <w:rsid w:val="00E23EE2"/>
    <w:rsid w:val="00E2656A"/>
    <w:rsid w:val="00E27C92"/>
    <w:rsid w:val="00E30399"/>
    <w:rsid w:val="00E3241B"/>
    <w:rsid w:val="00E3370F"/>
    <w:rsid w:val="00E33D6E"/>
    <w:rsid w:val="00E35A1B"/>
    <w:rsid w:val="00E35FB0"/>
    <w:rsid w:val="00E412D0"/>
    <w:rsid w:val="00E415C3"/>
    <w:rsid w:val="00E41766"/>
    <w:rsid w:val="00E42EF3"/>
    <w:rsid w:val="00E4411D"/>
    <w:rsid w:val="00E46699"/>
    <w:rsid w:val="00E4736B"/>
    <w:rsid w:val="00E47DE2"/>
    <w:rsid w:val="00E47E84"/>
    <w:rsid w:val="00E50940"/>
    <w:rsid w:val="00E512C3"/>
    <w:rsid w:val="00E51FA6"/>
    <w:rsid w:val="00E52530"/>
    <w:rsid w:val="00E52946"/>
    <w:rsid w:val="00E541B3"/>
    <w:rsid w:val="00E56322"/>
    <w:rsid w:val="00E573D9"/>
    <w:rsid w:val="00E57AC9"/>
    <w:rsid w:val="00E60982"/>
    <w:rsid w:val="00E6160F"/>
    <w:rsid w:val="00E62108"/>
    <w:rsid w:val="00E62352"/>
    <w:rsid w:val="00E62C62"/>
    <w:rsid w:val="00E63F1F"/>
    <w:rsid w:val="00E654C1"/>
    <w:rsid w:val="00E65D97"/>
    <w:rsid w:val="00E67EE2"/>
    <w:rsid w:val="00E70082"/>
    <w:rsid w:val="00E72A5A"/>
    <w:rsid w:val="00E72B11"/>
    <w:rsid w:val="00E73354"/>
    <w:rsid w:val="00E74033"/>
    <w:rsid w:val="00E74150"/>
    <w:rsid w:val="00E75107"/>
    <w:rsid w:val="00E755FF"/>
    <w:rsid w:val="00E76259"/>
    <w:rsid w:val="00E80505"/>
    <w:rsid w:val="00E80D5C"/>
    <w:rsid w:val="00E81A07"/>
    <w:rsid w:val="00E83FE9"/>
    <w:rsid w:val="00E877F7"/>
    <w:rsid w:val="00E90DF5"/>
    <w:rsid w:val="00E91047"/>
    <w:rsid w:val="00E913BE"/>
    <w:rsid w:val="00E9242D"/>
    <w:rsid w:val="00E926FA"/>
    <w:rsid w:val="00E92C88"/>
    <w:rsid w:val="00E94033"/>
    <w:rsid w:val="00E94314"/>
    <w:rsid w:val="00E95040"/>
    <w:rsid w:val="00E96B09"/>
    <w:rsid w:val="00E96E7A"/>
    <w:rsid w:val="00E970AB"/>
    <w:rsid w:val="00E9792B"/>
    <w:rsid w:val="00E97E9E"/>
    <w:rsid w:val="00EA376C"/>
    <w:rsid w:val="00EA3DFB"/>
    <w:rsid w:val="00EA513A"/>
    <w:rsid w:val="00EA5578"/>
    <w:rsid w:val="00EA5859"/>
    <w:rsid w:val="00EB07C3"/>
    <w:rsid w:val="00EB0CE2"/>
    <w:rsid w:val="00EB26FA"/>
    <w:rsid w:val="00EB3B39"/>
    <w:rsid w:val="00EB5255"/>
    <w:rsid w:val="00EB5302"/>
    <w:rsid w:val="00EB5755"/>
    <w:rsid w:val="00EB5C47"/>
    <w:rsid w:val="00EB5F7C"/>
    <w:rsid w:val="00EB616D"/>
    <w:rsid w:val="00EB66E6"/>
    <w:rsid w:val="00EC10CC"/>
    <w:rsid w:val="00EC1A56"/>
    <w:rsid w:val="00EC2DA1"/>
    <w:rsid w:val="00EC35CA"/>
    <w:rsid w:val="00EC5177"/>
    <w:rsid w:val="00ED0639"/>
    <w:rsid w:val="00ED0AA9"/>
    <w:rsid w:val="00ED0BF7"/>
    <w:rsid w:val="00ED185C"/>
    <w:rsid w:val="00ED1917"/>
    <w:rsid w:val="00ED322E"/>
    <w:rsid w:val="00ED606F"/>
    <w:rsid w:val="00ED6827"/>
    <w:rsid w:val="00ED6C48"/>
    <w:rsid w:val="00EE2E8E"/>
    <w:rsid w:val="00EE618C"/>
    <w:rsid w:val="00EF01F3"/>
    <w:rsid w:val="00EF01F5"/>
    <w:rsid w:val="00EF2F96"/>
    <w:rsid w:val="00EF4755"/>
    <w:rsid w:val="00EF6D5D"/>
    <w:rsid w:val="00EF7135"/>
    <w:rsid w:val="00EF7943"/>
    <w:rsid w:val="00F011CD"/>
    <w:rsid w:val="00F013CF"/>
    <w:rsid w:val="00F0142A"/>
    <w:rsid w:val="00F027DB"/>
    <w:rsid w:val="00F038FF"/>
    <w:rsid w:val="00F05640"/>
    <w:rsid w:val="00F07471"/>
    <w:rsid w:val="00F12DE3"/>
    <w:rsid w:val="00F13457"/>
    <w:rsid w:val="00F13AA8"/>
    <w:rsid w:val="00F14A7A"/>
    <w:rsid w:val="00F14DF9"/>
    <w:rsid w:val="00F15E3D"/>
    <w:rsid w:val="00F16063"/>
    <w:rsid w:val="00F167EA"/>
    <w:rsid w:val="00F1717C"/>
    <w:rsid w:val="00F21551"/>
    <w:rsid w:val="00F223A0"/>
    <w:rsid w:val="00F22985"/>
    <w:rsid w:val="00F22ACA"/>
    <w:rsid w:val="00F30FE4"/>
    <w:rsid w:val="00F31682"/>
    <w:rsid w:val="00F3383E"/>
    <w:rsid w:val="00F33A23"/>
    <w:rsid w:val="00F345B6"/>
    <w:rsid w:val="00F34877"/>
    <w:rsid w:val="00F360EB"/>
    <w:rsid w:val="00F362EF"/>
    <w:rsid w:val="00F4040F"/>
    <w:rsid w:val="00F42E4E"/>
    <w:rsid w:val="00F4323F"/>
    <w:rsid w:val="00F45488"/>
    <w:rsid w:val="00F465A7"/>
    <w:rsid w:val="00F46C4B"/>
    <w:rsid w:val="00F4748B"/>
    <w:rsid w:val="00F478A4"/>
    <w:rsid w:val="00F47AA2"/>
    <w:rsid w:val="00F47DB2"/>
    <w:rsid w:val="00F50576"/>
    <w:rsid w:val="00F50B7C"/>
    <w:rsid w:val="00F51ADF"/>
    <w:rsid w:val="00F54228"/>
    <w:rsid w:val="00F550E6"/>
    <w:rsid w:val="00F55AA2"/>
    <w:rsid w:val="00F645E6"/>
    <w:rsid w:val="00F651B3"/>
    <w:rsid w:val="00F65A98"/>
    <w:rsid w:val="00F66155"/>
    <w:rsid w:val="00F664B0"/>
    <w:rsid w:val="00F664F1"/>
    <w:rsid w:val="00F66F80"/>
    <w:rsid w:val="00F7053B"/>
    <w:rsid w:val="00F71599"/>
    <w:rsid w:val="00F72621"/>
    <w:rsid w:val="00F726DA"/>
    <w:rsid w:val="00F74345"/>
    <w:rsid w:val="00F74529"/>
    <w:rsid w:val="00F75183"/>
    <w:rsid w:val="00F7526C"/>
    <w:rsid w:val="00F7554B"/>
    <w:rsid w:val="00F75CC6"/>
    <w:rsid w:val="00F76C77"/>
    <w:rsid w:val="00F76D73"/>
    <w:rsid w:val="00F76E46"/>
    <w:rsid w:val="00F80A0A"/>
    <w:rsid w:val="00F81458"/>
    <w:rsid w:val="00F8176D"/>
    <w:rsid w:val="00F81A1E"/>
    <w:rsid w:val="00F82B19"/>
    <w:rsid w:val="00F82C31"/>
    <w:rsid w:val="00F8385E"/>
    <w:rsid w:val="00F83905"/>
    <w:rsid w:val="00F9034F"/>
    <w:rsid w:val="00F91E2E"/>
    <w:rsid w:val="00F9212D"/>
    <w:rsid w:val="00F922B1"/>
    <w:rsid w:val="00F9382D"/>
    <w:rsid w:val="00F94FD8"/>
    <w:rsid w:val="00F965DA"/>
    <w:rsid w:val="00F9661F"/>
    <w:rsid w:val="00F96DC3"/>
    <w:rsid w:val="00F96EE9"/>
    <w:rsid w:val="00FA2424"/>
    <w:rsid w:val="00FA3569"/>
    <w:rsid w:val="00FA3E2C"/>
    <w:rsid w:val="00FA406A"/>
    <w:rsid w:val="00FA5E84"/>
    <w:rsid w:val="00FA6546"/>
    <w:rsid w:val="00FA65C4"/>
    <w:rsid w:val="00FA6959"/>
    <w:rsid w:val="00FA7E56"/>
    <w:rsid w:val="00FB0D40"/>
    <w:rsid w:val="00FB0FC8"/>
    <w:rsid w:val="00FB1E18"/>
    <w:rsid w:val="00FB48C1"/>
    <w:rsid w:val="00FB503A"/>
    <w:rsid w:val="00FB516C"/>
    <w:rsid w:val="00FB5964"/>
    <w:rsid w:val="00FB6974"/>
    <w:rsid w:val="00FB6FDB"/>
    <w:rsid w:val="00FB76BB"/>
    <w:rsid w:val="00FB7ADB"/>
    <w:rsid w:val="00FC0810"/>
    <w:rsid w:val="00FC118A"/>
    <w:rsid w:val="00FC2029"/>
    <w:rsid w:val="00FC31BC"/>
    <w:rsid w:val="00FC41E6"/>
    <w:rsid w:val="00FC514E"/>
    <w:rsid w:val="00FC5585"/>
    <w:rsid w:val="00FC6F09"/>
    <w:rsid w:val="00FC77FE"/>
    <w:rsid w:val="00FD01C6"/>
    <w:rsid w:val="00FD0236"/>
    <w:rsid w:val="00FD118A"/>
    <w:rsid w:val="00FD18F4"/>
    <w:rsid w:val="00FD3972"/>
    <w:rsid w:val="00FD470B"/>
    <w:rsid w:val="00FD4968"/>
    <w:rsid w:val="00FD54DB"/>
    <w:rsid w:val="00FD6174"/>
    <w:rsid w:val="00FD619F"/>
    <w:rsid w:val="00FD6CF4"/>
    <w:rsid w:val="00FD758E"/>
    <w:rsid w:val="00FD7EDD"/>
    <w:rsid w:val="00FE032F"/>
    <w:rsid w:val="00FE0546"/>
    <w:rsid w:val="00FE188D"/>
    <w:rsid w:val="00FE2149"/>
    <w:rsid w:val="00FE3E7F"/>
    <w:rsid w:val="00FE57AD"/>
    <w:rsid w:val="00FE787D"/>
    <w:rsid w:val="00FF1D38"/>
    <w:rsid w:val="00FF4A47"/>
    <w:rsid w:val="00FF5886"/>
    <w:rsid w:val="00FF7299"/>
    <w:rsid w:val="00FF73ED"/>
    <w:rsid w:val="00FF7876"/>
    <w:rsid w:val="00FF7BDF"/>
    <w:rsid w:val="01290F7E"/>
    <w:rsid w:val="015D1E09"/>
    <w:rsid w:val="02697903"/>
    <w:rsid w:val="02F96569"/>
    <w:rsid w:val="03EA7B21"/>
    <w:rsid w:val="05F83EAE"/>
    <w:rsid w:val="063E7D85"/>
    <w:rsid w:val="07293586"/>
    <w:rsid w:val="07295285"/>
    <w:rsid w:val="07636392"/>
    <w:rsid w:val="07770C56"/>
    <w:rsid w:val="092217DD"/>
    <w:rsid w:val="093A7294"/>
    <w:rsid w:val="0A263993"/>
    <w:rsid w:val="0A2D3AC2"/>
    <w:rsid w:val="0AA755DF"/>
    <w:rsid w:val="0B120D44"/>
    <w:rsid w:val="0BD27BF6"/>
    <w:rsid w:val="0C3B3C7D"/>
    <w:rsid w:val="0CAB2EAE"/>
    <w:rsid w:val="0D621C7D"/>
    <w:rsid w:val="0E73034D"/>
    <w:rsid w:val="0F13775A"/>
    <w:rsid w:val="0F5F45FE"/>
    <w:rsid w:val="0F9A112B"/>
    <w:rsid w:val="106D2F64"/>
    <w:rsid w:val="10B63710"/>
    <w:rsid w:val="10F10820"/>
    <w:rsid w:val="111C2F7A"/>
    <w:rsid w:val="11665CA1"/>
    <w:rsid w:val="13951726"/>
    <w:rsid w:val="14396509"/>
    <w:rsid w:val="14DD2C3C"/>
    <w:rsid w:val="16087E1D"/>
    <w:rsid w:val="17701D14"/>
    <w:rsid w:val="17735226"/>
    <w:rsid w:val="189F624C"/>
    <w:rsid w:val="1A1C66C0"/>
    <w:rsid w:val="1A42393B"/>
    <w:rsid w:val="1AAD45DE"/>
    <w:rsid w:val="1B046F80"/>
    <w:rsid w:val="1B3267B5"/>
    <w:rsid w:val="1B40161D"/>
    <w:rsid w:val="1B441859"/>
    <w:rsid w:val="1B6606B1"/>
    <w:rsid w:val="1C5E7925"/>
    <w:rsid w:val="1CFD070F"/>
    <w:rsid w:val="1D5F6196"/>
    <w:rsid w:val="1D6132A5"/>
    <w:rsid w:val="1D8E56D5"/>
    <w:rsid w:val="1E7A43DA"/>
    <w:rsid w:val="1FE7539E"/>
    <w:rsid w:val="20671BE0"/>
    <w:rsid w:val="20963CB8"/>
    <w:rsid w:val="20A81A1B"/>
    <w:rsid w:val="20B07FB6"/>
    <w:rsid w:val="20B646FB"/>
    <w:rsid w:val="213B74B1"/>
    <w:rsid w:val="215A2310"/>
    <w:rsid w:val="21DE318A"/>
    <w:rsid w:val="21EF5B80"/>
    <w:rsid w:val="22576990"/>
    <w:rsid w:val="22F47480"/>
    <w:rsid w:val="23DE1C48"/>
    <w:rsid w:val="240210CD"/>
    <w:rsid w:val="24BF09F7"/>
    <w:rsid w:val="252D53FE"/>
    <w:rsid w:val="25EC2D81"/>
    <w:rsid w:val="277057A2"/>
    <w:rsid w:val="29206EB8"/>
    <w:rsid w:val="29595666"/>
    <w:rsid w:val="29874881"/>
    <w:rsid w:val="29E325E0"/>
    <w:rsid w:val="2A452503"/>
    <w:rsid w:val="2BA936A8"/>
    <w:rsid w:val="2C315A5A"/>
    <w:rsid w:val="2C4B1C25"/>
    <w:rsid w:val="2D9E56F5"/>
    <w:rsid w:val="2E667F96"/>
    <w:rsid w:val="2E8226AB"/>
    <w:rsid w:val="2FD065E6"/>
    <w:rsid w:val="2FD96870"/>
    <w:rsid w:val="30580BC9"/>
    <w:rsid w:val="311E2ED7"/>
    <w:rsid w:val="315619EE"/>
    <w:rsid w:val="315C449C"/>
    <w:rsid w:val="31B82709"/>
    <w:rsid w:val="31D05482"/>
    <w:rsid w:val="32400B34"/>
    <w:rsid w:val="329E6876"/>
    <w:rsid w:val="333015F2"/>
    <w:rsid w:val="334B6320"/>
    <w:rsid w:val="33D934D4"/>
    <w:rsid w:val="33FE2F6A"/>
    <w:rsid w:val="340E07E5"/>
    <w:rsid w:val="34235BF7"/>
    <w:rsid w:val="358C5FA8"/>
    <w:rsid w:val="35C15DF1"/>
    <w:rsid w:val="36074A7F"/>
    <w:rsid w:val="36923549"/>
    <w:rsid w:val="36B75FBF"/>
    <w:rsid w:val="36BD0C45"/>
    <w:rsid w:val="37E00298"/>
    <w:rsid w:val="38B302F9"/>
    <w:rsid w:val="38F12CD3"/>
    <w:rsid w:val="38F94775"/>
    <w:rsid w:val="392971ED"/>
    <w:rsid w:val="39325651"/>
    <w:rsid w:val="3A872856"/>
    <w:rsid w:val="3B3763D1"/>
    <w:rsid w:val="3C2F6E1E"/>
    <w:rsid w:val="3C4F64BA"/>
    <w:rsid w:val="3CDA245A"/>
    <w:rsid w:val="3D1E06B7"/>
    <w:rsid w:val="3EDA0523"/>
    <w:rsid w:val="407A6407"/>
    <w:rsid w:val="4200449D"/>
    <w:rsid w:val="423A3BCC"/>
    <w:rsid w:val="424E57D2"/>
    <w:rsid w:val="42B26C49"/>
    <w:rsid w:val="433A6FE6"/>
    <w:rsid w:val="43480868"/>
    <w:rsid w:val="4350713C"/>
    <w:rsid w:val="436653E0"/>
    <w:rsid w:val="43C4431A"/>
    <w:rsid w:val="44B951CC"/>
    <w:rsid w:val="44CD14E0"/>
    <w:rsid w:val="44F20B0B"/>
    <w:rsid w:val="452E5F4C"/>
    <w:rsid w:val="45612018"/>
    <w:rsid w:val="458946E9"/>
    <w:rsid w:val="45A47C0E"/>
    <w:rsid w:val="46577FD6"/>
    <w:rsid w:val="46D955A7"/>
    <w:rsid w:val="47133957"/>
    <w:rsid w:val="47A07E0C"/>
    <w:rsid w:val="4870272E"/>
    <w:rsid w:val="49DC7715"/>
    <w:rsid w:val="4A023139"/>
    <w:rsid w:val="4A7B576F"/>
    <w:rsid w:val="4AF561A9"/>
    <w:rsid w:val="4C4A0649"/>
    <w:rsid w:val="4C7E5ECA"/>
    <w:rsid w:val="4C876AA5"/>
    <w:rsid w:val="4D0E00FB"/>
    <w:rsid w:val="4D176606"/>
    <w:rsid w:val="4DEC4FB0"/>
    <w:rsid w:val="4E075D8A"/>
    <w:rsid w:val="4EC00FAD"/>
    <w:rsid w:val="4F9843DC"/>
    <w:rsid w:val="4FC62A8C"/>
    <w:rsid w:val="4FE20F0D"/>
    <w:rsid w:val="4FE51552"/>
    <w:rsid w:val="50504C4B"/>
    <w:rsid w:val="509C6E7C"/>
    <w:rsid w:val="5162104E"/>
    <w:rsid w:val="53A039CC"/>
    <w:rsid w:val="53A1505A"/>
    <w:rsid w:val="54063E08"/>
    <w:rsid w:val="543437E8"/>
    <w:rsid w:val="54F73313"/>
    <w:rsid w:val="54F80955"/>
    <w:rsid w:val="555170A7"/>
    <w:rsid w:val="5587536D"/>
    <w:rsid w:val="559B174B"/>
    <w:rsid w:val="55CE0CF4"/>
    <w:rsid w:val="56B22A9C"/>
    <w:rsid w:val="57B72A76"/>
    <w:rsid w:val="57C3426C"/>
    <w:rsid w:val="57CE1F93"/>
    <w:rsid w:val="588743D1"/>
    <w:rsid w:val="5887701A"/>
    <w:rsid w:val="59C0439F"/>
    <w:rsid w:val="5ABE2233"/>
    <w:rsid w:val="5BDF5D95"/>
    <w:rsid w:val="5BFE7528"/>
    <w:rsid w:val="5E2467F1"/>
    <w:rsid w:val="5F1A2B43"/>
    <w:rsid w:val="5FB837BB"/>
    <w:rsid w:val="60CC405A"/>
    <w:rsid w:val="61E215D8"/>
    <w:rsid w:val="621B3775"/>
    <w:rsid w:val="62364782"/>
    <w:rsid w:val="6394356A"/>
    <w:rsid w:val="63C61B2C"/>
    <w:rsid w:val="63D40BE9"/>
    <w:rsid w:val="64102431"/>
    <w:rsid w:val="64A5243A"/>
    <w:rsid w:val="64F531DE"/>
    <w:rsid w:val="65373578"/>
    <w:rsid w:val="671F124A"/>
    <w:rsid w:val="677A33C6"/>
    <w:rsid w:val="681F6961"/>
    <w:rsid w:val="68610A2F"/>
    <w:rsid w:val="68805514"/>
    <w:rsid w:val="69316E2F"/>
    <w:rsid w:val="694E2071"/>
    <w:rsid w:val="69766163"/>
    <w:rsid w:val="697A3B33"/>
    <w:rsid w:val="69D44760"/>
    <w:rsid w:val="6A520EC7"/>
    <w:rsid w:val="6AF87E20"/>
    <w:rsid w:val="6B322639"/>
    <w:rsid w:val="6C636C38"/>
    <w:rsid w:val="6DB34098"/>
    <w:rsid w:val="6DB545B6"/>
    <w:rsid w:val="6DE02FB4"/>
    <w:rsid w:val="6E514CED"/>
    <w:rsid w:val="6EB563D5"/>
    <w:rsid w:val="6ED92677"/>
    <w:rsid w:val="6F225983"/>
    <w:rsid w:val="6FFC5590"/>
    <w:rsid w:val="706D1DD0"/>
    <w:rsid w:val="70856B87"/>
    <w:rsid w:val="70D527EE"/>
    <w:rsid w:val="715B5300"/>
    <w:rsid w:val="71D27F8A"/>
    <w:rsid w:val="72553024"/>
    <w:rsid w:val="73122968"/>
    <w:rsid w:val="731F5D5E"/>
    <w:rsid w:val="73411D54"/>
    <w:rsid w:val="73C51AD5"/>
    <w:rsid w:val="741E793C"/>
    <w:rsid w:val="745E3944"/>
    <w:rsid w:val="7635099D"/>
    <w:rsid w:val="77762421"/>
    <w:rsid w:val="77B56B1F"/>
    <w:rsid w:val="780F09F4"/>
    <w:rsid w:val="78A90480"/>
    <w:rsid w:val="7A364017"/>
    <w:rsid w:val="7A8265E1"/>
    <w:rsid w:val="7B686D42"/>
    <w:rsid w:val="7B841746"/>
    <w:rsid w:val="7C6C5AC7"/>
    <w:rsid w:val="7CC6544B"/>
    <w:rsid w:val="7D0239FF"/>
    <w:rsid w:val="7D5E40CD"/>
    <w:rsid w:val="7DCD56F2"/>
    <w:rsid w:val="7F001CE7"/>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qFormat="1"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99"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ocked="1"/>
    <w:lsdException w:qFormat="1" w:unhideWhenUsed="0" w:uiPriority="35" w:semiHidden="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unhideWhenUsed="0" w:uiPriority="0" w:semiHidden="0" w:name="Body Text First Indent" w:locked="1"/>
    <w:lsdException w:qFormat="1" w:unhideWhenUsed="0" w:uiPriority="0" w:semiHidden="0" w:name="Body Text First Indent 2" w:locked="1"/>
    <w:lsdException w:unhideWhenUsed="0" w:uiPriority="0" w:semiHidden="0" w:name="Note Heading" w:locked="1"/>
    <w:lsdException w:unhideWhenUsed="0" w:uiPriority="0" w:semiHidden="0" w:name="Body Text 2" w:locked="1"/>
    <w:lsdException w:unhideWhenUsed="0" w:uiPriority="0" w:semiHidden="0" w:name="Body Text 3" w:locked="1"/>
    <w:lsdException w:unhideWhenUsed="0" w:uiPriority="0" w:semiHidden="0" w:name="Body Text Indent 2" w:locked="1"/>
    <w:lsdException w:unhideWhenUsed="0" w:uiPriority="0" w:semiHidden="0" w:name="Body Text Indent 3" w:locked="1"/>
    <w:lsdException w:unhideWhenUsed="0" w:uiPriority="0" w:semiHidden="0" w:name="Block Text" w:locked="1"/>
    <w:lsdException w:unhideWhenUsed="0" w:uiPriority="0" w:semiHidden="0" w:name="Hyperlink" w:locked="1"/>
    <w:lsdException w:unhideWhenUsed="0" w:uiPriority="0" w:semiHidden="0" w:name="FollowedHyperlink" w:locked="1"/>
    <w:lsdException w:qFormat="1" w:unhideWhenUsed="0" w:uiPriority="22" w:semiHidden="0" w:name="Strong" w:locked="1"/>
    <w:lsdException w:qFormat="1" w:unhideWhenUsed="0" w:uiPriority="0" w:semiHidden="0" w:name="Emphasis" w:locked="1"/>
    <w:lsdException w:unhideWhenUsed="0" w:uiPriority="0" w:semiHidden="0" w:name="Document Map" w:locked="1"/>
    <w:lsdException w:unhideWhenUsed="0" w:uiPriority="0" w:semiHidden="0" w:name="Plain Text" w:locked="1"/>
    <w:lsdException w:unhideWhenUsed="0" w:uiPriority="0" w:semiHidden="0" w:name="E-mail Signature" w:locked="1"/>
    <w:lsdException w:qFormat="1" w:unhideWhenUsed="0" w:uiPriority="99"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iPriority="99" w:name="Normal Table"/>
    <w:lsdException w:qFormat="1" w:unhideWhenUsed="0" w:uiPriority="0" w:name="annotation subject"/>
    <w:lsdException w:uiPriority="0" w:name="Table Simple 1" w:locked="1"/>
    <w:lsdException w:uiPriority="0" w:name="Table Simple 2" w:locked="1"/>
    <w:lsdException w:uiPriority="0" w:name="Table Simple 3" w:locked="1"/>
    <w:lsdException w:uiPriority="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uiPriority="0" w:name="Table Grid 1" w:locked="1"/>
    <w:lsdException w:uiPriority="0" w:name="Table Grid 2" w:locked="1"/>
    <w:lsdException w:uiPriority="0" w:name="Table Grid 3" w:locked="1"/>
    <w:lsdException w:uiPriority="0" w:name="Table Grid 4" w:locked="1"/>
    <w:lsdException w:uiPriority="0" w:name="Table Grid 5" w:locked="1"/>
    <w:lsdException w:uiPriority="0" w:name="Table Grid 6" w:locked="1"/>
    <w:lsdException w:uiPriority="0" w:name="Table Grid 7" w:locked="1"/>
    <w:lsdException w:uiPriority="0" w:name="Table Grid 8" w:locked="1"/>
    <w:lsdException w:uiPriority="0" w:name="Table List 1" w:locked="1"/>
    <w:lsdException w:uiPriority="0" w:name="Table List 2" w:locked="1"/>
    <w:lsdException w:uiPriority="0" w:name="Table List 3" w:locked="1"/>
    <w:lsdException w:uiPriority="0" w:name="Table List 4" w:locked="1"/>
    <w:lsdException w:uiPriority="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uiPriority="0" w:name="Table Elegant" w:locked="1"/>
    <w:lsdException w:uiPriority="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0" w:name="Balloon Text"/>
    <w:lsdException w:qFormat="1" w:unhideWhenUsed="0" w:uiPriority="39" w:semiHidden="0" w:name="Table Grid"/>
    <w:lsdException w:uiPriority="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4"/>
    <w:link w:val="39"/>
    <w:qFormat/>
    <w:locked/>
    <w:uiPriority w:val="99"/>
    <w:pPr>
      <w:ind w:firstLine="420"/>
    </w:pPr>
  </w:style>
  <w:style w:type="paragraph" w:styleId="4">
    <w:name w:val="toc 1"/>
    <w:basedOn w:val="1"/>
    <w:next w:val="1"/>
    <w:qFormat/>
    <w:locked/>
    <w:uiPriority w:val="0"/>
    <w:pPr>
      <w:adjustRightInd w:val="0"/>
      <w:snapToGrid w:val="0"/>
      <w:spacing w:line="320" w:lineRule="exact"/>
      <w:jc w:val="center"/>
    </w:pPr>
    <w:rPr>
      <w:rFonts w:ascii="宋体" w:hAnsi="宋体"/>
      <w:szCs w:val="20"/>
    </w:rPr>
  </w:style>
  <w:style w:type="paragraph" w:styleId="5">
    <w:name w:val="caption"/>
    <w:basedOn w:val="1"/>
    <w:next w:val="1"/>
    <w:link w:val="46"/>
    <w:qFormat/>
    <w:locked/>
    <w:uiPriority w:val="35"/>
    <w:pPr>
      <w:jc w:val="center"/>
    </w:pPr>
    <w:rPr>
      <w:rFonts w:ascii="宋体" w:hAnsi="Arial"/>
      <w:b/>
      <w:szCs w:val="20"/>
    </w:rPr>
  </w:style>
  <w:style w:type="paragraph" w:styleId="6">
    <w:name w:val="annotation text"/>
    <w:basedOn w:val="1"/>
    <w:link w:val="28"/>
    <w:semiHidden/>
    <w:qFormat/>
    <w:uiPriority w:val="0"/>
    <w:pPr>
      <w:jc w:val="left"/>
    </w:pPr>
    <w:rPr>
      <w:kern w:val="0"/>
      <w:sz w:val="24"/>
      <w:szCs w:val="20"/>
    </w:rPr>
  </w:style>
  <w:style w:type="paragraph" w:styleId="7">
    <w:name w:val="Body Text"/>
    <w:basedOn w:val="1"/>
    <w:link w:val="27"/>
    <w:qFormat/>
    <w:uiPriority w:val="0"/>
    <w:pPr>
      <w:widowControl/>
      <w:snapToGrid w:val="0"/>
      <w:spacing w:before="60" w:after="160" w:line="259" w:lineRule="auto"/>
      <w:ind w:right="113"/>
    </w:pPr>
    <w:rPr>
      <w:kern w:val="0"/>
      <w:sz w:val="18"/>
      <w:szCs w:val="20"/>
    </w:rPr>
  </w:style>
  <w:style w:type="paragraph" w:styleId="8">
    <w:name w:val="Body Text Indent"/>
    <w:basedOn w:val="1"/>
    <w:link w:val="36"/>
    <w:qFormat/>
    <w:uiPriority w:val="0"/>
    <w:pPr>
      <w:spacing w:after="120"/>
      <w:ind w:left="420" w:leftChars="200"/>
    </w:pPr>
    <w:rPr>
      <w:kern w:val="0"/>
      <w:sz w:val="24"/>
      <w:szCs w:val="20"/>
    </w:rPr>
  </w:style>
  <w:style w:type="paragraph" w:styleId="9">
    <w:name w:val="Date"/>
    <w:basedOn w:val="1"/>
    <w:next w:val="1"/>
    <w:link w:val="23"/>
    <w:qFormat/>
    <w:uiPriority w:val="0"/>
    <w:pPr>
      <w:ind w:left="100" w:leftChars="2500"/>
    </w:pPr>
    <w:rPr>
      <w:kern w:val="0"/>
      <w:sz w:val="24"/>
      <w:szCs w:val="20"/>
    </w:rPr>
  </w:style>
  <w:style w:type="paragraph" w:styleId="10">
    <w:name w:val="Balloon Text"/>
    <w:basedOn w:val="1"/>
    <w:link w:val="32"/>
    <w:semiHidden/>
    <w:qFormat/>
    <w:uiPriority w:val="0"/>
    <w:rPr>
      <w:kern w:val="0"/>
      <w:sz w:val="18"/>
      <w:szCs w:val="20"/>
    </w:rPr>
  </w:style>
  <w:style w:type="paragraph" w:styleId="11">
    <w:name w:val="footer"/>
    <w:basedOn w:val="1"/>
    <w:link w:val="22"/>
    <w:qFormat/>
    <w:uiPriority w:val="99"/>
    <w:pPr>
      <w:tabs>
        <w:tab w:val="center" w:pos="4153"/>
        <w:tab w:val="right" w:pos="8306"/>
      </w:tabs>
      <w:snapToGrid w:val="0"/>
      <w:jc w:val="left"/>
    </w:pPr>
    <w:rPr>
      <w:kern w:val="0"/>
      <w:sz w:val="18"/>
      <w:szCs w:val="20"/>
    </w:rPr>
  </w:style>
  <w:style w:type="paragraph" w:styleId="12">
    <w:name w:val="header"/>
    <w:basedOn w:val="1"/>
    <w:link w:val="34"/>
    <w:qFormat/>
    <w:uiPriority w:val="0"/>
    <w:pPr>
      <w:pBdr>
        <w:bottom w:val="single" w:color="auto" w:sz="6" w:space="1"/>
      </w:pBdr>
      <w:tabs>
        <w:tab w:val="center" w:pos="4153"/>
        <w:tab w:val="right" w:pos="8306"/>
      </w:tabs>
      <w:snapToGrid w:val="0"/>
      <w:jc w:val="center"/>
    </w:pPr>
    <w:rPr>
      <w:kern w:val="0"/>
      <w:sz w:val="18"/>
      <w:szCs w:val="20"/>
    </w:rPr>
  </w:style>
  <w:style w:type="paragraph" w:styleId="13">
    <w:name w:val="Normal (Web)"/>
    <w:basedOn w:val="1"/>
    <w:link w:val="25"/>
    <w:qFormat/>
    <w:uiPriority w:val="99"/>
    <w:pPr>
      <w:widowControl/>
      <w:spacing w:before="100" w:beforeAutospacing="1" w:after="100" w:afterAutospacing="1"/>
      <w:jc w:val="left"/>
    </w:pPr>
    <w:rPr>
      <w:rFonts w:ascii="宋体" w:hAnsi="宋体"/>
      <w:kern w:val="0"/>
      <w:sz w:val="24"/>
      <w:szCs w:val="20"/>
    </w:rPr>
  </w:style>
  <w:style w:type="paragraph" w:styleId="14">
    <w:name w:val="annotation subject"/>
    <w:basedOn w:val="6"/>
    <w:next w:val="6"/>
    <w:link w:val="33"/>
    <w:semiHidden/>
    <w:qFormat/>
    <w:uiPriority w:val="0"/>
    <w:rPr>
      <w:b/>
    </w:rPr>
  </w:style>
  <w:style w:type="paragraph" w:styleId="15">
    <w:name w:val="Body Text First Indent 2"/>
    <w:basedOn w:val="8"/>
    <w:link w:val="45"/>
    <w:qFormat/>
    <w:locked/>
    <w:uiPriority w:val="0"/>
    <w:pPr>
      <w:ind w:firstLine="420" w:firstLineChars="200"/>
    </w:pPr>
    <w:rPr>
      <w:kern w:val="2"/>
      <w:sz w:val="21"/>
      <w:szCs w:val="24"/>
    </w:rPr>
  </w:style>
  <w:style w:type="table" w:styleId="17">
    <w:name w:val="Table Grid"/>
    <w:basedOn w:val="1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locked/>
    <w:uiPriority w:val="22"/>
    <w:rPr>
      <w:b/>
      <w:bCs/>
    </w:rPr>
  </w:style>
  <w:style w:type="character" w:styleId="20">
    <w:name w:val="page number"/>
    <w:basedOn w:val="18"/>
    <w:qFormat/>
    <w:locked/>
    <w:uiPriority w:val="0"/>
  </w:style>
  <w:style w:type="character" w:styleId="21">
    <w:name w:val="annotation reference"/>
    <w:semiHidden/>
    <w:qFormat/>
    <w:uiPriority w:val="0"/>
    <w:rPr>
      <w:sz w:val="21"/>
    </w:rPr>
  </w:style>
  <w:style w:type="character" w:customStyle="1" w:styleId="22">
    <w:name w:val="页脚 字符1"/>
    <w:link w:val="11"/>
    <w:qFormat/>
    <w:locked/>
    <w:uiPriority w:val="99"/>
    <w:rPr>
      <w:sz w:val="18"/>
    </w:rPr>
  </w:style>
  <w:style w:type="character" w:customStyle="1" w:styleId="23">
    <w:name w:val="日期 字符1"/>
    <w:link w:val="9"/>
    <w:qFormat/>
    <w:locked/>
    <w:uiPriority w:val="0"/>
    <w:rPr>
      <w:rFonts w:ascii="Times New Roman" w:hAnsi="Times New Roman" w:eastAsia="宋体"/>
      <w:sz w:val="24"/>
    </w:rPr>
  </w:style>
  <w:style w:type="character" w:customStyle="1" w:styleId="24">
    <w:name w:val="页脚 字符"/>
    <w:basedOn w:val="18"/>
    <w:qFormat/>
    <w:uiPriority w:val="99"/>
  </w:style>
  <w:style w:type="character" w:customStyle="1" w:styleId="25">
    <w:name w:val="普通(网站) 字符"/>
    <w:link w:val="13"/>
    <w:qFormat/>
    <w:locked/>
    <w:uiPriority w:val="99"/>
    <w:rPr>
      <w:rFonts w:ascii="宋体" w:hAnsi="宋体" w:eastAsia="宋体"/>
      <w:sz w:val="24"/>
    </w:rPr>
  </w:style>
  <w:style w:type="character" w:customStyle="1" w:styleId="26">
    <w:name w:val="正文文本 字符1"/>
    <w:semiHidden/>
    <w:qFormat/>
    <w:uiPriority w:val="0"/>
    <w:rPr>
      <w:rFonts w:ascii="Times New Roman" w:hAnsi="Times New Roman" w:eastAsia="宋体"/>
      <w:sz w:val="24"/>
    </w:rPr>
  </w:style>
  <w:style w:type="character" w:customStyle="1" w:styleId="27">
    <w:name w:val="正文文本 字符"/>
    <w:link w:val="7"/>
    <w:qFormat/>
    <w:locked/>
    <w:uiPriority w:val="0"/>
    <w:rPr>
      <w:sz w:val="18"/>
    </w:rPr>
  </w:style>
  <w:style w:type="character" w:customStyle="1" w:styleId="28">
    <w:name w:val="批注文字 字符"/>
    <w:link w:val="6"/>
    <w:qFormat/>
    <w:locked/>
    <w:uiPriority w:val="0"/>
    <w:rPr>
      <w:rFonts w:ascii="Times New Roman" w:hAnsi="Times New Roman" w:eastAsia="宋体"/>
      <w:sz w:val="24"/>
    </w:rPr>
  </w:style>
  <w:style w:type="character" w:customStyle="1" w:styleId="29">
    <w:name w:val="表格 Char"/>
    <w:link w:val="30"/>
    <w:qFormat/>
    <w:locked/>
    <w:uiPriority w:val="0"/>
    <w:rPr>
      <w:rFonts w:ascii="宋体"/>
      <w:sz w:val="21"/>
    </w:rPr>
  </w:style>
  <w:style w:type="paragraph" w:customStyle="1" w:styleId="30">
    <w:name w:val="表格"/>
    <w:basedOn w:val="1"/>
    <w:next w:val="1"/>
    <w:link w:val="29"/>
    <w:qFormat/>
    <w:uiPriority w:val="0"/>
    <w:pPr>
      <w:adjustRightInd w:val="0"/>
      <w:snapToGrid w:val="0"/>
      <w:spacing w:beforeLines="10" w:afterLines="10" w:line="259" w:lineRule="auto"/>
      <w:jc w:val="center"/>
    </w:pPr>
    <w:rPr>
      <w:rFonts w:ascii="宋体"/>
      <w:kern w:val="0"/>
      <w:szCs w:val="20"/>
    </w:rPr>
  </w:style>
  <w:style w:type="character" w:customStyle="1" w:styleId="31">
    <w:name w:val="日期 字符"/>
    <w:semiHidden/>
    <w:qFormat/>
    <w:uiPriority w:val="0"/>
    <w:rPr>
      <w:rFonts w:ascii="Times New Roman" w:hAnsi="Times New Roman" w:eastAsia="宋体"/>
      <w:sz w:val="24"/>
    </w:rPr>
  </w:style>
  <w:style w:type="character" w:customStyle="1" w:styleId="32">
    <w:name w:val="批注框文本 字符"/>
    <w:link w:val="10"/>
    <w:semiHidden/>
    <w:qFormat/>
    <w:locked/>
    <w:uiPriority w:val="0"/>
    <w:rPr>
      <w:rFonts w:ascii="Times New Roman" w:hAnsi="Times New Roman" w:eastAsia="宋体"/>
      <w:sz w:val="18"/>
    </w:rPr>
  </w:style>
  <w:style w:type="character" w:customStyle="1" w:styleId="33">
    <w:name w:val="批注主题 字符"/>
    <w:link w:val="14"/>
    <w:semiHidden/>
    <w:qFormat/>
    <w:locked/>
    <w:uiPriority w:val="0"/>
    <w:rPr>
      <w:rFonts w:ascii="Times New Roman" w:hAnsi="Times New Roman" w:eastAsia="宋体"/>
      <w:b/>
      <w:kern w:val="2"/>
      <w:sz w:val="24"/>
    </w:rPr>
  </w:style>
  <w:style w:type="character" w:customStyle="1" w:styleId="34">
    <w:name w:val="页眉 字符"/>
    <w:link w:val="12"/>
    <w:qFormat/>
    <w:locked/>
    <w:uiPriority w:val="0"/>
    <w:rPr>
      <w:sz w:val="18"/>
    </w:rPr>
  </w:style>
  <w:style w:type="character" w:customStyle="1" w:styleId="35">
    <w:name w:val="批注文字 字符1"/>
    <w:semiHidden/>
    <w:qFormat/>
    <w:uiPriority w:val="0"/>
    <w:rPr>
      <w:rFonts w:ascii="Times New Roman" w:hAnsi="Times New Roman" w:eastAsia="宋体"/>
      <w:sz w:val="24"/>
    </w:rPr>
  </w:style>
  <w:style w:type="character" w:customStyle="1" w:styleId="36">
    <w:name w:val="正文文本缩进 字符"/>
    <w:link w:val="8"/>
    <w:semiHidden/>
    <w:qFormat/>
    <w:locked/>
    <w:uiPriority w:val="0"/>
    <w:rPr>
      <w:rFonts w:ascii="Times New Roman" w:hAnsi="Times New Roman" w:eastAsia="宋体"/>
      <w:sz w:val="24"/>
    </w:rPr>
  </w:style>
  <w:style w:type="paragraph" w:customStyle="1" w:styleId="37">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8">
    <w:name w:val="普通(网站)2"/>
    <w:basedOn w:val="1"/>
    <w:qFormat/>
    <w:uiPriority w:val="0"/>
    <w:pPr>
      <w:widowControl/>
      <w:spacing w:before="100" w:beforeAutospacing="1" w:after="100" w:afterAutospacing="1"/>
      <w:jc w:val="left"/>
    </w:pPr>
    <w:rPr>
      <w:rFonts w:ascii="宋体" w:hAnsi="宋体"/>
      <w:sz w:val="24"/>
      <w:szCs w:val="20"/>
    </w:rPr>
  </w:style>
  <w:style w:type="character" w:customStyle="1" w:styleId="39">
    <w:name w:val="正文缩进 字符"/>
    <w:link w:val="3"/>
    <w:qFormat/>
    <w:uiPriority w:val="99"/>
    <w:rPr>
      <w:kern w:val="2"/>
      <w:sz w:val="21"/>
      <w:szCs w:val="24"/>
    </w:rPr>
  </w:style>
  <w:style w:type="paragraph" w:customStyle="1" w:styleId="40">
    <w:name w:val="报告正文"/>
    <w:basedOn w:val="1"/>
    <w:qFormat/>
    <w:uiPriority w:val="0"/>
    <w:pPr>
      <w:spacing w:line="480" w:lineRule="exact"/>
      <w:ind w:firstLine="480" w:firstLineChars="200"/>
    </w:pPr>
    <w:rPr>
      <w:sz w:val="24"/>
      <w:szCs w:val="22"/>
    </w:rPr>
  </w:style>
  <w:style w:type="paragraph" w:customStyle="1" w:styleId="41">
    <w:name w:val="表格内容"/>
    <w:basedOn w:val="1"/>
    <w:qFormat/>
    <w:uiPriority w:val="0"/>
    <w:pPr>
      <w:overflowPunct w:val="0"/>
      <w:adjustRightInd w:val="0"/>
      <w:snapToGrid w:val="0"/>
      <w:spacing w:line="360" w:lineRule="exact"/>
      <w:jc w:val="center"/>
      <w:textAlignment w:val="baseline"/>
    </w:pPr>
    <w:rPr>
      <w:kern w:val="0"/>
    </w:rPr>
  </w:style>
  <w:style w:type="paragraph" w:customStyle="1" w:styleId="42">
    <w:name w:val="_Style 47"/>
    <w:basedOn w:val="1"/>
    <w:qFormat/>
    <w:uiPriority w:val="0"/>
    <w:rPr>
      <w:szCs w:val="20"/>
    </w:rPr>
  </w:style>
  <w:style w:type="paragraph" w:customStyle="1" w:styleId="43">
    <w:name w:val="样式1"/>
    <w:basedOn w:val="1"/>
    <w:link w:val="44"/>
    <w:qFormat/>
    <w:uiPriority w:val="0"/>
    <w:pPr>
      <w:suppressAutoHyphens/>
      <w:spacing w:line="360" w:lineRule="exact"/>
      <w:ind w:firstLine="420" w:firstLineChars="200"/>
    </w:pPr>
    <w:rPr>
      <w:spacing w:val="18"/>
      <w:kern w:val="0"/>
      <w:sz w:val="32"/>
      <w:szCs w:val="20"/>
    </w:rPr>
  </w:style>
  <w:style w:type="character" w:customStyle="1" w:styleId="44">
    <w:name w:val="样式1 Char"/>
    <w:link w:val="43"/>
    <w:qFormat/>
    <w:uiPriority w:val="0"/>
    <w:rPr>
      <w:spacing w:val="18"/>
      <w:sz w:val="32"/>
    </w:rPr>
  </w:style>
  <w:style w:type="character" w:customStyle="1" w:styleId="45">
    <w:name w:val="正文文本首行缩进 2 字符"/>
    <w:link w:val="15"/>
    <w:qFormat/>
    <w:uiPriority w:val="0"/>
    <w:rPr>
      <w:rFonts w:ascii="Times New Roman" w:hAnsi="Times New Roman" w:eastAsia="宋体"/>
      <w:kern w:val="2"/>
      <w:sz w:val="21"/>
      <w:szCs w:val="24"/>
    </w:rPr>
  </w:style>
  <w:style w:type="character" w:customStyle="1" w:styleId="46">
    <w:name w:val="题注 字符"/>
    <w:link w:val="5"/>
    <w:qFormat/>
    <w:uiPriority w:val="35"/>
    <w:rPr>
      <w:rFonts w:ascii="宋体" w:hAnsi="Arial"/>
      <w:b/>
      <w:kern w:val="2"/>
      <w:sz w:val="21"/>
    </w:rPr>
  </w:style>
  <w:style w:type="character" w:customStyle="1" w:styleId="47">
    <w:name w:val="表头 Char Char"/>
    <w:qFormat/>
    <w:uiPriority w:val="0"/>
    <w:rPr>
      <w:rFonts w:ascii="宋体" w:hAnsi="宋体" w:eastAsia="黑体"/>
      <w:b/>
      <w:kern w:val="2"/>
      <w:sz w:val="24"/>
      <w:szCs w:val="24"/>
      <w:lang w:val="en-US" w:eastAsia="zh-CN" w:bidi="ar-SA"/>
      <w14:shadow w14:blurRad="50800" w14:dist="38100" w14:dir="2700000" w14:sx="100000" w14:sy="100000" w14:kx="0" w14:ky="0" w14:algn="tl">
        <w14:srgbClr w14:val="000000">
          <w14:alpha w14:val="60000"/>
        </w14:srgbClr>
      </w14:shadow>
    </w:rPr>
  </w:style>
  <w:style w:type="character" w:customStyle="1" w:styleId="48">
    <w:name w:val="正文2 Char"/>
    <w:link w:val="49"/>
    <w:qFormat/>
    <w:uiPriority w:val="99"/>
    <w:rPr>
      <w:rFonts w:ascii="宋体" w:hAnsi="宋体"/>
      <w:kern w:val="2"/>
      <w:sz w:val="24"/>
      <w:szCs w:val="21"/>
    </w:rPr>
  </w:style>
  <w:style w:type="paragraph" w:customStyle="1" w:styleId="49">
    <w:name w:val="正文2"/>
    <w:basedOn w:val="1"/>
    <w:link w:val="48"/>
    <w:qFormat/>
    <w:uiPriority w:val="99"/>
    <w:pPr>
      <w:spacing w:line="360" w:lineRule="auto"/>
      <w:ind w:firstLine="480" w:firstLineChars="200"/>
    </w:pPr>
    <w:rPr>
      <w:rFonts w:ascii="宋体" w:hAnsi="宋体"/>
      <w:sz w:val="24"/>
      <w:szCs w:val="21"/>
    </w:rPr>
  </w:style>
  <w:style w:type="paragraph" w:styleId="50">
    <w:name w:val="List Paragraph"/>
    <w:basedOn w:val="1"/>
    <w:qFormat/>
    <w:uiPriority w:val="34"/>
    <w:pPr>
      <w:ind w:firstLine="420" w:firstLineChars="200"/>
    </w:pPr>
  </w:style>
  <w:style w:type="paragraph" w:customStyle="1" w:styleId="51">
    <w:name w:val="中文报告书样式"/>
    <w:basedOn w:val="1"/>
    <w:qFormat/>
    <w:uiPriority w:val="0"/>
    <w:pPr>
      <w:adjustRightInd w:val="0"/>
      <w:spacing w:line="480" w:lineRule="atLeast"/>
      <w:ind w:firstLine="482"/>
    </w:pPr>
    <w:rPr>
      <w:kern w:val="24"/>
      <w:sz w:val="24"/>
      <w:szCs w:val="20"/>
    </w:rPr>
  </w:style>
  <w:style w:type="paragraph" w:customStyle="1" w:styleId="52">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53">
    <w:name w:val="正文内容"/>
    <w:basedOn w:val="1"/>
    <w:uiPriority w:val="0"/>
    <w:pPr>
      <w:spacing w:line="360" w:lineRule="auto"/>
      <w:ind w:firstLine="624"/>
    </w:pPr>
    <w:rPr>
      <w:rFonts w:ascii="宋体"/>
      <w:sz w:val="24"/>
    </w:rPr>
  </w:style>
  <w:style w:type="character" w:customStyle="1" w:styleId="54">
    <w:name w:val="正文文字 Char"/>
    <w:qFormat/>
    <w:uiPriority w:val="0"/>
    <w:rPr>
      <w:rFonts w:eastAsia="宋体"/>
      <w:kern w:val="2"/>
      <w:sz w:val="24"/>
      <w:szCs w:val="24"/>
      <w:lang w:val="en-US" w:eastAsia="zh-CN" w:bidi="ar-SA"/>
    </w:rPr>
  </w:style>
  <w:style w:type="paragraph" w:customStyle="1" w:styleId="55">
    <w:name w:val="标题3"/>
    <w:basedOn w:val="49"/>
    <w:qFormat/>
    <w:uiPriority w:val="0"/>
    <w:pPr>
      <w:suppressAutoHyphens/>
      <w:ind w:firstLine="482"/>
    </w:pPr>
    <w:rPr>
      <w:rFonts w:ascii="Times New Roman" w:hAnsi="Times New Roman" w:cs="宋体"/>
      <w:b/>
      <w:bCs/>
      <w:spacing w:val="18"/>
      <w:kern w:val="0"/>
      <w:szCs w:val="20"/>
    </w:rPr>
  </w:style>
  <w:style w:type="character" w:customStyle="1" w:styleId="56">
    <w:name w:val="正 Char"/>
    <w:link w:val="57"/>
    <w:uiPriority w:val="0"/>
    <w:rPr>
      <w:kern w:val="2"/>
      <w:sz w:val="24"/>
      <w:szCs w:val="21"/>
    </w:rPr>
  </w:style>
  <w:style w:type="paragraph" w:customStyle="1" w:styleId="57">
    <w:name w:val="正"/>
    <w:basedOn w:val="1"/>
    <w:link w:val="56"/>
    <w:qFormat/>
    <w:uiPriority w:val="0"/>
    <w:pPr>
      <w:spacing w:line="360" w:lineRule="auto"/>
      <w:ind w:firstLine="200" w:firstLineChars="200"/>
    </w:pPr>
    <w:rPr>
      <w:sz w:val="24"/>
      <w:szCs w:val="21"/>
    </w:rPr>
  </w:style>
  <w:style w:type="character" w:customStyle="1" w:styleId="58">
    <w:name w:val="表格正文 Char"/>
    <w:link w:val="59"/>
    <w:qFormat/>
    <w:locked/>
    <w:uiPriority w:val="0"/>
    <w:rPr>
      <w:kern w:val="2"/>
      <w:sz w:val="21"/>
      <w:szCs w:val="24"/>
    </w:rPr>
  </w:style>
  <w:style w:type="paragraph" w:customStyle="1" w:styleId="59">
    <w:name w:val="表格正文"/>
    <w:basedOn w:val="1"/>
    <w:next w:val="1"/>
    <w:link w:val="58"/>
    <w:qFormat/>
    <w:uiPriority w:val="0"/>
    <w:pPr>
      <w:jc w:val="center"/>
    </w:pPr>
  </w:style>
  <w:style w:type="paragraph" w:customStyle="1" w:styleId="60">
    <w:name w:val="Char Char Char Char Char Char Char Char Char Char Char Char Char Char Char Char Char Char Char Char Char Char"/>
    <w:basedOn w:val="1"/>
    <w:semiHidden/>
    <w:qFormat/>
    <w:uiPriority w:val="0"/>
    <w:pPr>
      <w:widowControl/>
      <w:spacing w:after="160" w:line="240" w:lineRule="exact"/>
      <w:jc w:val="left"/>
    </w:pPr>
    <w:rPr>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embeddings/oleObject3.bin" Type="http://schemas.openxmlformats.org/officeDocument/2006/relationships/oleObject"/><Relationship Id="rId11" Target="media/image3.emf" Type="http://schemas.openxmlformats.org/officeDocument/2006/relationships/image"/><Relationship Id="rId12" Target="http://www.biaozhi.net/eNews/news/200602/0029_0000000907.shtml" TargetMode="External" Type="http://schemas.openxmlformats.org/officeDocument/2006/relationships/hyperlink"/><Relationship Id="rId13" Target="media/image4.png" Type="http://schemas.openxmlformats.org/officeDocument/2006/relationships/image"/><Relationship Id="rId14" Target="http://www.biaozhi.net/eNews/news/200602/0029_0000000909.shtml" TargetMode="External" Type="http://schemas.openxmlformats.org/officeDocument/2006/relationships/hyperlink"/><Relationship Id="rId15" Target="media/image5.png" Type="http://schemas.openxmlformats.org/officeDocument/2006/relationships/image"/><Relationship Id="rId16" Target="http://www.biaozhi.net/eNews/news/200602/0030_0000002014.shtml" TargetMode="External" Type="http://schemas.openxmlformats.org/officeDocument/2006/relationships/hyperlink"/><Relationship Id="rId17" Target="media/image6.jpeg" Type="http://schemas.openxmlformats.org/officeDocument/2006/relationships/image"/><Relationship Id="rId18" Target="media/image7.png" Type="http://schemas.openxmlformats.org/officeDocument/2006/relationships/image"/><Relationship Id="rId19" Target="media/image8.emf" Type="http://schemas.openxmlformats.org/officeDocument/2006/relationships/image"/><Relationship Id="rId2" Target="settings.xml" Type="http://schemas.openxmlformats.org/officeDocument/2006/relationships/settings"/><Relationship Id="rId20" Target="../customXml/item1.xml" Type="http://schemas.openxmlformats.org/officeDocument/2006/relationships/customXml"/><Relationship Id="rId21"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embeddings/oleObject1.bin" Type="http://schemas.openxmlformats.org/officeDocument/2006/relationships/oleObject"/><Relationship Id="rId7" Target="media/image1.emf" Type="http://schemas.openxmlformats.org/officeDocument/2006/relationships/image"/><Relationship Id="rId8" Target="embeddings/oleObject2.bin" Type="http://schemas.openxmlformats.org/officeDocument/2006/relationships/oleObject"/><Relationship Id="rId9" Target="media/image2.emf" Type="http://schemas.openxmlformats.org/officeDocument/2006/relationships/image"/></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8F6D15-3142-4B19-965A-54620F622818}">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46</Pages>
  <Words>16962</Words>
  <Characters>19338</Characters>
  <Lines>2417</Lines>
  <Paragraphs>2268</Paragraphs>
  <TotalTime>5082</TotalTime>
  <ScaleCrop>false</ScaleCrop>
  <LinksUpToDate>false</LinksUpToDate>
  <CharactersWithSpaces>34032</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2023-03-01T06:29:00Z</dcterms:created>
  <dc:creator>lhj</dc:creator>
  <cp:lastModifiedBy>XXK</cp:lastModifiedBy>
  <cp:lastPrinted>2023-03-20T06:58:00Z</cp:lastPrinted>
  <dcterms:modified xsi:type="dcterms:W3CDTF">2024-01-18T03:45:42Z</dcterms:modified>
  <cp:revision>657</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83B6D90396084555BFDDBB7DA67FF6A2</vt:lpwstr>
  </property>
</Properties>
</file>