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行政许可</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bookmarkStart w:id="0" w:name="_GoBack"/>
            <w:r>
              <w:rPr>
                <w:rFonts w:hint="eastAsia" w:ascii="仿宋_GB2312" w:hAnsi="仿宋_GB2312" w:eastAsia="仿宋_GB2312" w:cs="仿宋_GB2312"/>
                <w:kern w:val="0"/>
                <w:sz w:val="18"/>
                <w:szCs w:val="18"/>
              </w:rPr>
              <w:t>法人或者其他组织需要利用属于国家秘密的基础测绘成果审批</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1.《中华人民共和国测绘成果管理条例》第十七条 法人或者其他组织需要利用属于国家秘密的基础测绘成果的，应当提出明确的利用目的和范围，报测绘成果所在地的测绘行政主管部门审批。</w:t>
            </w:r>
          </w:p>
          <w:p>
            <w:pPr>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2.《基础测绘成果提供使用管理暂行办法》（国测法字﹝2006﹞13号）第二条 凡提供、使用属于国家秘密的基础测绘成果，应当遵守本办法。</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Cs w:val="21"/>
              </w:rPr>
              <w:t>抚办字</w:t>
            </w:r>
            <w:r>
              <w:rPr>
                <w:rFonts w:hint="eastAsia" w:ascii="宋体" w:hAnsi="宋体" w:cs="仿宋_GB2312"/>
                <w:kern w:val="0"/>
                <w:szCs w:val="21"/>
              </w:rPr>
              <w:t>﹝</w:t>
            </w:r>
            <w:r>
              <w:rPr>
                <w:rFonts w:hint="eastAsia" w:ascii="仿宋_GB2312" w:eastAsia="仿宋_GB2312" w:cs="仿宋_GB2312"/>
                <w:kern w:val="0"/>
                <w:szCs w:val="21"/>
              </w:rPr>
              <w:t>2019</w:t>
            </w:r>
            <w:r>
              <w:rPr>
                <w:rFonts w:hint="eastAsia" w:ascii="宋体" w:hAnsi="宋体" w:cs="仿宋_GB2312"/>
                <w:kern w:val="0"/>
                <w:szCs w:val="21"/>
              </w:rPr>
              <w:t>﹞</w:t>
            </w:r>
            <w:r>
              <w:rPr>
                <w:rFonts w:hint="eastAsia" w:ascii="仿宋_GB2312" w:eastAsia="仿宋_GB2312" w:cs="仿宋_GB2312"/>
                <w:kern w:val="0"/>
                <w:szCs w:val="21"/>
              </w:rPr>
              <w:t>36号  第三条（十三）负责全区测绘地理信息管理工作。负责基础测绘和测绘行业管理。负责测绘资质资格与信用管理，监督管理地理信息安全和市场秩序。负责地理信息公共服务管理。负责测量标志保护。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符合条件受理</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5个工作日</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抚宁区行政审批大厅资源规划局窗口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技术审查，提出意见</w:t>
            </w:r>
          </w:p>
          <w:p>
            <w:pPr>
              <w:spacing w:line="240" w:lineRule="exact"/>
              <w:jc w:val="center"/>
              <w:rPr>
                <w:rFonts w:ascii="仿宋" w:hAnsi="仿宋" w:eastAsia="仿宋" w:cs="黑体"/>
                <w:color w:val="000000"/>
                <w:sz w:val="18"/>
                <w:szCs w:val="18"/>
              </w:rPr>
            </w:pP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7个工作日</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决定</w:t>
            </w:r>
          </w:p>
        </w:tc>
        <w:tc>
          <w:tcPr>
            <w:tcW w:w="5287" w:type="dxa"/>
            <w:gridSpan w:val="5"/>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业务负责人，做出决定意见</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3个工作日</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7" w:type="dxa"/>
            <w:gridSpan w:val="5"/>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出具许可文书</w:t>
            </w:r>
          </w:p>
        </w:tc>
        <w:tc>
          <w:tcPr>
            <w:tcW w:w="1339" w:type="dxa"/>
            <w:gridSpan w:val="2"/>
            <w:tcBorders>
              <w:tl2br w:val="nil"/>
              <w:tr2bl w:val="nil"/>
            </w:tcBorders>
            <w:shd w:val="clear" w:color="auto" w:fill="auto"/>
            <w:vAlign w:val="center"/>
          </w:tcPr>
          <w:p>
            <w:pPr>
              <w:spacing w:line="240" w:lineRule="exact"/>
              <w:jc w:val="center"/>
              <w:rPr>
                <w:rFonts w:ascii="仿宋" w:hAnsi="仿宋" w:eastAsia="仿宋" w:cs="黑体"/>
                <w:color w:val="000000"/>
                <w:sz w:val="18"/>
                <w:szCs w:val="18"/>
              </w:rPr>
            </w:pPr>
            <w:r>
              <w:rPr>
                <w:rFonts w:hint="eastAsia" w:ascii="仿宋" w:hAnsi="仿宋" w:eastAsia="仿宋" w:cs="黑体"/>
                <w:color w:val="000000"/>
                <w:sz w:val="18"/>
                <w:szCs w:val="18"/>
              </w:rPr>
              <w:t>3个工作日(不纳入计时)</w:t>
            </w:r>
          </w:p>
        </w:tc>
        <w:tc>
          <w:tcPr>
            <w:tcW w:w="1159" w:type="dxa"/>
            <w:tcBorders>
              <w:tl2br w:val="nil"/>
              <w:tr2bl w:val="nil"/>
            </w:tcBorders>
            <w:shd w:val="clear" w:color="auto" w:fill="auto"/>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抚宁区行政审批大厅资源规划局窗口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6"/>
                <w:color w:val="auto"/>
              </w:rPr>
            </w:pPr>
            <w:r>
              <w:rPr>
                <w:rFonts w:hint="eastAsia" w:ascii="仿宋_GB2312" w:eastAsia="微软雅黑" w:cs="仿宋_GB2312"/>
                <w:color w:val="000000"/>
                <w:kern w:val="0"/>
                <w:sz w:val="18"/>
                <w:szCs w:val="18"/>
              </w:rPr>
              <w:t>1</w:t>
            </w:r>
            <w:r>
              <w:rPr>
                <w:rFonts w:hint="eastAsia" w:ascii="仿宋" w:hAnsi="仿宋" w:eastAsia="仿宋" w:cs="黑体"/>
                <w:color w:val="000000"/>
                <w:sz w:val="18"/>
                <w:szCs w:val="18"/>
              </w:rPr>
              <w:t>、涉密基础测绘成果安全保密责任书；2、单位的保密管理制度和设备条件的证明材料；3、营业执照、统一社会信用代码证书、事业单位法人证书等法人证明材料；4、经办人保密岗位培训证明；5、经办人员的有效身份证；6、项目批准文件或能够说明使用目的的相关文件；7、申请表；8、申请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县级以上人民政府及其有关部门违反本条例规定，有下列行为之一的，由主管机关或者监察机关责令改正;情节严重的，对直接负责的主管人员和其他直接责任人员依法给予处分;直接负责的主管人员和其他直接责任人员的行为构成犯罪的，依法追究刑事责任:</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1.不依法作出行政许可决定或者办理批准文件的;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2.发现违法行为或者接到对违法行为的举报不予查处的;</w:t>
            </w:r>
            <w:r>
              <w:rPr>
                <w:rFonts w:hint="eastAsia" w:ascii="仿宋_GB2312" w:hAnsi="仿宋_GB2312" w:eastAsia="仿宋_GB2312" w:cs="仿宋_GB2312"/>
                <w:kern w:val="0"/>
                <w:sz w:val="18"/>
                <w:szCs w:val="18"/>
              </w:rPr>
              <w:br w:type="textWrapping"/>
            </w:r>
            <w:r>
              <w:rPr>
                <w:rFonts w:hint="eastAsia" w:ascii="仿宋_GB2312" w:hAnsi="仿宋_GB2312" w:eastAsia="仿宋_GB2312" w:cs="仿宋_GB2312"/>
                <w:kern w:val="0"/>
                <w:sz w:val="18"/>
                <w:szCs w:val="18"/>
              </w:rPr>
              <w:t>3.其他未依照本条例规定履行职责的行为。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 xml:space="preserve">1.业务咨询：0335-6680610-80904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5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 w:val="480B6841"/>
    <w:rsid w:val="516D5D57"/>
    <w:rsid w:val="531F2FEB"/>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2023-12-04T01:26:49Z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ED6CAFE0695E4E4E83F7641FDBC34C15_13</vt:lpwstr>
  </property>
</Properties>
</file>