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行政给付</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keepNext w:val="0"/>
              <w:keepLines w:val="0"/>
              <w:widowControl/>
              <w:suppressLineNumbers w:val="0"/>
              <w:ind w:firstLine="2200" w:firstLineChars="1000"/>
              <w:jc w:val="left"/>
              <w:textAlignment w:val="center"/>
              <w:rPr>
                <w:rFonts w:ascii="仿宋_GB2312" w:hAnsi="宋体" w:eastAsia="仿宋_GB2312" w:cs="仿宋_GB2312"/>
                <w:i w:val="0"/>
                <w:iCs w:val="0"/>
                <w:color w:val="000000"/>
                <w:kern w:val="2"/>
                <w:sz w:val="22"/>
                <w:szCs w:val="22"/>
                <w:u w:val="none"/>
                <w:lang w:val="en-US" w:eastAsia="zh-CN" w:bidi="ar-SA"/>
              </w:rPr>
            </w:pPr>
            <w:bookmarkStart w:id="0" w:name="_GoBack"/>
            <w:r>
              <w:rPr>
                <w:rFonts w:hint="default" w:ascii="仿宋_GB2312" w:hAnsi="宋体" w:eastAsia="仿宋_GB2312" w:cs="仿宋_GB2312"/>
                <w:i w:val="0"/>
                <w:iCs w:val="0"/>
                <w:color w:val="000000"/>
                <w:kern w:val="0"/>
                <w:sz w:val="22"/>
                <w:szCs w:val="22"/>
                <w:u w:val="none"/>
                <w:lang w:val="en-US" w:eastAsia="zh-CN" w:bidi="ar"/>
              </w:rPr>
              <w:t>政府投资的地质灾害治理工程竣工验收</w:t>
            </w:r>
            <w:bookmarkEnd w:id="0"/>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 w:val="21"/>
                <w:szCs w:val="21"/>
              </w:rPr>
            </w:pPr>
            <w:r>
              <w:rPr>
                <w:rFonts w:hint="eastAsia" w:ascii="黑体" w:hAnsi="黑体" w:eastAsia="黑体" w:cs="仿宋_GB2312"/>
                <w:kern w:val="0"/>
                <w:sz w:val="21"/>
                <w:szCs w:val="21"/>
              </w:rPr>
              <w:t>【法律法规】</w:t>
            </w:r>
          </w:p>
          <w:p>
            <w:pPr>
              <w:spacing w:line="240" w:lineRule="exact"/>
              <w:rPr>
                <w:rFonts w:hint="eastAsia"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《地质灾害防治条例》（2003年11月24日国务院令第394号，2004年3月1日执行）第三十八条 政府投资的地质灾害治理工程竣工后，由县级以上人民政府国土资源主管部门竣工验收。其他地质灾害治理工程竣工后，由责任单位组织竣工验收；竣工验收时，应当有国土资源主管部门参加。</w:t>
            </w:r>
          </w:p>
          <w:p>
            <w:pPr>
              <w:spacing w:line="240" w:lineRule="exact"/>
              <w:rPr>
                <w:rFonts w:ascii="黑体" w:hAnsi="黑体" w:eastAsia="黑体" w:cs="仿宋_GB2312"/>
                <w:kern w:val="0"/>
                <w:sz w:val="21"/>
                <w:szCs w:val="21"/>
              </w:rPr>
            </w:pPr>
            <w:r>
              <w:rPr>
                <w:rFonts w:hint="eastAsia" w:ascii="黑体" w:hAnsi="黑体" w:eastAsia="黑体" w:cs="仿宋_GB2312"/>
                <w:kern w:val="0"/>
                <w:sz w:val="21"/>
                <w:szCs w:val="21"/>
              </w:rPr>
              <w:t>【三定规定】</w:t>
            </w:r>
          </w:p>
          <w:p>
            <w:pPr>
              <w:spacing w:line="240" w:lineRule="exact"/>
              <w:rPr>
                <w:rFonts w:hint="default" w:ascii="黑体" w:eastAsia="仿宋_GB2312" w:cs="黑体"/>
                <w:b/>
                <w:bCs/>
                <w:color w:val="000000"/>
                <w:szCs w:val="21"/>
                <w:lang w:val="en-US" w:eastAsia="zh-CN"/>
              </w:rPr>
            </w:pPr>
            <w:r>
              <w:rPr>
                <w:rFonts w:hint="eastAsia" w:ascii="仿宋_GB2312" w:eastAsia="仿宋_GB2312" w:cs="仿宋_GB2312"/>
                <w:kern w:val="0"/>
                <w:sz w:val="21"/>
                <w:szCs w:val="21"/>
                <w:lang w:eastAsia="zh-CN"/>
              </w:rPr>
              <w:t>抚办</w:t>
            </w:r>
            <w:r>
              <w:rPr>
                <w:rFonts w:hint="eastAsia" w:ascii="仿宋_GB2312" w:eastAsia="仿宋_GB2312" w:cs="仿宋_GB2312"/>
                <w:kern w:val="0"/>
                <w:sz w:val="21"/>
                <w:szCs w:val="21"/>
              </w:rPr>
              <w:t>字</w:t>
            </w:r>
            <w:r>
              <w:rPr>
                <w:rFonts w:hint="eastAsia" w:ascii="宋体" w:hAnsi="宋体" w:cs="仿宋_GB2312"/>
                <w:kern w:val="0"/>
                <w:sz w:val="21"/>
                <w:szCs w:val="21"/>
              </w:rPr>
              <w:t>﹝</w:t>
            </w:r>
            <w:r>
              <w:rPr>
                <w:rFonts w:hint="eastAsia" w:ascii="仿宋_GB2312" w:eastAsia="仿宋_GB2312" w:cs="仿宋_GB2312"/>
                <w:kern w:val="0"/>
                <w:sz w:val="21"/>
                <w:szCs w:val="21"/>
                <w:lang w:val="en-US" w:eastAsia="zh-CN"/>
              </w:rPr>
              <w:t>2019</w:t>
            </w:r>
            <w:r>
              <w:rPr>
                <w:rFonts w:hint="eastAsia" w:ascii="宋体" w:hAnsi="宋体" w:cs="仿宋_GB2312"/>
                <w:kern w:val="0"/>
                <w:sz w:val="21"/>
                <w:szCs w:val="21"/>
              </w:rPr>
              <w:t>﹞</w:t>
            </w:r>
            <w:r>
              <w:rPr>
                <w:rFonts w:hint="eastAsia" w:ascii="仿宋_GB2312" w:eastAsia="仿宋_GB2312" w:cs="仿宋_GB2312"/>
                <w:kern w:val="0"/>
                <w:sz w:val="21"/>
                <w:szCs w:val="21"/>
                <w:lang w:val="en-US" w:eastAsia="zh-CN"/>
              </w:rPr>
              <w:t>36</w:t>
            </w:r>
            <w:r>
              <w:rPr>
                <w:rFonts w:hint="eastAsia" w:ascii="仿宋_GB2312" w:eastAsia="仿宋_GB2312" w:cs="仿宋_GB2312"/>
                <w:kern w:val="0"/>
                <w:sz w:val="21"/>
                <w:szCs w:val="21"/>
              </w:rPr>
              <w:t xml:space="preserve">号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21"/>
                <w:szCs w:val="21"/>
                <w:lang w:eastAsia="zh-CN"/>
              </w:rPr>
            </w:pPr>
            <w:r>
              <w:rPr>
                <w:rFonts w:hint="eastAsia" w:ascii="黑体" w:eastAsia="黑体" w:cs="黑体"/>
                <w:color w:val="000000"/>
                <w:sz w:val="21"/>
                <w:szCs w:val="21"/>
                <w:lang w:eastAsia="zh-CN"/>
              </w:rPr>
              <w:t>申请</w:t>
            </w:r>
          </w:p>
        </w:tc>
        <w:tc>
          <w:tcPr>
            <w:tcW w:w="5287" w:type="dxa"/>
            <w:gridSpan w:val="5"/>
            <w:tcBorders>
              <w:tl2br w:val="nil"/>
              <w:tr2bl w:val="nil"/>
            </w:tcBorders>
            <w:shd w:val="clear" w:color="auto" w:fill="auto"/>
            <w:vAlign w:val="center"/>
          </w:tcPr>
          <w:p>
            <w:pPr>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申请人提出申请并提供相关资料</w:t>
            </w:r>
          </w:p>
        </w:tc>
        <w:tc>
          <w:tcPr>
            <w:tcW w:w="1339" w:type="dxa"/>
            <w:gridSpan w:val="2"/>
            <w:vMerge w:val="restart"/>
            <w:tcBorders>
              <w:tl2br w:val="nil"/>
              <w:tr2bl w:val="nil"/>
            </w:tcBorders>
            <w:shd w:val="clear" w:color="auto" w:fill="auto"/>
            <w:vAlign w:val="center"/>
          </w:tcPr>
          <w:p>
            <w:pPr>
              <w:jc w:val="center"/>
              <w:rPr>
                <w:rFonts w:hint="eastAsia" w:ascii="黑体" w:eastAsia="黑体" w:cs="黑体"/>
                <w:color w:val="000000"/>
                <w:sz w:val="21"/>
                <w:szCs w:val="21"/>
                <w:lang w:val="en-US" w:eastAsia="zh-CN"/>
              </w:rPr>
            </w:pPr>
            <w:r>
              <w:rPr>
                <w:rFonts w:hint="eastAsia" w:ascii="黑体" w:eastAsia="黑体" w:cs="黑体"/>
                <w:color w:val="000000"/>
                <w:sz w:val="21"/>
                <w:szCs w:val="21"/>
                <w:lang w:val="en-US" w:eastAsia="zh-CN"/>
              </w:rPr>
              <w:t>3个工作日</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生态修复</w:t>
            </w:r>
            <w:r>
              <w:rPr>
                <w:rFonts w:hint="eastAsia" w:ascii="仿宋_GB2312" w:eastAsia="仿宋_GB2312" w:cs="仿宋_GB2312"/>
                <w:color w:val="000000"/>
                <w:kern w:val="0"/>
                <w:sz w:val="21"/>
                <w:szCs w:val="21"/>
              </w:rPr>
              <w:t>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21"/>
                <w:szCs w:val="21"/>
                <w:lang w:eastAsia="zh-CN"/>
              </w:rPr>
            </w:pPr>
            <w:r>
              <w:rPr>
                <w:rFonts w:hint="eastAsia" w:ascii="黑体" w:eastAsia="黑体" w:cs="黑体"/>
                <w:color w:val="000000"/>
                <w:sz w:val="21"/>
                <w:szCs w:val="21"/>
                <w:lang w:eastAsia="zh-CN"/>
              </w:rPr>
              <w:t>受理</w:t>
            </w:r>
          </w:p>
        </w:tc>
        <w:tc>
          <w:tcPr>
            <w:tcW w:w="5287" w:type="dxa"/>
            <w:gridSpan w:val="5"/>
            <w:tcBorders>
              <w:tl2br w:val="nil"/>
              <w:tr2bl w:val="nil"/>
            </w:tcBorders>
            <w:shd w:val="clear" w:color="auto" w:fill="auto"/>
            <w:vAlign w:val="center"/>
          </w:tcPr>
          <w:p>
            <w:pPr>
              <w:rPr>
                <w:rFonts w:hint="eastAsia" w:ascii="仿宋" w:hAnsi="仿宋" w:eastAsia="仿宋" w:cs="仿宋"/>
                <w:color w:val="000000"/>
                <w:sz w:val="18"/>
                <w:szCs w:val="18"/>
              </w:rPr>
            </w:pPr>
            <w:r>
              <w:rPr>
                <w:rFonts w:hint="eastAsia" w:ascii="仿宋" w:hAnsi="仿宋" w:eastAsia="仿宋" w:cs="仿宋"/>
                <w:i w:val="0"/>
                <w:iCs w:val="0"/>
                <w:caps w:val="0"/>
                <w:color w:val="666666"/>
                <w:spacing w:val="0"/>
                <w:sz w:val="18"/>
                <w:szCs w:val="18"/>
                <w:shd w:val="clear" w:fill="FFFFFF"/>
              </w:rPr>
              <w:t>申请材料是否齐全、是否符合法定形式。申请人的申请符合法定条件、标准的，予以受理。申请不符合法定条件、标准的，一次性告知并补正。受理并出具受理通知书。</w:t>
            </w:r>
            <w:r>
              <w:rPr>
                <w:rFonts w:hint="eastAsia" w:ascii="仿宋" w:hAnsi="仿宋" w:eastAsia="仿宋" w:cs="黑体"/>
                <w:color w:val="000000"/>
                <w:sz w:val="18"/>
                <w:szCs w:val="18"/>
              </w:rPr>
              <w:t>（不予受理应当告知理由）。</w:t>
            </w:r>
          </w:p>
        </w:tc>
        <w:tc>
          <w:tcPr>
            <w:tcW w:w="1339" w:type="dxa"/>
            <w:gridSpan w:val="2"/>
            <w:vMerge w:val="continue"/>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生态修复</w:t>
            </w:r>
            <w:r>
              <w:rPr>
                <w:rFonts w:hint="eastAsia" w:ascii="仿宋_GB2312" w:eastAsia="仿宋_GB2312" w:cs="仿宋_GB2312"/>
                <w:color w:val="000000"/>
                <w:kern w:val="0"/>
                <w:sz w:val="21"/>
                <w:szCs w:val="21"/>
              </w:rPr>
              <w:t>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21"/>
                <w:szCs w:val="21"/>
                <w:lang w:eastAsia="zh-CN"/>
              </w:rPr>
            </w:pPr>
            <w:r>
              <w:rPr>
                <w:rFonts w:hint="eastAsia" w:ascii="黑体" w:eastAsia="黑体" w:cs="黑体"/>
                <w:color w:val="000000"/>
                <w:sz w:val="21"/>
                <w:szCs w:val="21"/>
              </w:rPr>
              <w:t>审</w:t>
            </w:r>
            <w:r>
              <w:rPr>
                <w:rFonts w:hint="eastAsia" w:ascii="黑体" w:eastAsia="黑体" w:cs="黑体"/>
                <w:color w:val="000000"/>
                <w:sz w:val="21"/>
                <w:szCs w:val="21"/>
                <w:lang w:eastAsia="zh-CN"/>
              </w:rPr>
              <w:t>查</w:t>
            </w:r>
          </w:p>
        </w:tc>
        <w:tc>
          <w:tcPr>
            <w:tcW w:w="5287" w:type="dxa"/>
            <w:gridSpan w:val="5"/>
            <w:tcBorders>
              <w:tl2br w:val="nil"/>
              <w:tr2bl w:val="nil"/>
            </w:tcBorders>
            <w:shd w:val="clear" w:color="auto" w:fill="auto"/>
            <w:vAlign w:val="center"/>
          </w:tcPr>
          <w:p>
            <w:pPr>
              <w:rPr>
                <w:rFonts w:hint="eastAsia" w:ascii="仿宋" w:hAnsi="仿宋" w:eastAsia="仿宋" w:cs="仿宋"/>
                <w:color w:val="000000"/>
                <w:sz w:val="18"/>
                <w:szCs w:val="18"/>
              </w:rPr>
            </w:pPr>
            <w:r>
              <w:rPr>
                <w:rFonts w:hint="eastAsia" w:ascii="仿宋" w:hAnsi="仿宋" w:eastAsia="仿宋" w:cs="黑体"/>
                <w:color w:val="000000"/>
                <w:sz w:val="18"/>
                <w:szCs w:val="18"/>
              </w:rPr>
              <w:t>按照法律、法规对项目进行审查。</w:t>
            </w:r>
          </w:p>
        </w:tc>
        <w:tc>
          <w:tcPr>
            <w:tcW w:w="1339" w:type="dxa"/>
            <w:gridSpan w:val="2"/>
            <w:vMerge w:val="continue"/>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生态修复</w:t>
            </w:r>
            <w:r>
              <w:rPr>
                <w:rFonts w:hint="eastAsia" w:ascii="仿宋_GB2312" w:eastAsia="仿宋_GB2312" w:cs="仿宋_GB2312"/>
                <w:color w:val="000000"/>
                <w:kern w:val="0"/>
                <w:sz w:val="21"/>
                <w:szCs w:val="21"/>
              </w:rPr>
              <w:t>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21"/>
                <w:szCs w:val="21"/>
                <w:lang w:eastAsia="zh-CN"/>
              </w:rPr>
            </w:pPr>
            <w:r>
              <w:rPr>
                <w:rFonts w:hint="eastAsia" w:ascii="黑体" w:eastAsia="黑体" w:cs="黑体"/>
                <w:color w:val="000000"/>
                <w:sz w:val="21"/>
                <w:szCs w:val="21"/>
                <w:lang w:eastAsia="zh-CN"/>
              </w:rPr>
              <w:t>决定</w:t>
            </w:r>
          </w:p>
        </w:tc>
        <w:tc>
          <w:tcPr>
            <w:tcW w:w="5287" w:type="dxa"/>
            <w:gridSpan w:val="5"/>
            <w:tcBorders>
              <w:tl2br w:val="nil"/>
              <w:tr2bl w:val="nil"/>
            </w:tcBorders>
            <w:shd w:val="clear" w:color="auto" w:fill="auto"/>
            <w:vAlign w:val="center"/>
          </w:tcPr>
          <w:p>
            <w:pPr>
              <w:rPr>
                <w:rFonts w:hint="eastAsia" w:ascii="仿宋" w:hAnsi="仿宋" w:eastAsia="仿宋" w:cs="仿宋"/>
                <w:color w:val="000000"/>
                <w:kern w:val="0"/>
                <w:sz w:val="18"/>
                <w:szCs w:val="18"/>
              </w:rPr>
            </w:pPr>
            <w:r>
              <w:rPr>
                <w:rFonts w:hint="eastAsia" w:ascii="仿宋" w:hAnsi="仿宋" w:eastAsia="仿宋" w:cs="黑体"/>
                <w:color w:val="000000"/>
                <w:sz w:val="18"/>
                <w:szCs w:val="18"/>
              </w:rPr>
              <w:t>作出行政许可或者不予行政许可决定，法定告知（不予许可的应当书面告知理由）。</w:t>
            </w:r>
          </w:p>
        </w:tc>
        <w:tc>
          <w:tcPr>
            <w:tcW w:w="1339" w:type="dxa"/>
            <w:gridSpan w:val="2"/>
            <w:vMerge w:val="continue"/>
            <w:tcBorders>
              <w:tl2br w:val="nil"/>
              <w:tr2bl w:val="nil"/>
            </w:tcBorders>
            <w:shd w:val="clear" w:color="auto" w:fill="auto"/>
            <w:vAlign w:val="center"/>
          </w:tcPr>
          <w:p>
            <w:pPr>
              <w:rPr>
                <w:rFonts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生态修复</w:t>
            </w:r>
            <w:r>
              <w:rPr>
                <w:rFonts w:hint="eastAsia" w:ascii="仿宋_GB2312" w:eastAsia="仿宋_GB2312" w:cs="仿宋_GB2312"/>
                <w:color w:val="000000"/>
                <w:kern w:val="0"/>
                <w:sz w:val="21"/>
                <w:szCs w:val="21"/>
              </w:rPr>
              <w:t>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黑体" w:eastAsia="黑体" w:cs="黑体"/>
                <w:color w:val="000000"/>
                <w:sz w:val="21"/>
                <w:szCs w:val="21"/>
                <w:lang w:eastAsia="zh-CN"/>
              </w:rPr>
              <w:t>送达</w:t>
            </w:r>
          </w:p>
        </w:tc>
        <w:tc>
          <w:tcPr>
            <w:tcW w:w="5287" w:type="dxa"/>
            <w:gridSpan w:val="5"/>
            <w:tcBorders>
              <w:tl2br w:val="nil"/>
              <w:tr2bl w:val="nil"/>
            </w:tcBorders>
            <w:shd w:val="clear" w:color="auto" w:fill="auto"/>
            <w:vAlign w:val="center"/>
          </w:tcPr>
          <w:p>
            <w:pPr>
              <w:rPr>
                <w:rFonts w:hint="eastAsia" w:ascii="仿宋" w:hAnsi="仿宋" w:eastAsia="仿宋" w:cs="仿宋"/>
                <w:color w:val="000000"/>
                <w:sz w:val="21"/>
                <w:szCs w:val="21"/>
              </w:rPr>
            </w:pPr>
            <w:r>
              <w:rPr>
                <w:rFonts w:hint="eastAsia" w:ascii="仿宋" w:hAnsi="仿宋" w:eastAsia="仿宋" w:cs="黑体"/>
                <w:color w:val="000000"/>
                <w:sz w:val="18"/>
                <w:szCs w:val="18"/>
              </w:rPr>
              <w:t>准予许可的制发送达许可证或批文。</w:t>
            </w:r>
          </w:p>
        </w:tc>
        <w:tc>
          <w:tcPr>
            <w:tcW w:w="1339" w:type="dxa"/>
            <w:gridSpan w:val="2"/>
            <w:vMerge w:val="continue"/>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生态修复</w:t>
            </w:r>
            <w:r>
              <w:rPr>
                <w:rFonts w:hint="eastAsia" w:ascii="仿宋_GB2312" w:eastAsia="仿宋_GB2312" w:cs="仿宋_GB2312"/>
                <w:color w:val="000000"/>
                <w:kern w:val="0"/>
                <w:sz w:val="21"/>
                <w:szCs w:val="21"/>
              </w:rPr>
              <w:t>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6"/>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1.超越职权或者违法对治理项目验收的；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2.对不符合法定条件的申请人准予行政许可或者超越法定职权作出准予行政许可决定的；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3.对符合法定条件的申请人不予行政许可或者不在法定期限内作出准予行政许可决定的；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4.违反法定程序实施行政许可的；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5.工作中玩忽职守、滥用职权的；</w:t>
            </w:r>
          </w:p>
          <w:p>
            <w:pPr>
              <w:spacing w:line="240" w:lineRule="exact"/>
              <w:rPr>
                <w:rFonts w:ascii="黑体" w:eastAsia="黑体" w:cs="黑体"/>
                <w:color w:val="000000"/>
                <w:sz w:val="21"/>
                <w:szCs w:val="21"/>
              </w:rPr>
            </w:pPr>
            <w:r>
              <w:rPr>
                <w:rFonts w:hint="eastAsia" w:ascii="仿宋_GB2312" w:hAnsi="仿宋_GB2312" w:eastAsia="仿宋_GB2312" w:cs="仿宋_GB2312"/>
                <w:kern w:val="0"/>
                <w:sz w:val="18"/>
                <w:szCs w:val="18"/>
              </w:rPr>
              <w:t>6.其他违反法律法规规章文件规定的行为。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黑体" w:eastAsia="黑体" w:cs="黑体"/>
                <w:color w:val="000000"/>
                <w:sz w:val="21"/>
                <w:szCs w:val="21"/>
              </w:rPr>
            </w:pPr>
            <w:r>
              <w:rPr>
                <w:rFonts w:hint="eastAsia" w:ascii="仿宋_GB2312" w:eastAsia="仿宋_GB2312" w:cs="仿宋_GB2312"/>
                <w:color w:val="000000"/>
                <w:kern w:val="0"/>
                <w:sz w:val="21"/>
                <w:szCs w:val="21"/>
              </w:rPr>
              <w:t>纪检监察投诉：区纪检驻资源规划局纪检组，电话：0335-6689311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rPr>
              <w:t>1．不服许可决定自知道该具体行政行为之日起六十日内向</w:t>
            </w:r>
            <w:r>
              <w:rPr>
                <w:rFonts w:hint="eastAsia" w:ascii="仿宋_GB2312" w:eastAsia="仿宋_GB2312" w:cs="仿宋_GB2312"/>
                <w:color w:val="000000"/>
                <w:kern w:val="0"/>
                <w:sz w:val="21"/>
                <w:szCs w:val="21"/>
                <w:lang w:eastAsia="zh-CN"/>
              </w:rPr>
              <w:t>区</w:t>
            </w:r>
            <w:r>
              <w:rPr>
                <w:rFonts w:hint="eastAsia" w:ascii="仿宋_GB2312" w:eastAsia="仿宋_GB2312" w:cs="仿宋_GB2312"/>
                <w:color w:val="000000"/>
                <w:kern w:val="0"/>
                <w:sz w:val="21"/>
                <w:szCs w:val="21"/>
              </w:rPr>
              <w:t>政府申请行政复议。</w:t>
            </w:r>
          </w:p>
          <w:p>
            <w:pPr>
              <w:widowControl/>
              <w:jc w:val="left"/>
              <w:textAlignment w:val="center"/>
              <w:rPr>
                <w:rFonts w:ascii="黑体" w:eastAsia="黑体" w:cs="黑体"/>
                <w:b/>
                <w:bCs/>
                <w:color w:val="000000"/>
                <w:sz w:val="21"/>
                <w:szCs w:val="21"/>
              </w:rPr>
            </w:pPr>
            <w:r>
              <w:rPr>
                <w:rFonts w:hint="eastAsia" w:ascii="仿宋_GB2312" w:eastAsia="仿宋_GB2312" w:cs="仿宋_GB2312"/>
                <w:color w:val="000000"/>
                <w:kern w:val="0"/>
                <w:sz w:val="21"/>
                <w:szCs w:val="21"/>
              </w:rPr>
              <w:t>2．不服许可决定应当自知道或者应当知道作出行政行为之日起六个月内提出向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eastAsia"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hint="eastAsia" w:ascii="方正小标宋简体" w:eastAsia="方正小标宋简体" w:cs="方正小标宋简体"/>
          <w:color w:val="000000"/>
          <w:kern w:val="0"/>
          <w:sz w:val="44"/>
          <w:szCs w:val="44"/>
        </w:rPr>
      </w:pP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default" w:ascii="Times New Roman" w:hAnsi="Times New Roman" w:eastAsia="方正仿宋_GBK" w:cs="Times New Roman"/>
          <w:sz w:val="32"/>
          <w:szCs w:val="32"/>
        </w:rPr>
      </w:pPr>
    </w:p>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方正仿宋_GBK">
    <w:altName w:val="微软雅黑"/>
    <w:panose1 w:val="00000000000000000000"/>
    <w:charset w:val="86"/>
    <w:family w:val="auto"/>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346B31E6"/>
    <w:rsid w:val="018A0E13"/>
    <w:rsid w:val="1154114A"/>
    <w:rsid w:val="17FF6CC1"/>
    <w:rsid w:val="18DA1F55"/>
    <w:rsid w:val="346B31E6"/>
    <w:rsid w:val="3E484EBC"/>
    <w:rsid w:val="480B6841"/>
    <w:rsid w:val="516D5D57"/>
    <w:rsid w:val="531F2FEB"/>
    <w:rsid w:val="5B076365"/>
    <w:rsid w:val="5D43371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Strong"/>
    <w:basedOn w:val="3"/>
    <w:qFormat/>
    <w:uiPriority w:val="22"/>
    <w:rPr>
      <w:b/>
      <w:bCs/>
    </w:rPr>
  </w:style>
  <w:style w:type="paragraph" w:styleId="5">
    <w:name w:val="List Paragraph"/>
    <w:basedOn w:val="1"/>
    <w:unhideWhenUsed/>
    <w:uiPriority w:val="99"/>
    <w:pPr>
      <w:ind w:firstLine="420" w:firstLineChars="200"/>
    </w:pPr>
  </w:style>
  <w:style w:type="character" w:customStyle="1" w:styleId="6">
    <w:name w:val="font112"/>
    <w:basedOn w:val="3"/>
    <w:qFormat/>
    <w:uiPriority w:val="0"/>
    <w:rPr>
      <w:rFonts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2023-12-04T00:32:00Z</dcterms:created>
  <dc:creator>大地欢歌</dc:creator>
  <cp:lastModifiedBy>大地欢歌</cp:lastModifiedBy>
  <dcterms:modified xsi:type="dcterms:W3CDTF">2023-12-04T03:37:45Z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64A6DE37993841398EE4BB4E522FC5B9_13</vt:lpwstr>
  </property>
</Properties>
</file>