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bookmarkStart w:id="0" w:name="_GoBack"/>
      <w:bookmarkEnd w:id="0"/>
      <w:r>
        <w:rPr>
          <w:rFonts w:hint="eastAsia" w:ascii="方正小标宋简体" w:eastAsia="方正小标宋简体" w:cs="方正小标宋简体"/>
          <w:color w:val="000000"/>
          <w:kern w:val="0"/>
          <w:sz w:val="44"/>
          <w:szCs w:val="44"/>
          <w:lang w:val="en-US" w:eastAsia="zh-CN"/>
        </w:rPr>
        <w:t>10号</w:t>
      </w: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290"/>
        <w:gridCol w:w="40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 w:hAnsi="仿宋" w:eastAsia="仿宋" w:cs="仿宋"/>
                <w:kern w:val="0"/>
                <w:sz w:val="21"/>
                <w:szCs w:val="21"/>
              </w:rPr>
              <w:t>行政许可</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 w:hAnsi="仿宋" w:eastAsia="仿宋" w:cs="仿宋"/>
                <w:color w:val="000000"/>
                <w:kern w:val="0"/>
                <w:sz w:val="21"/>
                <w:szCs w:val="21"/>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 w:hAnsi="仿宋" w:eastAsia="仿宋" w:cs="仿宋"/>
                <w:i w:val="0"/>
                <w:color w:val="000000"/>
                <w:kern w:val="0"/>
                <w:sz w:val="21"/>
                <w:szCs w:val="21"/>
                <w:highlight w:val="none"/>
                <w:u w:val="none"/>
                <w:lang w:val="en-US" w:eastAsia="zh-CN" w:bidi="ar"/>
              </w:rPr>
              <w:t>林业植物检疫证书核发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8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spacing w:line="240" w:lineRule="exact"/>
              <w:rPr>
                <w:rFonts w:hint="eastAsia" w:ascii="仿宋" w:hAnsi="仿宋" w:eastAsia="仿宋" w:cs="仿宋"/>
                <w:i w:val="0"/>
                <w:color w:val="000000"/>
                <w:kern w:val="0"/>
                <w:sz w:val="18"/>
                <w:szCs w:val="18"/>
                <w:u w:val="none"/>
                <w:lang w:val="en-US" w:eastAsia="zh-CN" w:bidi="ar"/>
              </w:rPr>
            </w:pPr>
            <w:r>
              <w:rPr>
                <w:rFonts w:hint="eastAsia" w:ascii="仿宋" w:hAnsi="仿宋" w:eastAsia="仿宋" w:cs="仿宋"/>
                <w:i w:val="0"/>
                <w:color w:val="000000"/>
                <w:kern w:val="0"/>
                <w:sz w:val="18"/>
                <w:szCs w:val="18"/>
                <w:u w:val="none"/>
                <w:lang w:val="en-US" w:eastAsia="zh-CN" w:bidi="ar"/>
              </w:rPr>
              <w:t>1.《植物检疫条例》（1992年5月13日国务院令第98号发布,2017年10月7日修正）第三条 县级以上地方各级农业主管部门、林业主管部门所属的植物检疫机构，负责执行国家的植物检疫任务。第七条 调运植物和植物产品，属于下列情况的，必须经过检疫：（一）列入应施检疫的植物、植物产品名单的，运出发生疫情的县级行政区域之前，必须经过检疫；（二）凡种子、苗木和其他繁殖材料，不论是否列入应施检疫的植物、植物产品名单和运往何地，在调运之前，都必须经过检疫。第八条 按照本条例第七条的规定必须检疫的植物和植物产品，经检疫未发现植物检疫对象的，发给植物检疫证书。发现有植物检疫对象、但能彻底消毒处理的，托运人应按植物检疫机构的要求，在指定地点作消毒处理，经检查合格后发给植物检疫证书；无法消毒处理的，应停止调运。第十条 省、自治区、直辖市间调运本条例第七条规定必须经过检疫的植物和植物产品的，调入单位必须事先征得所在地的省、自治区、直辖市植物检疫机构的同意，并向调出单位提出检疫要求；调出单位必须根据该检疫要求向所在地的省、自治区、直辖市植物检疫机构申请检疫。对调入的植物和植物产品，调入单位所在地的省、自治区、直辖市的植物检疫机构应当查验检疫证书，必要时可以复检。省、自治区、直辖市内调运植物和植物产品的检疫办法，由省、自治区、自直辖市人民政府规定。</w:t>
            </w:r>
            <w:r>
              <w:rPr>
                <w:rFonts w:hint="eastAsia" w:ascii="仿宋" w:hAnsi="仿宋" w:eastAsia="仿宋" w:cs="仿宋"/>
                <w:i w:val="0"/>
                <w:color w:val="000000"/>
                <w:kern w:val="0"/>
                <w:sz w:val="18"/>
                <w:szCs w:val="18"/>
                <w:u w:val="none"/>
                <w:lang w:val="en-US" w:eastAsia="zh-CN" w:bidi="ar"/>
              </w:rPr>
              <w:br w:type="textWrapping"/>
            </w:r>
            <w:r>
              <w:rPr>
                <w:rFonts w:hint="eastAsia" w:ascii="仿宋" w:hAnsi="仿宋" w:eastAsia="仿宋" w:cs="仿宋"/>
                <w:i w:val="0"/>
                <w:color w:val="000000"/>
                <w:kern w:val="0"/>
                <w:sz w:val="18"/>
                <w:szCs w:val="18"/>
                <w:u w:val="none"/>
                <w:lang w:val="en-US" w:eastAsia="zh-CN" w:bidi="ar"/>
              </w:rPr>
              <w:t>2.《植物检疫条例实施细则(林业部分)》（1994年7月26日原林业部令第4号,2011年1月25日国家林业局令第26号修改）第十二条 生产、经营应实施检疫的森林植物及其产品的单位和个人，应当在生产和经营之前向当地森检机构备案，并在生产期间或者调运之前向当地森检机构申请产地检疫。对检疫合格的，由森检机构发给《产地检疫合格证》；对检疫不合格的，由森检机构发给《检疫处理通知单》。产地检疫的技术要求按照《国内森林植物检疫技术规程》的规定执行。</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仿宋" w:hAnsi="仿宋" w:eastAsia="仿宋" w:cs="仿宋"/>
                <w:b w:val="0"/>
                <w:bCs w:val="0"/>
                <w:color w:val="000000"/>
                <w:sz w:val="18"/>
                <w:szCs w:val="18"/>
                <w:lang w:val="en-US" w:eastAsia="zh-CN"/>
              </w:rPr>
              <w:t>抚编批字【2020】11号 二、13 负责全区森林植物检疫工作，负责重大林业和草原及林下农作物有害生物灾害预防和除治相关技术服务工作，负责林业和草原病虫鼠害的监测、预报工作。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2"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29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04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vMerge w:val="continue"/>
            <w:tcBorders>
              <w:tl2br w:val="nil"/>
              <w:tr2bl w:val="nil"/>
            </w:tcBorders>
            <w:shd w:val="clear" w:color="auto" w:fill="auto"/>
            <w:vAlign w:val="center"/>
          </w:tcPr>
          <w:p/>
        </w:tc>
        <w:tc>
          <w:tcPr>
            <w:tcW w:w="1290"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sz w:val="18"/>
                <w:szCs w:val="18"/>
              </w:rPr>
              <w:t>受理</w:t>
            </w:r>
          </w:p>
        </w:tc>
        <w:tc>
          <w:tcPr>
            <w:tcW w:w="5047" w:type="dxa"/>
            <w:gridSpan w:val="5"/>
            <w:tcBorders>
              <w:tl2br w:val="nil"/>
              <w:tr2bl w:val="nil"/>
            </w:tcBorders>
            <w:shd w:val="clear" w:color="auto" w:fill="auto"/>
            <w:vAlign w:val="center"/>
          </w:tcPr>
          <w:p>
            <w:pPr>
              <w:rPr>
                <w:rFonts w:hint="eastAsia" w:ascii="仿宋" w:hAnsi="仿宋" w:eastAsia="仿宋" w:cs="仿宋"/>
                <w:color w:val="000000"/>
                <w:sz w:val="18"/>
                <w:szCs w:val="18"/>
              </w:rPr>
            </w:pPr>
            <w:r>
              <w:rPr>
                <w:rFonts w:hint="eastAsia" w:ascii="仿宋" w:hAnsi="仿宋" w:eastAsia="仿宋" w:cs="仿宋"/>
                <w:color w:val="000000"/>
                <w:sz w:val="18"/>
                <w:szCs w:val="18"/>
              </w:rPr>
              <w:t>公示应当提交的材料，一次性告知补正材料，依法作出受理或不予受理的决定（不予受理应当书面告知理由），并根据申请人的要求进行相关解释说明。</w:t>
            </w:r>
          </w:p>
        </w:tc>
        <w:tc>
          <w:tcPr>
            <w:tcW w:w="1339" w:type="dxa"/>
            <w:gridSpan w:val="2"/>
            <w:tcBorders>
              <w:tl2br w:val="nil"/>
              <w:tr2bl w:val="nil"/>
            </w:tcBorders>
            <w:shd w:val="clear" w:color="auto" w:fill="auto"/>
            <w:vAlign w:val="center"/>
          </w:tcPr>
          <w:p>
            <w:pPr>
              <w:spacing w:line="240" w:lineRule="exact"/>
              <w:jc w:val="center"/>
              <w:rPr>
                <w:rFonts w:hint="default" w:ascii="仿宋" w:hAnsi="仿宋" w:eastAsia="仿宋" w:cs="黑体"/>
                <w:color w:val="000000"/>
                <w:sz w:val="18"/>
                <w:szCs w:val="18"/>
                <w:lang w:val="en-US" w:eastAsia="zh-CN"/>
              </w:rPr>
            </w:pPr>
          </w:p>
        </w:tc>
        <w:tc>
          <w:tcPr>
            <w:tcW w:w="1159" w:type="dxa"/>
            <w:tcBorders>
              <w:tl2br w:val="nil"/>
              <w:tr2bl w:val="nil"/>
            </w:tcBorders>
            <w:shd w:val="clear" w:color="auto" w:fill="auto"/>
            <w:vAlign w:val="center"/>
          </w:tcPr>
          <w:p>
            <w:pPr>
              <w:jc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68" w:hRule="atLeast"/>
          <w:jc w:val="center"/>
        </w:trPr>
        <w:tc>
          <w:tcPr>
            <w:tcW w:w="1463" w:type="dxa"/>
            <w:vMerge w:val="continue"/>
            <w:tcBorders>
              <w:tl2br w:val="nil"/>
              <w:tr2bl w:val="nil"/>
            </w:tcBorders>
            <w:shd w:val="clear" w:color="auto" w:fill="auto"/>
            <w:vAlign w:val="center"/>
          </w:tcPr>
          <w:p/>
        </w:tc>
        <w:tc>
          <w:tcPr>
            <w:tcW w:w="1290"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sz w:val="18"/>
                <w:szCs w:val="18"/>
              </w:rPr>
              <w:t>审查</w:t>
            </w:r>
          </w:p>
        </w:tc>
        <w:tc>
          <w:tcPr>
            <w:tcW w:w="5047" w:type="dxa"/>
            <w:gridSpan w:val="5"/>
            <w:tcBorders>
              <w:tl2br w:val="nil"/>
              <w:tr2bl w:val="nil"/>
            </w:tcBorders>
            <w:shd w:val="clear" w:color="auto" w:fill="auto"/>
            <w:vAlign w:val="center"/>
          </w:tcPr>
          <w:p>
            <w:pPr>
              <w:rPr>
                <w:rFonts w:hint="eastAsia" w:ascii="仿宋" w:hAnsi="仿宋" w:eastAsia="仿宋" w:cs="仿宋"/>
                <w:color w:val="000000"/>
                <w:sz w:val="18"/>
                <w:szCs w:val="18"/>
              </w:rPr>
            </w:pPr>
            <w:r>
              <w:rPr>
                <w:rFonts w:hint="eastAsia" w:ascii="仿宋" w:hAnsi="仿宋" w:eastAsia="仿宋" w:cs="仿宋"/>
                <w:color w:val="000000"/>
                <w:sz w:val="18"/>
                <w:szCs w:val="18"/>
              </w:rPr>
              <w:t>按照许可条件对申请人提交的申请材料进行审查。现场对调运植物或植物产品及相关设施进行检疫，并对所调运的产品进行抽样，进行室内检验。对不符合许可条件和标准的，将申报材料退至申请人员，并以书面形式说明理由。</w:t>
            </w:r>
          </w:p>
        </w:tc>
        <w:tc>
          <w:tcPr>
            <w:tcW w:w="1339" w:type="dxa"/>
            <w:gridSpan w:val="2"/>
            <w:tcBorders>
              <w:tl2br w:val="nil"/>
              <w:tr2bl w:val="nil"/>
            </w:tcBorders>
            <w:shd w:val="clear" w:color="auto" w:fill="auto"/>
            <w:vAlign w:val="center"/>
          </w:tcPr>
          <w:p>
            <w:pPr>
              <w:spacing w:line="240" w:lineRule="exact"/>
              <w:jc w:val="center"/>
              <w:rPr>
                <w:rFonts w:ascii="仿宋" w:hAnsi="仿宋" w:eastAsia="仿宋" w:cs="黑体"/>
                <w:color w:val="000000"/>
                <w:sz w:val="18"/>
                <w:szCs w:val="18"/>
              </w:rPr>
            </w:pPr>
          </w:p>
        </w:tc>
        <w:tc>
          <w:tcPr>
            <w:tcW w:w="1159" w:type="dxa"/>
            <w:tcBorders>
              <w:tl2br w:val="nil"/>
              <w:tr2bl w:val="nil"/>
            </w:tcBorders>
            <w:shd w:val="clear" w:color="auto" w:fill="auto"/>
            <w:vAlign w:val="center"/>
          </w:tcPr>
          <w:p>
            <w:pPr>
              <w:jc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41" w:hRule="atLeast"/>
          <w:jc w:val="center"/>
        </w:trPr>
        <w:tc>
          <w:tcPr>
            <w:tcW w:w="1463" w:type="dxa"/>
            <w:vMerge w:val="continue"/>
            <w:tcBorders>
              <w:tl2br w:val="nil"/>
              <w:tr2bl w:val="nil"/>
            </w:tcBorders>
            <w:shd w:val="clear" w:color="auto" w:fill="auto"/>
            <w:vAlign w:val="center"/>
          </w:tcPr>
          <w:p/>
        </w:tc>
        <w:tc>
          <w:tcPr>
            <w:tcW w:w="1290"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sz w:val="18"/>
                <w:szCs w:val="18"/>
                <w:lang w:eastAsia="zh-CN"/>
              </w:rPr>
              <w:t>决定</w:t>
            </w:r>
          </w:p>
        </w:tc>
        <w:tc>
          <w:tcPr>
            <w:tcW w:w="5047" w:type="dxa"/>
            <w:gridSpan w:val="5"/>
            <w:tcBorders>
              <w:tl2br w:val="nil"/>
              <w:tr2bl w:val="nil"/>
            </w:tcBorders>
            <w:shd w:val="clear" w:color="auto" w:fill="auto"/>
            <w:vAlign w:val="center"/>
          </w:tcPr>
          <w:p>
            <w:pPr>
              <w:rPr>
                <w:rFonts w:hint="eastAsia" w:ascii="仿宋" w:hAnsi="仿宋" w:eastAsia="仿宋" w:cs="仿宋"/>
                <w:color w:val="000000"/>
                <w:sz w:val="18"/>
                <w:szCs w:val="18"/>
              </w:rPr>
            </w:pPr>
            <w:r>
              <w:rPr>
                <w:rFonts w:hint="eastAsia" w:ascii="仿宋" w:hAnsi="仿宋" w:eastAsia="仿宋" w:cs="仿宋"/>
                <w:color w:val="000000"/>
                <w:sz w:val="18"/>
                <w:szCs w:val="18"/>
              </w:rPr>
              <w:t>作出准予行政许可或者不予行政许可决定，按时办结，法定告知（不予许可的应当书面告知理由）</w:t>
            </w:r>
          </w:p>
        </w:tc>
        <w:tc>
          <w:tcPr>
            <w:tcW w:w="1339" w:type="dxa"/>
            <w:gridSpan w:val="2"/>
            <w:tcBorders>
              <w:tl2br w:val="nil"/>
              <w:tr2bl w:val="nil"/>
            </w:tcBorders>
            <w:shd w:val="clear" w:color="auto" w:fill="auto"/>
            <w:vAlign w:val="center"/>
          </w:tcPr>
          <w:p>
            <w:pPr>
              <w:spacing w:line="240" w:lineRule="exact"/>
              <w:jc w:val="center"/>
              <w:rPr>
                <w:rFonts w:ascii="仿宋" w:hAnsi="仿宋" w:eastAsia="仿宋" w:cs="黑体"/>
                <w:color w:val="000000"/>
                <w:sz w:val="18"/>
                <w:szCs w:val="18"/>
              </w:rPr>
            </w:pPr>
          </w:p>
        </w:tc>
        <w:tc>
          <w:tcPr>
            <w:tcW w:w="1159" w:type="dxa"/>
            <w:tcBorders>
              <w:tl2br w:val="nil"/>
              <w:tr2bl w:val="nil"/>
            </w:tcBorders>
            <w:shd w:val="clear" w:color="auto" w:fill="auto"/>
            <w:vAlign w:val="center"/>
          </w:tcPr>
          <w:p>
            <w:pPr>
              <w:jc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71" w:hRule="atLeast"/>
          <w:jc w:val="center"/>
        </w:trPr>
        <w:tc>
          <w:tcPr>
            <w:tcW w:w="1463" w:type="dxa"/>
            <w:vMerge w:val="continue"/>
            <w:tcBorders>
              <w:tl2br w:val="nil"/>
              <w:tr2bl w:val="nil"/>
            </w:tcBorders>
            <w:shd w:val="clear" w:color="auto" w:fill="auto"/>
            <w:vAlign w:val="center"/>
          </w:tcPr>
          <w:p/>
        </w:tc>
        <w:tc>
          <w:tcPr>
            <w:tcW w:w="1290"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sz w:val="18"/>
                <w:szCs w:val="18"/>
                <w:lang w:eastAsia="zh-CN"/>
              </w:rPr>
              <w:t>送达</w:t>
            </w:r>
          </w:p>
        </w:tc>
        <w:tc>
          <w:tcPr>
            <w:tcW w:w="5047" w:type="dxa"/>
            <w:gridSpan w:val="5"/>
            <w:tcBorders>
              <w:tl2br w:val="nil"/>
              <w:tr2bl w:val="nil"/>
            </w:tcBorders>
            <w:shd w:val="clear" w:color="auto" w:fill="auto"/>
            <w:vAlign w:val="center"/>
          </w:tcPr>
          <w:p>
            <w:pPr>
              <w:rPr>
                <w:rFonts w:hint="eastAsia" w:ascii="仿宋" w:hAnsi="仿宋" w:eastAsia="仿宋" w:cs="仿宋"/>
                <w:color w:val="000000"/>
                <w:sz w:val="18"/>
                <w:szCs w:val="18"/>
              </w:rPr>
            </w:pPr>
            <w:r>
              <w:rPr>
                <w:rFonts w:hint="eastAsia" w:ascii="仿宋" w:hAnsi="仿宋" w:eastAsia="仿宋" w:cs="仿宋"/>
                <w:color w:val="000000"/>
                <w:kern w:val="0"/>
                <w:sz w:val="18"/>
                <w:szCs w:val="18"/>
              </w:rPr>
              <w:t>制发送达准（不）予行政许可决定书，信息公开。</w:t>
            </w:r>
          </w:p>
        </w:tc>
        <w:tc>
          <w:tcPr>
            <w:tcW w:w="1339" w:type="dxa"/>
            <w:gridSpan w:val="2"/>
            <w:tcBorders>
              <w:tl2br w:val="nil"/>
              <w:tr2bl w:val="nil"/>
            </w:tcBorders>
            <w:shd w:val="clear" w:color="auto" w:fill="auto"/>
            <w:vAlign w:val="center"/>
          </w:tcPr>
          <w:p>
            <w:pPr>
              <w:spacing w:line="240" w:lineRule="exact"/>
              <w:jc w:val="center"/>
              <w:rPr>
                <w:rFonts w:ascii="仿宋" w:hAnsi="仿宋" w:eastAsia="仿宋" w:cs="黑体"/>
                <w:color w:val="000000"/>
                <w:sz w:val="18"/>
                <w:szCs w:val="18"/>
              </w:rPr>
            </w:pPr>
          </w:p>
        </w:tc>
        <w:tc>
          <w:tcPr>
            <w:tcW w:w="1159" w:type="dxa"/>
            <w:tcBorders>
              <w:tl2br w:val="nil"/>
              <w:tr2bl w:val="nil"/>
            </w:tcBorders>
            <w:shd w:val="clear" w:color="auto" w:fill="auto"/>
            <w:vAlign w:val="center"/>
          </w:tcPr>
          <w:p>
            <w:pPr>
              <w:jc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290" w:type="dxa"/>
            <w:tcBorders>
              <w:tl2br w:val="nil"/>
              <w:tr2bl w:val="nil"/>
            </w:tcBorders>
            <w:shd w:val="clear" w:color="auto" w:fill="auto"/>
            <w:vAlign w:val="center"/>
          </w:tcPr>
          <w:p>
            <w:pPr>
              <w:jc w:val="center"/>
              <w:rPr>
                <w:rFonts w:hint="eastAsia" w:ascii="黑体" w:eastAsia="黑体" w:cs="黑体"/>
                <w:b/>
                <w:bCs/>
                <w:color w:val="000000"/>
                <w:szCs w:val="21"/>
              </w:rPr>
            </w:pPr>
            <w:r>
              <w:rPr>
                <w:rFonts w:hint="eastAsia" w:ascii="黑体" w:eastAsia="黑体" w:cs="黑体"/>
                <w:b/>
                <w:bCs/>
                <w:color w:val="000000"/>
                <w:sz w:val="18"/>
                <w:szCs w:val="18"/>
                <w:lang w:eastAsia="zh-CN"/>
              </w:rPr>
              <w:t>事后监管责任</w:t>
            </w:r>
          </w:p>
        </w:tc>
        <w:tc>
          <w:tcPr>
            <w:tcW w:w="5047" w:type="dxa"/>
            <w:gridSpan w:val="5"/>
            <w:tcBorders>
              <w:tl2br w:val="nil"/>
              <w:tr2bl w:val="nil"/>
            </w:tcBorders>
            <w:shd w:val="clear" w:color="auto" w:fill="auto"/>
            <w:vAlign w:val="center"/>
          </w:tcPr>
          <w:p>
            <w:pPr>
              <w:rPr>
                <w:rFonts w:hint="eastAsia" w:ascii="仿宋" w:hAnsi="仿宋" w:eastAsia="仿宋" w:cs="仿宋"/>
                <w:color w:val="000000"/>
                <w:sz w:val="18"/>
                <w:szCs w:val="18"/>
              </w:rPr>
            </w:pPr>
            <w:r>
              <w:rPr>
                <w:rFonts w:hint="eastAsia" w:ascii="仿宋" w:hAnsi="仿宋" w:eastAsia="仿宋" w:cs="仿宋"/>
                <w:color w:val="000000"/>
                <w:sz w:val="18"/>
                <w:szCs w:val="18"/>
              </w:rPr>
              <w:t>严格按照批准的时间、地点、范围活动。</w:t>
            </w:r>
          </w:p>
        </w:tc>
        <w:tc>
          <w:tcPr>
            <w:tcW w:w="1339" w:type="dxa"/>
            <w:gridSpan w:val="2"/>
            <w:tcBorders>
              <w:tl2br w:val="nil"/>
              <w:tr2bl w:val="nil"/>
            </w:tcBorders>
            <w:shd w:val="clear" w:color="auto" w:fill="auto"/>
            <w:vAlign w:val="center"/>
          </w:tcPr>
          <w:p>
            <w:pPr>
              <w:spacing w:line="240" w:lineRule="exact"/>
              <w:jc w:val="center"/>
              <w:rPr>
                <w:rFonts w:hint="eastAsia" w:ascii="仿宋" w:hAnsi="仿宋" w:eastAsia="仿宋" w:cs="黑体"/>
                <w:color w:val="000000"/>
                <w:sz w:val="18"/>
                <w:szCs w:val="18"/>
              </w:rPr>
            </w:pPr>
          </w:p>
        </w:tc>
        <w:tc>
          <w:tcPr>
            <w:tcW w:w="1159" w:type="dxa"/>
            <w:tcBorders>
              <w:tl2br w:val="nil"/>
              <w:tr2bl w:val="nil"/>
            </w:tcBorders>
            <w:shd w:val="clear" w:color="auto" w:fill="auto"/>
            <w:vAlign w:val="center"/>
          </w:tcPr>
          <w:p>
            <w:pPr>
              <w:jc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290" w:type="dxa"/>
            <w:tcBorders>
              <w:tl2br w:val="nil"/>
              <w:tr2bl w:val="nil"/>
            </w:tcBorders>
            <w:shd w:val="clear" w:color="auto" w:fill="auto"/>
            <w:vAlign w:val="center"/>
          </w:tcPr>
          <w:p>
            <w:pPr>
              <w:jc w:val="center"/>
              <w:rPr>
                <w:rFonts w:hint="eastAsia" w:ascii="黑体" w:eastAsia="黑体" w:cs="黑体"/>
                <w:b/>
                <w:bCs/>
                <w:color w:val="000000"/>
                <w:szCs w:val="21"/>
              </w:rPr>
            </w:pPr>
            <w:r>
              <w:rPr>
                <w:rFonts w:ascii="黑体" w:eastAsia="黑体" w:cs="黑体"/>
                <w:b/>
                <w:bCs/>
                <w:color w:val="000000"/>
                <w:sz w:val="18"/>
                <w:szCs w:val="18"/>
              </w:rPr>
              <w:t>归档</w:t>
            </w:r>
          </w:p>
        </w:tc>
        <w:tc>
          <w:tcPr>
            <w:tcW w:w="5047" w:type="dxa"/>
            <w:gridSpan w:val="5"/>
            <w:tcBorders>
              <w:tl2br w:val="nil"/>
              <w:tr2bl w:val="nil"/>
            </w:tcBorders>
            <w:shd w:val="clear" w:color="auto" w:fill="auto"/>
            <w:vAlign w:val="center"/>
          </w:tcPr>
          <w:p>
            <w:pPr>
              <w:rPr>
                <w:rFonts w:hint="eastAsia" w:ascii="仿宋" w:hAnsi="仿宋" w:eastAsia="仿宋" w:cs="仿宋"/>
                <w:color w:val="000000"/>
                <w:sz w:val="18"/>
                <w:szCs w:val="18"/>
              </w:rPr>
            </w:pPr>
            <w:r>
              <w:rPr>
                <w:rFonts w:hint="eastAsia" w:ascii="仿宋" w:hAnsi="仿宋" w:eastAsia="仿宋" w:cs="仿宋"/>
                <w:color w:val="000000"/>
                <w:kern w:val="0"/>
                <w:sz w:val="18"/>
                <w:szCs w:val="18"/>
              </w:rPr>
              <w:t>对审批后的组卷材料进行归档处理，统一留存，建立台账</w:t>
            </w:r>
            <w:r>
              <w:rPr>
                <w:rFonts w:hint="eastAsia" w:ascii="仿宋" w:hAnsi="仿宋" w:eastAsia="仿宋" w:cs="仿宋"/>
                <w:color w:val="000000"/>
                <w:kern w:val="0"/>
                <w:sz w:val="18"/>
                <w:szCs w:val="18"/>
                <w:lang w:eastAsia="zh-CN"/>
              </w:rPr>
              <w:t>。</w:t>
            </w:r>
          </w:p>
        </w:tc>
        <w:tc>
          <w:tcPr>
            <w:tcW w:w="1339" w:type="dxa"/>
            <w:gridSpan w:val="2"/>
            <w:tcBorders>
              <w:tl2br w:val="nil"/>
              <w:tr2bl w:val="nil"/>
            </w:tcBorders>
            <w:shd w:val="clear" w:color="auto" w:fill="auto"/>
            <w:vAlign w:val="center"/>
          </w:tcPr>
          <w:p>
            <w:pPr>
              <w:spacing w:line="240" w:lineRule="exact"/>
              <w:jc w:val="center"/>
              <w:rPr>
                <w:rFonts w:hint="eastAsia" w:ascii="仿宋" w:hAnsi="仿宋" w:eastAsia="仿宋" w:cs="黑体"/>
                <w:color w:val="000000"/>
                <w:sz w:val="18"/>
                <w:szCs w:val="18"/>
              </w:rPr>
            </w:pPr>
          </w:p>
        </w:tc>
        <w:tc>
          <w:tcPr>
            <w:tcW w:w="1159" w:type="dxa"/>
            <w:tcBorders>
              <w:tl2br w:val="nil"/>
              <w:tr2bl w:val="nil"/>
            </w:tcBorders>
            <w:shd w:val="clear" w:color="auto" w:fill="auto"/>
            <w:vAlign w:val="center"/>
          </w:tcPr>
          <w:p>
            <w:pPr>
              <w:jc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vMerge w:val="continue"/>
            <w:tcBorders>
              <w:tl2br w:val="nil"/>
              <w:tr2bl w:val="nil"/>
            </w:tcBorders>
            <w:shd w:val="clear" w:color="auto" w:fill="auto"/>
            <w:vAlign w:val="center"/>
          </w:tcPr>
          <w:p/>
        </w:tc>
        <w:tc>
          <w:tcPr>
            <w:tcW w:w="1290" w:type="dxa"/>
            <w:tcBorders>
              <w:tl2br w:val="nil"/>
              <w:tr2bl w:val="nil"/>
            </w:tcBorders>
            <w:shd w:val="clear" w:color="auto" w:fill="auto"/>
            <w:vAlign w:val="center"/>
          </w:tcPr>
          <w:p>
            <w:pPr>
              <w:jc w:val="center"/>
              <w:rPr>
                <w:rFonts w:hint="eastAsia" w:ascii="黑体" w:eastAsia="黑体" w:cs="黑体"/>
                <w:b/>
                <w:bCs/>
                <w:color w:val="000000"/>
                <w:szCs w:val="21"/>
              </w:rPr>
            </w:pPr>
            <w:r>
              <w:rPr>
                <w:rFonts w:hint="eastAsia" w:ascii="黑体" w:eastAsia="黑体" w:cs="黑体"/>
                <w:b/>
                <w:bCs/>
                <w:color w:val="000000"/>
                <w:sz w:val="18"/>
                <w:szCs w:val="18"/>
              </w:rPr>
              <w:t>其他</w:t>
            </w:r>
          </w:p>
        </w:tc>
        <w:tc>
          <w:tcPr>
            <w:tcW w:w="5047" w:type="dxa"/>
            <w:gridSpan w:val="5"/>
            <w:tcBorders>
              <w:tl2br w:val="nil"/>
              <w:tr2bl w:val="nil"/>
            </w:tcBorders>
            <w:shd w:val="clear" w:color="auto" w:fill="auto"/>
            <w:vAlign w:val="center"/>
          </w:tcPr>
          <w:p>
            <w:pPr>
              <w:rPr>
                <w:rFonts w:hint="eastAsia" w:ascii="仿宋" w:hAnsi="仿宋" w:eastAsia="仿宋" w:cs="仿宋"/>
                <w:color w:val="000000"/>
                <w:sz w:val="18"/>
                <w:szCs w:val="18"/>
              </w:rPr>
            </w:pPr>
            <w:r>
              <w:rPr>
                <w:rFonts w:hint="eastAsia" w:ascii="仿宋" w:hAnsi="仿宋" w:eastAsia="仿宋" w:cs="仿宋"/>
                <w:color w:val="000000"/>
                <w:kern w:val="0"/>
                <w:sz w:val="18"/>
                <w:szCs w:val="18"/>
              </w:rPr>
              <w:t>其他法律法规规章文件规定应履行的责任</w:t>
            </w:r>
          </w:p>
        </w:tc>
        <w:tc>
          <w:tcPr>
            <w:tcW w:w="1339" w:type="dxa"/>
            <w:gridSpan w:val="2"/>
            <w:tcBorders>
              <w:tl2br w:val="nil"/>
              <w:tr2bl w:val="nil"/>
            </w:tcBorders>
            <w:shd w:val="clear" w:color="auto" w:fill="auto"/>
            <w:vAlign w:val="center"/>
          </w:tcPr>
          <w:p>
            <w:pPr>
              <w:spacing w:line="240" w:lineRule="exact"/>
              <w:jc w:val="center"/>
              <w:rPr>
                <w:rFonts w:hint="eastAsia" w:ascii="仿宋" w:hAnsi="仿宋" w:eastAsia="仿宋" w:cs="黑体"/>
                <w:color w:val="000000"/>
                <w:sz w:val="18"/>
                <w:szCs w:val="18"/>
              </w:rPr>
            </w:pPr>
          </w:p>
        </w:tc>
        <w:tc>
          <w:tcPr>
            <w:tcW w:w="1159" w:type="dxa"/>
            <w:tcBorders>
              <w:tl2br w:val="nil"/>
              <w:tr2bl w:val="nil"/>
            </w:tcBorders>
            <w:shd w:val="clear" w:color="auto" w:fill="auto"/>
            <w:vAlign w:val="center"/>
          </w:tcPr>
          <w:p>
            <w:pPr>
              <w:jc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 w:hAnsi="仿宋" w:eastAsia="仿宋" w:cs="仿宋"/>
                <w:color w:val="000000"/>
                <w:kern w:val="0"/>
                <w:sz w:val="18"/>
                <w:szCs w:val="18"/>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4"/>
                <w:rFonts w:hint="eastAsia" w:ascii="仿宋" w:hAnsi="仿宋" w:eastAsia="仿宋" w:cs="仿宋"/>
                <w:color w:val="auto"/>
                <w:lang w:val="en-US" w:eastAsia="zh-CN"/>
              </w:rPr>
            </w:pPr>
            <w:r>
              <w:rPr>
                <w:rStyle w:val="4"/>
                <w:rFonts w:hint="eastAsia" w:ascii="仿宋" w:hAnsi="仿宋" w:eastAsia="仿宋" w:cs="仿宋"/>
                <w:color w:val="auto"/>
                <w:lang w:val="en-US" w:eastAsia="zh-CN"/>
              </w:rPr>
              <w:t>1.申请人身份证</w:t>
            </w:r>
          </w:p>
          <w:p>
            <w:pPr>
              <w:widowControl/>
              <w:spacing w:line="240" w:lineRule="exact"/>
              <w:jc w:val="left"/>
              <w:textAlignment w:val="center"/>
              <w:rPr>
                <w:rStyle w:val="4"/>
                <w:rFonts w:hint="default" w:eastAsia="仿宋_GB2312"/>
                <w:color w:val="auto"/>
                <w:lang w:val="en-US" w:eastAsia="zh-CN"/>
              </w:rPr>
            </w:pPr>
            <w:r>
              <w:rPr>
                <w:rStyle w:val="4"/>
                <w:rFonts w:hint="eastAsia" w:ascii="仿宋" w:hAnsi="仿宋" w:eastAsia="仿宋" w:cs="仿宋"/>
                <w:color w:val="auto"/>
                <w:lang w:val="en-US" w:eastAsia="zh-CN"/>
              </w:rPr>
              <w:t>2.申请人报检单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 w:hAnsi="仿宋" w:eastAsia="仿宋" w:cs="仿宋"/>
                <w:i w:val="0"/>
                <w:color w:val="000000"/>
                <w:kern w:val="0"/>
                <w:sz w:val="18"/>
                <w:szCs w:val="18"/>
                <w:highlight w:val="none"/>
                <w:u w:val="none"/>
                <w:lang w:val="en-US" w:eastAsia="zh-CN" w:bidi="ar"/>
              </w:rPr>
              <w:t>因不履行或不正确履行行政职责，有下列情形的，行政机关及相关工作人员应承担相应责任：</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1.对符合法定条件的许可申请不予受理的；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2.对不符合法定条件的申请单位准予行政许可或者超越法定职权作出准予行政许可决定的；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3.对符合法定条件的申请单位不予行政许可或者不在法定期限内作出准予行政许可决定的；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4.不依法履行监督职责或者监督不力，造成严重后果的；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5.违反法定程序实施行政许可的；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6.应当举行听证而不举行听证的；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7.工作中玩忽职守、滥用职权的；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8.办理行政许可、实施监督检查，索取或者收受他人财物或者谋取其他利益的；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9.其他违反法律法规规章文件规定的行为。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 xml:space="preserve">1.业务咨询：0335-6680610-80904 </w:t>
            </w:r>
          </w:p>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2.投诉举报电话：0335-6682748</w:t>
            </w:r>
          </w:p>
          <w:p>
            <w:pPr>
              <w:widowControl/>
              <w:spacing w:line="240" w:lineRule="exact"/>
              <w:jc w:val="left"/>
              <w:textAlignment w:val="center"/>
              <w:rPr>
                <w:rFonts w:ascii="黑体" w:eastAsia="黑体" w:cs="黑体"/>
                <w:color w:val="000000"/>
                <w:szCs w:val="21"/>
              </w:rPr>
            </w:pPr>
            <w:r>
              <w:rPr>
                <w:rFonts w:hint="eastAsia" w:ascii="仿宋" w:hAnsi="仿宋" w:eastAsia="仿宋" w:cs="仿宋"/>
                <w:color w:val="000000"/>
                <w:kern w:val="0"/>
                <w:sz w:val="18"/>
                <w:szCs w:val="18"/>
              </w:rPr>
              <w:t>3.纪检监察投诉：区纪检驻资源规划局纪检组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0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1</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不服许可决定自知道该具体行政行为之日起六十日内向区政府申请行政复议。</w:t>
            </w:r>
          </w:p>
          <w:p>
            <w:pPr>
              <w:keepNext w:val="0"/>
              <w:keepLines w:val="0"/>
              <w:pageBreakBefore w:val="0"/>
              <w:widowControl/>
              <w:kinsoku/>
              <w:wordWrap/>
              <w:overflowPunct/>
              <w:topLinePunct w:val="0"/>
              <w:autoSpaceDE/>
              <w:autoSpaceDN/>
              <w:bidi w:val="0"/>
              <w:adjustRightInd/>
              <w:snapToGrid/>
              <w:spacing w:line="200" w:lineRule="exact"/>
              <w:jc w:val="left"/>
              <w:textAlignment w:val="center"/>
              <w:rPr>
                <w:rFonts w:ascii="黑体" w:eastAsia="黑体" w:cs="黑体"/>
                <w:b/>
                <w:bCs/>
                <w:color w:val="000000"/>
                <w:szCs w:val="21"/>
              </w:rPr>
            </w:pPr>
            <w:r>
              <w:rPr>
                <w:rFonts w:hint="eastAsia" w:ascii="仿宋" w:hAnsi="仿宋" w:eastAsia="仿宋" w:cs="仿宋"/>
                <w:color w:val="000000"/>
                <w:kern w:val="0"/>
                <w:sz w:val="18"/>
                <w:szCs w:val="18"/>
              </w:rPr>
              <w:t>2</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2000000000000000000"/>
    <w:charset w:val="86"/>
    <w:family w:val="script"/>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D1D06DD"/>
    <w:rsid w:val="3A3A58F3"/>
    <w:rsid w:val="78F723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2023-12-12T06:03:00Z</dcterms:created>
  <dc:creator>HP</dc:creator>
  <cp:lastModifiedBy>大地欢歌</cp:lastModifiedBy>
  <dcterms:modified xsi:type="dcterms:W3CDTF">2023-12-13T05:46:31Z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4567E8DC2A41468FB45D640620770988_13</vt:lpwstr>
  </property>
</Properties>
</file>