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许可</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000000"/>
                <w:kern w:val="0"/>
                <w:sz w:val="21"/>
                <w:szCs w:val="21"/>
                <w:u w:val="none"/>
                <w:lang w:val="en-US" w:eastAsia="zh-CN" w:bidi="ar"/>
              </w:rPr>
              <w:t>在草原上从事采土、采砂、采石等作业活动的审批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《中华人民共和国草原法》第五十条 在草原上从事采土、采砂、采石等作业活动，应当报县级人民政府草原行政主管部门批准;开采矿产资源的，并应当依法办理有关手续。经批准在草原上从事本条第一款所列活动的，应当在规定的时间、区域内，按照准许的采挖方式作业，并采取保护草原植被的措施。在他人使用的草原上从事本条第一款所列活动的，还应当事先征得草原使用者的同意。</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抚办字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19</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36</w:t>
            </w:r>
            <w:r>
              <w:rPr>
                <w:rFonts w:hint="default" w:ascii="仿宋_GB2312" w:eastAsia="仿宋_GB2312" w:cs="仿宋_GB2312"/>
                <w:color w:val="000000"/>
                <w:kern w:val="0"/>
                <w:sz w:val="21"/>
                <w:szCs w:val="21"/>
              </w:rPr>
              <w:t>号</w:t>
            </w:r>
            <w:r>
              <w:rPr>
                <w:rFonts w:hint="eastAsia" w:ascii="仿宋_GB2312" w:eastAsia="仿宋_GB2312" w:cs="仿宋_GB2312"/>
                <w:color w:val="000000"/>
                <w:kern w:val="0"/>
                <w:sz w:val="21"/>
                <w:szCs w:val="21"/>
                <w:lang w:eastAsia="zh-CN"/>
              </w:rPr>
              <w:t>六、</w:t>
            </w:r>
            <w:r>
              <w:rPr>
                <w:rFonts w:hint="eastAsia" w:ascii="仿宋_GB2312" w:eastAsia="仿宋_GB2312" w:cs="仿宋_GB2312"/>
                <w:color w:val="000000"/>
                <w:kern w:val="0"/>
                <w:sz w:val="21"/>
                <w:szCs w:val="21"/>
                <w:lang w:val="en-US" w:eastAsia="zh-CN"/>
              </w:rPr>
              <w:t>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受理</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公示应当提交的材料，一次性告知补正材料，依法作出受理或不予受理的决定（不予受理应当书面告知理由）。</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23"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按照草原管理相关规定，对书面申请材料进行审查，包括草原征占用申请表、项目批准文件、草原权属证明等。现场踏勘。涉及公共利益的重大许可，向社会公告，并举行听证。提出是否同意的审核意见。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作出准予行政许可或者不予行政许可决定，按时办结，法定告知（不予许可的应当书面告知理由）。</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i w:val="0"/>
                <w:color w:val="000000"/>
                <w:kern w:val="0"/>
                <w:sz w:val="21"/>
                <w:szCs w:val="21"/>
                <w:u w:val="none"/>
                <w:lang w:val="en-US" w:eastAsia="zh-CN" w:bidi="ar"/>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制发送达准（不）予行政许可决定书，信息公开。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i w:val="0"/>
                <w:color w:val="000000"/>
                <w:kern w:val="0"/>
                <w:sz w:val="21"/>
                <w:szCs w:val="21"/>
                <w:u w:val="none"/>
                <w:lang w:val="en-US" w:eastAsia="zh-CN" w:bidi="ar"/>
              </w:rPr>
            </w:pPr>
            <w:r>
              <w:rPr>
                <w:rFonts w:hint="eastAsia" w:ascii="黑体" w:hAnsi="黑体" w:eastAsia="黑体" w:cs="黑体"/>
                <w:i w:val="0"/>
                <w:color w:val="000000"/>
                <w:kern w:val="0"/>
                <w:sz w:val="21"/>
                <w:szCs w:val="21"/>
                <w:u w:val="none"/>
                <w:lang w:val="en-US" w:eastAsia="zh-CN" w:bidi="ar"/>
              </w:rPr>
              <w:t>事后监管</w:t>
            </w:r>
          </w:p>
        </w:tc>
        <w:tc>
          <w:tcPr>
            <w:tcW w:w="5287" w:type="dxa"/>
            <w:gridSpan w:val="4"/>
            <w:tcBorders>
              <w:tl2br w:val="nil"/>
              <w:tr2bl w:val="nil"/>
            </w:tcBorders>
            <w:noWrap w:val="0"/>
            <w:vAlign w:val="center"/>
          </w:tcPr>
          <w:p>
            <w:pPr>
              <w:widowControl/>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建立占用、征用草原审核档案。加强使用草原项目的监督检查，确保在审批范围内使用草原，保护草原资源免遭破坏。</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森林资源管理股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1.对符合法定条件的许可申请不予受理的；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2.对不符合法定条件的申请单位准予行政许可或者超越法定职权作出准予行政许可决定的；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3.对符合法定条件的申请单位不予行政许可或者不在法定期限内作出准予行政许可决定的；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4.不依法履行监督职责或者监督不力，造成严重后果的；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5.违反法定程序实施行政许可的；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6.应当举行听证而不举行听证的；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7.工作中玩忽职守、滥用职权的；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8.办理行政许可、实施监督检查，索取或者收受他人财物或者谋取其他利益的；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0335-6686002-81088</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bookmarkStart w:id="0" w:name="_GoBack"/>
      <w:bookmarkEnd w:id="0"/>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方正仿宋_GBK">
    <w:altName w:val="微软雅黑"/>
    <w:panose1 w:val="00000000000000000000"/>
    <w:charset w:val="86"/>
    <w:family w:val="auto"/>
    <w:pitch w:val="default"/>
    <w:sig w:usb0="00000000" w:usb1="00000000" w:usb2="00000000" w:usb3="00000000" w:csb0="00040000"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08692928"/>
    <w:rsid w:val="0A362FD0"/>
    <w:rsid w:val="17FF6CC1"/>
    <w:rsid w:val="18DA1F55"/>
    <w:rsid w:val="346B31E6"/>
    <w:rsid w:val="3B445B48"/>
    <w:rsid w:val="3E484EBC"/>
    <w:rsid w:val="480B6841"/>
    <w:rsid w:val="4C575B4B"/>
    <w:rsid w:val="516D5D57"/>
    <w:rsid w:val="531F2FEB"/>
    <w:rsid w:val="5A001035"/>
    <w:rsid w:val="5B076365"/>
    <w:rsid w:val="5D433711"/>
    <w:rsid w:val="744E17E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Strong"/>
    <w:basedOn w:val="3"/>
    <w:qFormat/>
    <w:uiPriority w:val="22"/>
    <w:rPr>
      <w:b/>
      <w:bCs/>
    </w:rPr>
  </w:style>
  <w:style w:type="paragraph" w:styleId="5">
    <w:name w:val="List Paragraph"/>
    <w:basedOn w:val="1"/>
    <w:unhideWhenUsed/>
    <w:qFormat/>
    <w:uiPriority w:val="99"/>
    <w:pPr>
      <w:ind w:firstLine="420" w:firstLineChars="200"/>
    </w:pPr>
  </w:style>
  <w:style w:type="character" w:customStyle="1" w:styleId="6">
    <w:name w:val="font112"/>
    <w:basedOn w:val="3"/>
    <w:qFormat/>
    <w:uiPriority w:val="0"/>
    <w:rPr>
      <w:rFonts w:ascii="仿宋_GB2312" w:eastAsia="仿宋_GB2312" w:cs="仿宋_GB2312"/>
      <w:color w:val="000000"/>
      <w:sz w:val="18"/>
      <w:szCs w:val="18"/>
      <w:u w:val="none"/>
    </w:rPr>
  </w:style>
  <w:style w:type="character" w:customStyle="1" w:styleId="7">
    <w:name w:val="font51"/>
    <w:basedOn w:val="3"/>
    <w:qFormat/>
    <w:uiPriority w:val="0"/>
    <w:rPr>
      <w:rFonts w:hint="default" w:ascii="Times New Roman" w:hAnsi="Times New Roman" w:cs="Times New Roman"/>
      <w:color w:val="000000"/>
      <w:sz w:val="18"/>
      <w:szCs w:val="18"/>
      <w:u w:val="none"/>
    </w:rPr>
  </w:style>
  <w:style w:type="character" w:customStyle="1" w:styleId="8">
    <w:name w:val="font71"/>
    <w:basedOn w:val="3"/>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2023-12-21T05:59:40Z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3DF25E012F924477AE0D8B56114A81A5_13</vt:lpwstr>
  </property>
</Properties>
</file>