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许可</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在草原上开展经营性旅游活动的审批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Style w:val="8"/>
                <w:rFonts w:hint="eastAsia" w:ascii="仿宋_GB2312" w:hAnsi="仿宋_GB2312" w:eastAsia="仿宋_GB2312" w:cs="仿宋_GB2312"/>
                <w:sz w:val="21"/>
                <w:szCs w:val="21"/>
                <w:lang w:val="en-US" w:eastAsia="zh-CN" w:bidi="ar"/>
              </w:rPr>
            </w:pPr>
            <w:r>
              <w:rPr>
                <w:rStyle w:val="8"/>
                <w:rFonts w:hint="eastAsia" w:ascii="仿宋_GB2312" w:hAnsi="仿宋_GB2312" w:eastAsia="仿宋_GB2312" w:cs="仿宋_GB2312"/>
                <w:sz w:val="21"/>
                <w:szCs w:val="21"/>
                <w:lang w:val="en-US" w:eastAsia="zh-CN" w:bidi="ar"/>
              </w:rPr>
              <w:t>《中华人民共和国草原法》第五十二条 在草原上开展经营性旅游活动，应当符合有关草原保护、建设、利用规划，并事先征得县级以上地方人民政府草原行政主管部门的同意，方可办理有关手续。在草原上开展经营性旅游活动，不得侵犯草原所有者、使用者和承包经营者的合法权益，不得破坏草原植被。</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公示依法应当提交的材料。一次性告知补正材料。依法作出受理或不予受理的决定（不予受理应当书面告知理由），并根据申请人的要求进行相关解释说明。</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草原管理相关规定，对书面材料进行审查，包括申请书、项目建设有关批准文件、被占用或者被征用草原的权属证明材料、市县级林业（或行政审批）部门审查意见等。现场踏勘。涉及公共利益的重大许可，向社会公告，并举行听证。提出是否同意的审查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作出同意行政许可或不予行政许可决定。按时办结。告知预交草原恢复费。法定告知（不予行政许可的应当告知理由，并在《使用草原申请表》中明确记载不同意的理由，将申请材料退还申请用地单位）。</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准予许可的制发《使用草原审核同意书》并送达，不予许可的制发不予行政许可决定书，连同申请材料一并送达申请人。信息公开。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建立占用、征用草原审核档案。加强使用草原项目的监督检查，确保在审批范围内使用草原，保护草原资源免遭破坏。</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DA1F55"/>
    <w:rsid w:val="346B31E6"/>
    <w:rsid w:val="3B445B48"/>
    <w:rsid w:val="3E484EBC"/>
    <w:rsid w:val="480B6841"/>
    <w:rsid w:val="4C272DFE"/>
    <w:rsid w:val="4C575B4B"/>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2023-12-21T06:00:07Z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D762EA2887674AF1AA0DA543E631A365_13</vt:lpwstr>
  </property>
</Properties>
</file>