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93"/>
        <w:gridCol w:w="425"/>
        <w:gridCol w:w="1417"/>
        <w:gridCol w:w="2127"/>
        <w:gridCol w:w="876"/>
        <w:gridCol w:w="541"/>
        <w:gridCol w:w="1197"/>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518"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41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2127" w:type="dxa"/>
            <w:tcBorders>
              <w:top w:val="single" w:color="auto" w:sz="4" w:space="0"/>
              <w:right w:val="single" w:color="auto" w:sz="4" w:space="0"/>
              <w:tl2br w:val="nil"/>
              <w:tr2bl w:val="nil"/>
            </w:tcBorders>
            <w:shd w:val="clear" w:color="auto" w:fill="auto"/>
            <w:vAlign w:val="center"/>
          </w:tcPr>
          <w:p>
            <w:pPr>
              <w:widowControl/>
              <w:jc w:val="center"/>
              <w:textAlignment w:val="center"/>
              <w:rPr>
                <w:rFonts w:ascii="仿宋" w:hAnsi="仿宋" w:eastAsia="仿宋" w:cs="黑体"/>
                <w:bCs/>
                <w:color w:val="000000"/>
                <w:szCs w:val="21"/>
              </w:rPr>
            </w:pPr>
            <w:r>
              <w:rPr>
                <w:rFonts w:hint="eastAsia" w:ascii="仿宋" w:hAnsi="仿宋" w:eastAsia="仿宋" w:cs="黑体"/>
                <w:bCs/>
                <w:color w:val="000000"/>
                <w:szCs w:val="21"/>
              </w:rPr>
              <w:t>行政处罚</w:t>
            </w:r>
          </w:p>
        </w:tc>
        <w:tc>
          <w:tcPr>
            <w:tcW w:w="1417" w:type="dxa"/>
            <w:gridSpan w:val="2"/>
            <w:tcBorders>
              <w:top w:val="single" w:color="auto" w:sz="4" w:space="0"/>
              <w:left w:val="single" w:color="auto" w:sz="4" w:space="0"/>
              <w:right w:val="single" w:color="auto" w:sz="4" w:space="0"/>
              <w:tl2br w:val="nil"/>
              <w:tr2bl w:val="nil"/>
            </w:tcBorders>
            <w:shd w:val="clear" w:color="auto" w:fill="auto"/>
            <w:vAlign w:val="center"/>
          </w:tcPr>
          <w:p>
            <w:pPr>
              <w:jc w:val="center"/>
              <w:textAlignment w:val="center"/>
              <w:rPr>
                <w:rFonts w:ascii="仿宋" w:hAnsi="仿宋" w:eastAsia="仿宋" w:cs="黑体"/>
                <w:bCs/>
                <w:color w:val="000000"/>
                <w:szCs w:val="21"/>
              </w:rPr>
            </w:pPr>
            <w:r>
              <w:rPr>
                <w:rFonts w:hint="eastAsia" w:ascii="黑体" w:eastAsia="黑体" w:cs="黑体"/>
                <w:b/>
                <w:bCs/>
                <w:color w:val="000000"/>
                <w:kern w:val="0"/>
                <w:szCs w:val="21"/>
              </w:rPr>
              <w:t>实施主体</w:t>
            </w:r>
          </w:p>
        </w:tc>
        <w:tc>
          <w:tcPr>
            <w:tcW w:w="2356" w:type="dxa"/>
            <w:gridSpan w:val="2"/>
            <w:tcBorders>
              <w:top w:val="single" w:color="auto" w:sz="4" w:space="0"/>
              <w:left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 w:hAnsi="仿宋" w:eastAsia="仿宋" w:cs="黑体"/>
                <w:bCs/>
                <w:color w:val="000000"/>
                <w:szCs w:val="21"/>
                <w:lang w:eastAsia="zh-CN"/>
              </w:rPr>
              <w:t>区资源</w:t>
            </w:r>
            <w:r>
              <w:rPr>
                <w:rFonts w:hint="eastAsia" w:ascii="仿宋" w:hAnsi="仿宋" w:eastAsia="仿宋" w:cs="黑体"/>
                <w:bCs/>
                <w:color w:val="000000"/>
                <w:szCs w:val="21"/>
              </w:rPr>
              <w:t>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bottom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_GB2312" w:hAnsi="仿宋_GB2312" w:eastAsia="仿宋_GB2312" w:cs="仿宋_GB2312"/>
                <w:color w:val="000000"/>
                <w:kern w:val="0"/>
                <w:sz w:val="18"/>
                <w:szCs w:val="18"/>
              </w:rPr>
              <w:t>对买卖、出租或者以其他形式转让矿产资源；将探矿权、采矿权倒卖牟利；未经批准，擅自转让探矿权、采矿权；以承包等方式擅自转让采矿权的行政处罚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3" w:type="dxa"/>
            <w:tcBorders>
              <w:tl2br w:val="nil"/>
              <w:tr2bl w:val="nil"/>
            </w:tcBorders>
            <w:shd w:val="clear" w:color="auto" w:fill="auto"/>
            <w:vAlign w:val="center"/>
          </w:tcPr>
          <w:p>
            <w:pPr>
              <w:widowControl/>
              <w:ind w:firstLine="207" w:firstLineChars="98"/>
              <w:textAlignment w:val="center"/>
              <w:rPr>
                <w:rFonts w:ascii="黑体" w:eastAsia="黑体" w:cs="黑体"/>
                <w:b/>
                <w:bCs/>
                <w:color w:val="000000"/>
                <w:szCs w:val="21"/>
              </w:rPr>
            </w:pPr>
            <w:r>
              <w:rPr>
                <w:rFonts w:hint="eastAsia" w:ascii="黑体" w:eastAsia="黑体" w:cs="黑体"/>
                <w:b/>
                <w:bCs/>
                <w:color w:val="000000"/>
                <w:szCs w:val="21"/>
              </w:rPr>
              <w:t>管辖范围</w:t>
            </w:r>
          </w:p>
        </w:tc>
        <w:tc>
          <w:tcPr>
            <w:tcW w:w="8835" w:type="dxa"/>
            <w:gridSpan w:val="8"/>
            <w:tcBorders>
              <w:tl2br w:val="nil"/>
              <w:tr2bl w:val="nil"/>
            </w:tcBorders>
            <w:shd w:val="clear" w:color="auto" w:fill="auto"/>
            <w:vAlign w:val="center"/>
          </w:tcPr>
          <w:p>
            <w:pPr>
              <w:spacing w:line="240" w:lineRule="exact"/>
              <w:ind w:firstLine="345"/>
              <w:jc w:val="center"/>
              <w:rPr>
                <w:rFonts w:ascii="仿宋" w:hAnsi="仿宋" w:eastAsia="仿宋" w:cs="黑体"/>
                <w:bCs/>
                <w:color w:val="000000"/>
                <w:sz w:val="18"/>
                <w:szCs w:val="18"/>
              </w:rPr>
            </w:pPr>
            <w:r>
              <w:rPr>
                <w:rFonts w:hint="eastAsia" w:ascii="仿宋" w:hAnsi="仿宋" w:eastAsia="仿宋" w:cs="黑体"/>
                <w:bCs/>
                <w:color w:val="000000"/>
                <w:sz w:val="18"/>
                <w:szCs w:val="18"/>
              </w:rPr>
              <w:t>秦皇岛</w:t>
            </w:r>
            <w:r>
              <w:rPr>
                <w:rFonts w:hint="eastAsia" w:ascii="仿宋" w:hAnsi="仿宋" w:eastAsia="仿宋" w:cs="黑体"/>
                <w:bCs/>
                <w:color w:val="000000"/>
                <w:sz w:val="18"/>
                <w:szCs w:val="18"/>
                <w:lang w:eastAsia="zh-CN"/>
              </w:rPr>
              <w:t>市抚宁</w:t>
            </w:r>
            <w:r>
              <w:rPr>
                <w:rFonts w:hint="eastAsia" w:ascii="仿宋" w:hAnsi="仿宋" w:eastAsia="仿宋" w:cs="黑体"/>
                <w:bCs/>
                <w:color w:val="00000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76" w:hRule="atLeast"/>
          <w:jc w:val="center"/>
        </w:trPr>
        <w:tc>
          <w:tcPr>
            <w:tcW w:w="1463" w:type="dxa"/>
            <w:tcBorders>
              <w:tl2br w:val="nil"/>
              <w:tr2bl w:val="nil"/>
            </w:tcBorders>
            <w:shd w:val="clear" w:color="auto" w:fill="auto"/>
            <w:vAlign w:val="center"/>
          </w:tcPr>
          <w:p>
            <w:pPr>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r>
              <w:rPr>
                <w:rFonts w:hint="eastAsia"/>
              </w:rPr>
              <w:t>【</w:t>
            </w:r>
            <w:r>
              <w:rPr>
                <w:rFonts w:hint="eastAsia"/>
                <w:b/>
              </w:rPr>
              <w:t>法律法规</w:t>
            </w:r>
            <w:r>
              <w:rPr>
                <w:rFonts w:hint="eastAsia"/>
              </w:rPr>
              <w:t>】</w:t>
            </w:r>
          </w:p>
          <w:p>
            <w:pPr>
              <w:widowControl/>
              <w:spacing w:line="240" w:lineRule="exact"/>
              <w:ind w:firstLine="360" w:firstLineChars="200"/>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1.《中华人民共和国矿产资源法》第四十二条买卖、出租或者以其他形式转让矿产资源的，没收违法所得，处以罚款。</w:t>
            </w:r>
          </w:p>
          <w:p>
            <w:pPr>
              <w:widowControl/>
              <w:spacing w:line="240" w:lineRule="exact"/>
              <w:ind w:firstLine="360" w:firstLineChars="200"/>
              <w:jc w:val="left"/>
              <w:textAlignment w:val="center"/>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2.《中华人民共和国矿产资源法实施细则》（国务院令第152号）第四十二条 依照《</w:t>
            </w:r>
            <w:r>
              <w:rPr>
                <w:rFonts w:hint="eastAsia" w:ascii="仿宋_GB2312" w:hAnsi="仿宋_GB2312" w:eastAsia="仿宋_GB2312" w:cs="仿宋_GB2312"/>
                <w:color w:val="000000"/>
                <w:kern w:val="0"/>
                <w:sz w:val="18"/>
                <w:szCs w:val="18"/>
                <w:lang w:val="en-US" w:eastAsia="zh-CN"/>
              </w:rPr>
              <w:t>中华人民共和国</w:t>
            </w:r>
            <w:bookmarkStart w:id="0" w:name="_GoBack"/>
            <w:bookmarkEnd w:id="0"/>
            <w:r>
              <w:rPr>
                <w:rFonts w:hint="eastAsia" w:ascii="仿宋_GB2312" w:hAnsi="仿宋_GB2312" w:eastAsia="仿宋_GB2312" w:cs="仿宋_GB2312"/>
                <w:color w:val="000000"/>
                <w:kern w:val="0"/>
                <w:sz w:val="18"/>
                <w:szCs w:val="18"/>
              </w:rPr>
              <w:t>矿产资源法》第三十九条、第四十条、第四十二条、第四十三条、第四十四条规定处以罚款的，分别按照下列规定执行:(三)买卖、出租或者以其他形式转让矿产资源的，买卖、出租采矿权的，对卖方、出租方、出让方处以违法所得一倍以下的罚款。</w:t>
            </w:r>
          </w:p>
          <w:p>
            <w:pPr>
              <w:spacing w:line="240" w:lineRule="exact"/>
              <w:ind w:firstLine="345"/>
              <w:jc w:val="left"/>
            </w:pPr>
            <w:r>
              <w:rPr>
                <w:rFonts w:hint="eastAsia" w:ascii="仿宋_GB2312" w:hAnsi="仿宋_GB2312" w:eastAsia="仿宋_GB2312" w:cs="仿宋_GB2312"/>
                <w:color w:val="000000"/>
                <w:kern w:val="0"/>
                <w:sz w:val="18"/>
                <w:szCs w:val="18"/>
              </w:rPr>
              <w:t xml:space="preserve">3.《探矿权采矿权转让管理办法》（国务院令第242号）第十四条未经审批管理机关批准，擅自转让探矿权、采矿权的，由登记管理机关责令改正，没收违法所得，处10万元以下的罚款;情节严重的，由原发证机关吊销勘查许可证、采矿许可证。第十五条违反本办法第三条第（二）项的规定，以承包等方式擅自将采矿权转给他人进行采矿的，由县级以上人民政府负责地质矿产管理工作的部门按照国务院地质矿产主管部门规定的权限，责令改正，没收违法所得，处10万元以下的处罚；情节严重的，由原发证机关吊销采矿许可证。                     </w:t>
            </w:r>
            <w:r>
              <w:rPr>
                <w:rFonts w:hint="eastAsia" w:ascii="仿宋" w:hAnsi="仿宋" w:eastAsia="仿宋" w:cs="仿宋_GB2312"/>
                <w:color w:val="000000"/>
                <w:kern w:val="0"/>
                <w:sz w:val="18"/>
                <w:szCs w:val="18"/>
              </w:rPr>
              <w:t>【</w:t>
            </w:r>
            <w:r>
              <w:rPr>
                <w:rFonts w:hint="eastAsia" w:ascii="黑体" w:eastAsia="黑体" w:cs="黑体"/>
                <w:b/>
                <w:bCs/>
                <w:color w:val="000000"/>
                <w:kern w:val="0"/>
                <w:szCs w:val="21"/>
              </w:rPr>
              <w:t>三定规定】</w:t>
            </w: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7"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9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845" w:type="dxa"/>
            <w:gridSpan w:val="4"/>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738" w:type="dxa"/>
            <w:gridSpan w:val="2"/>
            <w:tcBorders>
              <w:lef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27"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立案</w:t>
            </w:r>
          </w:p>
        </w:tc>
        <w:tc>
          <w:tcPr>
            <w:tcW w:w="4845" w:type="dxa"/>
            <w:gridSpan w:val="4"/>
            <w:tcBorders>
              <w:righ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1、</w:t>
            </w:r>
            <w:r>
              <w:rPr>
                <w:rFonts w:ascii="仿宋" w:hAnsi="仿宋" w:eastAsia="仿宋" w:cs="楷体_GB2312"/>
                <w:color w:val="333333"/>
                <w:sz w:val="18"/>
                <w:szCs w:val="18"/>
                <w:shd w:val="clear" w:color="auto" w:fill="FFFFFF"/>
              </w:rPr>
              <w:t>核查与制止</w:t>
            </w:r>
            <w:r>
              <w:rPr>
                <w:rFonts w:hint="eastAsia" w:ascii="仿宋" w:hAnsi="仿宋" w:eastAsia="仿宋" w:cs="楷体_GB2312"/>
                <w:color w:val="333333"/>
                <w:sz w:val="18"/>
                <w:szCs w:val="18"/>
                <w:shd w:val="clear" w:color="auto" w:fill="FFFFFF"/>
              </w:rPr>
              <w:t>。</w:t>
            </w:r>
            <w:r>
              <w:rPr>
                <w:rFonts w:hint="eastAsia" w:ascii="仿宋" w:hAnsi="仿宋" w:eastAsia="仿宋" w:cs="宋体"/>
                <w:color w:val="333333"/>
                <w:sz w:val="18"/>
                <w:szCs w:val="18"/>
                <w:shd w:val="clear" w:color="auto" w:fill="FFFFFF"/>
              </w:rPr>
              <w:t>2、下达《责令停止违法行为通知书》。3、填写《立案（不予立案）呈批表》，报自然资源主管部门负责人审批，符合立案条件的在十个工作日内予以立案。</w:t>
            </w:r>
          </w:p>
        </w:tc>
        <w:tc>
          <w:tcPr>
            <w:tcW w:w="1738" w:type="dxa"/>
            <w:gridSpan w:val="2"/>
            <w:tcBorders>
              <w:lef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符合立案条件的在10个工作日内予以立案</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54"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调查取证</w:t>
            </w:r>
          </w:p>
        </w:tc>
        <w:tc>
          <w:tcPr>
            <w:tcW w:w="484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1、下达</w:t>
            </w:r>
            <w:r>
              <w:rPr>
                <w:rFonts w:hint="eastAsia" w:ascii="仿宋" w:hAnsi="仿宋" w:eastAsia="仿宋" w:cs="宋体"/>
                <w:color w:val="333333"/>
                <w:sz w:val="18"/>
                <w:szCs w:val="18"/>
                <w:shd w:val="clear" w:color="auto" w:fill="FFFFFF"/>
              </w:rPr>
              <w:t>《接受调查通知书》。2、</w:t>
            </w:r>
            <w:r>
              <w:rPr>
                <w:rFonts w:ascii="仿宋" w:hAnsi="仿宋" w:eastAsia="仿宋" w:cs="楷体_GB2312"/>
                <w:color w:val="333333"/>
                <w:sz w:val="18"/>
                <w:szCs w:val="18"/>
                <w:shd w:val="clear" w:color="auto" w:fill="FFFFFF"/>
              </w:rPr>
              <w:t>调查实施与证据收集</w:t>
            </w:r>
            <w:r>
              <w:rPr>
                <w:rFonts w:hint="eastAsia" w:ascii="仿宋" w:hAnsi="仿宋" w:eastAsia="仿宋" w:cs="楷体_GB2312"/>
                <w:color w:val="333333"/>
                <w:sz w:val="18"/>
                <w:szCs w:val="18"/>
                <w:shd w:val="clear" w:color="auto" w:fill="FFFFFF"/>
              </w:rPr>
              <w:t>(文字和影像证据)。3、</w:t>
            </w:r>
            <w:r>
              <w:rPr>
                <w:rFonts w:hint="eastAsia" w:ascii="仿宋" w:hAnsi="仿宋" w:eastAsia="仿宋" w:cs="宋体"/>
                <w:color w:val="333333"/>
                <w:sz w:val="18"/>
                <w:szCs w:val="18"/>
                <w:shd w:val="clear" w:color="auto" w:fill="FFFFFF"/>
              </w:rPr>
              <w:t>制作《现场勘验笔录》及委托有关机构鉴定.4、采取</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。5、</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。6、</w:t>
            </w:r>
            <w:r>
              <w:rPr>
                <w:rFonts w:hint="eastAsia" w:ascii="仿宋" w:hAnsi="仿宋" w:eastAsia="仿宋" w:cs="宋体"/>
                <w:color w:val="333333"/>
                <w:sz w:val="18"/>
                <w:szCs w:val="18"/>
                <w:shd w:val="clear" w:color="auto" w:fill="FFFFFF"/>
              </w:rPr>
              <w:t>下达《责令改正违法行为通知书》。</w:t>
            </w:r>
          </w:p>
        </w:tc>
        <w:tc>
          <w:tcPr>
            <w:tcW w:w="1738"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黑体"/>
                <w:color w:val="000000"/>
                <w:sz w:val="18"/>
                <w:szCs w:val="18"/>
              </w:rPr>
              <w:t>90日内作出处罚决定</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0"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案情分析  与调查报  告起草</w:t>
            </w:r>
          </w:p>
        </w:tc>
        <w:tc>
          <w:tcPr>
            <w:tcW w:w="484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w:t>
            </w:r>
            <w:r>
              <w:rPr>
                <w:rFonts w:ascii="仿宋" w:hAnsi="仿宋" w:eastAsia="仿宋" w:cs="楷体_GB2312"/>
                <w:color w:val="333333"/>
                <w:sz w:val="18"/>
                <w:szCs w:val="18"/>
                <w:shd w:val="clear" w:color="auto" w:fill="FFFFFF"/>
              </w:rPr>
              <w:t>证据认定</w:t>
            </w:r>
            <w:r>
              <w:rPr>
                <w:rFonts w:hint="eastAsia" w:ascii="仿宋" w:hAnsi="仿宋" w:eastAsia="仿宋" w:cs="楷体_GB2312"/>
                <w:color w:val="333333"/>
                <w:sz w:val="18"/>
                <w:szCs w:val="18"/>
                <w:shd w:val="clear" w:color="auto" w:fill="FFFFFF"/>
              </w:rPr>
              <w:t>。2、</w:t>
            </w:r>
            <w:r>
              <w:rPr>
                <w:rFonts w:ascii="仿宋" w:hAnsi="仿宋" w:eastAsia="仿宋" w:cs="楷体_GB2312"/>
                <w:color w:val="333333"/>
                <w:sz w:val="18"/>
                <w:szCs w:val="18"/>
                <w:shd w:val="clear" w:color="auto" w:fill="FFFFFF"/>
              </w:rPr>
              <w:t>事实认定</w:t>
            </w:r>
            <w:r>
              <w:rPr>
                <w:rFonts w:hint="eastAsia" w:ascii="仿宋" w:hAnsi="仿宋" w:eastAsia="仿宋" w:cs="楷体_GB2312"/>
                <w:color w:val="333333"/>
                <w:sz w:val="18"/>
                <w:szCs w:val="18"/>
                <w:shd w:val="clear" w:color="auto" w:fill="FFFFFF"/>
              </w:rPr>
              <w:t>。3、</w:t>
            </w:r>
            <w:r>
              <w:rPr>
                <w:rFonts w:ascii="仿宋" w:hAnsi="仿宋" w:eastAsia="仿宋" w:cs="楷体_GB2312"/>
                <w:color w:val="333333"/>
                <w:sz w:val="18"/>
                <w:szCs w:val="18"/>
                <w:shd w:val="clear" w:color="auto" w:fill="FFFFFF"/>
              </w:rPr>
              <w:t>法律适用和处理建议</w:t>
            </w:r>
            <w:r>
              <w:rPr>
                <w:rFonts w:hint="eastAsia" w:ascii="仿宋" w:hAnsi="仿宋" w:eastAsia="仿宋" w:cs="楷体_GB2312"/>
                <w:color w:val="333333"/>
                <w:sz w:val="18"/>
                <w:szCs w:val="18"/>
                <w:shd w:val="clear" w:color="auto" w:fill="FFFFFF"/>
              </w:rPr>
              <w:t>。4、</w:t>
            </w:r>
            <w:r>
              <w:rPr>
                <w:rFonts w:hint="eastAsia" w:ascii="仿宋" w:hAnsi="仿宋" w:eastAsia="仿宋" w:cs="宋体"/>
                <w:color w:val="333333"/>
                <w:sz w:val="18"/>
                <w:szCs w:val="18"/>
                <w:shd w:val="clear" w:color="auto" w:fill="FFFFFF"/>
              </w:rPr>
              <w:t>起草《违法案件调查报告》。</w:t>
            </w:r>
          </w:p>
        </w:tc>
        <w:tc>
          <w:tcPr>
            <w:tcW w:w="1738"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8"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案件</w:t>
            </w:r>
            <w:r>
              <w:rPr>
                <w:rFonts w:hint="eastAsia" w:ascii="黑体" w:hAnsi="黑体" w:eastAsia="黑体" w:cs="宋体"/>
                <w:b/>
                <w:color w:val="333333"/>
                <w:sz w:val="18"/>
                <w:szCs w:val="18"/>
                <w:shd w:val="clear" w:color="auto" w:fill="FFFFFF"/>
                <w:lang w:eastAsia="zh-CN"/>
              </w:rPr>
              <w:t>法制审核</w:t>
            </w:r>
          </w:p>
        </w:tc>
        <w:tc>
          <w:tcPr>
            <w:tcW w:w="4845" w:type="dxa"/>
            <w:gridSpan w:val="4"/>
            <w:tcBorders>
              <w:right w:val="single" w:color="auto" w:sz="4" w:space="0"/>
              <w:tl2br w:val="nil"/>
              <w:tr2bl w:val="nil"/>
            </w:tcBorders>
            <w:shd w:val="clear" w:color="auto" w:fill="auto"/>
            <w:vAlign w:val="center"/>
          </w:tcPr>
          <w:p>
            <w:pPr>
              <w:spacing w:line="240" w:lineRule="exact"/>
              <w:ind w:firstLine="360" w:firstLineChars="200"/>
              <w:rPr>
                <w:rFonts w:ascii="仿宋" w:hAnsi="仿宋" w:eastAsia="仿宋" w:cs="仿宋_GB2312"/>
                <w:color w:val="000000"/>
                <w:kern w:val="0"/>
                <w:sz w:val="18"/>
                <w:szCs w:val="18"/>
              </w:rPr>
            </w:pPr>
            <w:r>
              <w:rPr>
                <w:rFonts w:hint="eastAsia" w:ascii="仿宋" w:hAnsi="仿宋" w:eastAsia="仿宋" w:cs="宋体"/>
                <w:color w:val="333333"/>
                <w:sz w:val="18"/>
                <w:szCs w:val="18"/>
                <w:shd w:val="clear" w:color="auto" w:fill="FFFFFF"/>
              </w:rPr>
              <w:t>承办人员提交《违法案件调查报告》后，承办机构</w:t>
            </w:r>
            <w:r>
              <w:rPr>
                <w:rFonts w:hint="eastAsia" w:ascii="仿宋" w:hAnsi="仿宋" w:eastAsia="仿宋" w:cs="宋体"/>
                <w:color w:val="333333"/>
                <w:sz w:val="18"/>
                <w:szCs w:val="18"/>
                <w:shd w:val="clear" w:color="auto" w:fill="FFFFFF"/>
                <w:lang w:eastAsia="zh-CN"/>
              </w:rPr>
              <w:t>提请政策法规</w:t>
            </w:r>
            <w:r>
              <w:rPr>
                <w:rFonts w:hint="eastAsia" w:ascii="仿宋" w:hAnsi="仿宋" w:eastAsia="仿宋" w:cs="宋体"/>
                <w:color w:val="333333"/>
                <w:sz w:val="18"/>
                <w:szCs w:val="18"/>
                <w:shd w:val="clear" w:color="auto" w:fill="FFFFFF"/>
              </w:rPr>
              <w:t>对案件调查报告和证据等相关材料进行审理。</w:t>
            </w:r>
            <w:r>
              <w:rPr>
                <w:rFonts w:hint="eastAsia" w:ascii="仿宋" w:hAnsi="仿宋" w:eastAsia="仿宋" w:cs="宋体"/>
                <w:color w:val="333333"/>
                <w:sz w:val="18"/>
                <w:szCs w:val="18"/>
                <w:shd w:val="clear" w:color="auto" w:fill="FFFFFF"/>
                <w:lang w:eastAsia="zh-CN"/>
              </w:rPr>
              <w:t>并出具行政执法决定法制审核意见表。</w:t>
            </w:r>
          </w:p>
        </w:tc>
        <w:tc>
          <w:tcPr>
            <w:tcW w:w="1738"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仿宋_GB2312"/>
                <w:color w:val="000000"/>
                <w:kern w:val="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综合办公室（政策法规）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作出处    理决定</w:t>
            </w:r>
          </w:p>
        </w:tc>
        <w:tc>
          <w:tcPr>
            <w:tcW w:w="4845"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填写《违法案件处理决定呈批表》。2、决定撤销案件的，填写《撤销立案决定呈批表》。3、制作《行政处罚告知书》和《行政处罚听证告知书》。4、制作《行政处罚听证通知书》。5、制作《听证笔录》。6制作《行政处罚决定书》.7、制作《法律文书送达回证》送达。</w:t>
            </w:r>
          </w:p>
        </w:tc>
        <w:tc>
          <w:tcPr>
            <w:tcW w:w="1738"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44"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执行</w:t>
            </w:r>
          </w:p>
        </w:tc>
        <w:tc>
          <w:tcPr>
            <w:tcW w:w="4845"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1、制作《履行行政处罚决定催告书》。2、制作《强制执行申请书》，申请人民法院强制执行。3、制作《行政处罚决定执行记录》。4、制作《涉嫌犯罪案件移送书》。5. 制作《党纪律处分建议书》。6、制作《法律文书送达回证》送达。</w:t>
            </w:r>
          </w:p>
        </w:tc>
        <w:tc>
          <w:tcPr>
            <w:tcW w:w="1738"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仿宋_GB2312"/>
                <w:color w:val="000000"/>
                <w:kern w:val="0"/>
                <w:sz w:val="18"/>
                <w:szCs w:val="18"/>
              </w:rPr>
              <w:t>当事人履行被处罚义务的案件7日内结案归档；申请法院强制执行的案件，待法院受理后结案归档。</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7"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结案</w:t>
            </w:r>
          </w:p>
        </w:tc>
        <w:tc>
          <w:tcPr>
            <w:tcW w:w="484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制作</w:t>
            </w:r>
            <w:r>
              <w:rPr>
                <w:rFonts w:hint="eastAsia" w:ascii="仿宋" w:hAnsi="仿宋" w:eastAsia="仿宋" w:cs="宋体"/>
                <w:color w:val="333333"/>
                <w:sz w:val="18"/>
                <w:szCs w:val="18"/>
                <w:shd w:val="clear" w:color="auto" w:fill="FFFFFF"/>
              </w:rPr>
              <w:t>《结案呈批表》，报主管领导审批。</w:t>
            </w:r>
          </w:p>
        </w:tc>
        <w:tc>
          <w:tcPr>
            <w:tcW w:w="1738"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2"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归档</w:t>
            </w:r>
          </w:p>
        </w:tc>
        <w:tc>
          <w:tcPr>
            <w:tcW w:w="4845"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承办人员应当将办案过程中形成的全部材料，及时整理装订成卷，并按照规定归档</w:t>
            </w:r>
          </w:p>
        </w:tc>
        <w:tc>
          <w:tcPr>
            <w:tcW w:w="1738"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 w:hAnsi="仿宋" w:eastAsia="仿宋" w:cs="黑体"/>
                <w:color w:val="000000"/>
                <w:szCs w:val="21"/>
              </w:rPr>
            </w:pPr>
            <w:r>
              <w:rPr>
                <w:rFonts w:hint="eastAsia" w:ascii="仿宋" w:hAnsi="仿宋" w:eastAsia="仿宋" w:cs="仿宋_GB2312"/>
                <w:color w:val="000000"/>
                <w:kern w:val="0"/>
                <w:sz w:val="18"/>
                <w:szCs w:val="18"/>
              </w:rPr>
              <w:t>因不履行或不正确履行行政职责，有下列情形的，行政机关及相关工作人员应承担相应责任：</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1.没有法律和事实依据实施行政处罚的；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2.擅自改变行政处罚种类、幅度的；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3.违反法定程序进行行政处罚的；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4.违反委托处罚规定的；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5.对违法行为未依法制止的；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6.应当依法立案查处，无正当理由未依法立案查处的；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7.在制止以及查处违法案件中受阻，依照有关规定应当向本级人民政府或者上级自然资源主管部门报告而未报告的；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8.符合听证条件、行政管理相对人要求听证，应予组织听证而不组织听证的；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9.应当依法进行行政处罚而未依法处罚的；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10.应当依法移送追究刑事责任，而未依法移送有权机关的；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11.在行政处罚过程中发生腐败行为的；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 w:hAnsi="仿宋" w:eastAsia="仿宋" w:cs="黑体"/>
                <w:color w:val="000000"/>
                <w:kern w:val="0"/>
                <w:sz w:val="18"/>
                <w:szCs w:val="18"/>
              </w:rPr>
              <w:t xml:space="preserve">1.业务咨询：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jc w:val="left"/>
              <w:textAlignment w:val="center"/>
              <w:rPr>
                <w:rFonts w:ascii="仿宋" w:hAnsi="仿宋" w:eastAsia="仿宋" w:cs="黑体"/>
                <w:color w:val="000000"/>
                <w:sz w:val="24"/>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r>
              <w:rPr>
                <w:rFonts w:hint="eastAsia" w:ascii="仿宋" w:hAnsi="仿宋" w:eastAsia="仿宋" w:cs="黑体"/>
                <w:color w:val="000000"/>
                <w:kern w:val="0"/>
                <w:sz w:val="18"/>
                <w:szCs w:val="18"/>
              </w:rPr>
              <w:t>1、接到</w:t>
            </w:r>
            <w:r>
              <w:rPr>
                <w:rFonts w:hint="eastAsia" w:ascii="仿宋" w:hAnsi="仿宋" w:eastAsia="仿宋" w:cs="宋体"/>
                <w:color w:val="333333"/>
                <w:sz w:val="18"/>
                <w:szCs w:val="18"/>
                <w:shd w:val="clear" w:color="auto" w:fill="FFFFFF"/>
              </w:rPr>
              <w:t>《行政处罚告知书》和《行政处罚听证告知书》之日起五个工作日内有权进行陈述、申辩及提出听证。                                                                     2、</w:t>
            </w:r>
            <w:r>
              <w:rPr>
                <w:rFonts w:hint="eastAsia" w:ascii="仿宋" w:hAnsi="仿宋" w:eastAsia="仿宋" w:cs="黑体"/>
                <w:color w:val="000000"/>
                <w:kern w:val="0"/>
                <w:sz w:val="18"/>
                <w:szCs w:val="18"/>
              </w:rPr>
              <w:t>不服处罚决定自收到行政行为之日起六十日内向</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r>
              <w:rPr>
                <w:rFonts w:hint="eastAsia" w:ascii="仿宋" w:hAnsi="仿宋" w:eastAsia="仿宋" w:cs="黑体"/>
                <w:color w:val="000000"/>
                <w:kern w:val="0"/>
                <w:sz w:val="18"/>
                <w:szCs w:val="18"/>
              </w:rPr>
              <w:t>政府申请行政复议。</w:t>
            </w:r>
          </w:p>
          <w:p>
            <w:pPr>
              <w:widowControl/>
              <w:jc w:val="left"/>
              <w:textAlignment w:val="center"/>
              <w:rPr>
                <w:rFonts w:ascii="仿宋" w:hAnsi="仿宋" w:eastAsia="仿宋" w:cs="黑体"/>
                <w:b/>
                <w:bCs/>
                <w:color w:val="000000"/>
                <w:szCs w:val="21"/>
              </w:rPr>
            </w:pPr>
            <w:r>
              <w:rPr>
                <w:rFonts w:hint="eastAsia" w:ascii="仿宋" w:hAnsi="仿宋" w:eastAsia="仿宋" w:cs="黑体"/>
                <w:color w:val="000000"/>
                <w:kern w:val="0"/>
                <w:sz w:val="18"/>
                <w:szCs w:val="18"/>
              </w:rPr>
              <w:t>3、不服处罚决定自收到行政行为之日起六个月内向</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r>
              <w:rPr>
                <w:rFonts w:hint="eastAsia" w:ascii="仿宋" w:hAnsi="仿宋" w:eastAsia="仿宋" w:cs="黑体"/>
                <w:color w:val="000000"/>
                <w:kern w:val="0"/>
                <w:sz w:val="18"/>
                <w:szCs w:val="18"/>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pPr>
    </w:p>
    <w:sectPr>
      <w:pgSz w:w="11906" w:h="16838"/>
      <w:pgMar w:top="1134" w:right="1797" w:bottom="964" w:left="179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2010601030101010101"/>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105"/>
  <w:drawingGridVerticalSpacing w:val="156"/>
  <w:displayHorizontalDrawingGridEvery w:val="0"/>
  <w:noPunctuationKerning w:val="1"/>
  <w:characterSpacingControl w:val="compressPunctuation"/>
  <w:compat>
    <w:spaceForUL/>
    <w:balanceSingleByteDoubleByteWidth/>
    <w:doNotExpandShiftReturn/>
    <w:adjustLineHeightInTable/>
    <w:useFELayout/>
    <w:doNotUseIndentAsNumberingTabStop/>
    <w:useAltKinsokuLineBreakRules/>
    <w:compatSetting w:name="compatibilityMode" w:uri="http://schemas.microsoft.com/office/word" w:val="12"/>
  </w:compat>
  <w:docVars>
    <w:docVar w:name="commondata" w:val="eyJoZGlkIjoiOGQxYzA2ZGVmY2JkNzY1NTZmY2UxMzMwYWM1OTk4YzkifQ=="/>
  </w:docVars>
  <w:rsids>
    <w:rsidRoot w:val="00217FEA"/>
    <w:rsid w:val="00003062"/>
    <w:rsid w:val="00007B93"/>
    <w:rsid w:val="00023B16"/>
    <w:rsid w:val="00026160"/>
    <w:rsid w:val="00055761"/>
    <w:rsid w:val="000640B4"/>
    <w:rsid w:val="00065157"/>
    <w:rsid w:val="000675FC"/>
    <w:rsid w:val="000856CB"/>
    <w:rsid w:val="00091101"/>
    <w:rsid w:val="000B12E1"/>
    <w:rsid w:val="000C48F2"/>
    <w:rsid w:val="000C60A9"/>
    <w:rsid w:val="000D5638"/>
    <w:rsid w:val="000E13BD"/>
    <w:rsid w:val="000F0727"/>
    <w:rsid w:val="001040B6"/>
    <w:rsid w:val="00112ABD"/>
    <w:rsid w:val="00115948"/>
    <w:rsid w:val="0012290E"/>
    <w:rsid w:val="00137771"/>
    <w:rsid w:val="001651CC"/>
    <w:rsid w:val="001773F2"/>
    <w:rsid w:val="00190417"/>
    <w:rsid w:val="001A19B6"/>
    <w:rsid w:val="001C0A51"/>
    <w:rsid w:val="001C1B34"/>
    <w:rsid w:val="001C641C"/>
    <w:rsid w:val="001D3925"/>
    <w:rsid w:val="00212184"/>
    <w:rsid w:val="00217FEA"/>
    <w:rsid w:val="00221255"/>
    <w:rsid w:val="002227F4"/>
    <w:rsid w:val="00240E01"/>
    <w:rsid w:val="002434CE"/>
    <w:rsid w:val="00245471"/>
    <w:rsid w:val="002474CC"/>
    <w:rsid w:val="002606B9"/>
    <w:rsid w:val="00260B98"/>
    <w:rsid w:val="00263EF6"/>
    <w:rsid w:val="00272B47"/>
    <w:rsid w:val="00275844"/>
    <w:rsid w:val="002771B2"/>
    <w:rsid w:val="00293DF2"/>
    <w:rsid w:val="00296207"/>
    <w:rsid w:val="002A63FB"/>
    <w:rsid w:val="002D4F6D"/>
    <w:rsid w:val="00304134"/>
    <w:rsid w:val="00317A11"/>
    <w:rsid w:val="00333EDA"/>
    <w:rsid w:val="00341041"/>
    <w:rsid w:val="00343B1F"/>
    <w:rsid w:val="00345961"/>
    <w:rsid w:val="00355FFD"/>
    <w:rsid w:val="0035657D"/>
    <w:rsid w:val="00357A27"/>
    <w:rsid w:val="00361569"/>
    <w:rsid w:val="00377327"/>
    <w:rsid w:val="00377EB6"/>
    <w:rsid w:val="003802C1"/>
    <w:rsid w:val="00384F8E"/>
    <w:rsid w:val="00386402"/>
    <w:rsid w:val="003B006D"/>
    <w:rsid w:val="003C06ED"/>
    <w:rsid w:val="003E1063"/>
    <w:rsid w:val="003E24E5"/>
    <w:rsid w:val="003E49C5"/>
    <w:rsid w:val="003F0229"/>
    <w:rsid w:val="00413EEE"/>
    <w:rsid w:val="00433A28"/>
    <w:rsid w:val="00434A7E"/>
    <w:rsid w:val="00435783"/>
    <w:rsid w:val="00444848"/>
    <w:rsid w:val="00453765"/>
    <w:rsid w:val="00453F2E"/>
    <w:rsid w:val="00457A8E"/>
    <w:rsid w:val="00465C53"/>
    <w:rsid w:val="00471FF8"/>
    <w:rsid w:val="00474E4F"/>
    <w:rsid w:val="0048731D"/>
    <w:rsid w:val="0049634A"/>
    <w:rsid w:val="004A5A72"/>
    <w:rsid w:val="004F2EC7"/>
    <w:rsid w:val="004F3274"/>
    <w:rsid w:val="004F7537"/>
    <w:rsid w:val="0051341E"/>
    <w:rsid w:val="00526EF0"/>
    <w:rsid w:val="00562CCC"/>
    <w:rsid w:val="0056682B"/>
    <w:rsid w:val="005703E8"/>
    <w:rsid w:val="00585991"/>
    <w:rsid w:val="0059299A"/>
    <w:rsid w:val="00592A89"/>
    <w:rsid w:val="00594B3A"/>
    <w:rsid w:val="005B7CFA"/>
    <w:rsid w:val="005E7D06"/>
    <w:rsid w:val="005F4459"/>
    <w:rsid w:val="006018A0"/>
    <w:rsid w:val="00605C2D"/>
    <w:rsid w:val="00666622"/>
    <w:rsid w:val="006725B4"/>
    <w:rsid w:val="0067773D"/>
    <w:rsid w:val="006B5CB2"/>
    <w:rsid w:val="006E1DCC"/>
    <w:rsid w:val="006E28D8"/>
    <w:rsid w:val="006F2C52"/>
    <w:rsid w:val="006F7E30"/>
    <w:rsid w:val="00703E55"/>
    <w:rsid w:val="00707183"/>
    <w:rsid w:val="00712DEF"/>
    <w:rsid w:val="007309C4"/>
    <w:rsid w:val="0074371B"/>
    <w:rsid w:val="00784318"/>
    <w:rsid w:val="00787C16"/>
    <w:rsid w:val="007A3520"/>
    <w:rsid w:val="007A5558"/>
    <w:rsid w:val="007A5BEB"/>
    <w:rsid w:val="007A6659"/>
    <w:rsid w:val="007B2756"/>
    <w:rsid w:val="007B3223"/>
    <w:rsid w:val="007C0196"/>
    <w:rsid w:val="007C663E"/>
    <w:rsid w:val="007C7BB4"/>
    <w:rsid w:val="007E315C"/>
    <w:rsid w:val="008051BD"/>
    <w:rsid w:val="008113B1"/>
    <w:rsid w:val="0082247D"/>
    <w:rsid w:val="00824152"/>
    <w:rsid w:val="0083793B"/>
    <w:rsid w:val="008561CC"/>
    <w:rsid w:val="008720E3"/>
    <w:rsid w:val="00872E52"/>
    <w:rsid w:val="008A4889"/>
    <w:rsid w:val="008B7222"/>
    <w:rsid w:val="008E654B"/>
    <w:rsid w:val="009023D4"/>
    <w:rsid w:val="009114A5"/>
    <w:rsid w:val="00911658"/>
    <w:rsid w:val="00916B79"/>
    <w:rsid w:val="009259ED"/>
    <w:rsid w:val="00932172"/>
    <w:rsid w:val="009408B3"/>
    <w:rsid w:val="0094356F"/>
    <w:rsid w:val="00950C6F"/>
    <w:rsid w:val="009560E4"/>
    <w:rsid w:val="00956450"/>
    <w:rsid w:val="0096165F"/>
    <w:rsid w:val="00964734"/>
    <w:rsid w:val="00966F66"/>
    <w:rsid w:val="0097138C"/>
    <w:rsid w:val="00975530"/>
    <w:rsid w:val="009800B3"/>
    <w:rsid w:val="00984513"/>
    <w:rsid w:val="009A14A8"/>
    <w:rsid w:val="009A25B8"/>
    <w:rsid w:val="009A59CF"/>
    <w:rsid w:val="009D0138"/>
    <w:rsid w:val="009E5958"/>
    <w:rsid w:val="009E7725"/>
    <w:rsid w:val="009F276A"/>
    <w:rsid w:val="00A11487"/>
    <w:rsid w:val="00A32E6B"/>
    <w:rsid w:val="00A32EBE"/>
    <w:rsid w:val="00A44382"/>
    <w:rsid w:val="00A46ECF"/>
    <w:rsid w:val="00A52266"/>
    <w:rsid w:val="00A615E9"/>
    <w:rsid w:val="00A83954"/>
    <w:rsid w:val="00A86944"/>
    <w:rsid w:val="00A905CA"/>
    <w:rsid w:val="00A94175"/>
    <w:rsid w:val="00A96010"/>
    <w:rsid w:val="00AA5D4B"/>
    <w:rsid w:val="00AB69E0"/>
    <w:rsid w:val="00AD0E30"/>
    <w:rsid w:val="00AD423A"/>
    <w:rsid w:val="00AE42E9"/>
    <w:rsid w:val="00AE7FDB"/>
    <w:rsid w:val="00AF25B8"/>
    <w:rsid w:val="00B0095D"/>
    <w:rsid w:val="00B0316A"/>
    <w:rsid w:val="00B03435"/>
    <w:rsid w:val="00B23B2E"/>
    <w:rsid w:val="00B34163"/>
    <w:rsid w:val="00B36774"/>
    <w:rsid w:val="00B419AF"/>
    <w:rsid w:val="00B45ABA"/>
    <w:rsid w:val="00B53E5C"/>
    <w:rsid w:val="00B622B7"/>
    <w:rsid w:val="00B76923"/>
    <w:rsid w:val="00B84184"/>
    <w:rsid w:val="00B866E0"/>
    <w:rsid w:val="00B90E60"/>
    <w:rsid w:val="00B91067"/>
    <w:rsid w:val="00BA5295"/>
    <w:rsid w:val="00BB69D0"/>
    <w:rsid w:val="00BC7166"/>
    <w:rsid w:val="00C01753"/>
    <w:rsid w:val="00C1350D"/>
    <w:rsid w:val="00C254ED"/>
    <w:rsid w:val="00C27569"/>
    <w:rsid w:val="00C65CE8"/>
    <w:rsid w:val="00C82451"/>
    <w:rsid w:val="00C85400"/>
    <w:rsid w:val="00C96520"/>
    <w:rsid w:val="00CA1824"/>
    <w:rsid w:val="00CA2788"/>
    <w:rsid w:val="00CA27C8"/>
    <w:rsid w:val="00CB3DF3"/>
    <w:rsid w:val="00D3470F"/>
    <w:rsid w:val="00D365BD"/>
    <w:rsid w:val="00D37E5C"/>
    <w:rsid w:val="00D5158C"/>
    <w:rsid w:val="00D520E6"/>
    <w:rsid w:val="00D54BC0"/>
    <w:rsid w:val="00D677A3"/>
    <w:rsid w:val="00D67A8A"/>
    <w:rsid w:val="00D7019F"/>
    <w:rsid w:val="00D725C8"/>
    <w:rsid w:val="00D75EAB"/>
    <w:rsid w:val="00DA1699"/>
    <w:rsid w:val="00DA578E"/>
    <w:rsid w:val="00DC26D1"/>
    <w:rsid w:val="00DC5D8D"/>
    <w:rsid w:val="00DF1ECD"/>
    <w:rsid w:val="00E06865"/>
    <w:rsid w:val="00E261D6"/>
    <w:rsid w:val="00E71827"/>
    <w:rsid w:val="00E7627B"/>
    <w:rsid w:val="00E77F85"/>
    <w:rsid w:val="00E9788A"/>
    <w:rsid w:val="00EA2EB7"/>
    <w:rsid w:val="00ED390D"/>
    <w:rsid w:val="00F04254"/>
    <w:rsid w:val="00F07E35"/>
    <w:rsid w:val="00F15B68"/>
    <w:rsid w:val="00F2395E"/>
    <w:rsid w:val="00F378EB"/>
    <w:rsid w:val="00F52D36"/>
    <w:rsid w:val="00F6684D"/>
    <w:rsid w:val="00FA6E5F"/>
    <w:rsid w:val="00FB31E1"/>
    <w:rsid w:val="00FC3976"/>
    <w:rsid w:val="00FC76AD"/>
    <w:rsid w:val="00FC7E89"/>
    <w:rsid w:val="00FD349B"/>
    <w:rsid w:val="00FD4BFB"/>
    <w:rsid w:val="00FE1AE8"/>
    <w:rsid w:val="3D4974CB"/>
    <w:rsid w:val="52186C8F"/>
    <w:rsid w:val="5FE93053"/>
    <w:rsid w:val="68541AE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autoRedefine/>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2"/>
    <w:qFormat/>
    <w:uiPriority w:val="0"/>
    <w:rPr>
      <w:sz w:val="18"/>
      <w:szCs w:val="18"/>
    </w:rPr>
  </w:style>
  <w:style w:type="paragraph" w:styleId="6">
    <w:name w:val="footer"/>
    <w:basedOn w:val="1"/>
    <w:link w:val="14"/>
    <w:autoRedefine/>
    <w:qFormat/>
    <w:uiPriority w:val="0"/>
    <w:pPr>
      <w:tabs>
        <w:tab w:val="center" w:pos="4153"/>
        <w:tab w:val="right" w:pos="8306"/>
      </w:tabs>
      <w:snapToGrid w:val="0"/>
      <w:jc w:val="left"/>
    </w:pPr>
    <w:rPr>
      <w:sz w:val="18"/>
      <w:szCs w:val="18"/>
    </w:rPr>
  </w:style>
  <w:style w:type="paragraph" w:styleId="7">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autoRedefine/>
    <w:qFormat/>
    <w:uiPriority w:val="0"/>
    <w:pPr>
      <w:spacing w:before="100" w:beforeAutospacing="1" w:after="100" w:afterAutospacing="1"/>
      <w:jc w:val="left"/>
    </w:pPr>
    <w:rPr>
      <w:rFonts w:cs="Times New Roman"/>
      <w:kern w:val="0"/>
      <w:sz w:val="24"/>
    </w:rPr>
  </w:style>
  <w:style w:type="character" w:customStyle="1" w:styleId="11">
    <w:name w:val="font112"/>
    <w:basedOn w:val="10"/>
    <w:autoRedefine/>
    <w:qFormat/>
    <w:uiPriority w:val="0"/>
    <w:rPr>
      <w:rFonts w:ascii="仿宋_GB2312" w:eastAsia="仿宋_GB2312" w:cs="仿宋_GB2312"/>
      <w:color w:val="000000"/>
      <w:sz w:val="18"/>
      <w:szCs w:val="18"/>
      <w:u w:val="none"/>
    </w:rPr>
  </w:style>
  <w:style w:type="character" w:customStyle="1" w:styleId="12">
    <w:name w:val="批注框文本 Char"/>
    <w:basedOn w:val="10"/>
    <w:link w:val="5"/>
    <w:uiPriority w:val="0"/>
    <w:rPr>
      <w:rFonts w:ascii="Calibri" w:hAnsi="Calibri" w:cs="Arial"/>
      <w:kern w:val="2"/>
      <w:sz w:val="18"/>
      <w:szCs w:val="18"/>
    </w:rPr>
  </w:style>
  <w:style w:type="character" w:customStyle="1" w:styleId="13">
    <w:name w:val="页眉 Char"/>
    <w:basedOn w:val="10"/>
    <w:link w:val="7"/>
    <w:qFormat/>
    <w:uiPriority w:val="0"/>
    <w:rPr>
      <w:rFonts w:ascii="Calibri" w:hAnsi="Calibri" w:cs="Arial"/>
      <w:kern w:val="2"/>
      <w:sz w:val="18"/>
      <w:szCs w:val="18"/>
    </w:rPr>
  </w:style>
  <w:style w:type="character" w:customStyle="1" w:styleId="14">
    <w:name w:val="页脚 Char"/>
    <w:basedOn w:val="10"/>
    <w:link w:val="6"/>
    <w:qFormat/>
    <w:uiPriority w:val="0"/>
    <w:rPr>
      <w:rFonts w:ascii="Calibri" w:hAnsi="Calibri"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355</Words>
  <Characters>2027</Characters>
  <Lines>16</Lines>
  <Paragraphs>4</Paragraphs>
  <TotalTime>0</TotalTime>
  <ScaleCrop>false</ScaleCrop>
  <LinksUpToDate>false</LinksUpToDate>
  <CharactersWithSpaces>2378</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2023-01-31T01:00:00Z</dcterms:created>
  <dc:creator>Administrator</dc:creator>
  <cp:lastModifiedBy>大地欢歌</cp:lastModifiedBy>
  <cp:lastPrinted>2023-07-14T06:56:00Z</cp:lastPrinted>
  <dcterms:modified xsi:type="dcterms:W3CDTF">2024-02-01T06:02:21Z</dcterms:modified>
  <cp:revision>223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EA99FB605222453DA1E4F7C7FB916DF7</vt:lpwstr>
  </property>
</Properties>
</file>