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762"/>
        <w:gridCol w:w="2467"/>
        <w:gridCol w:w="293"/>
        <w:gridCol w:w="1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762"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2760"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秦皇岛市抚宁区自然资源和规划局</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对未按批准的利用目的和范围利用基础测绘成果或未及时回收或者销毁基础测绘成果及其衍生产品的监管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tcBorders>
              <w:tl2br w:val="nil"/>
              <w:tr2bl w:val="nil"/>
            </w:tcBorders>
            <w:shd w:val="clear" w:color="auto" w:fill="auto"/>
            <w:vAlign w:val="center"/>
          </w:tcPr>
          <w:p>
            <w:pPr>
              <w:jc w:val="center"/>
              <w:rPr>
                <w:rFonts w:ascii="黑体" w:hAnsi="黑体" w:eastAsia="黑体" w:cs="黑体"/>
                <w:color w:val="000000"/>
                <w:kern w:val="0"/>
                <w:sz w:val="18"/>
                <w:szCs w:val="18"/>
              </w:rPr>
            </w:pPr>
            <w:r>
              <w:rPr>
                <w:rFonts w:hint="eastAsia" w:ascii="仿宋_GB2312" w:hAnsi="仿宋_GB2312" w:eastAsia="仿宋_GB2312" w:cs="仿宋_GB2312"/>
                <w:kern w:val="0"/>
                <w:sz w:val="18"/>
                <w:szCs w:val="18"/>
              </w:rPr>
              <w:t>秦皇岛市</w:t>
            </w:r>
            <w:r>
              <w:rPr>
                <w:rFonts w:hint="eastAsia" w:ascii="仿宋_GB2312" w:hAnsi="仿宋_GB2312" w:eastAsia="仿宋_GB2312" w:cs="仿宋_GB2312"/>
                <w:kern w:val="0"/>
                <w:sz w:val="18"/>
                <w:szCs w:val="18"/>
                <w:lang w:eastAsia="zh-CN"/>
              </w:rPr>
              <w:t>抚宁</w:t>
            </w:r>
            <w:r>
              <w:rPr>
                <w:rFonts w:hint="eastAsia" w:ascii="仿宋_GB2312" w:hAnsi="仿宋_GB2312" w:eastAsia="仿宋_GB2312" w:cs="仿宋_GB2312"/>
                <w:kern w:val="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7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Borders>
              <w:tl2br w:val="nil"/>
              <w:tr2bl w:val="nil"/>
            </w:tcBorders>
            <w:shd w:val="clear" w:color="auto" w:fill="auto"/>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r>
              <w:rPr>
                <w:rFonts w:hint="eastAsia" w:ascii="仿宋_GB2312" w:hAnsi="仿宋_GB2312" w:eastAsia="仿宋_GB2312" w:cs="仿宋_GB2312"/>
                <w:kern w:val="0"/>
                <w:sz w:val="18"/>
                <w:szCs w:val="18"/>
              </w:rPr>
              <w:t>《河北省测绘成果管理办法》（2008年12月省政府令〔2008〕16号）第三十六条 违反本办法第二十七条第二项、第五项规定的，由测绘行政主管部门责令限期改正，并处违法所得两倍最高不超过三万元的罚款；没有违法所得的，处一千元以上一万元以下的罚款。</w:t>
            </w:r>
          </w:p>
          <w:p>
            <w:pPr>
              <w:spacing w:line="240" w:lineRule="exact"/>
              <w:ind w:firstLine="360" w:firstLineChars="200"/>
              <w:rPr>
                <w:rFonts w:ascii="仿宋_GB2312" w:eastAsia="仿宋_GB2312" w:cs="黑体"/>
                <w:b/>
                <w:bCs/>
                <w:color w:val="000000"/>
                <w:szCs w:val="21"/>
              </w:rPr>
            </w:pPr>
            <w:r>
              <w:rPr>
                <w:rFonts w:hint="eastAsia" w:ascii="黑体" w:hAnsi="黑体" w:eastAsia="黑体" w:cs="仿宋_GB2312"/>
                <w:kern w:val="0"/>
                <w:sz w:val="18"/>
                <w:szCs w:val="18"/>
              </w:rPr>
              <w:t>【三定规定】</w:t>
            </w:r>
            <w:r>
              <w:rPr>
                <w:rFonts w:hint="eastAsia" w:ascii="仿宋_GB2312" w:eastAsia="仿宋_GB2312" w:cs="仿宋_GB2312"/>
                <w:kern w:val="0"/>
                <w:sz w:val="18"/>
                <w:szCs w:val="18"/>
              </w:rPr>
              <w:t>抚办字﹝2019﹞36号  第三条（十三）负责全区测绘地理信息管理工作。负责基础测绘和测绘行业管理。负责测绘资质资格与信用管理，监督管理地理信息安全和市场秩序。负责地理信息公共服务管理。负责测量标志保护。</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3094" w:type="dxa"/>
            <w:gridSpan w:val="3"/>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46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2224"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启动程序</w:t>
            </w:r>
          </w:p>
        </w:tc>
        <w:tc>
          <w:tcPr>
            <w:tcW w:w="3094"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对违法线索启动行政处罚程序</w:t>
            </w:r>
          </w:p>
        </w:tc>
        <w:tc>
          <w:tcPr>
            <w:tcW w:w="2467"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hAnsi="黑体" w:eastAsia="仿宋_GB2312" w:cs="黑体"/>
                <w:color w:val="000000"/>
                <w:sz w:val="18"/>
                <w:szCs w:val="18"/>
              </w:rPr>
              <w:t>符合立案条件的在10个工作日内予以立案</w:t>
            </w: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调查</w:t>
            </w:r>
          </w:p>
        </w:tc>
        <w:tc>
          <w:tcPr>
            <w:tcW w:w="3094"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进一步开展案件调查</w:t>
            </w:r>
          </w:p>
        </w:tc>
        <w:tc>
          <w:tcPr>
            <w:tcW w:w="2467" w:type="dxa"/>
            <w:vMerge w:val="restart"/>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hAnsi="黑体" w:eastAsia="仿宋_GB2312" w:cs="黑体"/>
                <w:color w:val="000000"/>
                <w:sz w:val="18"/>
                <w:szCs w:val="18"/>
              </w:rPr>
              <w:t>作出行政处罚决定的期限为立案之日起九十日内。案情复杂不能在规定期限内作出行政处罚决定的，报本级自然资源主管部门负责人批准，可以适当延长，但延长期限原则上不超过三十日，案情特别复杂的除外。立案查处过程中不计入前款期限的情形，依照相关法律法规的规定执行。</w:t>
            </w: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决定</w:t>
            </w:r>
          </w:p>
        </w:tc>
        <w:tc>
          <w:tcPr>
            <w:tcW w:w="3094"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作出行政处罚决定</w:t>
            </w:r>
          </w:p>
        </w:tc>
        <w:tc>
          <w:tcPr>
            <w:tcW w:w="2467" w:type="dxa"/>
            <w:vMerge w:val="continue"/>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执行</w:t>
            </w:r>
          </w:p>
        </w:tc>
        <w:tc>
          <w:tcPr>
            <w:tcW w:w="3094"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行政处罚决定的执行</w:t>
            </w:r>
          </w:p>
        </w:tc>
        <w:tc>
          <w:tcPr>
            <w:tcW w:w="2467" w:type="dxa"/>
            <w:vMerge w:val="restart"/>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hAnsi="黑体" w:eastAsia="仿宋_GB2312" w:cs="黑体"/>
                <w:color w:val="000000"/>
                <w:sz w:val="18"/>
                <w:szCs w:val="18"/>
              </w:rPr>
              <w:t>当事人履行被处罚义务的案件7日内结案归档;申请法院强制执行的案件，待法院受理后结案归档。</w:t>
            </w: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黑体" w:eastAsia="黑体" w:cs="黑体"/>
                <w:color w:val="000000"/>
                <w:sz w:val="18"/>
                <w:szCs w:val="18"/>
              </w:rPr>
              <w:t>结案</w:t>
            </w:r>
          </w:p>
        </w:tc>
        <w:tc>
          <w:tcPr>
            <w:tcW w:w="3094" w:type="dxa"/>
            <w:gridSpan w:val="3"/>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结案，行政处罚归档</w:t>
            </w:r>
          </w:p>
        </w:tc>
        <w:tc>
          <w:tcPr>
            <w:tcW w:w="2467" w:type="dxa"/>
            <w:vMerge w:val="continue"/>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p>
        </w:tc>
        <w:tc>
          <w:tcPr>
            <w:tcW w:w="2224" w:type="dxa"/>
            <w:gridSpan w:val="2"/>
            <w:tcBorders>
              <w:tl2br w:val="nil"/>
              <w:tr2bl w:val="nil"/>
            </w:tcBorders>
            <w:shd w:val="clear" w:color="auto" w:fill="auto"/>
            <w:vAlign w:val="center"/>
          </w:tcPr>
          <w:p>
            <w:pPr>
              <w:spacing w:line="240" w:lineRule="exact"/>
              <w:jc w:val="center"/>
              <w:rPr>
                <w:rFonts w:ascii="仿宋_GB2312" w:hAnsi="黑体" w:eastAsia="仿宋_GB2312" w:cs="黑体"/>
                <w:color w:val="000000"/>
                <w:sz w:val="18"/>
                <w:szCs w:val="18"/>
              </w:rPr>
            </w:pPr>
            <w:r>
              <w:rPr>
                <w:rFonts w:hint="eastAsia" w:ascii="仿宋_GB2312" w:eastAsia="仿宋_GB2312" w:cs="仿宋_GB2312"/>
                <w:color w:val="000000"/>
                <w:kern w:val="0"/>
                <w:sz w:val="18"/>
                <w:szCs w:val="18"/>
              </w:rPr>
              <w:t>地理信息、执法</w:t>
            </w:r>
            <w:r>
              <w:rPr>
                <w:rFonts w:hint="eastAsia" w:ascii="仿宋_GB2312" w:eastAsia="仿宋_GB2312" w:cs="仿宋_GB2312"/>
                <w:color w:val="000000"/>
                <w:kern w:val="0"/>
                <w:sz w:val="18"/>
                <w:szCs w:val="18"/>
                <w:lang w:eastAsia="zh-CN"/>
              </w:rPr>
              <w:t>监察大</w:t>
            </w:r>
            <w:r>
              <w:rPr>
                <w:rFonts w:hint="eastAsia" w:ascii="仿宋_GB2312" w:eastAsia="仿宋_GB2312"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05"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1.没有法律或者事实依据实施行政处罚的；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2.指派不具备行政执法资格实施行政处罚的；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3.擅自设立处罚种类或者改变处罚幅度、范围的；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4.违反法定的行政处罚程序的；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5.委托不合法主体执法或二次委托执法的；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6.因处罚不当给当事人造成损失的；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7.执法人员玩忽职守，对应当予以制止和处罚的违法行为不予制止、处罚，致使公民、法人或者其他组织的合法权益、公共利益和社会秩序遭受损害的；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8.符合听证条件、行政管理相对人要求听证，应予组织听证而不组织听证的；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9.在行政处罚过程中发生腐败行为的；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10.应当依法立案查处，无正当理由未依法立案查处的；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11.在制止以及查处违法案件中受阻，依照有关规定应当向本级人民政府或者上级国土资源主管部门报告而未报告的；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12.应当依法申请强制执行、提出行政处分建议或者移送有权机关追究党纪、政纪或者刑事责任，而未依法申请强制执行、提出行政处分建议、移送有权机关的；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13.其他违反法律法规规章规定的行为。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_GB2312" w:eastAsia="仿宋_GB2312" w:cs="仿宋_GB2312"/>
                <w:color w:val="000000"/>
                <w:kern w:val="0"/>
                <w:sz w:val="18"/>
                <w:szCs w:val="18"/>
              </w:rPr>
              <w:t>1.</w:t>
            </w:r>
            <w:r>
              <w:rPr>
                <w:rFonts w:hint="eastAsia" w:ascii="仿宋" w:hAnsi="仿宋" w:eastAsia="仿宋" w:cs="黑体"/>
                <w:color w:val="000000"/>
                <w:kern w:val="0"/>
                <w:sz w:val="18"/>
                <w:szCs w:val="18"/>
              </w:rPr>
              <w:t xml:space="preserve">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spacing w:line="240" w:lineRule="exact"/>
              <w:jc w:val="left"/>
              <w:textAlignment w:val="center"/>
              <w:rPr>
                <w:rFonts w:ascii="黑体" w:eastAsia="黑体"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 w:val="18"/>
                <w:szCs w:val="18"/>
              </w:rPr>
              <w:t>公民、法人或者其他组织认为具体行政行为侵犯其合法权益，向行政机关提出</w:t>
            </w:r>
            <w:r>
              <w:fldChar w:fldCharType="begin"/>
            </w:r>
            <w:r>
              <w:instrText xml:space="preserve"> HYPERLINK "https://www.66law.cn/special/xzfy/" \t "https://www.66law.cn/tiaoli/_blank" \o "行政复议申请" </w:instrText>
            </w:r>
            <w:r>
              <w:fldChar w:fldCharType="separate"/>
            </w:r>
            <w:r>
              <w:rPr>
                <w:rFonts w:ascii="仿宋_GB2312" w:eastAsia="仿宋_GB2312" w:cs="仿宋_GB2312"/>
                <w:color w:val="000000"/>
                <w:kern w:val="0"/>
                <w:sz w:val="18"/>
                <w:szCs w:val="18"/>
              </w:rPr>
              <w:t>行政复议申请</w:t>
            </w:r>
            <w:r>
              <w:rPr>
                <w:rFonts w:ascii="仿宋_GB2312" w:eastAsia="仿宋_GB2312" w:cs="仿宋_GB2312"/>
                <w:color w:val="000000"/>
                <w:kern w:val="0"/>
                <w:sz w:val="18"/>
                <w:szCs w:val="18"/>
              </w:rPr>
              <w:fldChar w:fldCharType="end"/>
            </w:r>
            <w:r>
              <w:rPr>
                <w:rFonts w:ascii="仿宋_GB2312" w:eastAsia="仿宋_GB2312" w:cs="仿宋_GB2312"/>
                <w:color w:val="000000"/>
                <w:kern w:val="0"/>
                <w:sz w:val="18"/>
                <w:szCs w:val="18"/>
              </w:rPr>
              <w:t>，行政机关受理行政复议申请、作出行政复议决定</w:t>
            </w:r>
            <w:r>
              <w:rPr>
                <w:rFonts w:hint="eastAsia" w:ascii="仿宋_GB2312" w:eastAsia="仿宋_GB2312" w:cs="仿宋_GB2312"/>
                <w:color w:val="000000"/>
                <w:kern w:val="0"/>
                <w:sz w:val="18"/>
                <w:szCs w:val="1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pPr>
    </w:p>
    <w:sectPr>
      <w:pgSz w:w="11906" w:h="16838"/>
      <w:pgMar w:top="680" w:right="1797" w:bottom="567"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481109"/>
    <w:rsid w:val="00033886"/>
    <w:rsid w:val="002415EB"/>
    <w:rsid w:val="004244E8"/>
    <w:rsid w:val="00481109"/>
    <w:rsid w:val="004E15B5"/>
    <w:rsid w:val="00BB6A98"/>
    <w:rsid w:val="00E15DC7"/>
    <w:rsid w:val="00E4248F"/>
    <w:rsid w:val="00FB0AF2"/>
    <w:rsid w:val="00FC1291"/>
    <w:rsid w:val="112C1F79"/>
    <w:rsid w:val="128A2747"/>
    <w:rsid w:val="1AAC0209"/>
    <w:rsid w:val="2078172C"/>
    <w:rsid w:val="24FA6740"/>
    <w:rsid w:val="26AA4E16"/>
    <w:rsid w:val="3B3E0B6A"/>
    <w:rsid w:val="402E688F"/>
    <w:rsid w:val="4D1F45CA"/>
    <w:rsid w:val="4F4C025F"/>
    <w:rsid w:val="5E963497"/>
    <w:rsid w:val="5FE80968"/>
    <w:rsid w:val="6D0B1414"/>
    <w:rsid w:val="774E334F"/>
    <w:rsid w:val="7A016F27"/>
    <w:rsid w:val="7B9C1180"/>
    <w:rsid w:val="7CB63E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Calibri" w:hAnsi="Calibri" w:eastAsia="宋体" w:cs="Arial"/>
      <w:kern w:val="2"/>
      <w:sz w:val="18"/>
      <w:szCs w:val="18"/>
    </w:rPr>
  </w:style>
  <w:style w:type="character" w:customStyle="1" w:styleId="7">
    <w:name w:val="页脚 Char"/>
    <w:basedOn w:val="5"/>
    <w:link w:val="2"/>
    <w:qFormat/>
    <w:uiPriority w:val="0"/>
    <w:rPr>
      <w:rFonts w:ascii="Calibri" w:hAnsi="Calibri" w:eastAsia="宋体"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Pages>
  <Words>221</Words>
  <Characters>1266</Characters>
  <Lines>10</Lines>
  <Paragraphs>2</Paragraphs>
  <TotalTime>0</TotalTime>
  <ScaleCrop>false</ScaleCrop>
  <LinksUpToDate>false</LinksUpToDate>
  <CharactersWithSpaces>1485</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2023-10-17T01:48:00Z</dcterms:created>
  <dc:creator>Administrator</dc:creator>
  <cp:lastModifiedBy>大地欢歌</cp:lastModifiedBy>
  <dcterms:modified xsi:type="dcterms:W3CDTF">2023-12-20T10:00:35Z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873A56A35D314477AAD733C283837120_13</vt:lpwstr>
  </property>
</Properties>
</file>