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93"/>
        <w:gridCol w:w="425"/>
        <w:gridCol w:w="1417"/>
        <w:gridCol w:w="2127"/>
        <w:gridCol w:w="1131"/>
        <w:gridCol w:w="286"/>
        <w:gridCol w:w="1197"/>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51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41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2127" w:type="dxa"/>
            <w:tcBorders>
              <w:top w:val="single" w:color="auto" w:sz="4" w:space="0"/>
              <w:right w:val="single" w:color="auto" w:sz="4" w:space="0"/>
              <w:tl2br w:val="nil"/>
              <w:tr2bl w:val="nil"/>
            </w:tcBorders>
            <w:shd w:val="clear" w:color="auto" w:fill="auto"/>
            <w:vAlign w:val="center"/>
          </w:tcPr>
          <w:p>
            <w:pPr>
              <w:widowControl/>
              <w:jc w:val="center"/>
              <w:textAlignment w:val="center"/>
              <w:rPr>
                <w:rFonts w:ascii="仿宋" w:hAnsi="仿宋" w:eastAsia="仿宋" w:cs="黑体"/>
                <w:bCs/>
                <w:color w:val="000000"/>
                <w:szCs w:val="21"/>
              </w:rPr>
            </w:pPr>
            <w:r>
              <w:rPr>
                <w:rFonts w:hint="eastAsia" w:ascii="仿宋" w:hAnsi="仿宋" w:eastAsia="仿宋" w:cs="黑体"/>
                <w:bCs/>
                <w:color w:val="000000"/>
                <w:szCs w:val="21"/>
              </w:rPr>
              <w:t>行政处罚</w:t>
            </w:r>
          </w:p>
        </w:tc>
        <w:tc>
          <w:tcPr>
            <w:tcW w:w="1417" w:type="dxa"/>
            <w:gridSpan w:val="2"/>
            <w:tcBorders>
              <w:top w:val="single" w:color="auto" w:sz="4" w:space="0"/>
              <w:left w:val="single" w:color="auto" w:sz="4" w:space="0"/>
              <w:right w:val="single" w:color="auto" w:sz="4" w:space="0"/>
              <w:tl2br w:val="nil"/>
              <w:tr2bl w:val="nil"/>
            </w:tcBorders>
            <w:shd w:val="clear" w:color="auto" w:fill="auto"/>
            <w:vAlign w:val="center"/>
          </w:tcPr>
          <w:p>
            <w:pPr>
              <w:jc w:val="center"/>
              <w:textAlignment w:val="center"/>
              <w:rPr>
                <w:rFonts w:ascii="仿宋" w:hAnsi="仿宋" w:eastAsia="仿宋" w:cs="黑体"/>
                <w:bCs/>
                <w:color w:val="000000"/>
                <w:szCs w:val="21"/>
              </w:rPr>
            </w:pPr>
            <w:r>
              <w:rPr>
                <w:rFonts w:hint="eastAsia" w:ascii="黑体" w:eastAsia="黑体" w:cs="黑体"/>
                <w:b/>
                <w:bCs/>
                <w:color w:val="000000"/>
                <w:kern w:val="0"/>
                <w:szCs w:val="21"/>
              </w:rPr>
              <w:t>实施主体</w:t>
            </w:r>
          </w:p>
        </w:tc>
        <w:tc>
          <w:tcPr>
            <w:tcW w:w="2356" w:type="dxa"/>
            <w:gridSpan w:val="2"/>
            <w:tcBorders>
              <w:top w:val="single" w:color="auto" w:sz="4" w:space="0"/>
              <w:left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 w:hAnsi="仿宋" w:eastAsia="仿宋" w:cs="黑体"/>
                <w:bCs/>
                <w:color w:val="000000"/>
                <w:szCs w:val="21"/>
                <w:lang w:eastAsia="zh-CN"/>
              </w:rPr>
              <w:t>区资源</w:t>
            </w:r>
            <w:r>
              <w:rPr>
                <w:rFonts w:hint="eastAsia" w:ascii="仿宋" w:hAnsi="仿宋" w:eastAsia="仿宋" w:cs="黑体"/>
                <w:bCs/>
                <w:color w:val="000000"/>
                <w:szCs w:val="21"/>
              </w:rPr>
              <w:t>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bottom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_GB2312" w:hAnsi="仿宋_GB2312" w:eastAsia="仿宋_GB2312" w:cs="仿宋_GB2312"/>
                <w:color w:val="000000"/>
                <w:kern w:val="0"/>
                <w:sz w:val="18"/>
                <w:szCs w:val="18"/>
              </w:rPr>
              <w:t>对有关当事人拒不归还非法批准、使用的土地的行政处罚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3" w:type="dxa"/>
            <w:tcBorders>
              <w:tl2br w:val="nil"/>
              <w:tr2bl w:val="nil"/>
            </w:tcBorders>
            <w:shd w:val="clear" w:color="auto" w:fill="auto"/>
            <w:vAlign w:val="center"/>
          </w:tcPr>
          <w:p>
            <w:pPr>
              <w:widowControl/>
              <w:ind w:firstLine="207" w:firstLineChars="98"/>
              <w:textAlignment w:val="center"/>
              <w:rPr>
                <w:rFonts w:ascii="黑体" w:eastAsia="黑体" w:cs="黑体"/>
                <w:b/>
                <w:bCs/>
                <w:color w:val="000000"/>
                <w:szCs w:val="21"/>
              </w:rPr>
            </w:pPr>
            <w:r>
              <w:rPr>
                <w:rFonts w:hint="eastAsia" w:ascii="黑体" w:eastAsia="黑体" w:cs="黑体"/>
                <w:b/>
                <w:bCs/>
                <w:color w:val="000000"/>
                <w:szCs w:val="21"/>
              </w:rPr>
              <w:t>管辖范围</w:t>
            </w:r>
          </w:p>
        </w:tc>
        <w:tc>
          <w:tcPr>
            <w:tcW w:w="8835" w:type="dxa"/>
            <w:gridSpan w:val="8"/>
            <w:tcBorders>
              <w:tl2br w:val="nil"/>
              <w:tr2bl w:val="nil"/>
            </w:tcBorders>
            <w:shd w:val="clear" w:color="auto" w:fill="auto"/>
            <w:vAlign w:val="center"/>
          </w:tcPr>
          <w:p>
            <w:pPr>
              <w:spacing w:line="240" w:lineRule="exact"/>
              <w:ind w:firstLine="345"/>
              <w:jc w:val="center"/>
              <w:rPr>
                <w:rFonts w:ascii="仿宋" w:hAnsi="仿宋" w:eastAsia="仿宋" w:cs="黑体"/>
                <w:bCs/>
                <w:color w:val="000000"/>
                <w:sz w:val="18"/>
                <w:szCs w:val="18"/>
              </w:rPr>
            </w:pPr>
            <w:r>
              <w:rPr>
                <w:rFonts w:hint="eastAsia" w:ascii="仿宋" w:hAnsi="仿宋" w:eastAsia="仿宋" w:cs="黑体"/>
                <w:bCs/>
                <w:color w:val="000000"/>
                <w:sz w:val="18"/>
                <w:szCs w:val="18"/>
              </w:rPr>
              <w:t>秦皇岛市</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76" w:hRule="atLeast"/>
          <w:jc w:val="center"/>
        </w:trPr>
        <w:tc>
          <w:tcPr>
            <w:tcW w:w="1463" w:type="dxa"/>
            <w:tcBorders>
              <w:tl2br w:val="nil"/>
              <w:tr2bl w:val="nil"/>
            </w:tcBorders>
            <w:shd w:val="clear" w:color="auto" w:fill="auto"/>
            <w:vAlign w:val="center"/>
          </w:tcPr>
          <w:p>
            <w:pPr>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pPr>
            <w:r>
              <w:rPr>
                <w:rFonts w:hint="eastAsia"/>
              </w:rPr>
              <w:t>【</w:t>
            </w:r>
            <w:r>
              <w:rPr>
                <w:rFonts w:hint="eastAsia"/>
                <w:b/>
              </w:rPr>
              <w:t>法律法规</w:t>
            </w:r>
            <w:r>
              <w:rPr>
                <w:rFonts w:hint="eastAsia"/>
              </w:rPr>
              <w:t>】</w:t>
            </w:r>
          </w:p>
          <w:p>
            <w:pPr>
              <w:spacing w:line="240" w:lineRule="exact"/>
              <w:ind w:firstLine="345"/>
              <w:jc w:val="left"/>
            </w:pPr>
            <w:r>
              <w:rPr>
                <w:rFonts w:hint="eastAsia" w:ascii="仿宋_GB2312" w:hAnsi="仿宋_GB2312" w:eastAsia="仿宋_GB2312" w:cs="仿宋_GB2312"/>
                <w:color w:val="000000"/>
                <w:kern w:val="0"/>
                <w:sz w:val="16"/>
                <w:szCs w:val="16"/>
              </w:rPr>
              <w:t>1.《中华人民共和国土地管理法》第七十七条 未经批准或者采取欺骗手段骗取批准，非法占用土地的，由县级以上人民政府自然资源主管部门责令退还非法占用的土地，对违反土地利用总体规划擅自将农用地改为建设用地的，限期拆除在非法占用的土地上新建的建筑物和其他设施，恢复土地原状，对符合土地利用总体规划的，没收在非法占用的土地上新建的建筑物和其他设施，可以并处罚款;对非法占用土地单位的直接负责的主管人员和其他直接责任人员，依法给予处分;构成犯罪的，依法追究刑事责任。超过批准的数量占用土地，多占的土地以非法占用土地论处。第七十九条 无权批准征收、使用土地的单位或者个人非法批准占用土地的，超越批准权限非法批准占用土地的，不按照土地利用总体规划确定的用途批准用地的，或者违反法律规定的程序批准占用、征收土地的，其批准文件无效，对非法批准征收、使用土地的直接负责的主管人员和其他直接责任人员，依法给予处分;构成犯罪的，依法追究刑事责任。非法批准、使用的土地应当收回，有关当事人拒不归还的，以非法占用土地论处。非法批准征收、使用土地，对当事人造成损失的，依法应当承担赔偿责任。</w:t>
            </w:r>
            <w:r>
              <w:rPr>
                <w:rFonts w:hint="eastAsia" w:ascii="仿宋_GB2312" w:hAnsi="仿宋_GB2312" w:eastAsia="仿宋_GB2312" w:cs="仿宋_GB2312"/>
                <w:color w:val="000000"/>
                <w:kern w:val="0"/>
                <w:sz w:val="16"/>
                <w:szCs w:val="16"/>
              </w:rPr>
              <w:br w:type="textWrapping"/>
            </w:r>
            <w:r>
              <w:rPr>
                <w:rFonts w:hint="eastAsia" w:ascii="仿宋_GB2312" w:hAnsi="仿宋_GB2312" w:eastAsia="仿宋_GB2312" w:cs="仿宋_GB2312"/>
                <w:color w:val="000000"/>
                <w:kern w:val="0"/>
                <w:sz w:val="16"/>
                <w:szCs w:val="16"/>
              </w:rPr>
              <w:t xml:space="preserve">   2.《中华人民共和国土地管理法实施条例》第五十七条第一款 依照《</w:t>
            </w:r>
            <w:r>
              <w:rPr>
                <w:rFonts w:hint="eastAsia" w:ascii="仿宋_GB2312" w:hAnsi="仿宋_GB2312" w:eastAsia="仿宋_GB2312" w:cs="仿宋_GB2312"/>
                <w:color w:val="000000"/>
                <w:kern w:val="0"/>
                <w:sz w:val="16"/>
                <w:szCs w:val="16"/>
                <w:lang w:val="en-US" w:eastAsia="zh-CN"/>
              </w:rPr>
              <w:t>中华人民共和国</w:t>
            </w:r>
            <w:bookmarkStart w:id="0" w:name="_GoBack"/>
            <w:bookmarkEnd w:id="0"/>
            <w:r>
              <w:rPr>
                <w:rFonts w:hint="eastAsia" w:ascii="仿宋_GB2312" w:hAnsi="仿宋_GB2312" w:eastAsia="仿宋_GB2312" w:cs="仿宋_GB2312"/>
                <w:color w:val="000000"/>
                <w:kern w:val="0"/>
                <w:sz w:val="16"/>
                <w:szCs w:val="16"/>
              </w:rPr>
              <w:t>土地管理法》第七十七条的规定处以罚款的，罚款额为非法占用土地每平方米100元以上1000元以下。第六十二条 违反土地管理法律、法规规定，阻扰国家建设征收土地的，由县级以上人民政府责令交出土地；拒不交出土地的，依法申请人民法院强制执行。</w:t>
            </w:r>
            <w:r>
              <w:rPr>
                <w:rFonts w:hint="eastAsia" w:ascii="仿宋_GB2312" w:hAnsi="仿宋_GB2312" w:eastAsia="仿宋_GB2312" w:cs="仿宋_GB2312"/>
                <w:color w:val="000000"/>
                <w:kern w:val="0"/>
                <w:sz w:val="18"/>
                <w:szCs w:val="18"/>
              </w:rPr>
              <w:br w:type="textWrapping"/>
            </w:r>
            <w:r>
              <w:rPr>
                <w:rFonts w:hint="eastAsia" w:ascii="仿宋" w:hAnsi="仿宋" w:eastAsia="仿宋" w:cs="仿宋_GB2312"/>
                <w:color w:val="000000"/>
                <w:kern w:val="0"/>
                <w:sz w:val="18"/>
                <w:szCs w:val="18"/>
              </w:rPr>
              <w:t>【</w:t>
            </w:r>
            <w:r>
              <w:rPr>
                <w:rFonts w:hint="eastAsia" w:ascii="黑体" w:eastAsia="黑体" w:cs="黑体"/>
                <w:b/>
                <w:bCs/>
                <w:color w:val="000000"/>
                <w:kern w:val="0"/>
                <w:szCs w:val="21"/>
              </w:rPr>
              <w:t>三定规定】</w:t>
            </w: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97"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9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100" w:type="dxa"/>
            <w:gridSpan w:val="4"/>
            <w:tcBorders>
              <w:right w:val="single" w:color="auto" w:sz="4" w:space="0"/>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483" w:type="dxa"/>
            <w:gridSpan w:val="2"/>
            <w:tcBorders>
              <w:left w:val="single" w:color="auto" w:sz="4" w:space="0"/>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76"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jc w:val="center"/>
              <w:rPr>
                <w:rFonts w:ascii="黑体" w:hAnsi="黑体" w:eastAsia="黑体" w:cs="黑体"/>
                <w:b/>
                <w:color w:val="000000"/>
                <w:sz w:val="18"/>
                <w:szCs w:val="18"/>
              </w:rPr>
            </w:pPr>
            <w:r>
              <w:rPr>
                <w:rFonts w:hint="eastAsia" w:ascii="黑体" w:hAnsi="黑体" w:eastAsia="黑体" w:cs="黑体"/>
                <w:b/>
                <w:color w:val="000000"/>
                <w:sz w:val="18"/>
                <w:szCs w:val="18"/>
              </w:rPr>
              <w:t>立案</w:t>
            </w:r>
          </w:p>
        </w:tc>
        <w:tc>
          <w:tcPr>
            <w:tcW w:w="5100" w:type="dxa"/>
            <w:gridSpan w:val="4"/>
            <w:tcBorders>
              <w:righ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1、</w:t>
            </w:r>
            <w:r>
              <w:rPr>
                <w:rFonts w:ascii="仿宋" w:hAnsi="仿宋" w:eastAsia="仿宋" w:cs="楷体_GB2312"/>
                <w:color w:val="333333"/>
                <w:sz w:val="18"/>
                <w:szCs w:val="18"/>
                <w:shd w:val="clear" w:color="auto" w:fill="FFFFFF"/>
              </w:rPr>
              <w:t>核查与制止</w:t>
            </w:r>
            <w:r>
              <w:rPr>
                <w:rFonts w:hint="eastAsia" w:ascii="仿宋" w:hAnsi="仿宋" w:eastAsia="仿宋" w:cs="楷体_GB2312"/>
                <w:color w:val="333333"/>
                <w:sz w:val="18"/>
                <w:szCs w:val="18"/>
                <w:shd w:val="clear" w:color="auto" w:fill="FFFFFF"/>
              </w:rPr>
              <w:t>。</w:t>
            </w:r>
            <w:r>
              <w:rPr>
                <w:rFonts w:hint="eastAsia" w:ascii="仿宋" w:hAnsi="仿宋" w:eastAsia="仿宋" w:cs="宋体"/>
                <w:color w:val="333333"/>
                <w:sz w:val="18"/>
                <w:szCs w:val="18"/>
                <w:shd w:val="clear" w:color="auto" w:fill="FFFFFF"/>
              </w:rPr>
              <w:t>2、下达《责令停止违法行为通知书》。3、填写《立案（不予立案）呈批表》，报自然资源主管部门负责人审批，符合立案条件的在十个工作日内予以立案。</w:t>
            </w:r>
          </w:p>
        </w:tc>
        <w:tc>
          <w:tcPr>
            <w:tcW w:w="1483" w:type="dxa"/>
            <w:gridSpan w:val="2"/>
            <w:tcBorders>
              <w:lef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符合立案条件的在10个工作日内予以立案</w:t>
            </w: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jc w:val="center"/>
              <w:rPr>
                <w:rFonts w:ascii="黑体" w:hAnsi="黑体" w:eastAsia="黑体" w:cs="黑体"/>
                <w:b/>
                <w:color w:val="000000"/>
                <w:sz w:val="18"/>
                <w:szCs w:val="18"/>
              </w:rPr>
            </w:pPr>
            <w:r>
              <w:rPr>
                <w:rFonts w:hint="eastAsia" w:ascii="黑体" w:hAnsi="黑体" w:eastAsia="黑体" w:cs="黑体"/>
                <w:b/>
                <w:color w:val="000000"/>
                <w:sz w:val="18"/>
                <w:szCs w:val="18"/>
              </w:rPr>
              <w:t>调查取证</w:t>
            </w:r>
          </w:p>
        </w:tc>
        <w:tc>
          <w:tcPr>
            <w:tcW w:w="510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1、下达</w:t>
            </w:r>
            <w:r>
              <w:rPr>
                <w:rFonts w:hint="eastAsia" w:ascii="仿宋" w:hAnsi="仿宋" w:eastAsia="仿宋" w:cs="宋体"/>
                <w:color w:val="333333"/>
                <w:sz w:val="18"/>
                <w:szCs w:val="18"/>
                <w:shd w:val="clear" w:color="auto" w:fill="FFFFFF"/>
              </w:rPr>
              <w:t>《接受调查通知书》。2、</w:t>
            </w:r>
            <w:r>
              <w:rPr>
                <w:rFonts w:ascii="仿宋" w:hAnsi="仿宋" w:eastAsia="仿宋" w:cs="楷体_GB2312"/>
                <w:color w:val="333333"/>
                <w:sz w:val="18"/>
                <w:szCs w:val="18"/>
                <w:shd w:val="clear" w:color="auto" w:fill="FFFFFF"/>
              </w:rPr>
              <w:t>调查实施与证据收集</w:t>
            </w:r>
            <w:r>
              <w:rPr>
                <w:rFonts w:hint="eastAsia" w:ascii="仿宋" w:hAnsi="仿宋" w:eastAsia="仿宋" w:cs="楷体_GB2312"/>
                <w:color w:val="333333"/>
                <w:sz w:val="18"/>
                <w:szCs w:val="18"/>
                <w:shd w:val="clear" w:color="auto" w:fill="FFFFFF"/>
              </w:rPr>
              <w:t>(文字和影像证据)。3、</w:t>
            </w:r>
            <w:r>
              <w:rPr>
                <w:rFonts w:hint="eastAsia" w:ascii="仿宋" w:hAnsi="仿宋" w:eastAsia="仿宋" w:cs="宋体"/>
                <w:color w:val="333333"/>
                <w:sz w:val="18"/>
                <w:szCs w:val="18"/>
                <w:shd w:val="clear" w:color="auto" w:fill="FFFFFF"/>
              </w:rPr>
              <w:t>制作《现场勘验笔录》及委托有关机构鉴定.4、采取</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。5、</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。6、</w:t>
            </w:r>
            <w:r>
              <w:rPr>
                <w:rFonts w:hint="eastAsia" w:ascii="仿宋" w:hAnsi="仿宋" w:eastAsia="仿宋" w:cs="宋体"/>
                <w:color w:val="333333"/>
                <w:sz w:val="18"/>
                <w:szCs w:val="18"/>
                <w:shd w:val="clear" w:color="auto" w:fill="FFFFFF"/>
              </w:rPr>
              <w:t>下达《责令改正违法行为通知书》。</w:t>
            </w:r>
          </w:p>
        </w:tc>
        <w:tc>
          <w:tcPr>
            <w:tcW w:w="148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黑体"/>
                <w:color w:val="000000"/>
                <w:sz w:val="18"/>
                <w:szCs w:val="18"/>
              </w:rPr>
              <w:t>90日内作出处罚决定</w:t>
            </w: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72"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案情分析  与调查报  告起草</w:t>
            </w:r>
          </w:p>
        </w:tc>
        <w:tc>
          <w:tcPr>
            <w:tcW w:w="510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w:t>
            </w:r>
            <w:r>
              <w:rPr>
                <w:rFonts w:ascii="仿宋" w:hAnsi="仿宋" w:eastAsia="仿宋" w:cs="楷体_GB2312"/>
                <w:color w:val="333333"/>
                <w:sz w:val="18"/>
                <w:szCs w:val="18"/>
                <w:shd w:val="clear" w:color="auto" w:fill="FFFFFF"/>
              </w:rPr>
              <w:t>证据认定</w:t>
            </w:r>
            <w:r>
              <w:rPr>
                <w:rFonts w:hint="eastAsia" w:ascii="仿宋" w:hAnsi="仿宋" w:eastAsia="仿宋" w:cs="楷体_GB2312"/>
                <w:color w:val="333333"/>
                <w:sz w:val="18"/>
                <w:szCs w:val="18"/>
                <w:shd w:val="clear" w:color="auto" w:fill="FFFFFF"/>
              </w:rPr>
              <w:t>。2、</w:t>
            </w:r>
            <w:r>
              <w:rPr>
                <w:rFonts w:ascii="仿宋" w:hAnsi="仿宋" w:eastAsia="仿宋" w:cs="楷体_GB2312"/>
                <w:color w:val="333333"/>
                <w:sz w:val="18"/>
                <w:szCs w:val="18"/>
                <w:shd w:val="clear" w:color="auto" w:fill="FFFFFF"/>
              </w:rPr>
              <w:t>事实认定</w:t>
            </w:r>
            <w:r>
              <w:rPr>
                <w:rFonts w:hint="eastAsia" w:ascii="仿宋" w:hAnsi="仿宋" w:eastAsia="仿宋" w:cs="楷体_GB2312"/>
                <w:color w:val="333333"/>
                <w:sz w:val="18"/>
                <w:szCs w:val="18"/>
                <w:shd w:val="clear" w:color="auto" w:fill="FFFFFF"/>
              </w:rPr>
              <w:t>。3、</w:t>
            </w:r>
            <w:r>
              <w:rPr>
                <w:rFonts w:ascii="仿宋" w:hAnsi="仿宋" w:eastAsia="仿宋" w:cs="楷体_GB2312"/>
                <w:color w:val="333333"/>
                <w:sz w:val="18"/>
                <w:szCs w:val="18"/>
                <w:shd w:val="clear" w:color="auto" w:fill="FFFFFF"/>
              </w:rPr>
              <w:t>法律适用和处理建议</w:t>
            </w:r>
            <w:r>
              <w:rPr>
                <w:rFonts w:hint="eastAsia" w:ascii="仿宋" w:hAnsi="仿宋" w:eastAsia="仿宋" w:cs="楷体_GB2312"/>
                <w:color w:val="333333"/>
                <w:sz w:val="18"/>
                <w:szCs w:val="18"/>
                <w:shd w:val="clear" w:color="auto" w:fill="FFFFFF"/>
              </w:rPr>
              <w:t>。4、</w:t>
            </w:r>
            <w:r>
              <w:rPr>
                <w:rFonts w:hint="eastAsia" w:ascii="仿宋" w:hAnsi="仿宋" w:eastAsia="仿宋" w:cs="宋体"/>
                <w:color w:val="333333"/>
                <w:sz w:val="18"/>
                <w:szCs w:val="18"/>
                <w:shd w:val="clear" w:color="auto" w:fill="FFFFFF"/>
              </w:rPr>
              <w:t>起草《违法案件调查报告》。</w:t>
            </w:r>
          </w:p>
        </w:tc>
        <w:tc>
          <w:tcPr>
            <w:tcW w:w="148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lang w:val="en-US" w:eastAsia="zh-CN" w:bidi="ar-SA"/>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48"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案件</w:t>
            </w:r>
            <w:r>
              <w:rPr>
                <w:rFonts w:hint="eastAsia" w:ascii="黑体" w:hAnsi="黑体" w:eastAsia="黑体" w:cs="宋体"/>
                <w:b/>
                <w:color w:val="333333"/>
                <w:sz w:val="18"/>
                <w:szCs w:val="18"/>
                <w:shd w:val="clear" w:color="auto" w:fill="FFFFFF"/>
                <w:lang w:eastAsia="zh-CN"/>
              </w:rPr>
              <w:t>法制审核</w:t>
            </w:r>
          </w:p>
        </w:tc>
        <w:tc>
          <w:tcPr>
            <w:tcW w:w="5100" w:type="dxa"/>
            <w:gridSpan w:val="4"/>
            <w:tcBorders>
              <w:right w:val="single" w:color="auto" w:sz="4" w:space="0"/>
              <w:tl2br w:val="nil"/>
              <w:tr2bl w:val="nil"/>
            </w:tcBorders>
            <w:shd w:val="clear" w:color="auto" w:fill="auto"/>
            <w:vAlign w:val="center"/>
          </w:tcPr>
          <w:p>
            <w:pPr>
              <w:spacing w:line="240" w:lineRule="exact"/>
              <w:ind w:firstLine="360" w:firstLineChars="200"/>
              <w:rPr>
                <w:rFonts w:ascii="仿宋" w:hAnsi="仿宋" w:eastAsia="仿宋" w:cs="仿宋_GB2312"/>
                <w:color w:val="000000"/>
                <w:kern w:val="0"/>
                <w:sz w:val="18"/>
                <w:szCs w:val="18"/>
              </w:rPr>
            </w:pPr>
            <w:r>
              <w:rPr>
                <w:rFonts w:hint="eastAsia" w:ascii="仿宋" w:hAnsi="仿宋" w:eastAsia="仿宋" w:cs="宋体"/>
                <w:color w:val="333333"/>
                <w:sz w:val="18"/>
                <w:szCs w:val="18"/>
                <w:shd w:val="clear" w:color="auto" w:fill="FFFFFF"/>
              </w:rPr>
              <w:t>承办人员提交《违法案件调查报告》后，承办机构</w:t>
            </w:r>
            <w:r>
              <w:rPr>
                <w:rFonts w:hint="eastAsia" w:ascii="仿宋" w:hAnsi="仿宋" w:eastAsia="仿宋" w:cs="宋体"/>
                <w:color w:val="333333"/>
                <w:sz w:val="18"/>
                <w:szCs w:val="18"/>
                <w:shd w:val="clear" w:color="auto" w:fill="FFFFFF"/>
                <w:lang w:eastAsia="zh-CN"/>
              </w:rPr>
              <w:t>提请政策法规</w:t>
            </w:r>
            <w:r>
              <w:rPr>
                <w:rFonts w:hint="eastAsia" w:ascii="仿宋" w:hAnsi="仿宋" w:eastAsia="仿宋" w:cs="宋体"/>
                <w:color w:val="333333"/>
                <w:sz w:val="18"/>
                <w:szCs w:val="18"/>
                <w:shd w:val="clear" w:color="auto" w:fill="FFFFFF"/>
              </w:rPr>
              <w:t>对案件调查报告和证据等相关材料进行审理。</w:t>
            </w:r>
            <w:r>
              <w:rPr>
                <w:rFonts w:hint="eastAsia" w:ascii="仿宋" w:hAnsi="仿宋" w:eastAsia="仿宋" w:cs="宋体"/>
                <w:color w:val="333333"/>
                <w:sz w:val="18"/>
                <w:szCs w:val="18"/>
                <w:shd w:val="clear" w:color="auto" w:fill="FFFFFF"/>
                <w:lang w:eastAsia="zh-CN"/>
              </w:rPr>
              <w:t>并出具行政执法决定法制审核意见表。</w:t>
            </w:r>
          </w:p>
        </w:tc>
        <w:tc>
          <w:tcPr>
            <w:tcW w:w="148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hint="eastAsia" w:ascii="仿宋" w:hAnsi="仿宋" w:eastAsia="仿宋" w:cs="仿宋_GB2312"/>
                <w:color w:val="000000"/>
                <w:kern w:val="0"/>
                <w:sz w:val="18"/>
                <w:szCs w:val="18"/>
                <w:lang w:val="en-US" w:eastAsia="zh-CN" w:bidi="ar-SA"/>
              </w:rPr>
            </w:pPr>
            <w:r>
              <w:rPr>
                <w:rFonts w:hint="eastAsia" w:ascii="仿宋" w:hAnsi="仿宋" w:eastAsia="仿宋" w:cs="仿宋_GB2312"/>
                <w:color w:val="000000"/>
                <w:kern w:val="0"/>
                <w:sz w:val="18"/>
                <w:szCs w:val="18"/>
                <w:lang w:eastAsia="zh-CN"/>
              </w:rPr>
              <w:t>综合办公室（政策法规）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作出处    理决定</w:t>
            </w:r>
          </w:p>
        </w:tc>
        <w:tc>
          <w:tcPr>
            <w:tcW w:w="510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填写《违法案件处理决定呈批表》。2、决定撤销案件的，填写《撤销立案决定呈批表》。3、制作《行政处罚告知书》和《行政处罚听证告知书》。4、制作《行政处罚听证通知书》。5、制作《听证笔录》。6制作《行政处罚决定书》.7、制作《法律文书送达回证》送达。</w:t>
            </w:r>
          </w:p>
        </w:tc>
        <w:tc>
          <w:tcPr>
            <w:tcW w:w="148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执行</w:t>
            </w:r>
          </w:p>
        </w:tc>
        <w:tc>
          <w:tcPr>
            <w:tcW w:w="510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1、制作《履行行政处罚决定催告书》。2、制作《强制执行申请书》，申请人民法院强制执行。3、制作《行政处罚决定执行记录》。4、制作《涉嫌犯罪案件移送书》。5. 制作《党纪律处分建议书》。6、制作《法律文书送达回证》送达。</w:t>
            </w:r>
          </w:p>
        </w:tc>
        <w:tc>
          <w:tcPr>
            <w:tcW w:w="148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仿宋_GB2312"/>
                <w:color w:val="000000"/>
                <w:kern w:val="0"/>
                <w:sz w:val="18"/>
                <w:szCs w:val="18"/>
              </w:rPr>
              <w:t>当事人履行被处罚义务的案件7日内结案归档；申请法院强制执行的案件，待法院受理后结案归档。</w:t>
            </w: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jc w:val="center"/>
              <w:rPr>
                <w:rFonts w:ascii="黑体" w:hAnsi="黑体" w:eastAsia="黑体" w:cs="黑体"/>
                <w:b/>
                <w:color w:val="000000"/>
                <w:sz w:val="18"/>
                <w:szCs w:val="18"/>
              </w:rPr>
            </w:pPr>
            <w:r>
              <w:rPr>
                <w:rFonts w:hint="eastAsia" w:ascii="黑体" w:hAnsi="黑体" w:eastAsia="黑体" w:cs="黑体"/>
                <w:b/>
                <w:color w:val="000000"/>
                <w:sz w:val="18"/>
                <w:szCs w:val="18"/>
              </w:rPr>
              <w:t>结案</w:t>
            </w:r>
          </w:p>
        </w:tc>
        <w:tc>
          <w:tcPr>
            <w:tcW w:w="510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制作</w:t>
            </w:r>
            <w:r>
              <w:rPr>
                <w:rFonts w:hint="eastAsia" w:ascii="仿宋" w:hAnsi="仿宋" w:eastAsia="仿宋" w:cs="宋体"/>
                <w:color w:val="333333"/>
                <w:sz w:val="18"/>
                <w:szCs w:val="18"/>
                <w:shd w:val="clear" w:color="auto" w:fill="FFFFFF"/>
              </w:rPr>
              <w:t>《结案呈批表》，报主管领导审批。</w:t>
            </w:r>
          </w:p>
        </w:tc>
        <w:tc>
          <w:tcPr>
            <w:tcW w:w="148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2"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jc w:val="center"/>
              <w:rPr>
                <w:rFonts w:ascii="黑体" w:hAnsi="黑体" w:eastAsia="黑体" w:cs="黑体"/>
                <w:b/>
                <w:color w:val="000000"/>
                <w:sz w:val="18"/>
                <w:szCs w:val="18"/>
              </w:rPr>
            </w:pPr>
            <w:r>
              <w:rPr>
                <w:rFonts w:hint="eastAsia" w:ascii="黑体" w:hAnsi="黑体" w:eastAsia="黑体" w:cs="黑体"/>
                <w:b/>
                <w:color w:val="000000"/>
                <w:sz w:val="18"/>
                <w:szCs w:val="18"/>
              </w:rPr>
              <w:t>归档</w:t>
            </w:r>
          </w:p>
        </w:tc>
        <w:tc>
          <w:tcPr>
            <w:tcW w:w="510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承办人员应当将办案过程中形成的全部材料，及时整理装订成卷，并按照规定归档</w:t>
            </w:r>
          </w:p>
        </w:tc>
        <w:tc>
          <w:tcPr>
            <w:tcW w:w="148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 w:hAnsi="仿宋" w:eastAsia="仿宋" w:cs="黑体"/>
                <w:color w:val="000000"/>
                <w:szCs w:val="21"/>
              </w:rPr>
            </w:pPr>
            <w:r>
              <w:rPr>
                <w:rFonts w:hint="eastAsia" w:ascii="仿宋" w:hAnsi="仿宋" w:eastAsia="仿宋" w:cs="仿宋_GB2312"/>
                <w:color w:val="000000"/>
                <w:kern w:val="0"/>
                <w:sz w:val="18"/>
                <w:szCs w:val="18"/>
              </w:rPr>
              <w:t>因不履行或不正确履行行政职责，有下列情形的，行政机关及相关工作人员应承担相应责任：</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1.没有法律和事实依据实施行政处罚的；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2.擅自改变行政处罚种类、幅度的；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3.违反法定程序进行行政处罚的；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4.违反委托处罚规定的；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5.对违法行为未依法制止的；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6.应当依法立案查处，无正当理由未依法立案查处的；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7.在制止以及查处违法案件中受阻，依照有关规定应当向本级人民政府或者上级自然资源主管部门报告而未报告的；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8.符合听证条件、行政管理相对人要求听证，应予组织听证而不组织听证的；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9.应当依法进行行政处罚而未依法处罚的；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10.应当依法移送追究刑事责任，而未依法移送有权机关的；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11.在行政处罚过程中发生腐败行为的；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 w:hAnsi="仿宋" w:eastAsia="仿宋" w:cs="黑体"/>
                <w:color w:val="000000"/>
                <w:kern w:val="0"/>
                <w:sz w:val="18"/>
                <w:szCs w:val="18"/>
              </w:rPr>
              <w:t xml:space="preserve">1.业务咨询：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jc w:val="left"/>
              <w:textAlignment w:val="center"/>
              <w:rPr>
                <w:rFonts w:ascii="仿宋" w:hAnsi="仿宋" w:eastAsia="仿宋"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r>
              <w:rPr>
                <w:rFonts w:hint="eastAsia" w:ascii="仿宋" w:hAnsi="仿宋" w:eastAsia="仿宋" w:cs="黑体"/>
                <w:color w:val="000000"/>
                <w:kern w:val="0"/>
                <w:sz w:val="18"/>
                <w:szCs w:val="18"/>
              </w:rPr>
              <w:t>1、接到</w:t>
            </w:r>
            <w:r>
              <w:rPr>
                <w:rFonts w:hint="eastAsia" w:ascii="仿宋" w:hAnsi="仿宋" w:eastAsia="仿宋" w:cs="宋体"/>
                <w:color w:val="333333"/>
                <w:sz w:val="18"/>
                <w:szCs w:val="18"/>
                <w:shd w:val="clear" w:color="auto" w:fill="FFFFFF"/>
              </w:rPr>
              <w:t>《行政处罚告知书》和《行政处罚听证告知书》之日起五个工作日内有权进行陈述、申辩及提出听证。                                                                     2、</w:t>
            </w:r>
            <w:r>
              <w:rPr>
                <w:rFonts w:hint="eastAsia" w:ascii="仿宋" w:hAnsi="仿宋" w:eastAsia="仿宋" w:cs="黑体"/>
                <w:color w:val="000000"/>
                <w:kern w:val="0"/>
                <w:sz w:val="18"/>
                <w:szCs w:val="18"/>
              </w:rPr>
              <w:t>不服处罚决定自收到行政行为之日起六十日内向</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r>
              <w:rPr>
                <w:rFonts w:hint="eastAsia" w:ascii="仿宋" w:hAnsi="仿宋" w:eastAsia="仿宋" w:cs="黑体"/>
                <w:color w:val="000000"/>
                <w:kern w:val="0"/>
                <w:sz w:val="18"/>
                <w:szCs w:val="18"/>
              </w:rPr>
              <w:t>政府申请行政复议。</w:t>
            </w:r>
          </w:p>
          <w:p>
            <w:pPr>
              <w:widowControl/>
              <w:jc w:val="left"/>
              <w:textAlignment w:val="center"/>
              <w:rPr>
                <w:rFonts w:ascii="仿宋" w:hAnsi="仿宋" w:eastAsia="仿宋" w:cs="黑体"/>
                <w:b/>
                <w:bCs/>
                <w:color w:val="000000"/>
                <w:szCs w:val="21"/>
              </w:rPr>
            </w:pPr>
            <w:r>
              <w:rPr>
                <w:rFonts w:hint="eastAsia" w:ascii="仿宋" w:hAnsi="仿宋" w:eastAsia="仿宋" w:cs="黑体"/>
                <w:color w:val="000000"/>
                <w:kern w:val="0"/>
                <w:sz w:val="18"/>
                <w:szCs w:val="18"/>
              </w:rPr>
              <w:t>3、不服处罚决定自收到行政行为之日起六个月内向</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r>
              <w:rPr>
                <w:rFonts w:hint="eastAsia" w:ascii="仿宋" w:hAnsi="仿宋" w:eastAsia="仿宋" w:cs="黑体"/>
                <w:color w:val="000000"/>
                <w:kern w:val="0"/>
                <w:sz w:val="18"/>
                <w:szCs w:val="18"/>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pPr>
    </w:p>
    <w:sectPr>
      <w:pgSz w:w="11906" w:h="16838"/>
      <w:pgMar w:top="907" w:right="1797" w:bottom="680" w:left="179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2010601030101010101"/>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105"/>
  <w:drawingGridVerticalSpacing w:val="156"/>
  <w:displayHorizontalDrawingGridEvery w:val="0"/>
  <w:noPunctuationKerning w:val="1"/>
  <w:characterSpacingControl w:val="compressPunctuation"/>
  <w:compat>
    <w:spaceForUL/>
    <w:balanceSingleByteDoubleByteWidth/>
    <w:doNotExpandShiftReturn/>
    <w:adjustLineHeightInTable/>
    <w:useFELayout/>
    <w:doNotUseIndentAsNumberingTabStop/>
    <w:useAltKinsokuLineBreakRules/>
    <w:compatSetting w:name="compatibilityMode" w:uri="http://schemas.microsoft.com/office/word" w:val="12"/>
  </w:compat>
  <w:docVars>
    <w:docVar w:name="commondata" w:val="eyJoZGlkIjoiOGQxYzA2ZGVmY2JkNzY1NTZmY2UxMzMwYWM1OTk4YzkifQ=="/>
  </w:docVars>
  <w:rsids>
    <w:rsidRoot w:val="00217FEA"/>
    <w:rsid w:val="00003062"/>
    <w:rsid w:val="00007B93"/>
    <w:rsid w:val="000155E9"/>
    <w:rsid w:val="00023B16"/>
    <w:rsid w:val="00026160"/>
    <w:rsid w:val="00055761"/>
    <w:rsid w:val="000640B4"/>
    <w:rsid w:val="000675FC"/>
    <w:rsid w:val="000856CB"/>
    <w:rsid w:val="00091101"/>
    <w:rsid w:val="000B12E1"/>
    <w:rsid w:val="000C60A9"/>
    <w:rsid w:val="000D5638"/>
    <w:rsid w:val="000E13BD"/>
    <w:rsid w:val="000F0727"/>
    <w:rsid w:val="00112ABD"/>
    <w:rsid w:val="00115948"/>
    <w:rsid w:val="001177DD"/>
    <w:rsid w:val="0012290E"/>
    <w:rsid w:val="00137771"/>
    <w:rsid w:val="001651CC"/>
    <w:rsid w:val="001773F2"/>
    <w:rsid w:val="00183F96"/>
    <w:rsid w:val="00190417"/>
    <w:rsid w:val="001A19B6"/>
    <w:rsid w:val="001B1B96"/>
    <w:rsid w:val="001C0A51"/>
    <w:rsid w:val="001C1B34"/>
    <w:rsid w:val="001C1D32"/>
    <w:rsid w:val="001C641C"/>
    <w:rsid w:val="001D3925"/>
    <w:rsid w:val="00212184"/>
    <w:rsid w:val="00217FEA"/>
    <w:rsid w:val="002227F4"/>
    <w:rsid w:val="00240E01"/>
    <w:rsid w:val="002434CE"/>
    <w:rsid w:val="00245471"/>
    <w:rsid w:val="002606B9"/>
    <w:rsid w:val="00272B47"/>
    <w:rsid w:val="00292B79"/>
    <w:rsid w:val="002A63FB"/>
    <w:rsid w:val="002D4F6D"/>
    <w:rsid w:val="00305185"/>
    <w:rsid w:val="00317A11"/>
    <w:rsid w:val="00333EDA"/>
    <w:rsid w:val="00341041"/>
    <w:rsid w:val="00353C86"/>
    <w:rsid w:val="0035657D"/>
    <w:rsid w:val="00357A27"/>
    <w:rsid w:val="00377EB6"/>
    <w:rsid w:val="003802C1"/>
    <w:rsid w:val="00384F8E"/>
    <w:rsid w:val="00386402"/>
    <w:rsid w:val="003B006D"/>
    <w:rsid w:val="003C06ED"/>
    <w:rsid w:val="003E1063"/>
    <w:rsid w:val="003E49C5"/>
    <w:rsid w:val="003F0229"/>
    <w:rsid w:val="00413EEE"/>
    <w:rsid w:val="00433A28"/>
    <w:rsid w:val="00434A7E"/>
    <w:rsid w:val="00435783"/>
    <w:rsid w:val="00444848"/>
    <w:rsid w:val="00453765"/>
    <w:rsid w:val="00453F2E"/>
    <w:rsid w:val="00457A8E"/>
    <w:rsid w:val="00465C53"/>
    <w:rsid w:val="00471FF8"/>
    <w:rsid w:val="00474E4F"/>
    <w:rsid w:val="0048731D"/>
    <w:rsid w:val="0049634A"/>
    <w:rsid w:val="004A5A72"/>
    <w:rsid w:val="004F2EC7"/>
    <w:rsid w:val="004F7537"/>
    <w:rsid w:val="0051341E"/>
    <w:rsid w:val="00526EF0"/>
    <w:rsid w:val="00562CCC"/>
    <w:rsid w:val="005703E8"/>
    <w:rsid w:val="00592A89"/>
    <w:rsid w:val="00594B3A"/>
    <w:rsid w:val="005E7D06"/>
    <w:rsid w:val="005F4459"/>
    <w:rsid w:val="006018A0"/>
    <w:rsid w:val="00605C2D"/>
    <w:rsid w:val="006725B4"/>
    <w:rsid w:val="0067773D"/>
    <w:rsid w:val="006B5CB2"/>
    <w:rsid w:val="006E1DCC"/>
    <w:rsid w:val="006E28D8"/>
    <w:rsid w:val="006F2C52"/>
    <w:rsid w:val="006F7E30"/>
    <w:rsid w:val="00703E55"/>
    <w:rsid w:val="00707183"/>
    <w:rsid w:val="00712DEF"/>
    <w:rsid w:val="007309C4"/>
    <w:rsid w:val="0074371B"/>
    <w:rsid w:val="00784318"/>
    <w:rsid w:val="007A1122"/>
    <w:rsid w:val="007A3520"/>
    <w:rsid w:val="007A5558"/>
    <w:rsid w:val="007A5BEB"/>
    <w:rsid w:val="007B2756"/>
    <w:rsid w:val="007B3223"/>
    <w:rsid w:val="007C0196"/>
    <w:rsid w:val="007C663E"/>
    <w:rsid w:val="007C7BB4"/>
    <w:rsid w:val="008113B1"/>
    <w:rsid w:val="0082247D"/>
    <w:rsid w:val="00823062"/>
    <w:rsid w:val="00824152"/>
    <w:rsid w:val="008561CC"/>
    <w:rsid w:val="008720E3"/>
    <w:rsid w:val="008A4889"/>
    <w:rsid w:val="008B7222"/>
    <w:rsid w:val="009114A5"/>
    <w:rsid w:val="00911658"/>
    <w:rsid w:val="00916B79"/>
    <w:rsid w:val="009259ED"/>
    <w:rsid w:val="00932172"/>
    <w:rsid w:val="009408B3"/>
    <w:rsid w:val="00950C6F"/>
    <w:rsid w:val="009560E4"/>
    <w:rsid w:val="0096165F"/>
    <w:rsid w:val="0097138C"/>
    <w:rsid w:val="00975530"/>
    <w:rsid w:val="009800B3"/>
    <w:rsid w:val="00984513"/>
    <w:rsid w:val="009A14A8"/>
    <w:rsid w:val="009A25B8"/>
    <w:rsid w:val="009A59CF"/>
    <w:rsid w:val="009E5958"/>
    <w:rsid w:val="009E7725"/>
    <w:rsid w:val="009F276A"/>
    <w:rsid w:val="00A11487"/>
    <w:rsid w:val="00A32E6B"/>
    <w:rsid w:val="00A32EBE"/>
    <w:rsid w:val="00A44382"/>
    <w:rsid w:val="00A46ECF"/>
    <w:rsid w:val="00A52266"/>
    <w:rsid w:val="00A615E9"/>
    <w:rsid w:val="00A86944"/>
    <w:rsid w:val="00A905CA"/>
    <w:rsid w:val="00A94175"/>
    <w:rsid w:val="00A96010"/>
    <w:rsid w:val="00AA5D4B"/>
    <w:rsid w:val="00AB69E0"/>
    <w:rsid w:val="00AC5D05"/>
    <w:rsid w:val="00AD0E30"/>
    <w:rsid w:val="00AD7569"/>
    <w:rsid w:val="00AE42E9"/>
    <w:rsid w:val="00AE7FDB"/>
    <w:rsid w:val="00B0095D"/>
    <w:rsid w:val="00B0316A"/>
    <w:rsid w:val="00B23B2E"/>
    <w:rsid w:val="00B34163"/>
    <w:rsid w:val="00B36774"/>
    <w:rsid w:val="00B419AF"/>
    <w:rsid w:val="00B45ABA"/>
    <w:rsid w:val="00B53E5C"/>
    <w:rsid w:val="00B622B7"/>
    <w:rsid w:val="00B76923"/>
    <w:rsid w:val="00B84184"/>
    <w:rsid w:val="00B866E0"/>
    <w:rsid w:val="00B90E60"/>
    <w:rsid w:val="00B91067"/>
    <w:rsid w:val="00BA5295"/>
    <w:rsid w:val="00BB69D0"/>
    <w:rsid w:val="00BC7166"/>
    <w:rsid w:val="00BD2570"/>
    <w:rsid w:val="00C01753"/>
    <w:rsid w:val="00C1350D"/>
    <w:rsid w:val="00C254ED"/>
    <w:rsid w:val="00C75E9F"/>
    <w:rsid w:val="00C82451"/>
    <w:rsid w:val="00CA2788"/>
    <w:rsid w:val="00CA27C8"/>
    <w:rsid w:val="00CB3DF3"/>
    <w:rsid w:val="00D3470F"/>
    <w:rsid w:val="00D365BD"/>
    <w:rsid w:val="00D37E5C"/>
    <w:rsid w:val="00D5158C"/>
    <w:rsid w:val="00D520E6"/>
    <w:rsid w:val="00D54BC0"/>
    <w:rsid w:val="00D57856"/>
    <w:rsid w:val="00D677A3"/>
    <w:rsid w:val="00D67A8A"/>
    <w:rsid w:val="00D7019F"/>
    <w:rsid w:val="00D725C8"/>
    <w:rsid w:val="00D75EAB"/>
    <w:rsid w:val="00DA578E"/>
    <w:rsid w:val="00DC26D1"/>
    <w:rsid w:val="00DC5D8D"/>
    <w:rsid w:val="00DF1ECD"/>
    <w:rsid w:val="00E06865"/>
    <w:rsid w:val="00E261D6"/>
    <w:rsid w:val="00E71827"/>
    <w:rsid w:val="00E7627B"/>
    <w:rsid w:val="00E77F85"/>
    <w:rsid w:val="00E9788A"/>
    <w:rsid w:val="00EA2EB7"/>
    <w:rsid w:val="00F04254"/>
    <w:rsid w:val="00F15B68"/>
    <w:rsid w:val="00F2395E"/>
    <w:rsid w:val="00F378EB"/>
    <w:rsid w:val="00F6684D"/>
    <w:rsid w:val="00F74EDC"/>
    <w:rsid w:val="00FA6E5F"/>
    <w:rsid w:val="00FB31E1"/>
    <w:rsid w:val="00FC3976"/>
    <w:rsid w:val="00FC7E89"/>
    <w:rsid w:val="00FE1AE8"/>
    <w:rsid w:val="292E52E8"/>
    <w:rsid w:val="38163863"/>
    <w:rsid w:val="52186C8F"/>
    <w:rsid w:val="77CE19C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2"/>
    <w:qFormat/>
    <w:uiPriority w:val="0"/>
    <w:rPr>
      <w:sz w:val="18"/>
      <w:szCs w:val="18"/>
    </w:rPr>
  </w:style>
  <w:style w:type="paragraph" w:styleId="6">
    <w:name w:val="footer"/>
    <w:basedOn w:val="1"/>
    <w:link w:val="14"/>
    <w:qFormat/>
    <w:uiPriority w:val="0"/>
    <w:pPr>
      <w:tabs>
        <w:tab w:val="center" w:pos="4153"/>
        <w:tab w:val="right" w:pos="8306"/>
      </w:tabs>
      <w:snapToGrid w:val="0"/>
      <w:jc w:val="left"/>
    </w:pPr>
    <w:rPr>
      <w:sz w:val="18"/>
      <w:szCs w:val="18"/>
    </w:rPr>
  </w:style>
  <w:style w:type="paragraph" w:styleId="7">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100" w:beforeAutospacing="1" w:after="100" w:afterAutospacing="1"/>
      <w:jc w:val="left"/>
    </w:pPr>
    <w:rPr>
      <w:rFonts w:cs="Times New Roman"/>
      <w:kern w:val="0"/>
      <w:sz w:val="24"/>
    </w:rPr>
  </w:style>
  <w:style w:type="character" w:customStyle="1" w:styleId="11">
    <w:name w:val="font112"/>
    <w:basedOn w:val="10"/>
    <w:qFormat/>
    <w:uiPriority w:val="0"/>
    <w:rPr>
      <w:rFonts w:ascii="仿宋_GB2312" w:eastAsia="仿宋_GB2312" w:cs="仿宋_GB2312"/>
      <w:color w:val="000000"/>
      <w:sz w:val="18"/>
      <w:szCs w:val="18"/>
      <w:u w:val="none"/>
    </w:rPr>
  </w:style>
  <w:style w:type="character" w:customStyle="1" w:styleId="12">
    <w:name w:val="批注框文本 Char"/>
    <w:basedOn w:val="10"/>
    <w:link w:val="5"/>
    <w:qFormat/>
    <w:uiPriority w:val="0"/>
    <w:rPr>
      <w:rFonts w:ascii="Calibri" w:hAnsi="Calibri" w:cs="Arial"/>
      <w:kern w:val="2"/>
      <w:sz w:val="18"/>
      <w:szCs w:val="18"/>
    </w:rPr>
  </w:style>
  <w:style w:type="character" w:customStyle="1" w:styleId="13">
    <w:name w:val="页眉 Char"/>
    <w:basedOn w:val="10"/>
    <w:link w:val="7"/>
    <w:qFormat/>
    <w:uiPriority w:val="0"/>
    <w:rPr>
      <w:rFonts w:ascii="Calibri" w:hAnsi="Calibri" w:cs="Arial"/>
      <w:kern w:val="2"/>
      <w:sz w:val="18"/>
      <w:szCs w:val="18"/>
    </w:rPr>
  </w:style>
  <w:style w:type="character" w:customStyle="1" w:styleId="14">
    <w:name w:val="页脚 Char"/>
    <w:basedOn w:val="10"/>
    <w:link w:val="6"/>
    <w:qFormat/>
    <w:uiPriority w:val="0"/>
    <w:rPr>
      <w:rFonts w:ascii="Calibri" w:hAnsi="Calibri"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363</Words>
  <Characters>2071</Characters>
  <Lines>17</Lines>
  <Paragraphs>4</Paragraphs>
  <TotalTime>0</TotalTime>
  <ScaleCrop>false</ScaleCrop>
  <LinksUpToDate>false</LinksUpToDate>
  <CharactersWithSpaces>2430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2023-01-31T01:00:00Z</dcterms:created>
  <dc:creator>Administrator</dc:creator>
  <cp:lastModifiedBy>大地欢歌</cp:lastModifiedBy>
  <cp:lastPrinted>2023-07-14T06:56:00Z</cp:lastPrinted>
  <dcterms:modified xsi:type="dcterms:W3CDTF">2024-02-01T06:03:55Z</dcterms:modified>
  <cp:revision>201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EA99FB605222453DA1E4F7C7FB916DF7</vt:lpwstr>
  </property>
</Properties>
</file>