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center"/>
        <w:textAlignment w:val="center"/>
        <w:rPr>
          <w:rFonts w:ascii="方正小标宋简体" w:eastAsia="方正小标宋简体" w:cs="方正小标宋简体"/>
          <w:color w:val="000000"/>
          <w:kern w:val="0"/>
          <w:sz w:val="44"/>
          <w:szCs w:val="44"/>
        </w:rPr>
      </w:pPr>
      <w:bookmarkStart w:id="0" w:name="_GoBack"/>
      <w:r>
        <w:rPr>
          <w:rFonts w:hint="eastAsia" w:ascii="方正小标宋简体" w:eastAsia="方正小标宋简体" w:cs="方正小标宋简体"/>
          <w:color w:val="000000"/>
          <w:kern w:val="0"/>
          <w:sz w:val="44"/>
          <w:szCs w:val="44"/>
        </w:rPr>
        <w:t>履职行权规程</w:t>
      </w:r>
    </w:p>
    <w:tbl>
      <w:tblPr>
        <w:tblStyle w:val="2"/>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463"/>
        <w:gridCol w:w="1050"/>
        <w:gridCol w:w="641"/>
        <w:gridCol w:w="1691"/>
        <w:gridCol w:w="1963"/>
        <w:gridCol w:w="992"/>
        <w:gridCol w:w="465"/>
        <w:gridCol w:w="874"/>
        <w:gridCol w:w="11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4"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编号</w:t>
            </w:r>
          </w:p>
        </w:tc>
        <w:tc>
          <w:tcPr>
            <w:tcW w:w="1691" w:type="dxa"/>
            <w:gridSpan w:val="2"/>
            <w:tcBorders>
              <w:tl2br w:val="nil"/>
              <w:tr2bl w:val="nil"/>
            </w:tcBorders>
            <w:noWrap w:val="0"/>
            <w:vAlign w:val="center"/>
          </w:tcPr>
          <w:p>
            <w:pPr>
              <w:jc w:val="center"/>
              <w:rPr>
                <w:rFonts w:ascii="黑体" w:eastAsia="黑体" w:cs="黑体"/>
                <w:b/>
                <w:bCs/>
                <w:color w:val="000000"/>
                <w:szCs w:val="21"/>
              </w:rPr>
            </w:pPr>
          </w:p>
        </w:tc>
        <w:tc>
          <w:tcPr>
            <w:tcW w:w="1691" w:type="dxa"/>
            <w:tcBorders>
              <w:tl2br w:val="nil"/>
              <w:tr2bl w:val="nil"/>
            </w:tcBorders>
            <w:noWrap w:val="0"/>
            <w:vAlign w:val="center"/>
          </w:tcPr>
          <w:p>
            <w:pPr>
              <w:jc w:val="center"/>
              <w:rPr>
                <w:rFonts w:ascii="黑体" w:eastAsia="黑体" w:cs="黑体"/>
                <w:b/>
                <w:bCs/>
                <w:color w:val="000000"/>
                <w:szCs w:val="21"/>
              </w:rPr>
            </w:pPr>
            <w:r>
              <w:rPr>
                <w:rFonts w:hint="eastAsia" w:ascii="黑体" w:eastAsia="黑体" w:cs="黑体"/>
                <w:b/>
                <w:bCs/>
                <w:color w:val="000000"/>
                <w:kern w:val="0"/>
                <w:szCs w:val="21"/>
              </w:rPr>
              <w:t>权力类型</w:t>
            </w:r>
          </w:p>
        </w:tc>
        <w:tc>
          <w:tcPr>
            <w:tcW w:w="1963" w:type="dxa"/>
            <w:tcBorders>
              <w:tl2br w:val="nil"/>
              <w:tr2bl w:val="nil"/>
            </w:tcBorders>
            <w:noWrap w:val="0"/>
            <w:vAlign w:val="center"/>
          </w:tcPr>
          <w:p>
            <w:pPr>
              <w:widowControl/>
              <w:jc w:val="center"/>
              <w:textAlignment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行政处罚</w:t>
            </w:r>
          </w:p>
        </w:tc>
        <w:tc>
          <w:tcPr>
            <w:tcW w:w="1457" w:type="dxa"/>
            <w:gridSpan w:val="2"/>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实施主体</w:t>
            </w:r>
          </w:p>
        </w:tc>
        <w:tc>
          <w:tcPr>
            <w:tcW w:w="2033" w:type="dxa"/>
            <w:gridSpan w:val="2"/>
            <w:tcBorders>
              <w:tl2br w:val="nil"/>
              <w:tr2bl w:val="nil"/>
            </w:tcBorders>
            <w:noWrap w:val="0"/>
            <w:vAlign w:val="center"/>
          </w:tcPr>
          <w:p>
            <w:pPr>
              <w:widowControl/>
              <w:jc w:val="center"/>
              <w:textAlignment w:val="center"/>
              <w:rPr>
                <w:rFonts w:hint="eastAsia" w:ascii="仿宋_GB2312" w:eastAsia="仿宋_GB2312" w:cs="仿宋_GB2312"/>
                <w:color w:val="000000"/>
                <w:kern w:val="0"/>
                <w:sz w:val="18"/>
                <w:szCs w:val="18"/>
                <w:lang w:eastAsia="zh-CN"/>
              </w:rPr>
            </w:pPr>
            <w:r>
              <w:rPr>
                <w:rFonts w:hint="eastAsia" w:ascii="仿宋_GB2312" w:eastAsia="仿宋_GB2312" w:cs="仿宋_GB2312"/>
                <w:color w:val="000000"/>
                <w:kern w:val="0"/>
                <w:sz w:val="18"/>
                <w:szCs w:val="18"/>
                <w:lang w:eastAsia="zh-CN"/>
              </w:rPr>
              <w:t>抚宁区自然资源和规划局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5"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事项名称</w:t>
            </w:r>
          </w:p>
        </w:tc>
        <w:tc>
          <w:tcPr>
            <w:tcW w:w="8835" w:type="dxa"/>
            <w:gridSpan w:val="8"/>
            <w:tcBorders>
              <w:tl2br w:val="nil"/>
              <w:tr2bl w:val="nil"/>
            </w:tcBorders>
            <w:noWrap w:val="0"/>
            <w:vAlign w:val="center"/>
          </w:tcPr>
          <w:p>
            <w:pPr>
              <w:widowControl/>
              <w:jc w:val="center"/>
              <w:textAlignment w:val="center"/>
              <w:rPr>
                <w:rFonts w:hint="eastAsia" w:ascii="仿宋_GB2312" w:eastAsia="仿宋_GB2312" w:cs="仿宋_GB2312"/>
                <w:color w:val="000000"/>
                <w:kern w:val="0"/>
                <w:sz w:val="21"/>
                <w:szCs w:val="21"/>
                <w:lang w:eastAsia="zh-CN"/>
              </w:rPr>
            </w:pPr>
            <w:r>
              <w:rPr>
                <w:rFonts w:hint="eastAsia" w:ascii="仿宋_GB2312" w:hAnsi="仿宋_GB2312" w:eastAsia="仿宋_GB2312" w:cs="仿宋_GB2312"/>
                <w:i w:val="0"/>
                <w:color w:val="000000"/>
                <w:kern w:val="0"/>
                <w:sz w:val="21"/>
                <w:szCs w:val="21"/>
                <w:u w:val="none"/>
                <w:lang w:val="en-US" w:eastAsia="zh-CN" w:bidi="ar"/>
              </w:rPr>
              <w:t>对收购、加工、运输明知是盗伐、滥伐等非法来源林木的行政处罚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5"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管辖范围</w:t>
            </w:r>
          </w:p>
        </w:tc>
        <w:tc>
          <w:tcPr>
            <w:tcW w:w="8835" w:type="dxa"/>
            <w:gridSpan w:val="8"/>
            <w:tcBorders>
              <w:tl2br w:val="nil"/>
              <w:tr2bl w:val="nil"/>
            </w:tcBorders>
            <w:noWrap w:val="0"/>
            <w:vAlign w:val="center"/>
          </w:tcPr>
          <w:p>
            <w:pPr>
              <w:jc w:val="center"/>
              <w:rPr>
                <w:rFonts w:ascii="黑体" w:hAnsi="黑体" w:eastAsia="黑体" w:cs="黑体"/>
                <w:color w:val="000000"/>
                <w:kern w:val="0"/>
                <w:sz w:val="21"/>
                <w:szCs w:val="21"/>
                <w:lang w:bidi="ar"/>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132"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履职依据</w:t>
            </w:r>
          </w:p>
        </w:tc>
        <w:tc>
          <w:tcPr>
            <w:tcW w:w="8835" w:type="dxa"/>
            <w:gridSpan w:val="8"/>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rPr>
            </w:pPr>
            <w:r>
              <w:rPr>
                <w:rFonts w:hint="eastAsia" w:ascii="仿宋_GB2312" w:eastAsia="仿宋_GB2312" w:cs="仿宋_GB2312"/>
                <w:color w:val="000000"/>
                <w:kern w:val="0"/>
                <w:sz w:val="21"/>
                <w:szCs w:val="21"/>
              </w:rPr>
              <w:t>【法律法规】</w:t>
            </w:r>
          </w:p>
          <w:p>
            <w:pPr>
              <w:widowControl/>
              <w:spacing w:line="240" w:lineRule="exact"/>
              <w:jc w:val="left"/>
              <w:textAlignment w:val="center"/>
              <w:rPr>
                <w:rFonts w:hint="eastAsia" w:ascii="仿宋_GB2312" w:hAnsi="仿宋_GB2312" w:eastAsia="仿宋_GB2312" w:cs="仿宋_GB2312"/>
                <w:i w:val="0"/>
                <w:color w:val="auto"/>
                <w:kern w:val="0"/>
                <w:sz w:val="21"/>
                <w:szCs w:val="21"/>
                <w:u w:val="none"/>
                <w:lang w:val="en-US" w:eastAsia="zh-CN" w:bidi="ar"/>
              </w:rPr>
            </w:pPr>
            <w:r>
              <w:rPr>
                <w:rFonts w:hint="eastAsia" w:ascii="仿宋_GB2312" w:hAnsi="仿宋_GB2312" w:eastAsia="仿宋_GB2312" w:cs="仿宋_GB2312"/>
                <w:i w:val="0"/>
                <w:color w:val="auto"/>
                <w:kern w:val="0"/>
                <w:sz w:val="21"/>
                <w:szCs w:val="21"/>
                <w:u w:val="none"/>
                <w:lang w:val="en-US" w:eastAsia="zh-CN" w:bidi="ar"/>
              </w:rPr>
              <w:t xml:space="preserve">《中华人民共和国森林法》第七十八条 违反本法规定，收购、加工、运输明知是盗伐、滥伐等非法来源的林木的，由县级以上人民政府林业主管部门责令停止违法行为，没收违法收购、加工、运输的林木或者变卖所得，可以处违法收购、加工、运输林木价款三倍以下的罚款。 </w:t>
            </w:r>
          </w:p>
          <w:p>
            <w:pPr>
              <w:widowControl/>
              <w:spacing w:line="240" w:lineRule="exact"/>
              <w:jc w:val="left"/>
              <w:textAlignment w:val="center"/>
              <w:rPr>
                <w:rFonts w:hint="eastAsia" w:ascii="仿宋_GB2312" w:eastAsia="仿宋_GB2312" w:cs="仿宋_GB2312"/>
                <w:color w:val="000000"/>
                <w:kern w:val="0"/>
                <w:sz w:val="21"/>
                <w:szCs w:val="21"/>
              </w:rPr>
            </w:pPr>
            <w:r>
              <w:rPr>
                <w:rFonts w:hint="eastAsia" w:ascii="仿宋_GB2312" w:eastAsia="仿宋_GB2312" w:cs="仿宋_GB2312"/>
                <w:color w:val="000000"/>
                <w:kern w:val="0"/>
                <w:sz w:val="21"/>
                <w:szCs w:val="21"/>
              </w:rPr>
              <w:t>【三定规定】</w:t>
            </w:r>
          </w:p>
          <w:p>
            <w:pPr>
              <w:widowControl/>
              <w:spacing w:line="240" w:lineRule="exact"/>
              <w:jc w:val="left"/>
              <w:textAlignment w:val="center"/>
              <w:rPr>
                <w:rFonts w:ascii="仿宋_GB2312" w:eastAsia="仿宋_GB2312" w:cs="黑体"/>
                <w:b/>
                <w:bCs/>
                <w:color w:val="000000"/>
                <w:sz w:val="21"/>
                <w:szCs w:val="21"/>
              </w:rPr>
            </w:pPr>
            <w:r>
              <w:rPr>
                <w:rFonts w:hint="eastAsia" w:ascii="仿宋_GB2312" w:eastAsia="仿宋_GB2312" w:cs="仿宋_GB2312"/>
                <w:color w:val="000000"/>
                <w:kern w:val="0"/>
                <w:sz w:val="21"/>
                <w:szCs w:val="21"/>
                <w:lang w:eastAsia="zh-CN"/>
              </w:rPr>
              <w:t>抚编批字</w:t>
            </w:r>
            <w:r>
              <w:rPr>
                <w:rFonts w:hint="default" w:ascii="仿宋_GB2312" w:eastAsia="仿宋_GB2312" w:cs="仿宋_GB2312"/>
                <w:color w:val="000000"/>
                <w:kern w:val="0"/>
                <w:sz w:val="21"/>
                <w:szCs w:val="21"/>
              </w:rPr>
              <w:t>〔20</w:t>
            </w:r>
            <w:r>
              <w:rPr>
                <w:rFonts w:hint="eastAsia" w:ascii="仿宋_GB2312" w:eastAsia="仿宋_GB2312" w:cs="仿宋_GB2312"/>
                <w:color w:val="000000"/>
                <w:kern w:val="0"/>
                <w:sz w:val="21"/>
                <w:szCs w:val="21"/>
                <w:lang w:val="en-US" w:eastAsia="zh-CN"/>
              </w:rPr>
              <w:t>20</w:t>
            </w:r>
            <w:r>
              <w:rPr>
                <w:rFonts w:hint="default" w:ascii="仿宋_GB2312" w:eastAsia="仿宋_GB2312" w:cs="仿宋_GB2312"/>
                <w:color w:val="000000"/>
                <w:kern w:val="0"/>
                <w:sz w:val="21"/>
                <w:szCs w:val="21"/>
              </w:rPr>
              <w:t>〕</w:t>
            </w:r>
            <w:r>
              <w:rPr>
                <w:rFonts w:hint="eastAsia" w:ascii="仿宋_GB2312" w:eastAsia="仿宋_GB2312" w:cs="仿宋_GB2312"/>
                <w:color w:val="000000"/>
                <w:kern w:val="0"/>
                <w:sz w:val="21"/>
                <w:szCs w:val="21"/>
                <w:lang w:val="en-US" w:eastAsia="zh-CN"/>
              </w:rPr>
              <w:t>1</w:t>
            </w:r>
            <w:r>
              <w:rPr>
                <w:rFonts w:hint="default" w:ascii="仿宋_GB2312" w:eastAsia="仿宋_GB2312" w:cs="仿宋_GB2312"/>
                <w:color w:val="000000"/>
                <w:kern w:val="0"/>
                <w:sz w:val="21"/>
                <w:szCs w:val="21"/>
              </w:rPr>
              <w:t>1号</w:t>
            </w:r>
            <w:r>
              <w:rPr>
                <w:rFonts w:hint="eastAsia" w:ascii="仿宋_GB2312" w:eastAsia="仿宋_GB2312" w:cs="仿宋_GB2312"/>
                <w:color w:val="000000"/>
                <w:kern w:val="0"/>
                <w:sz w:val="21"/>
                <w:szCs w:val="21"/>
                <w:lang w:eastAsia="zh-CN"/>
              </w:rPr>
              <w:t>二、</w:t>
            </w:r>
            <w:r>
              <w:rPr>
                <w:rFonts w:hint="eastAsia" w:ascii="仿宋_GB2312" w:eastAsia="仿宋_GB2312" w:cs="仿宋_GB2312"/>
                <w:color w:val="000000"/>
                <w:kern w:val="0"/>
                <w:sz w:val="21"/>
                <w:szCs w:val="21"/>
                <w:lang w:val="en-US" w:eastAsia="zh-CN"/>
              </w:rPr>
              <w:t>2</w:t>
            </w:r>
            <w:r>
              <w:rPr>
                <w:rFonts w:hint="default" w:ascii="仿宋_GB2312" w:eastAsia="仿宋_GB2312" w:cs="仿宋_GB2312"/>
                <w:color w:val="000000"/>
                <w:kern w:val="0"/>
                <w:sz w:val="21"/>
                <w:szCs w:val="21"/>
              </w:rPr>
              <w:t>。</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0" w:hRule="atLeast"/>
          <w:jc w:val="center"/>
        </w:trPr>
        <w:tc>
          <w:tcPr>
            <w:tcW w:w="1463" w:type="dxa"/>
            <w:vMerge w:val="restart"/>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履职流程</w:t>
            </w:r>
          </w:p>
        </w:tc>
        <w:tc>
          <w:tcPr>
            <w:tcW w:w="1050" w:type="dxa"/>
            <w:tcBorders>
              <w:tl2br w:val="nil"/>
              <w:tr2bl w:val="nil"/>
            </w:tcBorders>
            <w:noWrap w:val="0"/>
            <w:vAlign w:val="center"/>
          </w:tcPr>
          <w:p>
            <w:pPr>
              <w:widowControl/>
              <w:jc w:val="center"/>
              <w:textAlignment w:val="center"/>
              <w:rPr>
                <w:rFonts w:ascii="黑体" w:eastAsia="黑体" w:cs="黑体"/>
                <w:b/>
                <w:bCs/>
                <w:color w:val="000000"/>
                <w:sz w:val="21"/>
                <w:szCs w:val="21"/>
              </w:rPr>
            </w:pPr>
            <w:r>
              <w:rPr>
                <w:rFonts w:hint="eastAsia" w:ascii="黑体" w:eastAsia="黑体" w:cs="黑体"/>
                <w:b/>
                <w:bCs/>
                <w:color w:val="000000"/>
                <w:kern w:val="0"/>
                <w:sz w:val="21"/>
                <w:szCs w:val="21"/>
              </w:rPr>
              <w:t>办理环节</w:t>
            </w:r>
          </w:p>
        </w:tc>
        <w:tc>
          <w:tcPr>
            <w:tcW w:w="5287" w:type="dxa"/>
            <w:gridSpan w:val="4"/>
            <w:tcBorders>
              <w:tl2br w:val="nil"/>
              <w:tr2bl w:val="nil"/>
            </w:tcBorders>
            <w:noWrap w:val="0"/>
            <w:vAlign w:val="center"/>
          </w:tcPr>
          <w:p>
            <w:pPr>
              <w:widowControl/>
              <w:jc w:val="center"/>
              <w:textAlignment w:val="center"/>
              <w:rPr>
                <w:rFonts w:ascii="黑体" w:eastAsia="黑体" w:cs="黑体"/>
                <w:b/>
                <w:bCs/>
                <w:color w:val="000000"/>
                <w:sz w:val="21"/>
                <w:szCs w:val="21"/>
              </w:rPr>
            </w:pPr>
            <w:r>
              <w:rPr>
                <w:rFonts w:hint="eastAsia" w:ascii="黑体" w:eastAsia="黑体" w:cs="黑体"/>
                <w:b/>
                <w:bCs/>
                <w:color w:val="000000"/>
                <w:kern w:val="0"/>
                <w:sz w:val="21"/>
                <w:szCs w:val="21"/>
              </w:rPr>
              <w:t>办理内容</w:t>
            </w:r>
          </w:p>
        </w:tc>
        <w:tc>
          <w:tcPr>
            <w:tcW w:w="1339" w:type="dxa"/>
            <w:gridSpan w:val="2"/>
            <w:tcBorders>
              <w:tl2br w:val="nil"/>
              <w:tr2bl w:val="nil"/>
            </w:tcBorders>
            <w:noWrap w:val="0"/>
            <w:vAlign w:val="center"/>
          </w:tcPr>
          <w:p>
            <w:pPr>
              <w:widowControl/>
              <w:jc w:val="center"/>
              <w:textAlignment w:val="center"/>
              <w:rPr>
                <w:rFonts w:ascii="黑体" w:eastAsia="黑体" w:cs="黑体"/>
                <w:b/>
                <w:bCs/>
                <w:color w:val="000000"/>
                <w:sz w:val="21"/>
                <w:szCs w:val="21"/>
              </w:rPr>
            </w:pPr>
            <w:r>
              <w:rPr>
                <w:rFonts w:hint="eastAsia" w:ascii="黑体" w:eastAsia="黑体" w:cs="黑体"/>
                <w:b/>
                <w:bCs/>
                <w:color w:val="000000"/>
                <w:sz w:val="21"/>
                <w:szCs w:val="21"/>
              </w:rPr>
              <w:t>办理时限</w:t>
            </w:r>
          </w:p>
        </w:tc>
        <w:tc>
          <w:tcPr>
            <w:tcW w:w="1159" w:type="dxa"/>
            <w:tcBorders>
              <w:tl2br w:val="nil"/>
              <w:tr2bl w:val="nil"/>
            </w:tcBorders>
            <w:noWrap w:val="0"/>
            <w:vAlign w:val="center"/>
          </w:tcPr>
          <w:p>
            <w:pPr>
              <w:widowControl/>
              <w:jc w:val="center"/>
              <w:textAlignment w:val="center"/>
              <w:rPr>
                <w:rFonts w:ascii="黑体" w:eastAsia="黑体" w:cs="黑体"/>
                <w:b/>
                <w:bCs/>
                <w:color w:val="000000"/>
                <w:kern w:val="0"/>
                <w:sz w:val="21"/>
                <w:szCs w:val="21"/>
              </w:rPr>
            </w:pPr>
            <w:r>
              <w:rPr>
                <w:rFonts w:hint="eastAsia" w:ascii="黑体" w:eastAsia="黑体" w:cs="黑体"/>
                <w:b/>
                <w:bCs/>
                <w:color w:val="000000"/>
                <w:kern w:val="0"/>
                <w:sz w:val="21"/>
                <w:szCs w:val="21"/>
              </w:rPr>
              <w:t>责任科室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40"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立案</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发现涉嫌拒绝、阻碍县级以上人民政府林业主管部门依法实施监督检查的违法行为（或者其他机关移送的违法案件等），予以审查，决定是否立案。</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调查取证</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对立案的案件，指定专人负责，及时组织调查取证，与当事人有直接利害关系的应当回避。执法人员不得少于两人，调查时应出示执法证件，允许当事人辩解陈述。执法人员应保守有关秘密。</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审查</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审理案件调查报告，对案件违法事实、证据、调查取证程序、法律适用、处罚种类和幅度、当事人陈述和申辩理由等方面进行审查，提出处理意见（主要证据不足时，以适当的方式补充调查）。</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综合办公室政策法规股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lang w:eastAsia="zh-CN"/>
              </w:rPr>
              <w:t>告知</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作出行政处罚决定前，应告知当事人作出行政处罚决定的事实、理由及依据，并告知当事人依法享有的权利。符合听证规定，当事人要求听证的，应当组织听证。</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决定</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制作行政处罚决定书，载明行政处罚告知、当事人陈述申辩或者听证情况等内容。</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送达</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行政处罚决定书按法律规定的方式送达当事人。信息公开。</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lang w:eastAsia="zh-CN"/>
              </w:rPr>
              <w:t>执行</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依照生效的行政处罚决定，予以罚款和责令停产停业整顿。</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lang w:eastAsia="zh-CN"/>
              </w:rPr>
              <w:t>其他</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其他法律法规规章文件规定应履行的责任。</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170" w:hRule="atLeast"/>
          <w:jc w:val="center"/>
        </w:trPr>
        <w:tc>
          <w:tcPr>
            <w:tcW w:w="1463" w:type="dxa"/>
            <w:tcBorders>
              <w:tl2br w:val="nil"/>
              <w:tr2bl w:val="nil"/>
            </w:tcBorders>
            <w:noWrap w:val="0"/>
            <w:vAlign w:val="center"/>
          </w:tcPr>
          <w:p>
            <w:pPr>
              <w:widowControl/>
              <w:spacing w:line="240" w:lineRule="exact"/>
              <w:jc w:val="center"/>
              <w:textAlignment w:val="center"/>
              <w:rPr>
                <w:rFonts w:ascii="黑体" w:eastAsia="黑体" w:cs="黑体"/>
                <w:b/>
                <w:bCs/>
                <w:color w:val="000000"/>
                <w:szCs w:val="21"/>
              </w:rPr>
            </w:pPr>
            <w:r>
              <w:rPr>
                <w:rFonts w:hint="eastAsia" w:ascii="黑体" w:eastAsia="黑体" w:cs="黑体"/>
                <w:b/>
                <w:bCs/>
                <w:color w:val="000000"/>
                <w:kern w:val="0"/>
                <w:szCs w:val="21"/>
              </w:rPr>
              <w:t>追责情形</w:t>
            </w:r>
          </w:p>
        </w:tc>
        <w:tc>
          <w:tcPr>
            <w:tcW w:w="8835" w:type="dxa"/>
            <w:gridSpan w:val="8"/>
            <w:tcBorders>
              <w:tl2br w:val="nil"/>
              <w:tr2bl w:val="nil"/>
            </w:tcBorders>
            <w:noWrap w:val="0"/>
            <w:vAlign w:val="center"/>
          </w:tcPr>
          <w:p>
            <w:pPr>
              <w:widowControl/>
              <w:spacing w:line="240" w:lineRule="exact"/>
              <w:jc w:val="left"/>
              <w:textAlignment w:val="center"/>
              <w:rPr>
                <w:rFonts w:hint="default" w:ascii="Times New Roman" w:hAnsi="Times New Roman" w:eastAsia="方正仿宋_GBK" w:cs="Times New Roman"/>
                <w:color w:val="000000"/>
                <w:sz w:val="21"/>
                <w:szCs w:val="21"/>
              </w:rPr>
            </w:pPr>
            <w:r>
              <w:rPr>
                <w:rFonts w:hint="eastAsia" w:ascii="仿宋_GB2312" w:hAnsi="仿宋_GB2312" w:eastAsia="仿宋_GB2312" w:cs="仿宋_GB2312"/>
                <w:i w:val="0"/>
                <w:color w:val="000000"/>
                <w:kern w:val="0"/>
                <w:sz w:val="21"/>
                <w:szCs w:val="21"/>
                <w:u w:val="none"/>
                <w:lang w:val="en-US" w:eastAsia="zh-CN" w:bidi="ar"/>
              </w:rPr>
              <w:t>因不履行或不正确履行行政职责，有下列情形的，市林业局及其工作人员应当承担相应责任：</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1.对应当予以制止和处罚的违法行为不予制止和处罚的。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2.没有事实和法律依据实施行政处罚的。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3.因处罚不当给当事人造成损失的。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4.工作人员违反本法规定，滥用职权、玩忽职守。</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5.不具备行政执法资格的人实施行政处罚的。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6.应当依法移送有权机关追究当事人刑事责任而未依法移送的。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7.擅自改变处罚种类和幅度的。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8.违反法定程序实施行政处罚的。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9.应当组织听证而不组织听证的。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10.在实施过程中发生腐败行为的。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11.其他违反法律法规规章规定的行为。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36"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监督方式</w:t>
            </w:r>
          </w:p>
        </w:tc>
        <w:tc>
          <w:tcPr>
            <w:tcW w:w="8835" w:type="dxa"/>
            <w:gridSpan w:val="8"/>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lang w:val="en-US" w:eastAsia="zh-CN"/>
              </w:rPr>
            </w:pPr>
            <w:r>
              <w:rPr>
                <w:rFonts w:hint="default" w:ascii="仿宋_GB2312" w:eastAsia="仿宋_GB2312" w:cs="仿宋_GB2312"/>
                <w:color w:val="000000"/>
                <w:kern w:val="0"/>
                <w:sz w:val="21"/>
                <w:szCs w:val="21"/>
              </w:rPr>
              <w:t>1.业务咨询：</w:t>
            </w:r>
            <w:r>
              <w:rPr>
                <w:rFonts w:hint="eastAsia" w:ascii="仿宋_GB2312" w:eastAsia="仿宋_GB2312" w:cs="仿宋_GB2312"/>
                <w:color w:val="000000"/>
                <w:kern w:val="0"/>
                <w:sz w:val="21"/>
                <w:szCs w:val="21"/>
                <w:lang w:val="en-US" w:eastAsia="zh-CN"/>
              </w:rPr>
              <w:t>0335-6686002-80603</w:t>
            </w:r>
            <w:r>
              <w:rPr>
                <w:rFonts w:hint="default" w:ascii="仿宋_GB2312" w:eastAsia="仿宋_GB2312" w:cs="仿宋_GB2312"/>
                <w:color w:val="000000"/>
                <w:kern w:val="0"/>
                <w:sz w:val="21"/>
                <w:szCs w:val="21"/>
              </w:rPr>
              <w:br w:type="textWrapping"/>
            </w:r>
            <w:r>
              <w:rPr>
                <w:rFonts w:hint="default" w:ascii="仿宋_GB2312" w:eastAsia="仿宋_GB2312" w:cs="仿宋_GB2312"/>
                <w:color w:val="000000"/>
                <w:kern w:val="0"/>
                <w:sz w:val="21"/>
                <w:szCs w:val="21"/>
              </w:rPr>
              <w:t>2.投诉举报电话：</w:t>
            </w:r>
            <w:r>
              <w:rPr>
                <w:rFonts w:hint="eastAsia" w:ascii="仿宋_GB2312" w:eastAsia="仿宋_GB2312" w:cs="仿宋_GB2312"/>
                <w:color w:val="000000"/>
                <w:kern w:val="0"/>
                <w:sz w:val="21"/>
                <w:szCs w:val="21"/>
                <w:lang w:val="en-US" w:eastAsia="zh-CN"/>
              </w:rPr>
              <w:t>0035-6682748</w:t>
            </w:r>
          </w:p>
          <w:p>
            <w:pPr>
              <w:widowControl/>
              <w:spacing w:line="240" w:lineRule="exact"/>
              <w:jc w:val="left"/>
              <w:textAlignment w:val="center"/>
              <w:rPr>
                <w:rFonts w:hint="default" w:ascii="Times New Roman" w:hAnsi="Times New Roman" w:eastAsia="方正仿宋_GBK" w:cs="Times New Roman"/>
                <w:color w:val="000000"/>
                <w:sz w:val="21"/>
                <w:szCs w:val="21"/>
              </w:rPr>
            </w:pPr>
            <w:r>
              <w:rPr>
                <w:rFonts w:hint="default" w:ascii="仿宋_GB2312" w:eastAsia="仿宋_GB2312" w:cs="仿宋_GB2312"/>
                <w:color w:val="000000"/>
                <w:kern w:val="0"/>
                <w:sz w:val="21"/>
                <w:szCs w:val="21"/>
              </w:rPr>
              <w:t>3.纪检监察投诉：</w:t>
            </w:r>
            <w:r>
              <w:rPr>
                <w:rFonts w:hint="eastAsia" w:ascii="仿宋_GB2312" w:eastAsia="仿宋_GB2312" w:cs="仿宋_GB2312"/>
                <w:color w:val="000000"/>
                <w:kern w:val="0"/>
                <w:sz w:val="21"/>
                <w:szCs w:val="21"/>
                <w:lang w:eastAsia="zh-CN"/>
              </w:rPr>
              <w:t>区纪检</w:t>
            </w:r>
            <w:r>
              <w:rPr>
                <w:rFonts w:hint="default" w:ascii="仿宋_GB2312" w:eastAsia="仿宋_GB2312" w:cs="仿宋_GB2312"/>
                <w:color w:val="000000"/>
                <w:kern w:val="0"/>
                <w:sz w:val="21"/>
                <w:szCs w:val="21"/>
              </w:rPr>
              <w:t>驻</w:t>
            </w:r>
            <w:r>
              <w:rPr>
                <w:rFonts w:hint="eastAsia" w:ascii="仿宋_GB2312" w:eastAsia="仿宋_GB2312" w:cs="仿宋_GB2312"/>
                <w:color w:val="000000"/>
                <w:kern w:val="0"/>
                <w:sz w:val="21"/>
                <w:szCs w:val="21"/>
                <w:lang w:eastAsia="zh-CN"/>
              </w:rPr>
              <w:t>资源规划局</w:t>
            </w:r>
            <w:r>
              <w:rPr>
                <w:rFonts w:hint="default" w:ascii="仿宋_GB2312" w:eastAsia="仿宋_GB2312" w:cs="仿宋_GB2312"/>
                <w:color w:val="000000"/>
                <w:kern w:val="0"/>
                <w:sz w:val="21"/>
                <w:szCs w:val="21"/>
              </w:rPr>
              <w:t>纪检组，电话：</w:t>
            </w:r>
            <w:r>
              <w:rPr>
                <w:rFonts w:hint="eastAsia" w:ascii="仿宋_GB2312" w:eastAsia="仿宋_GB2312" w:cs="仿宋_GB2312"/>
                <w:color w:val="000000"/>
                <w:kern w:val="0"/>
                <w:sz w:val="21"/>
                <w:szCs w:val="21"/>
                <w:lang w:val="en-US" w:eastAsia="zh-CN"/>
              </w:rPr>
              <w:t>0335-6689311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86"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法定救济途径</w:t>
            </w:r>
          </w:p>
        </w:tc>
        <w:tc>
          <w:tcPr>
            <w:tcW w:w="8835" w:type="dxa"/>
            <w:gridSpan w:val="8"/>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default" w:ascii="仿宋_GB2312" w:eastAsia="仿宋_GB2312" w:cs="仿宋_GB2312"/>
                <w:color w:val="000000"/>
                <w:kern w:val="0"/>
                <w:sz w:val="21"/>
                <w:szCs w:val="21"/>
              </w:rPr>
              <w:t>1．不服处罚决定自知道该具体行政行为之日起六十日内向</w:t>
            </w:r>
            <w:r>
              <w:rPr>
                <w:rFonts w:hint="eastAsia" w:ascii="仿宋_GB2312" w:eastAsia="仿宋_GB2312" w:cs="仿宋_GB2312"/>
                <w:color w:val="000000"/>
                <w:kern w:val="0"/>
                <w:sz w:val="21"/>
                <w:szCs w:val="21"/>
                <w:lang w:eastAsia="zh-CN"/>
              </w:rPr>
              <w:t>抚宁区人民</w:t>
            </w:r>
            <w:r>
              <w:rPr>
                <w:rFonts w:hint="default" w:ascii="仿宋_GB2312" w:eastAsia="仿宋_GB2312" w:cs="仿宋_GB2312"/>
                <w:color w:val="000000"/>
                <w:kern w:val="0"/>
                <w:sz w:val="21"/>
                <w:szCs w:val="21"/>
              </w:rPr>
              <w:t>政府申请行政复议。</w:t>
            </w:r>
          </w:p>
          <w:p>
            <w:pPr>
              <w:widowControl/>
              <w:spacing w:line="240" w:lineRule="exact"/>
              <w:jc w:val="left"/>
              <w:textAlignment w:val="center"/>
              <w:rPr>
                <w:rFonts w:hint="default" w:ascii="Times New Roman" w:hAnsi="Times New Roman" w:eastAsia="方正仿宋_GBK" w:cs="Times New Roman"/>
                <w:b/>
                <w:bCs/>
                <w:color w:val="000000"/>
                <w:sz w:val="21"/>
                <w:szCs w:val="21"/>
              </w:rPr>
            </w:pPr>
            <w:r>
              <w:rPr>
                <w:rFonts w:hint="default" w:ascii="仿宋_GB2312" w:eastAsia="仿宋_GB2312" w:cs="仿宋_GB2312"/>
                <w:color w:val="000000"/>
                <w:kern w:val="0"/>
                <w:sz w:val="21"/>
                <w:szCs w:val="21"/>
              </w:rPr>
              <w:t>2．不服处罚决定应当自知道或者应当知道作出行政行为之日起六个月内提出向</w:t>
            </w:r>
            <w:r>
              <w:rPr>
                <w:rFonts w:hint="eastAsia" w:ascii="仿宋_GB2312" w:eastAsia="仿宋_GB2312" w:cs="仿宋_GB2312"/>
                <w:color w:val="000000"/>
                <w:kern w:val="0"/>
                <w:sz w:val="21"/>
                <w:szCs w:val="21"/>
                <w:lang w:eastAsia="zh-CN"/>
              </w:rPr>
              <w:t>抚宁</w:t>
            </w:r>
            <w:r>
              <w:rPr>
                <w:rFonts w:hint="default" w:ascii="仿宋_GB2312" w:eastAsia="仿宋_GB2312" w:cs="仿宋_GB2312"/>
                <w:color w:val="000000"/>
                <w:kern w:val="0"/>
                <w:sz w:val="21"/>
                <w:szCs w:val="21"/>
              </w:rPr>
              <w:t>区人民法院提起行政诉讼。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28"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备注</w:t>
            </w:r>
          </w:p>
        </w:tc>
        <w:tc>
          <w:tcPr>
            <w:tcW w:w="8835" w:type="dxa"/>
            <w:gridSpan w:val="8"/>
            <w:tcBorders>
              <w:tl2br w:val="nil"/>
              <w:tr2bl w:val="nil"/>
            </w:tcBorders>
            <w:noWrap w:val="0"/>
            <w:vAlign w:val="center"/>
          </w:tcPr>
          <w:p>
            <w:pPr>
              <w:widowControl/>
              <w:jc w:val="left"/>
              <w:textAlignment w:val="center"/>
              <w:rPr>
                <w:rFonts w:ascii="黑体" w:eastAsia="黑体" w:cs="黑体"/>
                <w:color w:val="000000"/>
                <w:kern w:val="0"/>
                <w:sz w:val="18"/>
                <w:szCs w:val="18"/>
              </w:rPr>
            </w:pPr>
          </w:p>
        </w:tc>
      </w:tr>
    </w:tbl>
    <w:p/>
    <w:bookmarkEnd w:id="0"/>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 w:name="方正小标宋简体">
    <w:altName w:val="黑体"/>
    <w:panose1 w:val="03000509000000000000"/>
    <w:charset w:val="86"/>
    <w:family w:val="script"/>
    <w:pitch w:val="default"/>
    <w:sig w:usb0="00000000" w:usb1="00000000" w:usb2="00000000" w:usb3="00000000" w:csb0="00040000" w:csb1="00000000"/>
  </w:font>
  <w:font w:name="仿宋_GB2312">
    <w:altName w:val="仿宋"/>
    <w:panose1 w:val="02010609030101010101"/>
    <w:charset w:val="86"/>
    <w:family w:val="modern"/>
    <w:pitch w:val="default"/>
    <w:sig w:usb0="00000000" w:usb1="00000000" w:usb2="00000000" w:usb3="00000000" w:csb0="00040000" w:csb1="00000000"/>
  </w:font>
  <w:font w:name="方正仿宋_GBK">
    <w:altName w:val="微软雅黑"/>
    <w:panose1 w:val="03000509000000000000"/>
    <w:charset w:val="86"/>
    <w:family w:val="auto"/>
    <w:pitch w:val="default"/>
    <w:sig w:usb0="00000000" w:usb1="00000000" w:usb2="00000000" w:usb3="00000000" w:csb0="00040000" w:csb1="00000000"/>
  </w:font>
  <w:font w:name="微软雅黑">
    <w:panose1 w:val="020B0503020204020204"/>
    <w:charset w:val="86"/>
    <w:family w:val="auto"/>
    <w:pitch w:val="default"/>
    <w:sig w:usb0="80000287" w:usb1="2ACF3C50" w:usb2="00000016" w:usb3="00000000" w:csb0="0004001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GQxYzA2ZGVmY2JkNzY1NTZmY2UxMzMwYWM1OTk4YzkifQ=="/>
  </w:docVars>
  <w:rsids>
    <w:rsidRoot w:val="5C4864A9"/>
    <w:rsid w:val="154A2FFE"/>
    <w:rsid w:val="17FF6CC1"/>
    <w:rsid w:val="2F8C268B"/>
    <w:rsid w:val="3D477897"/>
    <w:rsid w:val="483F6EFA"/>
    <w:rsid w:val="4DA41071"/>
    <w:rsid w:val="51F97D72"/>
    <w:rsid w:val="5A85128E"/>
    <w:rsid w:val="5C4864A9"/>
    <w:rsid w:val="6D9D06E2"/>
    <w:rsid w:val="73DB1B03"/>
    <w:rsid w:val="78760F2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Arial"/>
      <w:kern w:val="2"/>
      <w:sz w:val="21"/>
      <w:szCs w:val="24"/>
      <w:lang w:val="en-US" w:eastAsia="zh-CN" w:bidi="ar-SA"/>
    </w:rPr>
  </w:style>
  <w:style w:type="character" w:default="1" w:styleId="3">
    <w:name w:val="Default Paragraph Font"/>
    <w:semiHidden/>
    <w:uiPriority w:val="0"/>
  </w:style>
  <w:style w:type="table" w:default="1" w:styleId="2">
    <w:name w:val="Normal Table"/>
    <w:semiHidden/>
    <w:qFormat/>
    <w:uiPriority w:val="0"/>
    <w:tblPr>
      <w:tblCellMar>
        <w:top w:w="0" w:type="dxa"/>
        <w:left w:w="108" w:type="dxa"/>
        <w:bottom w:w="0" w:type="dxa"/>
        <w:right w:w="108" w:type="dxa"/>
      </w:tblCellMar>
    </w:tbl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theme/theme1.xml" Type="http://schemas.openxmlformats.org/officeDocument/2006/relationships/theme"/><Relationship Id="rId4" Target="fontTable.xml" Type="http://schemas.openxmlformats.org/officeDocument/2006/relationships/fontTable"/></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Office_12.1.0.15946_F1E327BC-269C-435d-A152-05C5408002CA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2023-12-11T05:59:00Z</dcterms:created>
  <dc:creator>大地欢歌</dc:creator>
  <cp:lastModifiedBy>大地欢歌</cp:lastModifiedBy>
  <dcterms:modified xsi:type="dcterms:W3CDTF">2023-12-12T03:01:41Z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2052-12.1.0.15946</vt:lpwstr>
  </property>
  <property fmtid="{D5CDD505-2E9C-101B-9397-08002B2CF9AE}" pid="3" name="ICV">
    <vt:lpwstr>AB49ED4AC4804856B0EFE47C86F3C77F_13</vt:lpwstr>
  </property>
</Properties>
</file>