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对国家、省重点保护的陆生野生动物猎捕的行政处罚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0"/>
                <w:szCs w:val="20"/>
                <w:u w:val="none"/>
                <w:lang w:val="en-US" w:eastAsia="zh-CN" w:bidi="ar"/>
              </w:rPr>
            </w:pPr>
            <w:r>
              <w:rPr>
                <w:rFonts w:hint="eastAsia" w:ascii="仿宋_GB2312" w:hAnsi="仿宋_GB2312" w:eastAsia="仿宋_GB2312" w:cs="仿宋_GB2312"/>
                <w:i w:val="0"/>
                <w:color w:val="auto"/>
                <w:kern w:val="0"/>
                <w:sz w:val="20"/>
                <w:szCs w:val="20"/>
                <w:u w:val="none"/>
                <w:lang w:val="en-US" w:eastAsia="zh-CN" w:bidi="ar"/>
              </w:rPr>
              <w:t>《中华人民共和国野生动物保护法》第四十五条违反本法第二十条、第二十一条、第二十三条第一款、第二十四条第一款规定，在相关自然保护区域、禁猎（渔）区、禁猎（渔）期猎捕国家重点保护野生动物，未取得特许猎捕证、未按照特许猎捕证规定猎捕、杀害国家重点保护野生动物，或者使用禁用的工具、方法猎捕国家重点保护野生动物的，由县级以上人民政府野生动物保护主管部门、海洋执法部门或者有关保护区域管理机构按照职责分工没收猎获物、猎捕工具和违法所得，吊销特许猎捕证，并处猎获物价值二倍以上十倍以下的罚款；没有猎获物的，并处一万元以上五万元以下的罚款；构成犯罪的，依法追究刑事责任。</w:t>
            </w:r>
            <w:r>
              <w:rPr>
                <w:rFonts w:hint="eastAsia" w:ascii="仿宋_GB2312" w:hAnsi="仿宋_GB2312" w:eastAsia="仿宋_GB2312" w:cs="仿宋_GB2312"/>
                <w:i w:val="0"/>
                <w:color w:val="auto"/>
                <w:kern w:val="0"/>
                <w:sz w:val="20"/>
                <w:szCs w:val="20"/>
                <w:u w:val="none"/>
                <w:lang w:val="en-US" w:eastAsia="zh-CN" w:bidi="ar"/>
              </w:rPr>
              <w:br w:type="textWrapping"/>
            </w:r>
            <w:r>
              <w:rPr>
                <w:rFonts w:hint="eastAsia" w:ascii="仿宋_GB2312" w:hAnsi="仿宋_GB2312" w:eastAsia="仿宋_GB2312" w:cs="仿宋_GB2312"/>
                <w:i w:val="0"/>
                <w:color w:val="auto"/>
                <w:kern w:val="0"/>
                <w:sz w:val="20"/>
                <w:szCs w:val="20"/>
                <w:u w:val="none"/>
                <w:lang w:val="en-US" w:eastAsia="zh-CN" w:bidi="ar"/>
              </w:rPr>
              <w:t>《陆生野生动物保护实施条例》 第三十二条　非法捕杀国家重点保护野生动物的，依照刑法有关规定追究刑事责任；情节显著轻微危害不大的，或者犯罪情节轻微不需要判处刑罚的，由野生动物行政主管部门没收猎获物、猎捕工具和违法所得，吊销特许猎捕证，并处以相当于猎获物价值10倍以下的罚款，没有猎获物的处1万元以下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Pr>
        <w:widowControl/>
        <w:jc w:val="both"/>
        <w:textAlignment w:val="center"/>
        <w:rPr>
          <w:rFonts w:hint="eastAsia" w:ascii="方正小标宋简体" w:eastAsia="方正小标宋简体" w:cs="方正小标宋简体"/>
          <w:color w:val="000000"/>
          <w:kern w:val="0"/>
          <w:sz w:val="44"/>
          <w:szCs w:val="44"/>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13D54396"/>
    <w:rsid w:val="154A2FFE"/>
    <w:rsid w:val="17FF6CC1"/>
    <w:rsid w:val="1C844F99"/>
    <w:rsid w:val="2F8C268B"/>
    <w:rsid w:val="312928DF"/>
    <w:rsid w:val="36630549"/>
    <w:rsid w:val="3D477897"/>
    <w:rsid w:val="483F6EFA"/>
    <w:rsid w:val="4DA41071"/>
    <w:rsid w:val="51F97D72"/>
    <w:rsid w:val="5A85128E"/>
    <w:rsid w:val="5BCD28AA"/>
    <w:rsid w:val="5C4864A9"/>
    <w:rsid w:val="69B471CE"/>
    <w:rsid w:val="6D9D06E2"/>
    <w:rsid w:val="6F260569"/>
    <w:rsid w:val="73DB1B03"/>
    <w:rsid w:val="78760F2E"/>
    <w:rsid w:val="791D3642"/>
    <w:rsid w:val="79674B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2023-12-12T03:06:02Z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2F28AF961A25484FBB4F44577717B690_13</vt:lpwstr>
  </property>
</Properties>
</file>