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对非国家重点和非省重点保护的陆生野生动物猎捕的行政处罚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中华人民共和国野生动物保护法》第四十六条违反本法第二十条、第二十二条、第二十三条第一款、第二十四条第一款规定，在相关自然保护区域、禁猎（渔）区、禁猎（渔）期猎捕非国家重点保护野生动物，未取得狩猎证、未按照狩猎证规定猎捕非国家重点保护野生动物，或者使用禁用的工具、方法猎捕非国家重点保护野生动物的，由县级以上地方人民政府野生动物保护主管部门或者有关保护区域管理机构按照职责分工没收猎获物、猎捕工具和违法所得，吊销狩猎证，并处猎获物价值一倍以上五倍以下的罚款；没有猎获物的，并处二千元以上一万元以下的罚款；构成犯罪的，依法追究刑事责任。</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《中华人民共和国陆生野生动物保护实施条例》 第三十三条　违反野生动物保护法规，在禁猎区、禁猎期或者使用禁用的工具、方法猎捕非国家重点保护野生动物，依照《中华人民共和国野生动物保护法》第三十二条的规定处以罚款的，按照下列规定执行：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（一）有猎获物的，处以相当于猎获物价值8倍以下的罚款；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（二）没有猎获物的，处2000元以下罚款。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第三十四条　违反野生动物保护法规，未取得狩猎证或者未按照狩猎证规定猎捕非国家重点保护野生动物，依照《中华人民共和国野生动物保护法》第三十三条的规定处以罚款的，按照下列规定执行：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（一）有猎获物的，处以相当于猎获物价值5倍以下的罚款；</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18"/>
                <w:szCs w:val="18"/>
                <w:u w:val="none"/>
                <w:lang w:val="en-US" w:eastAsia="zh-CN" w:bidi="ar"/>
              </w:rPr>
              <w:t>（二）没有猎获物的，处1000元以下罚款。</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对非国家重点和非省重点保护的陆生野生动物猎捕的行政处罚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D387F9E"/>
    <w:rsid w:val="13D54396"/>
    <w:rsid w:val="154A2FFE"/>
    <w:rsid w:val="17FF6CC1"/>
    <w:rsid w:val="1C844F99"/>
    <w:rsid w:val="2F8C268B"/>
    <w:rsid w:val="312928DF"/>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AB75754B589249E39ABE203B335BE5C2_13</vt:lpwstr>
  </property>
</Properties>
</file>