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对侵占、破坏、非法采集或采伐国家重点保护林木天然种质资源的行政处罚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《中华人民共和国种子法》第八十条 违反本法第八条规定，侵占、破坏种质资源，私自采集或者采伐国家重点保护的天然种质资源的，由县级以上人民政府农业、林业主管部门责令停止违法行为，没收种质资源和违法所得，并处五千元以上五万元以下罚款；造成损失的，依法承担赔偿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20358DB"/>
    <w:rsid w:val="2ADE14E1"/>
    <w:rsid w:val="2C8F68B4"/>
    <w:rsid w:val="2E3624DD"/>
    <w:rsid w:val="2EC830D0"/>
    <w:rsid w:val="2F8C268B"/>
    <w:rsid w:val="312928DF"/>
    <w:rsid w:val="36630549"/>
    <w:rsid w:val="369D33CF"/>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1F89C50FC49E47B6BCA68956CCD93B0D_13</vt:lpwstr>
  </property>
</Properties>
</file>