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对抢采掠青、损坏母树或者在劣质林内和劣质母树上采种的行政处罚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《中华人民共和国种子法》第八十二条 违反本法第三十五条规定，抢采掠青、损坏母树或者在劣质林内、劣质母树上采种的，由县级以上人民政府林业主管部门责令停止采种行为，没收所采种子，并处所采种子货值金额二倍以上五倍以下罚款。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20358DB"/>
    <w:rsid w:val="2ADE14E1"/>
    <w:rsid w:val="2C8F68B4"/>
    <w:rsid w:val="2E3624DD"/>
    <w:rsid w:val="2EC830D0"/>
    <w:rsid w:val="2F8C268B"/>
    <w:rsid w:val="312928DF"/>
    <w:rsid w:val="36630549"/>
    <w:rsid w:val="369D33CF"/>
    <w:rsid w:val="378E47B3"/>
    <w:rsid w:val="3BC046A9"/>
    <w:rsid w:val="3D477897"/>
    <w:rsid w:val="3E484EBC"/>
    <w:rsid w:val="3E962A3C"/>
    <w:rsid w:val="40F3251B"/>
    <w:rsid w:val="48357205"/>
    <w:rsid w:val="483F6EFA"/>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A6946E95266E42E1BF7FE2A930E93167_13</vt:lpwstr>
  </property>
</Properties>
</file>