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对未经批准利用森林资源开展旅游活动或者建立森林公园的处罚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《河北省实施&lt;中华人民共和国森林法&gt;办法》第四十一条 违反本办法规定，未经批准利用森林资源开展旅游活动或者建立森林公园的，由设区的市以上人民政府林业主管部门责令停止违法行为，限期恢复原状，没收违法所得。并可以要求依法赔偿损失。造成森林和林木毁坏的，依照《中华人民共和国森林法》第四十四条规定处理。</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DBD709A"/>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8357205"/>
    <w:rsid w:val="483F6EFA"/>
    <w:rsid w:val="48F232BB"/>
    <w:rsid w:val="49C04C0E"/>
    <w:rsid w:val="4A743FEF"/>
    <w:rsid w:val="4C4D68A6"/>
    <w:rsid w:val="4DA41071"/>
    <w:rsid w:val="4FE17A31"/>
    <w:rsid w:val="51F97D72"/>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6EF7E9E1802A4FC995FF9BDA90D074BD_13</vt:lpwstr>
  </property>
</Properties>
</file>