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对古树名木采取擅自采伐、移植，剥皮、挖根、折枝，悬挂重物或者借用树干为支撑物，在古树名木保护范围内采石、挖沙、取土、铺设管线、堆放和倾倒有毒有害物体等其他损害古树名木的行为的处罚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《河北省古树名木保护办法》 第二十六条 禁止下列损害古树名木的行为：（一）擅自采伐、移植；（二）剥皮、挖根、折枝；</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（三）悬挂重物或者借用树干为支撑物；</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（四）在古树名木保护范围内采石、挖沙、取土、铺设管线、堆放和倾倒有毒有害物体；（五）其他损害古树名木的行为。第二十九条 违反本办法第二十六条规定，《中华人民共和国森林法》和《城市绿化条例》等法律、法规已经规定法律责任的，从其规定；未规定法律责任的，由县级以上人民政府古树名木主管部门处二百元以上一千元以下罚款；造成损失的，依法承担赔偿责任；构成犯罪的，依法追究刑事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A743FEF"/>
    <w:rsid w:val="4C4D68A6"/>
    <w:rsid w:val="4DA41071"/>
    <w:rsid w:val="4FE17A31"/>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3841E20896A74477AC1771D6058AB5AF_13</vt:lpwstr>
  </property>
</Properties>
</file>