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对未经批准的区域使用“风景名胜区”字样的行政处罚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《河北省风景名胜区条例》 第三十八条 违反本条例规定，在未经批准的区域使用“风景名胜区”字样的，由县级以上人民政府风景名胜区主管部门责令改正；拒不改正的，处以五千元以上两万元以下的罚款。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A743FEF"/>
    <w:rsid w:val="4C4D68A6"/>
    <w:rsid w:val="4DA41071"/>
    <w:rsid w:val="4FE17A31"/>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D0B4D24FE34745A3AB63AF66875EAB0C_13</vt:lpwstr>
  </property>
</Properties>
</file>