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买卖或者以其他形式非法转让草原的处罚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《中华人民共和国草原法》)第六十四条 买卖或者以其他形式非法转让草原，构成犯罪的，依法追究刑事责任；尚不够刑事处罚的，由县级以上人民政府草原行政主管部门依据职权责令限期改正，没收违法所得，并处违法所得一倍以上五倍以下的罚款。</w:t>
            </w:r>
            <w:r>
              <w:rPr>
                <w:rFonts w:hint="eastAsia" w:ascii="仿宋_GB2312" w:hAnsi="仿宋_GB2312" w:eastAsia="仿宋_GB2312" w:cs="仿宋_GB2312"/>
                <w:i w:val="0"/>
                <w:color w:val="FF0000"/>
                <w:kern w:val="0"/>
                <w:sz w:val="21"/>
                <w:szCs w:val="21"/>
                <w:u w:val="none"/>
                <w:lang w:val="en-US" w:eastAsia="zh-CN" w:bidi="ar"/>
              </w:rPr>
              <w:t xml:space="preserve"> </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C4D68A6"/>
    <w:rsid w:val="4DA41071"/>
    <w:rsid w:val="4FE17A31"/>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A4C812E1E0C345DAB2F262E51EBC7BD4_13</vt:lpwstr>
  </property>
</Properties>
</file>