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采挖植物或者从事破坏草原植被的其他活动的处罚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《中华人民共和国草原法》第六十七条 在荒漠、半荒漠和严重退化、沙化、盐碱化、石漠化、水土流失的草原，以及生态脆弱区的草原上采挖植物或者从事破坏草原植被的其他活动的，由县级以上地方人民政府草原行政主管部门依据职权责令停止违法行为，没收非法财物和违法所得，可以并处违法所得一倍以上五倍以下的罚款；没有违法所得的，可以并处五万元以下的罚款；给草原所有者或者使用者造成损失的，依法承担赔偿责任。</w:t>
            </w:r>
            <w:r>
              <w:rPr>
                <w:rFonts w:hint="eastAsia" w:ascii="仿宋_GB2312" w:hAnsi="仿宋_GB2312" w:eastAsia="仿宋_GB2312" w:cs="仿宋_GB2312"/>
                <w:i w:val="0"/>
                <w:color w:val="000000"/>
                <w:kern w:val="0"/>
                <w:sz w:val="21"/>
                <w:szCs w:val="21"/>
                <w:u w:val="none"/>
                <w:lang w:val="en-US" w:eastAsia="zh-CN" w:bidi="ar"/>
              </w:rPr>
              <w:t xml:space="preserve">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B71E3"/>
    <w:rsid w:val="08344B05"/>
    <w:rsid w:val="0A5D760D"/>
    <w:rsid w:val="0BE74F15"/>
    <w:rsid w:val="0C215FF4"/>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2023-12-12T05:40:55Z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BF47CE365FC14A978D83D3C147984FEB_13</vt:lpwstr>
  </property>
</Properties>
</file>