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对用带有危险性病虫害的林木种苗进行育苗、造林（建园），以及发生森林病虫害不除治或者除治不力，造成森林病虫害蔓延成灾的处罚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《河北省森林病虫害防治实施办法》 第十六条 违反本法的规定，用带有危险性病虫害的林木种苗进行育苗、造林（建园），以及发生森林病虫害不除治或者除治不力，造成森林病虫害蔓延成灾的，有县级以上人民政府林业主管部门或者其授权的单位责令期限除治、赔偿损失，并可处以一百元至二百元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29746A"/>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E3653EC"/>
    <w:rsid w:val="60AF33AD"/>
    <w:rsid w:val="617E0582"/>
    <w:rsid w:val="61C06A6D"/>
    <w:rsid w:val="62EB2CD8"/>
    <w:rsid w:val="630E1F93"/>
    <w:rsid w:val="63785DBF"/>
    <w:rsid w:val="69B471CE"/>
    <w:rsid w:val="6A4B4E73"/>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EF8B4CDAD85D43E7A8C469787F779EAA_13</vt:lpwstr>
  </property>
</Properties>
</file>