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r>
        <w:rPr>
          <w:rFonts w:hint="eastAsia" w:ascii="方正小标宋简体" w:eastAsia="方正小标宋简体" w:cs="方正小标宋简体"/>
          <w:color w:val="000000"/>
          <w:kern w:val="0"/>
          <w:sz w:val="44"/>
          <w:szCs w:val="44"/>
        </w:rPr>
        <w:t>履职行权规程</w:t>
      </w:r>
      <w:bookmarkStart w:id="0" w:name="_GoBack"/>
      <w:bookmarkEnd w:id="0"/>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465"/>
        <w:gridCol w:w="874"/>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noWrap w:val="0"/>
            <w:vAlign w:val="center"/>
          </w:tcPr>
          <w:p>
            <w:pPr>
              <w:jc w:val="center"/>
              <w:rPr>
                <w:rFonts w:ascii="黑体" w:eastAsia="黑体" w:cs="黑体"/>
                <w:b/>
                <w:bCs/>
                <w:color w:val="000000"/>
                <w:szCs w:val="21"/>
              </w:rPr>
            </w:pPr>
          </w:p>
        </w:tc>
        <w:tc>
          <w:tcPr>
            <w:tcW w:w="1691" w:type="dxa"/>
            <w:tcBorders>
              <w:tl2br w:val="nil"/>
              <w:tr2bl w:val="nil"/>
            </w:tcBorders>
            <w:noWrap w:val="0"/>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noWrap w:val="0"/>
            <w:vAlign w:val="center"/>
          </w:tcPr>
          <w:p>
            <w:pPr>
              <w:widowControl/>
              <w:jc w:val="center"/>
              <w:textAlignment w:val="center"/>
              <w:rPr>
                <w:rFonts w:ascii="仿宋_GB2312" w:eastAsia="仿宋_GB2312" w:cs="仿宋_GB2312"/>
                <w:color w:val="000000"/>
                <w:kern w:val="0"/>
                <w:sz w:val="18"/>
                <w:szCs w:val="18"/>
              </w:rPr>
            </w:pPr>
            <w:r>
              <w:rPr>
                <w:rFonts w:hint="eastAsia" w:ascii="仿宋_GB2312" w:eastAsia="仿宋_GB2312" w:cs="仿宋_GB2312"/>
                <w:color w:val="000000"/>
                <w:kern w:val="0"/>
                <w:sz w:val="18"/>
                <w:szCs w:val="18"/>
              </w:rPr>
              <w:t>行政处罚</w:t>
            </w:r>
          </w:p>
        </w:tc>
        <w:tc>
          <w:tcPr>
            <w:tcW w:w="1457" w:type="dxa"/>
            <w:gridSpan w:val="2"/>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2033" w:type="dxa"/>
            <w:gridSpan w:val="2"/>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_GB2312" w:eastAsia="仿宋_GB2312" w:cs="仿宋_GB2312"/>
                <w:color w:val="000000"/>
                <w:kern w:val="0"/>
                <w:sz w:val="18"/>
                <w:szCs w:val="18"/>
                <w:lang w:eastAsia="zh-CN"/>
              </w:rPr>
              <w:t>抚宁区自然资源和规划局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05"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noWrap w:val="0"/>
            <w:vAlign w:val="center"/>
          </w:tcPr>
          <w:p>
            <w:pPr>
              <w:widowControl/>
              <w:jc w:val="center"/>
              <w:textAlignment w:val="center"/>
              <w:rPr>
                <w:rFonts w:hint="eastAsia" w:ascii="仿宋_GB2312" w:eastAsia="仿宋_GB2312" w:cs="仿宋_GB2312"/>
                <w:color w:val="000000"/>
                <w:kern w:val="0"/>
                <w:sz w:val="21"/>
                <w:szCs w:val="21"/>
                <w:lang w:eastAsia="zh-CN"/>
              </w:rPr>
            </w:pPr>
            <w:r>
              <w:rPr>
                <w:rFonts w:hint="eastAsia" w:ascii="仿宋_GB2312" w:hAnsi="仿宋_GB2312" w:eastAsia="仿宋_GB2312" w:cs="仿宋_GB2312"/>
                <w:i w:val="0"/>
                <w:color w:val="000000"/>
                <w:kern w:val="0"/>
                <w:sz w:val="21"/>
                <w:szCs w:val="21"/>
                <w:u w:val="none"/>
                <w:lang w:val="en-US" w:eastAsia="zh-CN" w:bidi="ar"/>
              </w:rPr>
              <w:t>对未依法办理《植物检疫证书》的行政处罚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noWrap w:val="0"/>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164"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履职依据</w:t>
            </w:r>
          </w:p>
        </w:tc>
        <w:tc>
          <w:tcPr>
            <w:tcW w:w="8835" w:type="dxa"/>
            <w:gridSpan w:val="8"/>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【法律法规】</w:t>
            </w:r>
          </w:p>
          <w:p>
            <w:pPr>
              <w:widowControl/>
              <w:numPr>
                <w:ilvl w:val="0"/>
                <w:numId w:val="1"/>
              </w:numPr>
              <w:spacing w:line="240" w:lineRule="exact"/>
              <w:jc w:val="left"/>
              <w:textAlignment w:val="center"/>
              <w:rPr>
                <w:rFonts w:hint="eastAsia" w:ascii="仿宋_GB2312" w:hAnsi="仿宋_GB2312" w:eastAsia="仿宋_GB2312" w:cs="仿宋_GB2312"/>
                <w:i w:val="0"/>
                <w:color w:val="000000"/>
                <w:kern w:val="0"/>
                <w:sz w:val="21"/>
                <w:szCs w:val="21"/>
                <w:u w:val="none"/>
                <w:lang w:val="en-US" w:eastAsia="zh-CN" w:bidi="ar"/>
              </w:rPr>
            </w:pPr>
            <w:r>
              <w:rPr>
                <w:rFonts w:hint="eastAsia" w:ascii="仿宋_GB2312" w:hAnsi="仿宋_GB2312" w:eastAsia="仿宋_GB2312" w:cs="仿宋_GB2312"/>
                <w:i w:val="0"/>
                <w:color w:val="000000"/>
                <w:kern w:val="0"/>
                <w:sz w:val="21"/>
                <w:szCs w:val="21"/>
                <w:u w:val="none"/>
                <w:lang w:val="en-US" w:eastAsia="zh-CN" w:bidi="ar"/>
              </w:rPr>
              <w:t>《植物检疫条例》（1992年5月13日国务院令第98号发布,2017年10月7日修正第十八条 有下列行为之一的，植物检疫机构应当责令纠正，可以处以罚款；造成损失的，应当负责赔偿；构成犯罪的，由司法机关依法追究刑事责任：（一）未依照本条例规定办理植物检疫证书或者在报检过程中弄虚作假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2.《植物检疫条例实施细则》（林业部分）（1994年7月26日原林业部令第4号,2011年1月25日国家林业局令第26号修改,第三十条 有下列行为之一的，森检机构应当责令纠正，可以处以50元至2000元罚款；造成损失的，应当责令赔偿，构成犯罪的，由司法机关依法追究刑事责任： （一）未依照规定办理《植物检疫证书》或者在报检过程中弄虚作假的。</w:t>
            </w:r>
          </w:p>
          <w:p>
            <w:pPr>
              <w:widowControl/>
              <w:numPr>
                <w:ilvl w:val="0"/>
                <w:numId w:val="0"/>
              </w:numPr>
              <w:spacing w:line="240" w:lineRule="exact"/>
              <w:jc w:val="left"/>
              <w:textAlignment w:val="center"/>
              <w:rPr>
                <w:rFonts w:hint="eastAsia" w:ascii="仿宋_GB2312" w:eastAsia="仿宋_GB2312" w:cs="仿宋_GB2312"/>
                <w:color w:val="000000"/>
                <w:kern w:val="0"/>
                <w:sz w:val="21"/>
                <w:szCs w:val="21"/>
              </w:rPr>
            </w:pPr>
            <w:r>
              <w:rPr>
                <w:rFonts w:hint="eastAsia" w:ascii="仿宋_GB2312" w:eastAsia="仿宋_GB2312" w:cs="仿宋_GB2312"/>
                <w:color w:val="000000"/>
                <w:kern w:val="0"/>
                <w:sz w:val="21"/>
                <w:szCs w:val="21"/>
              </w:rPr>
              <w:t>【三定规定】</w:t>
            </w:r>
          </w:p>
          <w:p>
            <w:pPr>
              <w:widowControl/>
              <w:spacing w:line="240" w:lineRule="exact"/>
              <w:jc w:val="left"/>
              <w:textAlignment w:val="center"/>
              <w:rPr>
                <w:rFonts w:ascii="仿宋_GB2312" w:eastAsia="仿宋_GB2312" w:cs="黑体"/>
                <w:b/>
                <w:bCs/>
                <w:color w:val="000000"/>
                <w:sz w:val="21"/>
                <w:szCs w:val="21"/>
              </w:rPr>
            </w:pPr>
            <w:r>
              <w:rPr>
                <w:rFonts w:hint="eastAsia" w:ascii="仿宋_GB2312" w:eastAsia="仿宋_GB2312" w:cs="仿宋_GB2312"/>
                <w:color w:val="000000"/>
                <w:kern w:val="0"/>
                <w:sz w:val="21"/>
                <w:szCs w:val="21"/>
                <w:lang w:eastAsia="zh-CN"/>
              </w:rPr>
              <w:t>抚编批字</w:t>
            </w:r>
            <w:r>
              <w:rPr>
                <w:rFonts w:hint="default" w:ascii="仿宋_GB2312" w:eastAsia="仿宋_GB2312" w:cs="仿宋_GB2312"/>
                <w:color w:val="000000"/>
                <w:kern w:val="0"/>
                <w:sz w:val="21"/>
                <w:szCs w:val="21"/>
              </w:rPr>
              <w:t>〔20</w:t>
            </w:r>
            <w:r>
              <w:rPr>
                <w:rFonts w:hint="eastAsia" w:ascii="仿宋_GB2312" w:eastAsia="仿宋_GB2312" w:cs="仿宋_GB2312"/>
                <w:color w:val="000000"/>
                <w:kern w:val="0"/>
                <w:sz w:val="21"/>
                <w:szCs w:val="21"/>
                <w:lang w:val="en-US" w:eastAsia="zh-CN"/>
              </w:rPr>
              <w:t>20</w:t>
            </w:r>
            <w:r>
              <w:rPr>
                <w:rFonts w:hint="default" w:ascii="仿宋_GB2312" w:eastAsia="仿宋_GB2312" w:cs="仿宋_GB2312"/>
                <w:color w:val="000000"/>
                <w:kern w:val="0"/>
                <w:sz w:val="21"/>
                <w:szCs w:val="21"/>
              </w:rPr>
              <w:t>〕</w:t>
            </w:r>
            <w:r>
              <w:rPr>
                <w:rFonts w:hint="eastAsia" w:ascii="仿宋_GB2312" w:eastAsia="仿宋_GB2312" w:cs="仿宋_GB2312"/>
                <w:color w:val="000000"/>
                <w:kern w:val="0"/>
                <w:sz w:val="21"/>
                <w:szCs w:val="21"/>
                <w:lang w:val="en-US" w:eastAsia="zh-CN"/>
              </w:rPr>
              <w:t>1</w:t>
            </w:r>
            <w:r>
              <w:rPr>
                <w:rFonts w:hint="default" w:ascii="仿宋_GB2312" w:eastAsia="仿宋_GB2312" w:cs="仿宋_GB2312"/>
                <w:color w:val="000000"/>
                <w:kern w:val="0"/>
                <w:sz w:val="21"/>
                <w:szCs w:val="21"/>
              </w:rPr>
              <w:t>1号</w:t>
            </w:r>
            <w:r>
              <w:rPr>
                <w:rFonts w:hint="eastAsia" w:ascii="仿宋_GB2312" w:eastAsia="仿宋_GB2312" w:cs="仿宋_GB2312"/>
                <w:color w:val="000000"/>
                <w:kern w:val="0"/>
                <w:sz w:val="21"/>
                <w:szCs w:val="21"/>
                <w:lang w:eastAsia="zh-CN"/>
              </w:rPr>
              <w:t>二、</w:t>
            </w:r>
            <w:r>
              <w:rPr>
                <w:rFonts w:hint="eastAsia" w:ascii="仿宋_GB2312" w:eastAsia="仿宋_GB2312" w:cs="仿宋_GB2312"/>
                <w:color w:val="000000"/>
                <w:kern w:val="0"/>
                <w:sz w:val="21"/>
                <w:szCs w:val="21"/>
                <w:lang w:val="en-US" w:eastAsia="zh-CN"/>
              </w:rPr>
              <w:t>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12" w:hRule="atLeast"/>
          <w:jc w:val="center"/>
        </w:trPr>
        <w:tc>
          <w:tcPr>
            <w:tcW w:w="1463" w:type="dxa"/>
            <w:vMerge w:val="restart"/>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办理环节</w:t>
            </w:r>
          </w:p>
        </w:tc>
        <w:tc>
          <w:tcPr>
            <w:tcW w:w="5287" w:type="dxa"/>
            <w:gridSpan w:val="4"/>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kern w:val="0"/>
                <w:sz w:val="21"/>
                <w:szCs w:val="21"/>
              </w:rPr>
              <w:t>办理内容</w:t>
            </w:r>
          </w:p>
        </w:tc>
        <w:tc>
          <w:tcPr>
            <w:tcW w:w="1339" w:type="dxa"/>
            <w:gridSpan w:val="2"/>
            <w:tcBorders>
              <w:tl2br w:val="nil"/>
              <w:tr2bl w:val="nil"/>
            </w:tcBorders>
            <w:noWrap w:val="0"/>
            <w:vAlign w:val="center"/>
          </w:tcPr>
          <w:p>
            <w:pPr>
              <w:widowControl/>
              <w:jc w:val="center"/>
              <w:textAlignment w:val="center"/>
              <w:rPr>
                <w:rFonts w:ascii="黑体" w:eastAsia="黑体" w:cs="黑体"/>
                <w:b/>
                <w:bCs/>
                <w:color w:val="000000"/>
                <w:sz w:val="21"/>
                <w:szCs w:val="21"/>
              </w:rPr>
            </w:pPr>
            <w:r>
              <w:rPr>
                <w:rFonts w:hint="eastAsia" w:ascii="黑体" w:eastAsia="黑体" w:cs="黑体"/>
                <w:b/>
                <w:bCs/>
                <w:color w:val="000000"/>
                <w:sz w:val="21"/>
                <w:szCs w:val="21"/>
              </w:rPr>
              <w:t>办理时限</w:t>
            </w:r>
          </w:p>
        </w:tc>
        <w:tc>
          <w:tcPr>
            <w:tcW w:w="1159" w:type="dxa"/>
            <w:tcBorders>
              <w:tl2br w:val="nil"/>
              <w:tr2bl w:val="nil"/>
            </w:tcBorders>
            <w:noWrap w:val="0"/>
            <w:vAlign w:val="center"/>
          </w:tcPr>
          <w:p>
            <w:pPr>
              <w:widowControl/>
              <w:jc w:val="center"/>
              <w:textAlignment w:val="center"/>
              <w:rPr>
                <w:rFonts w:ascii="黑体" w:eastAsia="黑体" w:cs="黑体"/>
                <w:b/>
                <w:bCs/>
                <w:color w:val="000000"/>
                <w:kern w:val="0"/>
                <w:sz w:val="21"/>
                <w:szCs w:val="21"/>
              </w:rPr>
            </w:pPr>
            <w:r>
              <w:rPr>
                <w:rFonts w:hint="eastAsia" w:ascii="黑体" w:eastAsia="黑体" w:cs="黑体"/>
                <w:b/>
                <w:bCs/>
                <w:color w:val="000000"/>
                <w:kern w:val="0"/>
                <w:sz w:val="21"/>
                <w:szCs w:val="21"/>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40"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立案</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发现涉嫌拒绝、阻碍县级以上人民政府林业主管部门依法实施监督检查的违法行为（或者其他机关移送的违法案件等），予以审查，决定是否立案。</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调查取证</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对立案的案件，指定专人负责，及时组织调查取证，与当事人有直接利害关系的应当回避。执法人员不得少于两人，调查时应出示执法证件，允许当事人辩解陈述。执法人员应保守有关秘密。</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审查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审理案件调查报告，对案件违法事实、证据、调查取证程序、法律适用、处罚种类和幅度、当事人陈述和申辩理由等方面进行审查，提出处理意见（主要证据不足时，以适当的方式补充调查）。</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综合办公室政策法规股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告知</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作出行政处罚决定前，应告知当事人作出行政处罚决定的事实、理由及依据，并告知当事人依法享有的权利。符合听证规定，当事人要求听证的，应当组织听证。</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决定</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制作行政处罚决定书，载明行政处罚告知、当事人陈述申辩或者听证情况等内容。</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rPr>
              <w:t>送达</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行政处罚决定书按法律规定的方式送达当事人。信息公开。</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eastAsia" w:ascii="仿宋_GB2312" w:eastAsia="仿宋_GB2312" w:cs="仿宋_GB2312"/>
                <w:color w:val="000000"/>
                <w:kern w:val="0"/>
                <w:sz w:val="21"/>
                <w:szCs w:val="21"/>
                <w:lang w:eastAsia="zh-CN"/>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执行</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依照生效的行政处罚决定，予以罚款和责令停产停业整顿。</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noWrap w:val="0"/>
            <w:vAlign w:val="center"/>
          </w:tcPr>
          <w:p/>
        </w:tc>
        <w:tc>
          <w:tcPr>
            <w:tcW w:w="1050" w:type="dxa"/>
            <w:tcBorders>
              <w:tl2br w:val="nil"/>
              <w:tr2bl w:val="nil"/>
            </w:tcBorders>
            <w:noWrap w:val="0"/>
            <w:vAlign w:val="center"/>
          </w:tcPr>
          <w:p>
            <w:pPr>
              <w:jc w:val="center"/>
              <w:rPr>
                <w:rFonts w:hint="eastAsia" w:ascii="黑体" w:hAnsi="黑体" w:eastAsia="黑体" w:cs="黑体"/>
                <w:color w:val="000000"/>
                <w:sz w:val="21"/>
                <w:szCs w:val="21"/>
              </w:rPr>
            </w:pPr>
            <w:r>
              <w:rPr>
                <w:rFonts w:hint="eastAsia" w:ascii="黑体" w:hAnsi="黑体" w:eastAsia="黑体" w:cs="黑体"/>
                <w:color w:val="000000"/>
                <w:sz w:val="21"/>
                <w:szCs w:val="21"/>
                <w:lang w:eastAsia="zh-CN"/>
              </w:rPr>
              <w:t>其他</w:t>
            </w:r>
          </w:p>
        </w:tc>
        <w:tc>
          <w:tcPr>
            <w:tcW w:w="5287" w:type="dxa"/>
            <w:gridSpan w:val="4"/>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hAnsi="仿宋_GB2312" w:eastAsia="仿宋_GB2312" w:cs="仿宋_GB2312"/>
                <w:i w:val="0"/>
                <w:color w:val="000000"/>
                <w:kern w:val="0"/>
                <w:sz w:val="21"/>
                <w:szCs w:val="21"/>
                <w:u w:val="none"/>
                <w:lang w:val="en-US" w:eastAsia="zh-CN" w:bidi="ar"/>
              </w:rPr>
              <w:t>其他法律法规规章文件规定应履行的责任。</w:t>
            </w:r>
          </w:p>
        </w:tc>
        <w:tc>
          <w:tcPr>
            <w:tcW w:w="1339" w:type="dxa"/>
            <w:gridSpan w:val="2"/>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eastAsia" w:ascii="仿宋_GB2312" w:eastAsia="仿宋_GB2312" w:cs="仿宋_GB2312"/>
                <w:color w:val="000000"/>
                <w:kern w:val="0"/>
                <w:sz w:val="21"/>
                <w:szCs w:val="21"/>
                <w:lang w:eastAsia="zh-CN"/>
              </w:rPr>
              <w:t>国土资源执法监察大队</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noWrap w:val="0"/>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noWrap w:val="0"/>
            <w:vAlign w:val="center"/>
          </w:tcPr>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_GB2312" w:hAnsi="仿宋_GB2312" w:eastAsia="仿宋_GB2312" w:cs="仿宋_GB2312"/>
                <w:i w:val="0"/>
                <w:color w:val="000000"/>
                <w:kern w:val="0"/>
                <w:sz w:val="21"/>
                <w:szCs w:val="21"/>
                <w:u w:val="none"/>
                <w:lang w:val="en-US" w:eastAsia="zh-CN" w:bidi="ar"/>
              </w:rPr>
              <w:t>因不履行或不正确履行行政职责，有下列情形的，市林业局及其工作人员应当承担相应责任：</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1.对应当予以制止和处罚的违法行为不予制止和处罚的。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2.没有事实和法律依据实施行政处罚的。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3.因处罚不当给当事人造成损失的。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4.工作人员违反本法规定，滥用职权、玩忽职守。</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5.不具备行政执法资格的人实施行政处罚的。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6.应当依法移送有权机关追究当事人刑事责任而未依法移送的。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7.擅自改变处罚种类和幅度的。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8.违反法定程序实施行政处罚的。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9.应当组织听证而不组织听证的。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10.在实施过程中发生腐败行为的。</w:t>
            </w:r>
            <w:r>
              <w:rPr>
                <w:rFonts w:hint="eastAsia" w:ascii="仿宋_GB2312" w:hAnsi="仿宋_GB2312" w:eastAsia="仿宋_GB2312" w:cs="仿宋_GB2312"/>
                <w:i w:val="0"/>
                <w:color w:val="000000"/>
                <w:kern w:val="0"/>
                <w:sz w:val="21"/>
                <w:szCs w:val="21"/>
                <w:u w:val="none"/>
                <w:lang w:val="en-US" w:eastAsia="zh-CN" w:bidi="ar"/>
              </w:rPr>
              <w:br w:type="textWrapping"/>
            </w:r>
            <w:r>
              <w:rPr>
                <w:rFonts w:hint="eastAsia" w:ascii="仿宋_GB2312" w:hAnsi="仿宋_GB2312" w:eastAsia="仿宋_GB2312" w:cs="仿宋_GB2312"/>
                <w:i w:val="0"/>
                <w:color w:val="000000"/>
                <w:kern w:val="0"/>
                <w:sz w:val="21"/>
                <w:szCs w:val="21"/>
                <w:u w:val="none"/>
                <w:lang w:val="en-US" w:eastAsia="zh-CN" w:bidi="ar"/>
              </w:rPr>
              <w:t>11.其他违反法律法规规章规定的行为。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lang w:val="en-US" w:eastAsia="zh-CN"/>
              </w:rPr>
            </w:pPr>
            <w:r>
              <w:rPr>
                <w:rFonts w:hint="default" w:ascii="仿宋_GB2312" w:eastAsia="仿宋_GB2312" w:cs="仿宋_GB2312"/>
                <w:color w:val="000000"/>
                <w:kern w:val="0"/>
                <w:sz w:val="21"/>
                <w:szCs w:val="21"/>
              </w:rPr>
              <w:t>1.业务咨询：</w:t>
            </w:r>
            <w:r>
              <w:rPr>
                <w:rFonts w:hint="eastAsia" w:ascii="仿宋_GB2312" w:eastAsia="仿宋_GB2312" w:cs="仿宋_GB2312"/>
                <w:color w:val="000000"/>
                <w:kern w:val="0"/>
                <w:sz w:val="21"/>
                <w:szCs w:val="21"/>
                <w:lang w:val="en-US" w:eastAsia="zh-CN"/>
              </w:rPr>
              <w:t>0335-6686002-80603</w:t>
            </w:r>
            <w:r>
              <w:rPr>
                <w:rFonts w:hint="default" w:ascii="仿宋_GB2312" w:eastAsia="仿宋_GB2312" w:cs="仿宋_GB2312"/>
                <w:color w:val="000000"/>
                <w:kern w:val="0"/>
                <w:sz w:val="21"/>
                <w:szCs w:val="21"/>
              </w:rPr>
              <w:br w:type="textWrapping"/>
            </w:r>
            <w:r>
              <w:rPr>
                <w:rFonts w:hint="default" w:ascii="仿宋_GB2312" w:eastAsia="仿宋_GB2312" w:cs="仿宋_GB2312"/>
                <w:color w:val="000000"/>
                <w:kern w:val="0"/>
                <w:sz w:val="21"/>
                <w:szCs w:val="21"/>
              </w:rPr>
              <w:t>2.投诉举报电话：</w:t>
            </w:r>
            <w:r>
              <w:rPr>
                <w:rFonts w:hint="eastAsia" w:ascii="仿宋_GB2312" w:eastAsia="仿宋_GB2312" w:cs="仿宋_GB2312"/>
                <w:color w:val="000000"/>
                <w:kern w:val="0"/>
                <w:sz w:val="21"/>
                <w:szCs w:val="21"/>
                <w:lang w:val="en-US" w:eastAsia="zh-CN"/>
              </w:rPr>
              <w:t>0035-6682748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default" w:ascii="仿宋_GB2312" w:eastAsia="仿宋_GB2312" w:cs="仿宋_GB2312"/>
                <w:color w:val="000000"/>
                <w:kern w:val="0"/>
                <w:sz w:val="21"/>
                <w:szCs w:val="21"/>
              </w:rPr>
              <w:t>3.纪检监察投诉：</w:t>
            </w:r>
            <w:r>
              <w:rPr>
                <w:rFonts w:hint="eastAsia" w:ascii="仿宋_GB2312" w:eastAsia="仿宋_GB2312" w:cs="仿宋_GB2312"/>
                <w:color w:val="000000"/>
                <w:kern w:val="0"/>
                <w:sz w:val="21"/>
                <w:szCs w:val="21"/>
                <w:lang w:eastAsia="zh-CN"/>
              </w:rPr>
              <w:t>区纪检</w:t>
            </w:r>
            <w:r>
              <w:rPr>
                <w:rFonts w:hint="default" w:ascii="仿宋_GB2312" w:eastAsia="仿宋_GB2312" w:cs="仿宋_GB2312"/>
                <w:color w:val="000000"/>
                <w:kern w:val="0"/>
                <w:sz w:val="21"/>
                <w:szCs w:val="21"/>
              </w:rPr>
              <w:t>驻</w:t>
            </w:r>
            <w:r>
              <w:rPr>
                <w:rFonts w:hint="eastAsia" w:ascii="仿宋_GB2312" w:eastAsia="仿宋_GB2312" w:cs="仿宋_GB2312"/>
                <w:color w:val="000000"/>
                <w:kern w:val="0"/>
                <w:sz w:val="21"/>
                <w:szCs w:val="21"/>
                <w:lang w:eastAsia="zh-CN"/>
              </w:rPr>
              <w:t>资源规划局</w:t>
            </w:r>
            <w:r>
              <w:rPr>
                <w:rFonts w:hint="default" w:ascii="仿宋_GB2312" w:eastAsia="仿宋_GB2312" w:cs="仿宋_GB2312"/>
                <w:color w:val="000000"/>
                <w:kern w:val="0"/>
                <w:sz w:val="21"/>
                <w:szCs w:val="21"/>
              </w:rPr>
              <w:t>纪检组，电话：</w:t>
            </w:r>
            <w:r>
              <w:rPr>
                <w:rFonts w:hint="eastAsia" w:ascii="仿宋_GB2312" w:eastAsia="仿宋_GB2312" w:cs="仿宋_GB2312"/>
                <w:color w:val="000000"/>
                <w:kern w:val="0"/>
                <w:sz w:val="21"/>
                <w:szCs w:val="21"/>
                <w:lang w:val="en-US" w:eastAsia="zh-CN"/>
              </w:rPr>
              <w:t>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786"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noWrap w:val="0"/>
            <w:vAlign w:val="center"/>
          </w:tcPr>
          <w:p>
            <w:pPr>
              <w:widowControl/>
              <w:spacing w:line="240" w:lineRule="exact"/>
              <w:jc w:val="left"/>
              <w:textAlignment w:val="center"/>
              <w:rPr>
                <w:rFonts w:hint="default" w:ascii="仿宋_GB2312" w:eastAsia="仿宋_GB2312" w:cs="仿宋_GB2312"/>
                <w:color w:val="000000"/>
                <w:kern w:val="0"/>
                <w:sz w:val="21"/>
                <w:szCs w:val="21"/>
              </w:rPr>
            </w:pPr>
            <w:r>
              <w:rPr>
                <w:rFonts w:hint="default" w:ascii="仿宋_GB2312" w:eastAsia="仿宋_GB2312" w:cs="仿宋_GB2312"/>
                <w:color w:val="000000"/>
                <w:kern w:val="0"/>
                <w:sz w:val="21"/>
                <w:szCs w:val="21"/>
              </w:rPr>
              <w:t>1．不服处罚决定自知道该具体行政行为之日起六十日内向</w:t>
            </w:r>
            <w:r>
              <w:rPr>
                <w:rFonts w:hint="eastAsia" w:ascii="仿宋_GB2312" w:eastAsia="仿宋_GB2312" w:cs="仿宋_GB2312"/>
                <w:color w:val="000000"/>
                <w:kern w:val="0"/>
                <w:sz w:val="21"/>
                <w:szCs w:val="21"/>
                <w:lang w:eastAsia="zh-CN"/>
              </w:rPr>
              <w:t>抚宁区人民</w:t>
            </w:r>
            <w:r>
              <w:rPr>
                <w:rFonts w:hint="default" w:ascii="仿宋_GB2312" w:eastAsia="仿宋_GB2312" w:cs="仿宋_GB2312"/>
                <w:color w:val="000000"/>
                <w:kern w:val="0"/>
                <w:sz w:val="21"/>
                <w:szCs w:val="21"/>
              </w:rPr>
              <w:t>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default" w:ascii="仿宋_GB2312" w:eastAsia="仿宋_GB2312" w:cs="仿宋_GB2312"/>
                <w:color w:val="000000"/>
                <w:kern w:val="0"/>
                <w:sz w:val="21"/>
                <w:szCs w:val="21"/>
              </w:rPr>
              <w:t>2．不服处罚决定应当自知道或者应当知道作出行政行为之日起六个月内提出向</w:t>
            </w:r>
            <w:r>
              <w:rPr>
                <w:rFonts w:hint="eastAsia" w:ascii="仿宋_GB2312" w:eastAsia="仿宋_GB2312" w:cs="仿宋_GB2312"/>
                <w:color w:val="000000"/>
                <w:kern w:val="0"/>
                <w:sz w:val="21"/>
                <w:szCs w:val="21"/>
                <w:lang w:eastAsia="zh-CN"/>
              </w:rPr>
              <w:t>抚宁</w:t>
            </w:r>
            <w:r>
              <w:rPr>
                <w:rFonts w:hint="default" w:ascii="仿宋_GB2312" w:eastAsia="仿宋_GB2312" w:cs="仿宋_GB2312"/>
                <w:color w:val="000000"/>
                <w:kern w:val="0"/>
                <w:sz w:val="21"/>
                <w:szCs w:val="21"/>
              </w:rPr>
              <w:t>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228" w:hRule="atLeast"/>
          <w:jc w:val="center"/>
        </w:trPr>
        <w:tc>
          <w:tcPr>
            <w:tcW w:w="1463" w:type="dxa"/>
            <w:tcBorders>
              <w:tl2br w:val="nil"/>
              <w:tr2bl w:val="nil"/>
            </w:tcBorders>
            <w:noWrap w:val="0"/>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noWrap w:val="0"/>
            <w:vAlign w:val="center"/>
          </w:tcPr>
          <w:p>
            <w:pPr>
              <w:widowControl/>
              <w:jc w:val="left"/>
              <w:textAlignment w:val="center"/>
              <w:rPr>
                <w:rFonts w:ascii="黑体" w:eastAsia="黑体" w:cs="黑体"/>
                <w:color w:val="000000"/>
                <w:kern w:val="0"/>
                <w:sz w:val="18"/>
                <w:szCs w:val="18"/>
              </w:rPr>
            </w:pPr>
          </w:p>
        </w:tc>
      </w:tr>
    </w:tbl>
    <w:p/>
    <w:p/>
    <w:sectPr>
      <w:pgSz w:w="11906" w:h="16838"/>
      <w:pgMar w:top="567" w:right="1800" w:bottom="567"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3000509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ACF3C50" w:usb2="00000016" w:usb3="00000000" w:csb0="0004001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75C6E0C"/>
    <w:multiLevelType w:val="singleLevel"/>
    <w:tmpl w:val="975C6E0C"/>
    <w:lvl w:ilvl="0" w:tentative="0">
      <w:start w:val="1"/>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GQxYzA2ZGVmY2JkNzY1NTZmY2UxMzMwYWM1OTk4YzkifQ=="/>
  </w:docVars>
  <w:rsids>
    <w:rsidRoot w:val="5C4864A9"/>
    <w:rsid w:val="00114E2A"/>
    <w:rsid w:val="014F22B3"/>
    <w:rsid w:val="021F298B"/>
    <w:rsid w:val="036363D4"/>
    <w:rsid w:val="03D951E0"/>
    <w:rsid w:val="04E452F2"/>
    <w:rsid w:val="05C15080"/>
    <w:rsid w:val="06451A56"/>
    <w:rsid w:val="064B71E3"/>
    <w:rsid w:val="08344B05"/>
    <w:rsid w:val="0A5D760D"/>
    <w:rsid w:val="0BE74F15"/>
    <w:rsid w:val="0C215FF4"/>
    <w:rsid w:val="0C830617"/>
    <w:rsid w:val="0D387F9E"/>
    <w:rsid w:val="0DBD709A"/>
    <w:rsid w:val="0F8D3A92"/>
    <w:rsid w:val="0FEF02B3"/>
    <w:rsid w:val="10E44043"/>
    <w:rsid w:val="11BC1B28"/>
    <w:rsid w:val="128611F1"/>
    <w:rsid w:val="13D54396"/>
    <w:rsid w:val="154A2FFE"/>
    <w:rsid w:val="17FF6CC1"/>
    <w:rsid w:val="193C0975"/>
    <w:rsid w:val="196C14C4"/>
    <w:rsid w:val="19B65058"/>
    <w:rsid w:val="1C844F99"/>
    <w:rsid w:val="1C9A167C"/>
    <w:rsid w:val="1E027949"/>
    <w:rsid w:val="211F1DE5"/>
    <w:rsid w:val="216C6661"/>
    <w:rsid w:val="21DB2198"/>
    <w:rsid w:val="220358DB"/>
    <w:rsid w:val="23FC7B0B"/>
    <w:rsid w:val="270D1B20"/>
    <w:rsid w:val="287732F1"/>
    <w:rsid w:val="298B27C9"/>
    <w:rsid w:val="2ADE14E1"/>
    <w:rsid w:val="2B413784"/>
    <w:rsid w:val="2C8F68B4"/>
    <w:rsid w:val="2D41454E"/>
    <w:rsid w:val="2DAE12FF"/>
    <w:rsid w:val="2E3624DD"/>
    <w:rsid w:val="2E3D56EB"/>
    <w:rsid w:val="2EC830D0"/>
    <w:rsid w:val="2F280B6B"/>
    <w:rsid w:val="2F8C268B"/>
    <w:rsid w:val="306772F9"/>
    <w:rsid w:val="312928DF"/>
    <w:rsid w:val="31DB13D9"/>
    <w:rsid w:val="32EE5A1E"/>
    <w:rsid w:val="34141F7E"/>
    <w:rsid w:val="3629746A"/>
    <w:rsid w:val="36630549"/>
    <w:rsid w:val="369D33CF"/>
    <w:rsid w:val="378E47B3"/>
    <w:rsid w:val="3BB70085"/>
    <w:rsid w:val="3BC046A9"/>
    <w:rsid w:val="3D477897"/>
    <w:rsid w:val="3D965098"/>
    <w:rsid w:val="3E484EBC"/>
    <w:rsid w:val="3E887EA3"/>
    <w:rsid w:val="3E962A3C"/>
    <w:rsid w:val="40F3251B"/>
    <w:rsid w:val="4184568E"/>
    <w:rsid w:val="423563AB"/>
    <w:rsid w:val="42A866EA"/>
    <w:rsid w:val="42E71A52"/>
    <w:rsid w:val="44E1728E"/>
    <w:rsid w:val="46603AD2"/>
    <w:rsid w:val="467341A1"/>
    <w:rsid w:val="47A07192"/>
    <w:rsid w:val="48357205"/>
    <w:rsid w:val="483F6EFA"/>
    <w:rsid w:val="48F232BB"/>
    <w:rsid w:val="49C04C0E"/>
    <w:rsid w:val="49F805EB"/>
    <w:rsid w:val="4A743FEF"/>
    <w:rsid w:val="4B357FF2"/>
    <w:rsid w:val="4C4D68A6"/>
    <w:rsid w:val="4DA41071"/>
    <w:rsid w:val="4FE17A31"/>
    <w:rsid w:val="50C4668F"/>
    <w:rsid w:val="51EA6472"/>
    <w:rsid w:val="51F97D72"/>
    <w:rsid w:val="52BD204D"/>
    <w:rsid w:val="54047DE6"/>
    <w:rsid w:val="546E1A14"/>
    <w:rsid w:val="56C500AD"/>
    <w:rsid w:val="57E60D46"/>
    <w:rsid w:val="5A85128E"/>
    <w:rsid w:val="5BCD28AA"/>
    <w:rsid w:val="5C4864A9"/>
    <w:rsid w:val="5E3653EC"/>
    <w:rsid w:val="5ED715A9"/>
    <w:rsid w:val="60AF33AD"/>
    <w:rsid w:val="617E0582"/>
    <w:rsid w:val="61C06A6D"/>
    <w:rsid w:val="62EB2CD8"/>
    <w:rsid w:val="630E1F93"/>
    <w:rsid w:val="63785DBF"/>
    <w:rsid w:val="69B471CE"/>
    <w:rsid w:val="6A4B4E73"/>
    <w:rsid w:val="6B177A3F"/>
    <w:rsid w:val="6D9D06E2"/>
    <w:rsid w:val="6DD369BE"/>
    <w:rsid w:val="6F260569"/>
    <w:rsid w:val="73DB1B03"/>
    <w:rsid w:val="74AC1B7A"/>
    <w:rsid w:val="762C0D71"/>
    <w:rsid w:val="7671300D"/>
    <w:rsid w:val="78760F2E"/>
    <w:rsid w:val="791D3642"/>
    <w:rsid w:val="79674B9C"/>
    <w:rsid w:val="7A2B7F7C"/>
    <w:rsid w:val="7BCF062D"/>
    <w:rsid w:val="7C933BEE"/>
    <w:rsid w:val="7CF77196"/>
    <w:rsid w:val="7D564FB1"/>
    <w:rsid w:val="7E525E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numbering.xml" Type="http://schemas.openxmlformats.org/officeDocument/2006/relationships/numbering"/><Relationship Id="rId5" Target="fontTable.xml" Type="http://schemas.openxmlformats.org/officeDocument/2006/relationships/fontTable"/></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2023-12-11T05:59:00Z</dcterms:created>
  <dc:creator>大地欢歌</dc:creator>
  <cp:lastModifiedBy>大地欢歌</cp:lastModifiedBy>
  <dcterms:modified xsi:type="dcterms:W3CDTF">2023-12-12T05:44:14Z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4A2BCCA3CD774DDCBC17E08C7DB17C54_13</vt:lpwstr>
  </property>
</Properties>
</file>