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对擅自改变森林植物及其产品的规定用途的行政处罚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四）违反本条例规定，擅自开拆植物、植物产品包装，调换植物、植物产品，或者擅自改变植物、植物产品的规定用途的，植物检疫机构应当责令纠正，可以处以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四）违反规定，擅自开拆森林植物及其产品的包装，调换森林植物及其产品，或者擅自改变森林植物及其产品的规定用途的，植物检疫机构应当责令纠正，可以处以50元-2000元罚款；造成损失的，应当负责赔偿；构成犯罪的，由司法机关依法追究刑事责任；尚不构成犯罪的，植物检疫机构可以没收非法所得。对违反本条例规定调运的植物和植物产品，植物检疫机构有权予以封存、没收、销毁或者责令改变用途。</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078C1B"/>
    <w:multiLevelType w:val="singleLevel"/>
    <w:tmpl w:val="ED078C1B"/>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2023-12-12T05:59:12Z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961A18CE10D14F7F85A04096BCBE3215_13</vt:lpwstr>
  </property>
</Properties>
</file>