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对违反规定开展林木转基因工程活动的单位/个人的行政处罚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《开展林木转基因工程活动审批管理办法》第二十七条 违反本办法规定，开展林木转基因工程活动的，县级以上人民政府林业主管部门应当责令整改、给予警告，有违法所得的，可以并处违法所得1倍以上3倍以下且不超过3万元的罚款；没有违法所得的，属于非经营活动的，可以并处1千元以下罚款，属于经营活动的，可以并处1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C15080"/>
    <w:rsid w:val="06451A56"/>
    <w:rsid w:val="0649045C"/>
    <w:rsid w:val="064B71E3"/>
    <w:rsid w:val="08344B05"/>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629746A"/>
    <w:rsid w:val="36630549"/>
    <w:rsid w:val="369D33CF"/>
    <w:rsid w:val="36C83AF0"/>
    <w:rsid w:val="378E47B3"/>
    <w:rsid w:val="3BB70085"/>
    <w:rsid w:val="3BC046A9"/>
    <w:rsid w:val="3D477897"/>
    <w:rsid w:val="3D965098"/>
    <w:rsid w:val="3E484EBC"/>
    <w:rsid w:val="3E887EA3"/>
    <w:rsid w:val="3E962A3C"/>
    <w:rsid w:val="40980764"/>
    <w:rsid w:val="40F3251B"/>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157D9B52A81E4307843CC341736B230B_13</vt:lpwstr>
  </property>
</Properties>
</file>