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对在幼林地砍柴、毁苗、放牧造成林木毁坏的处罚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《中华人民共和国森林法》第七十四条第二款 违反本法规定，在幼林地砍柴、毁苗、放牧造成林木毁坏的，由县级以上人民政府林业主管部门责令停止违法行为，限期在原地或者异地补种毁坏株数一倍以上三倍以下的树木。</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3E4A03"/>
    <w:rsid w:val="05C15080"/>
    <w:rsid w:val="06451A56"/>
    <w:rsid w:val="0649045C"/>
    <w:rsid w:val="064B71E3"/>
    <w:rsid w:val="08344B05"/>
    <w:rsid w:val="0A4038E0"/>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47772"/>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474109D"/>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45564D"/>
    <w:rsid w:val="74AC1B7A"/>
    <w:rsid w:val="762C0D71"/>
    <w:rsid w:val="7671300D"/>
    <w:rsid w:val="78760F2E"/>
    <w:rsid w:val="78BF7A25"/>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23A1775E3EDD49CE863304B5783E244A_13</vt:lpwstr>
  </property>
</Properties>
</file>