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textAlignment w:val="center"/>
        <w:rPr>
          <w:rFonts w:ascii="方正小标宋简体" w:eastAsia="方正小标宋简体" w:cs="方正小标宋简体"/>
          <w:color w:val="000000"/>
          <w:kern w:val="0"/>
          <w:sz w:val="44"/>
          <w:szCs w:val="44"/>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仿宋" w:hAnsi="仿宋" w:eastAsia="仿宋" w:cs="黑体"/>
                <w:b/>
                <w:bCs/>
                <w:color w:val="000000"/>
                <w:szCs w:val="21"/>
              </w:rPr>
            </w:pPr>
          </w:p>
        </w:tc>
        <w:tc>
          <w:tcPr>
            <w:tcW w:w="1691" w:type="dxa"/>
            <w:tcBorders>
              <w:tl2br w:val="nil"/>
              <w:tr2bl w:val="nil"/>
            </w:tcBorders>
            <w:shd w:val="clear" w:color="auto" w:fill="auto"/>
            <w:vAlign w:val="center"/>
          </w:tcPr>
          <w:p>
            <w:pPr>
              <w:jc w:val="center"/>
              <w:rPr>
                <w:rFonts w:ascii="仿宋" w:hAnsi="仿宋" w:eastAsia="仿宋" w:cs="黑体"/>
                <w:b/>
                <w:bCs/>
                <w:color w:val="000000"/>
                <w:szCs w:val="21"/>
              </w:rPr>
            </w:pPr>
            <w:r>
              <w:rPr>
                <w:rFonts w:hint="eastAsia" w:ascii="仿宋" w:hAnsi="仿宋" w:eastAsia="仿宋"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事项名称</w:t>
            </w:r>
          </w:p>
        </w:tc>
        <w:tc>
          <w:tcPr>
            <w:tcW w:w="8835" w:type="dxa"/>
            <w:gridSpan w:val="8"/>
            <w:tcBorders>
              <w:tl2br w:val="nil"/>
              <w:tr2bl w:val="nil"/>
            </w:tcBorders>
            <w:shd w:val="clear" w:color="auto" w:fill="auto"/>
            <w:vAlign w:val="center"/>
          </w:tcPr>
          <w:p>
            <w:pPr>
              <w:jc w:val="center"/>
              <w:rPr>
                <w:rFonts w:ascii="仿宋" w:hAnsi="仿宋" w:eastAsia="仿宋" w:cs="宋体"/>
                <w:color w:val="000000"/>
                <w:sz w:val="18"/>
                <w:szCs w:val="18"/>
              </w:rPr>
            </w:pPr>
            <w:r>
              <w:rPr>
                <w:rFonts w:hint="eastAsia" w:ascii="仿宋" w:hAnsi="仿宋" w:eastAsia="仿宋"/>
                <w:color w:val="000000"/>
                <w:sz w:val="18"/>
                <w:szCs w:val="18"/>
              </w:rPr>
              <w:t>对擅自改变建筑物、构筑物以及其他设施用途的处罚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仿宋" w:hAnsi="仿宋" w:eastAsia="仿宋"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_GB2312"/>
                <w:b/>
                <w:color w:val="000000"/>
                <w:kern w:val="0"/>
                <w:szCs w:val="21"/>
              </w:rPr>
            </w:pPr>
            <w:r>
              <w:rPr>
                <w:rFonts w:hint="eastAsia" w:ascii="仿宋" w:hAnsi="仿宋" w:eastAsia="仿宋" w:cs="仿宋_GB2312"/>
                <w:b/>
                <w:color w:val="000000"/>
                <w:kern w:val="0"/>
                <w:szCs w:val="21"/>
              </w:rPr>
              <w:t>【法律法规】</w:t>
            </w:r>
          </w:p>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b/>
                <w:spacing w:val="8"/>
                <w:szCs w:val="21"/>
                <w:shd w:val="clear" w:color="auto" w:fill="FFFFFF"/>
              </w:rPr>
              <w:t>《河北省城乡规划管理条例》</w:t>
            </w:r>
            <w:r>
              <w:rPr>
                <w:rFonts w:ascii="仿宋" w:hAnsi="仿宋" w:eastAsia="仿宋"/>
                <w:b/>
                <w:spacing w:val="8"/>
                <w:szCs w:val="21"/>
                <w:shd w:val="clear" w:color="auto" w:fill="FFFFFF"/>
              </w:rPr>
              <w:t>第七十四条</w:t>
            </w:r>
            <w:r>
              <w:rPr>
                <w:rFonts w:ascii="仿宋" w:hAnsi="仿宋" w:eastAsia="仿宋"/>
                <w:spacing w:val="8"/>
                <w:szCs w:val="21"/>
                <w:shd w:val="clear" w:color="auto" w:fill="FFFFFF"/>
              </w:rPr>
              <w:t>　违反城乡规划有关规定，擅自改变建筑物、构筑物以及其他设施用途的，责令限期改正；逾期不改正的，对个人处二千元以上一万元以下的罚款，对单位处一万元以上十万元以下罚款。</w:t>
            </w:r>
          </w:p>
          <w:p>
            <w:pPr>
              <w:widowControl/>
              <w:spacing w:line="240" w:lineRule="exact"/>
              <w:jc w:val="left"/>
              <w:textAlignment w:val="center"/>
              <w:rPr>
                <w:rFonts w:ascii="仿宋" w:hAnsi="仿宋" w:eastAsia="仿宋" w:cs="仿宋_GB2312"/>
                <w:b/>
                <w:color w:val="000000"/>
                <w:kern w:val="0"/>
                <w:szCs w:val="21"/>
              </w:rPr>
            </w:pPr>
            <w:r>
              <w:rPr>
                <w:rFonts w:hint="eastAsia" w:ascii="仿宋" w:hAnsi="仿宋" w:eastAsia="仿宋" w:cs="仿宋_GB2312"/>
                <w:b/>
                <w:color w:val="000000"/>
                <w:kern w:val="0"/>
                <w:szCs w:val="21"/>
              </w:rPr>
              <w:t>【三定规定】</w:t>
            </w:r>
          </w:p>
          <w:p>
            <w:pPr>
              <w:widowControl/>
              <w:spacing w:line="240" w:lineRule="exact"/>
              <w:jc w:val="left"/>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仿宋_GB2312"/>
                <w:kern w:val="0"/>
                <w:szCs w:val="21"/>
              </w:rPr>
              <w:t>抚办字﹝2019﹞</w:t>
            </w:r>
            <w:r>
              <w:rPr>
                <w:rFonts w:ascii="仿宋" w:hAnsi="仿宋" w:eastAsia="仿宋" w:cs="仿宋_GB2312"/>
                <w:kern w:val="0"/>
                <w:szCs w:val="21"/>
              </w:rPr>
              <w:t>6</w:t>
            </w:r>
            <w:r>
              <w:rPr>
                <w:rFonts w:hint="eastAsia" w:ascii="仿宋" w:hAnsi="仿宋" w:eastAsia="仿宋" w:cs="仿宋_GB2312"/>
                <w:kern w:val="0"/>
                <w:szCs w:val="21"/>
              </w:rPr>
              <w:t>号  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kern w:val="0"/>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经初步了解案件后，依法立案或不予立案（不予立案应当告知理由）</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制作现场勘验笔录、调查询问笔录、搜集相关文件资料、现场拍照录像等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制作事先告知书（听证告知书）、处罚决定书</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送达相关文书，告知行政复议和行政诉讼等救济权利</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1.没有法律和事实依据实施行政处罚的；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2.擅自改变行政处罚种类、幅度的；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3.违反法定程序进行行政处罚的；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4.违反委托处罚规定的；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5.对违法行为未依法制止的；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6.应当依法立案查处，无正当理由未依法立案查处的；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7.在制止以及查处违法案件中受阻，依照有关规定应当向本级人民政府或者上级自然资源主管部门报告而未报告的；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8.符合听证条件、行政管理相对人要求听证，应予组织听证而不组织听证的；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9.应当依法进行行政处罚而未依法处罚的；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10.应当依法移送追究刑事责任，而未依法移送有权机关的；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11.在行政处罚过程中发生腐败行为的；</w:t>
            </w:r>
          </w:p>
          <w:p>
            <w:pPr>
              <w:widowControl/>
              <w:spacing w:line="240" w:lineRule="exact"/>
              <w:jc w:val="left"/>
              <w:textAlignment w:val="center"/>
              <w:rPr>
                <w:rFonts w:ascii="仿宋" w:hAnsi="仿宋" w:eastAsia="仿宋" w:cs="Times New Roman"/>
                <w:color w:val="000000" w:themeColor="text1"/>
                <w:szCs w:val="21"/>
                <w14:textFill>
                  <w14:solidFill>
                    <w14:schemeClr w14:val="tx1"/>
                  </w14:solidFill>
                </w14:textFill>
              </w:rPr>
            </w:pPr>
            <w:r>
              <w:rPr>
                <w:rFonts w:hint="eastAsia" w:ascii="仿宋_GB2312" w:hAnsi="仿宋_GB2312" w:eastAsia="仿宋_GB2312" w:cs="仿宋_GB2312"/>
                <w:kern w:val="0"/>
                <w:szCs w:val="21"/>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监督方式</w:t>
            </w:r>
          </w:p>
        </w:tc>
        <w:tc>
          <w:tcPr>
            <w:tcW w:w="8835" w:type="dxa"/>
            <w:gridSpan w:val="8"/>
            <w:tcBorders>
              <w:tl2br w:val="nil"/>
              <w:tr2bl w:val="nil"/>
            </w:tcBorders>
            <w:shd w:val="clear" w:color="auto" w:fill="auto"/>
            <w:vAlign w:val="center"/>
          </w:tcPr>
          <w:p>
            <w:pPr>
              <w:pStyle w:val="4"/>
              <w:widowControl/>
              <w:numPr>
                <w:ilvl w:val="0"/>
                <w:numId w:val="1"/>
              </w:numPr>
              <w:spacing w:line="240" w:lineRule="exact"/>
              <w:ind w:firstLineChars="0"/>
              <w:jc w:val="left"/>
              <w:textAlignment w:val="center"/>
              <w:rPr>
                <w:rFonts w:hint="eastAsia" w:ascii="仿宋" w:hAnsi="仿宋" w:eastAsia="仿宋" w:cs="仿宋_GB2312"/>
                <w:color w:val="000000"/>
                <w:kern w:val="0"/>
                <w:szCs w:val="21"/>
              </w:rPr>
            </w:pPr>
            <w:r>
              <w:rPr>
                <w:rFonts w:ascii="仿宋" w:hAnsi="仿宋" w:eastAsia="仿宋" w:cs="仿宋_GB2312"/>
                <w:color w:val="000000"/>
                <w:kern w:val="0"/>
                <w:szCs w:val="21"/>
              </w:rPr>
              <w:t>业务咨询：</w:t>
            </w:r>
            <w:r>
              <w:rPr>
                <w:rFonts w:hint="eastAsia" w:ascii="仿宋" w:hAnsi="仿宋" w:eastAsia="仿宋" w:cs="仿宋_GB2312"/>
                <w:color w:val="000000"/>
                <w:kern w:val="0"/>
                <w:szCs w:val="21"/>
              </w:rPr>
              <w:t>0335-6682748</w:t>
            </w:r>
          </w:p>
          <w:p>
            <w:pPr>
              <w:pStyle w:val="4"/>
              <w:widowControl/>
              <w:numPr>
                <w:ilvl w:val="0"/>
                <w:numId w:val="1"/>
              </w:numPr>
              <w:spacing w:line="240" w:lineRule="exact"/>
              <w:ind w:firstLineChars="0"/>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投诉举报电话：</w:t>
            </w:r>
            <w:r>
              <w:rPr>
                <w:rFonts w:hint="eastAsia" w:ascii="仿宋" w:hAnsi="仿宋" w:eastAsia="仿宋" w:cs="仿宋_GB2312"/>
                <w:color w:val="000000"/>
                <w:kern w:val="0"/>
                <w:szCs w:val="21"/>
              </w:rPr>
              <w:t>0335-6682748</w:t>
            </w:r>
          </w:p>
          <w:p>
            <w:pPr>
              <w:widowControl/>
              <w:spacing w:line="240" w:lineRule="exact"/>
              <w:jc w:val="left"/>
              <w:textAlignment w:val="center"/>
              <w:rPr>
                <w:rFonts w:ascii="仿宋" w:hAnsi="仿宋" w:eastAsia="仿宋" w:cs="Times New Roman"/>
                <w:color w:val="000000"/>
                <w:szCs w:val="21"/>
              </w:rPr>
            </w:pPr>
            <w:r>
              <w:rPr>
                <w:rFonts w:ascii="仿宋" w:hAnsi="仿宋" w:eastAsia="仿宋" w:cs="仿宋_GB2312"/>
                <w:color w:val="000000"/>
                <w:kern w:val="0"/>
                <w:szCs w:val="21"/>
              </w:rPr>
              <w:t>3.纪检监察投诉：</w:t>
            </w:r>
            <w:r>
              <w:rPr>
                <w:rFonts w:hint="eastAsia" w:ascii="仿宋_GB2312" w:eastAsia="仿宋_GB2312" w:cs="仿宋_GB2312"/>
                <w:color w:val="000000"/>
                <w:kern w:val="0"/>
                <w:szCs w:val="21"/>
              </w:rPr>
              <w:t>区纪检驻资源规划局纪检组</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1．不服处罚决定自知道该具体行政行为之日起六十日内向市政府申请行政复议。</w:t>
            </w:r>
          </w:p>
          <w:p>
            <w:pPr>
              <w:widowControl/>
              <w:spacing w:line="240" w:lineRule="exact"/>
              <w:jc w:val="left"/>
              <w:textAlignment w:val="center"/>
              <w:rPr>
                <w:rFonts w:ascii="仿宋" w:hAnsi="仿宋" w:eastAsia="仿宋" w:cs="Times New Roman"/>
                <w:b/>
                <w:bCs/>
                <w:color w:val="000000"/>
                <w:szCs w:val="21"/>
              </w:rPr>
            </w:pPr>
            <w:r>
              <w:rPr>
                <w:rFonts w:ascii="仿宋" w:hAnsi="仿宋" w:eastAsia="仿宋" w:cs="仿宋_GB2312"/>
                <w:color w:val="000000"/>
                <w:kern w:val="0"/>
                <w:szCs w:val="21"/>
              </w:rPr>
              <w:t>2．不服处罚决定应当自知道或者应当知道作出行政行为之日起六个月内提出向</w:t>
            </w:r>
            <w:r>
              <w:rPr>
                <w:rFonts w:hint="eastAsia" w:ascii="仿宋" w:hAnsi="仿宋" w:eastAsia="仿宋" w:cs="仿宋_GB2312"/>
                <w:color w:val="000000"/>
                <w:kern w:val="0"/>
                <w:szCs w:val="21"/>
              </w:rPr>
              <w:t>抚宁区</w:t>
            </w:r>
            <w:r>
              <w:rPr>
                <w:rFonts w:ascii="仿宋" w:hAnsi="仿宋" w:eastAsia="仿宋" w:cs="仿宋_GB2312"/>
                <w:color w:val="000000"/>
                <w:kern w:val="0"/>
                <w:szCs w:val="21"/>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p>
        </w:tc>
      </w:tr>
    </w:tbl>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640C01"/>
    <w:multiLevelType w:val="multilevel"/>
    <w:tmpl w:val="56640C0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17FF6CC1"/>
    <w:rsid w:val="346B31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styleId="4">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2023-12-04T00:33:40Z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BFCB4319984B4150BE42D9A5B48995B0_11</vt:lpwstr>
  </property>
</Properties>
</file>