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仿宋" w:hAnsi="仿宋" w:eastAsia="仿宋" w:cs="黑体"/>
                <w:b/>
                <w:bCs/>
                <w:color w:val="000000"/>
                <w:szCs w:val="21"/>
              </w:rPr>
            </w:pPr>
          </w:p>
        </w:tc>
        <w:tc>
          <w:tcPr>
            <w:tcW w:w="1691" w:type="dxa"/>
            <w:tcBorders>
              <w:tl2br w:val="nil"/>
              <w:tr2bl w:val="nil"/>
            </w:tcBorders>
            <w:shd w:val="clear" w:color="auto" w:fill="auto"/>
            <w:vAlign w:val="center"/>
          </w:tcPr>
          <w:p>
            <w:pPr>
              <w:jc w:val="center"/>
              <w:rPr>
                <w:rFonts w:ascii="仿宋" w:hAnsi="仿宋" w:eastAsia="仿宋" w:cs="黑体"/>
                <w:b/>
                <w:bCs/>
                <w:color w:val="000000"/>
                <w:szCs w:val="21"/>
              </w:rPr>
            </w:pPr>
            <w:r>
              <w:rPr>
                <w:rFonts w:hint="eastAsia" w:ascii="仿宋" w:hAnsi="仿宋" w:eastAsia="仿宋"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仿宋" w:hAnsi="仿宋" w:eastAsia="仿宋" w:cs="宋体"/>
                <w:color w:val="000000"/>
                <w:sz w:val="22"/>
                <w:szCs w:val="22"/>
              </w:rPr>
            </w:pPr>
            <w:r>
              <w:rPr>
                <w:rFonts w:hint="eastAsia" w:ascii="仿宋" w:hAnsi="仿宋" w:eastAsia="仿宋"/>
                <w:color w:val="000000"/>
                <w:sz w:val="22"/>
                <w:szCs w:val="22"/>
              </w:rPr>
              <w:t>未按照建设工程规划许可证的规定进行建设的处罚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 w:hAnsi="仿宋" w:eastAsia="仿宋"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b/>
                <w:color w:val="000000"/>
                <w:kern w:val="0"/>
                <w:szCs w:val="21"/>
              </w:rPr>
            </w:pPr>
            <w:r>
              <w:rPr>
                <w:rFonts w:hint="eastAsia" w:ascii="仿宋" w:hAnsi="仿宋" w:eastAsia="仿宋" w:cs="仿宋_GB2312"/>
                <w:b/>
                <w:color w:val="000000"/>
                <w:kern w:val="0"/>
                <w:szCs w:val="21"/>
              </w:rPr>
              <w:t>【法律法规】</w:t>
            </w:r>
          </w:p>
          <w:p>
            <w:pPr>
              <w:shd w:val="solid" w:color="FFFFFF" w:fill="auto"/>
              <w:autoSpaceDN w:val="0"/>
              <w:spacing w:line="360" w:lineRule="atLeast"/>
              <w:ind w:firstLine="454" w:firstLineChars="200"/>
              <w:rPr>
                <w:rFonts w:ascii="仿宋" w:hAnsi="仿宋" w:eastAsia="仿宋"/>
                <w:spacing w:val="8"/>
                <w:shd w:val="clear" w:color="auto" w:fill="FFFFFF"/>
              </w:rPr>
            </w:pPr>
            <w:r>
              <w:rPr>
                <w:rFonts w:hint="eastAsia" w:ascii="仿宋" w:hAnsi="仿宋" w:eastAsia="仿宋"/>
                <w:b/>
                <w:spacing w:val="8"/>
                <w:szCs w:val="21"/>
                <w:shd w:val="clear" w:color="auto" w:fill="FFFFFF"/>
              </w:rPr>
              <w:t>《河北省城乡规划管理条例》</w:t>
            </w:r>
            <w:r>
              <w:rPr>
                <w:rFonts w:ascii="仿宋" w:hAnsi="仿宋" w:eastAsia="仿宋"/>
                <w:b/>
                <w:spacing w:val="8"/>
                <w:shd w:val="clear" w:color="auto" w:fill="FFFFFF"/>
              </w:rPr>
              <w:t>第七十七条</w:t>
            </w:r>
            <w:r>
              <w:rPr>
                <w:rFonts w:ascii="仿宋" w:hAnsi="仿宋" w:eastAsia="仿宋"/>
                <w:spacing w:val="8"/>
                <w:shd w:val="clear" w:color="auto" w:fill="FFFFFF"/>
              </w:rPr>
              <w:t>　未取得建设工程规划许可证或者未按照建设工程规划许可证的规定进行建设的，由县级以上人民政府确定的城乡规划执法部门责令停止建设，尚可采取改正措施消除对规划实施影响的，限期改正，处违法建设工程造价百分之五以上百分之十以下罚款；无法采取改正措施消除影响的，限期拆除，不能拆除的，没收实物或者违法收入，可以并处违法建设工程造价百分之十以下的罚款。 　　</w:t>
            </w:r>
          </w:p>
          <w:p>
            <w:pPr>
              <w:shd w:val="solid" w:color="FFFFFF" w:fill="auto"/>
              <w:autoSpaceDN w:val="0"/>
              <w:spacing w:line="360" w:lineRule="atLeast"/>
              <w:ind w:firstLine="452" w:firstLineChars="200"/>
              <w:rPr>
                <w:rFonts w:ascii="仿宋" w:hAnsi="仿宋" w:eastAsia="仿宋"/>
                <w:spacing w:val="8"/>
                <w:shd w:val="clear" w:color="auto" w:fill="FFFFFF"/>
              </w:rPr>
            </w:pPr>
            <w:r>
              <w:rPr>
                <w:rFonts w:ascii="仿宋" w:hAnsi="仿宋" w:eastAsia="仿宋"/>
                <w:spacing w:val="8"/>
                <w:shd w:val="clear" w:color="auto" w:fill="FFFFFF"/>
              </w:rPr>
              <w:t>前款所称无法采取改正措施消除影响，包括下列情形： 　　</w:t>
            </w:r>
          </w:p>
          <w:p>
            <w:pPr>
              <w:numPr>
                <w:ilvl w:val="0"/>
                <w:numId w:val="1"/>
              </w:numPr>
              <w:shd w:val="solid" w:color="FFFFFF" w:fill="auto"/>
              <w:autoSpaceDN w:val="0"/>
              <w:spacing w:line="360" w:lineRule="atLeast"/>
              <w:ind w:firstLine="452" w:firstLineChars="200"/>
              <w:rPr>
                <w:rFonts w:ascii="仿宋" w:hAnsi="仿宋" w:eastAsia="仿宋"/>
                <w:spacing w:val="8"/>
                <w:shd w:val="clear" w:color="auto" w:fill="FFFFFF"/>
              </w:rPr>
            </w:pPr>
            <w:r>
              <w:rPr>
                <w:rFonts w:ascii="仿宋" w:hAnsi="仿宋" w:eastAsia="仿宋"/>
                <w:spacing w:val="8"/>
                <w:shd w:val="clear" w:color="auto" w:fill="FFFFFF"/>
              </w:rPr>
              <w:t>占用城市道路、广场、绿地、河湖水域、地下工程、轨道交通设施、通信设施或者压占城市管线、永久性测量标志的； 　　</w:t>
            </w:r>
          </w:p>
          <w:p>
            <w:pPr>
              <w:shd w:val="solid" w:color="FFFFFF" w:fill="auto"/>
              <w:autoSpaceDN w:val="0"/>
              <w:spacing w:line="360" w:lineRule="atLeast"/>
              <w:rPr>
                <w:rFonts w:ascii="仿宋" w:hAnsi="仿宋" w:eastAsia="仿宋"/>
                <w:spacing w:val="8"/>
                <w:shd w:val="clear" w:color="auto" w:fill="FFFFFF"/>
              </w:rPr>
            </w:pPr>
            <w:r>
              <w:rPr>
                <w:rFonts w:hint="eastAsia" w:ascii="仿宋" w:hAnsi="仿宋" w:eastAsia="仿宋"/>
                <w:spacing w:val="8"/>
                <w:shd w:val="clear" w:color="auto" w:fill="FFFFFF"/>
              </w:rPr>
              <w:t xml:space="preserve">   </w:t>
            </w:r>
            <w:r>
              <w:rPr>
                <w:rFonts w:ascii="仿宋" w:hAnsi="仿宋" w:eastAsia="仿宋"/>
                <w:spacing w:val="8"/>
                <w:shd w:val="clear" w:color="auto" w:fill="FFFFFF"/>
              </w:rPr>
              <w:t>（二）违反控制性详细规划重要控制性内容的； 　　</w:t>
            </w:r>
          </w:p>
          <w:p>
            <w:pPr>
              <w:shd w:val="solid" w:color="FFFFFF" w:fill="auto"/>
              <w:autoSpaceDN w:val="0"/>
              <w:spacing w:line="360" w:lineRule="atLeast"/>
              <w:rPr>
                <w:rFonts w:ascii="仿宋" w:hAnsi="仿宋" w:eastAsia="仿宋"/>
                <w:spacing w:val="8"/>
                <w:shd w:val="clear" w:color="auto" w:fill="FFFFFF"/>
              </w:rPr>
            </w:pPr>
            <w:r>
              <w:rPr>
                <w:rFonts w:hint="eastAsia" w:ascii="仿宋" w:hAnsi="仿宋" w:eastAsia="仿宋"/>
                <w:spacing w:val="8"/>
                <w:shd w:val="clear" w:color="auto" w:fill="FFFFFF"/>
              </w:rPr>
              <w:t xml:space="preserve">  </w:t>
            </w:r>
            <w:r>
              <w:rPr>
                <w:rFonts w:ascii="仿宋" w:hAnsi="仿宋" w:eastAsia="仿宋"/>
                <w:spacing w:val="8"/>
                <w:shd w:val="clear" w:color="auto" w:fill="FFFFFF"/>
              </w:rPr>
              <w:t>（三）占用文物保护单位保护范围用地进行建设的； 　　</w:t>
            </w:r>
          </w:p>
          <w:p>
            <w:pPr>
              <w:numPr>
                <w:ilvl w:val="0"/>
                <w:numId w:val="2"/>
              </w:numPr>
              <w:shd w:val="solid" w:color="FFFFFF" w:fill="auto"/>
              <w:autoSpaceDN w:val="0"/>
              <w:spacing w:line="360" w:lineRule="atLeast"/>
              <w:rPr>
                <w:rFonts w:ascii="Arial"/>
                <w:spacing w:val="8"/>
                <w:shd w:val="clear" w:color="auto" w:fill="FFFFFF"/>
              </w:rPr>
            </w:pPr>
            <w:r>
              <w:rPr>
                <w:rFonts w:ascii="仿宋" w:hAnsi="仿宋" w:eastAsia="仿宋"/>
                <w:spacing w:val="8"/>
                <w:shd w:val="clear" w:color="auto" w:fill="FFFFFF"/>
              </w:rPr>
              <w:t>擅自在建筑物楼顶、退层平台、住宅底层院内以及配建的停车场地进行建设的； 　　（五）其他无法采取改正措施消除影响的。</w:t>
            </w:r>
            <w:r>
              <w:rPr>
                <w:rFonts w:ascii="Arial"/>
                <w:spacing w:val="8"/>
                <w:shd w:val="clear" w:color="auto" w:fill="FFFFFF"/>
              </w:rPr>
              <w:t xml:space="preserve"> 　　</w:t>
            </w:r>
          </w:p>
          <w:p>
            <w:pPr>
              <w:widowControl/>
              <w:spacing w:line="240" w:lineRule="exact"/>
              <w:jc w:val="left"/>
              <w:textAlignment w:val="center"/>
              <w:rPr>
                <w:rFonts w:ascii="仿宋" w:hAnsi="仿宋" w:eastAsia="仿宋" w:cs="仿宋_GB2312"/>
                <w:b/>
                <w:color w:val="000000"/>
                <w:kern w:val="0"/>
                <w:szCs w:val="21"/>
              </w:rPr>
            </w:pPr>
            <w:r>
              <w:rPr>
                <w:rFonts w:hint="eastAsia" w:ascii="仿宋" w:hAnsi="仿宋" w:eastAsia="仿宋" w:cs="仿宋_GB2312"/>
                <w:b/>
                <w:color w:val="000000"/>
                <w:kern w:val="0"/>
                <w:szCs w:val="21"/>
              </w:rPr>
              <w:t>【三定规定】</w:t>
            </w:r>
          </w:p>
          <w:p>
            <w:pPr>
              <w:widowControl/>
              <w:spacing w:line="240" w:lineRule="exact"/>
              <w:jc w:val="left"/>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仿宋_GB2312"/>
                <w:kern w:val="0"/>
                <w:szCs w:val="21"/>
              </w:rPr>
              <w:t>抚办字﹝2019﹞</w:t>
            </w:r>
            <w:r>
              <w:rPr>
                <w:rFonts w:ascii="仿宋" w:hAnsi="仿宋" w:eastAsia="仿宋" w:cs="仿宋_GB2312"/>
                <w:kern w:val="0"/>
                <w:szCs w:val="21"/>
              </w:rPr>
              <w:t>6</w:t>
            </w:r>
            <w:r>
              <w:rPr>
                <w:rFonts w:hint="eastAsia" w:ascii="仿宋" w:hAnsi="仿宋" w:eastAsia="仿宋"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kern w:val="0"/>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经初步了解案件后，依法立案或不予立案（不予立案应当告知理由）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制作现场勘验笔录、调查询问笔录、搜集相关文件资料、现场拍照录像等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制作事先告知书（听证告知书）、处罚决定书</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送达相关文书，告知行政复议和行政诉讼等救济权利</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1.没有法律和事实依据实施行政处罚的；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2.擅自改变行政处罚种类、幅度的；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3.违反法定程序进行行政处罚的；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4.违反委托处罚规定的；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5.对违法行为未依法制止的；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6.应当依法立案查处，无正当理由未依法立案查处的；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7.在制止以及查处违法案件中受阻，依照有关规定应当向本级人民政府或者上级自然资源主管部门报告而未报告的；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8.符合听证条件、行政管理相对人要求听证，应予组织听证而不组织听证的；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9.应当依法进行行政处罚而未依法处罚的；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10.应当依法移送追究刑事责任，而未依法移送有权机关的；</w:t>
            </w:r>
          </w:p>
          <w:p>
            <w:pPr>
              <w:widowControl/>
              <w:spacing w:line="240" w:lineRule="exact"/>
              <w:jc w:val="left"/>
              <w:textAlignment w:val="center"/>
              <w:rPr>
                <w:rFonts w:ascii="仿宋" w:hAnsi="仿宋" w:eastAsia="仿宋" w:cs="仿宋_GB2312"/>
                <w:kern w:val="0"/>
                <w:szCs w:val="21"/>
              </w:rPr>
            </w:pPr>
            <w:r>
              <w:rPr>
                <w:rFonts w:hint="eastAsia" w:ascii="仿宋" w:hAnsi="仿宋" w:eastAsia="仿宋" w:cs="仿宋_GB2312"/>
                <w:kern w:val="0"/>
                <w:szCs w:val="21"/>
              </w:rPr>
              <w:t>11.在行政处罚过程中发生腐败行为的；</w:t>
            </w:r>
          </w:p>
          <w:p>
            <w:pPr>
              <w:widowControl/>
              <w:spacing w:line="240" w:lineRule="exact"/>
              <w:jc w:val="left"/>
              <w:textAlignment w:val="center"/>
              <w:rPr>
                <w:rFonts w:ascii="仿宋" w:hAnsi="仿宋" w:eastAsia="仿宋" w:cs="Times New Roman"/>
                <w:color w:val="000000" w:themeColor="text1"/>
                <w:szCs w:val="21"/>
                <w14:textFill>
                  <w14:solidFill>
                    <w14:schemeClr w14:val="tx1"/>
                  </w14:solidFill>
                </w14:textFill>
              </w:rPr>
            </w:pPr>
            <w:r>
              <w:rPr>
                <w:rFonts w:hint="eastAsia" w:ascii="仿宋" w:hAnsi="仿宋" w:eastAsia="仿宋" w:cs="仿宋_GB2312"/>
                <w:kern w:val="0"/>
                <w:szCs w:val="21"/>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监督方式</w:t>
            </w:r>
          </w:p>
        </w:tc>
        <w:tc>
          <w:tcPr>
            <w:tcW w:w="8835" w:type="dxa"/>
            <w:gridSpan w:val="8"/>
            <w:tcBorders>
              <w:tl2br w:val="nil"/>
              <w:tr2bl w:val="nil"/>
            </w:tcBorders>
            <w:shd w:val="clear" w:color="auto" w:fill="auto"/>
            <w:vAlign w:val="center"/>
          </w:tcPr>
          <w:p>
            <w:pPr>
              <w:pStyle w:val="4"/>
              <w:widowControl/>
              <w:numPr>
                <w:ilvl w:val="0"/>
                <w:numId w:val="3"/>
              </w:numPr>
              <w:spacing w:line="240" w:lineRule="exact"/>
              <w:ind w:firstLineChars="0"/>
              <w:jc w:val="left"/>
              <w:textAlignment w:val="center"/>
              <w:rPr>
                <w:rFonts w:hint="eastAsia" w:ascii="仿宋" w:hAnsi="仿宋" w:eastAsia="仿宋" w:cs="仿宋_GB2312"/>
                <w:color w:val="000000"/>
                <w:kern w:val="0"/>
                <w:szCs w:val="21"/>
              </w:rPr>
            </w:pPr>
            <w:r>
              <w:rPr>
                <w:rFonts w:ascii="仿宋" w:hAnsi="仿宋" w:eastAsia="仿宋" w:cs="仿宋_GB2312"/>
                <w:color w:val="000000"/>
                <w:kern w:val="0"/>
                <w:szCs w:val="21"/>
              </w:rPr>
              <w:t>业务咨询：</w:t>
            </w:r>
            <w:r>
              <w:rPr>
                <w:rFonts w:hint="eastAsia" w:ascii="仿宋" w:hAnsi="仿宋" w:eastAsia="仿宋" w:cs="仿宋_GB2312"/>
                <w:color w:val="000000"/>
                <w:kern w:val="0"/>
                <w:szCs w:val="21"/>
              </w:rPr>
              <w:t>0335-6682748</w:t>
            </w:r>
          </w:p>
          <w:p>
            <w:pPr>
              <w:pStyle w:val="4"/>
              <w:widowControl/>
              <w:numPr>
                <w:ilvl w:val="0"/>
                <w:numId w:val="3"/>
              </w:numPr>
              <w:spacing w:line="240" w:lineRule="exact"/>
              <w:ind w:firstLineChars="0"/>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投诉举报电话：</w:t>
            </w:r>
            <w:r>
              <w:rPr>
                <w:rFonts w:hint="eastAsia" w:ascii="仿宋" w:hAnsi="仿宋" w:eastAsia="仿宋" w:cs="仿宋_GB2312"/>
                <w:color w:val="000000"/>
                <w:kern w:val="0"/>
                <w:szCs w:val="21"/>
              </w:rPr>
              <w:t>0335-6682748</w:t>
            </w:r>
          </w:p>
          <w:p>
            <w:pPr>
              <w:widowControl/>
              <w:spacing w:line="240" w:lineRule="exact"/>
              <w:jc w:val="left"/>
              <w:textAlignment w:val="center"/>
              <w:rPr>
                <w:rFonts w:ascii="仿宋" w:hAnsi="仿宋" w:eastAsia="仿宋" w:cs="Times New Roman"/>
                <w:color w:val="000000"/>
                <w:szCs w:val="21"/>
              </w:rPr>
            </w:pPr>
            <w:r>
              <w:rPr>
                <w:rFonts w:ascii="仿宋" w:hAnsi="仿宋" w:eastAsia="仿宋" w:cs="仿宋_GB2312"/>
                <w:color w:val="000000"/>
                <w:kern w:val="0"/>
                <w:szCs w:val="21"/>
              </w:rPr>
              <w:t>3.纪检监察投诉：</w:t>
            </w:r>
            <w:r>
              <w:rPr>
                <w:rFonts w:hint="eastAsia" w:ascii="仿宋" w:hAnsi="仿宋" w:eastAsia="仿宋" w:cs="仿宋_GB2312"/>
                <w:color w:val="000000"/>
                <w:kern w:val="0"/>
                <w:szCs w:val="21"/>
              </w:rPr>
              <w:t>区纪检驻资源规划局纪检组</w:t>
            </w:r>
            <w:r>
              <w:rPr>
                <w:rFonts w:hint="eastAsia" w:ascii="仿宋" w:hAnsi="仿宋" w:eastAsia="仿宋" w:cs="仿宋_GB2312"/>
                <w:kern w:val="0"/>
                <w:szCs w:val="21"/>
              </w:rPr>
              <w:t>0335-</w:t>
            </w:r>
            <w:r>
              <w:rPr>
                <w:rFonts w:ascii="仿宋" w:hAnsi="仿宋" w:eastAsia="仿宋"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1．不服处罚决定自知道该具体行政行为之日起六十日内向市政府申请行政复议。</w:t>
            </w:r>
          </w:p>
          <w:p>
            <w:pPr>
              <w:widowControl/>
              <w:spacing w:line="240" w:lineRule="exact"/>
              <w:jc w:val="left"/>
              <w:textAlignment w:val="center"/>
              <w:rPr>
                <w:rFonts w:ascii="仿宋" w:hAnsi="仿宋" w:eastAsia="仿宋" w:cs="Times New Roman"/>
                <w:b/>
                <w:bCs/>
                <w:color w:val="000000"/>
                <w:szCs w:val="21"/>
              </w:rPr>
            </w:pPr>
            <w:r>
              <w:rPr>
                <w:rFonts w:ascii="仿宋" w:hAnsi="仿宋" w:eastAsia="仿宋" w:cs="仿宋_GB2312"/>
                <w:color w:val="000000"/>
                <w:kern w:val="0"/>
                <w:szCs w:val="21"/>
              </w:rPr>
              <w:t>2．不服处罚决定应当自知道或者应当知道作出行政行为之日起六个月内提出向</w:t>
            </w:r>
            <w:r>
              <w:rPr>
                <w:rFonts w:hint="eastAsia" w:ascii="仿宋" w:hAnsi="仿宋" w:eastAsia="仿宋" w:cs="仿宋_GB2312"/>
                <w:color w:val="000000"/>
                <w:kern w:val="0"/>
                <w:szCs w:val="21"/>
              </w:rPr>
              <w:t>抚宁区</w:t>
            </w:r>
            <w:r>
              <w:rPr>
                <w:rFonts w:ascii="仿宋" w:hAnsi="仿宋" w:eastAsia="仿宋" w:cs="仿宋_GB2312"/>
                <w:color w:val="000000"/>
                <w:kern w:val="0"/>
                <w:szCs w:val="21"/>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p>
        </w:tc>
      </w:tr>
    </w:tbl>
    <w:p>
      <w:pPr>
        <w:jc w:val="center"/>
        <w:rPr>
          <w:rFonts w:hint="eastAsia" w:ascii="方正小标宋简体" w:hAnsi="方正小标宋简体" w:eastAsia="方正小标宋简体" w:cs="方正小标宋简体"/>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4"/>
      <w:numFmt w:val="chineseCounting"/>
      <w:suff w:val="nothing"/>
      <w:lvlText w:val="（%1）"/>
      <w:lvlJc w:val="left"/>
      <w:rPr>
        <w:rFonts w:ascii="仿宋" w:hAnsi="仿宋" w:eastAsia="仿宋"/>
      </w:rPr>
    </w:lvl>
  </w:abstractNum>
  <w:abstractNum w:abstractNumId="1">
    <w:nsid w:val="00000016"/>
    <w:multiLevelType w:val="singleLevel"/>
    <w:tmpl w:val="00000016"/>
    <w:lvl w:ilvl="0" w:tentative="0">
      <w:start w:val="1"/>
      <w:numFmt w:val="chineseCounting"/>
      <w:suff w:val="nothing"/>
      <w:lvlText w:val="（%1）"/>
      <w:lvlJc w:val="left"/>
    </w:lvl>
  </w:abstractNum>
  <w:abstractNum w:abstractNumId="2">
    <w:nsid w:val="56640C01"/>
    <w:multiLevelType w:val="multilevel"/>
    <w:tmpl w:val="56640C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2023-12-04T00:37:45Z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CEEDAC00073847818C9DEB0341F2A119_13</vt:lpwstr>
  </property>
</Properties>
</file>