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仿宋" w:hAnsi="仿宋" w:eastAsia="仿宋" w:cs="黑体"/>
                <w:b/>
                <w:bCs/>
                <w:color w:val="000000"/>
                <w:szCs w:val="21"/>
              </w:rPr>
            </w:pPr>
          </w:p>
        </w:tc>
        <w:tc>
          <w:tcPr>
            <w:tcW w:w="1691" w:type="dxa"/>
            <w:tcBorders>
              <w:tl2br w:val="nil"/>
              <w:tr2bl w:val="nil"/>
            </w:tcBorders>
            <w:shd w:val="clear" w:color="auto" w:fill="auto"/>
            <w:vAlign w:val="center"/>
          </w:tcPr>
          <w:p>
            <w:pPr>
              <w:jc w:val="center"/>
              <w:rPr>
                <w:rFonts w:ascii="仿宋" w:hAnsi="仿宋" w:eastAsia="仿宋" w:cs="黑体"/>
                <w:b/>
                <w:bCs/>
                <w:color w:val="000000"/>
                <w:szCs w:val="21"/>
              </w:rPr>
            </w:pPr>
            <w:r>
              <w:rPr>
                <w:rFonts w:hint="eastAsia" w:ascii="仿宋" w:hAnsi="仿宋" w:eastAsia="仿宋"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事项名称</w:t>
            </w:r>
          </w:p>
        </w:tc>
        <w:tc>
          <w:tcPr>
            <w:tcW w:w="8835" w:type="dxa"/>
            <w:gridSpan w:val="8"/>
            <w:tcBorders>
              <w:tl2br w:val="nil"/>
              <w:tr2bl w:val="nil"/>
            </w:tcBorders>
            <w:shd w:val="clear" w:color="auto" w:fill="auto"/>
            <w:vAlign w:val="center"/>
          </w:tcPr>
          <w:p>
            <w:pPr>
              <w:jc w:val="center"/>
              <w:rPr>
                <w:rFonts w:ascii="仿宋" w:hAnsi="仿宋" w:eastAsia="仿宋" w:cs="宋体"/>
                <w:color w:val="000000"/>
                <w:szCs w:val="21"/>
              </w:rPr>
            </w:pPr>
            <w:r>
              <w:rPr>
                <w:rFonts w:hint="eastAsia" w:ascii="仿宋" w:hAnsi="仿宋" w:eastAsia="仿宋"/>
                <w:color w:val="000000"/>
                <w:szCs w:val="21"/>
              </w:rPr>
              <w:t>对规划编制单位超越资质等级承揽编制工作及违反国家有关标准编制城乡规划；未取得资质证书承揽城乡规划编制及以欺骗手段取得资质证书承揽编制工作的处罚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仿宋" w:hAnsi="仿宋" w:eastAsia="仿宋"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_GB2312"/>
                <w:b/>
                <w:color w:val="000000"/>
                <w:kern w:val="0"/>
                <w:szCs w:val="21"/>
              </w:rPr>
            </w:pPr>
            <w:r>
              <w:rPr>
                <w:rFonts w:hint="eastAsia" w:ascii="仿宋" w:hAnsi="仿宋" w:eastAsia="仿宋" w:cs="仿宋_GB2312"/>
                <w:b/>
                <w:color w:val="000000"/>
                <w:kern w:val="0"/>
                <w:szCs w:val="21"/>
              </w:rPr>
              <w:t>【法律法规】</w:t>
            </w:r>
          </w:p>
          <w:p>
            <w:pPr>
              <w:widowControl/>
              <w:spacing w:line="240" w:lineRule="exact"/>
              <w:jc w:val="left"/>
              <w:textAlignment w:val="center"/>
              <w:rPr>
                <w:rFonts w:hint="eastAsia" w:ascii="仿宋" w:hAnsi="仿宋" w:eastAsia="仿宋"/>
                <w:color w:val="333333"/>
                <w:szCs w:val="21"/>
              </w:rPr>
            </w:pPr>
            <w:r>
              <w:rPr>
                <w:rFonts w:eastAsia="仿宋"/>
                <w:color w:val="333333"/>
                <w:sz w:val="19"/>
                <w:szCs w:val="19"/>
              </w:rPr>
              <w:t> </w:t>
            </w:r>
            <w:r>
              <w:rPr>
                <w:rFonts w:hint="eastAsia" w:eastAsia="仿宋"/>
                <w:b/>
                <w:color w:val="333333"/>
                <w:sz w:val="19"/>
                <w:szCs w:val="19"/>
              </w:rPr>
              <w:t>《中华人民共和国城乡规划法》</w:t>
            </w:r>
            <w:r>
              <w:rPr>
                <w:rStyle w:val="4"/>
                <w:rFonts w:hint="eastAsia" w:ascii="仿宋" w:hAnsi="仿宋" w:eastAsia="仿宋"/>
                <w:color w:val="333333"/>
                <w:szCs w:val="21"/>
              </w:rPr>
              <w:t>第六十二条</w:t>
            </w:r>
            <w:r>
              <w:rPr>
                <w:rFonts w:ascii="仿宋" w:hAnsi="仿宋" w:eastAsia="仿宋"/>
                <w:color w:val="333333"/>
                <w:szCs w:val="21"/>
              </w:rPr>
              <w:t>　城乡规划编制单位有下列行为之一的，由所在地城市、县人民政府城乡规划主管部门责令限期改正，处合同约定的规划编制费一倍以上二倍以下的罚款；情节严重的，责令停业整顿，由原发证机关降低资质等级或者吊销资质证书；造成损失的，依法承担赔偿责任：</w:t>
            </w:r>
          </w:p>
          <w:p>
            <w:pPr>
              <w:widowControl/>
              <w:spacing w:line="240" w:lineRule="exact"/>
              <w:jc w:val="left"/>
              <w:textAlignment w:val="center"/>
              <w:rPr>
                <w:rFonts w:hint="eastAsia" w:ascii="仿宋" w:hAnsi="仿宋" w:eastAsia="仿宋"/>
                <w:color w:val="333333"/>
                <w:szCs w:val="21"/>
              </w:rPr>
            </w:pPr>
            <w:r>
              <w:rPr>
                <w:rFonts w:ascii="仿宋" w:hAnsi="仿宋" w:eastAsia="仿宋"/>
                <w:color w:val="333333"/>
                <w:szCs w:val="21"/>
              </w:rPr>
              <w:t>（一）超越资质等级许可的范围承揽城乡规划编制工作的；</w:t>
            </w:r>
          </w:p>
          <w:p>
            <w:pPr>
              <w:widowControl/>
              <w:spacing w:line="240" w:lineRule="exact"/>
              <w:jc w:val="left"/>
              <w:textAlignment w:val="center"/>
              <w:rPr>
                <w:rFonts w:hint="eastAsia" w:ascii="仿宋" w:hAnsi="仿宋" w:eastAsia="仿宋"/>
                <w:color w:val="333333"/>
                <w:szCs w:val="21"/>
              </w:rPr>
            </w:pPr>
            <w:r>
              <w:rPr>
                <w:rFonts w:ascii="仿宋" w:hAnsi="仿宋" w:eastAsia="仿宋"/>
                <w:color w:val="333333"/>
                <w:szCs w:val="21"/>
              </w:rPr>
              <w:t>（二）违反国家有关标准编制城乡规划的。</w:t>
            </w:r>
          </w:p>
          <w:p>
            <w:pPr>
              <w:widowControl/>
              <w:spacing w:line="240" w:lineRule="exact"/>
              <w:jc w:val="left"/>
              <w:textAlignment w:val="center"/>
              <w:rPr>
                <w:rFonts w:hint="eastAsia" w:ascii="仿宋" w:hAnsi="仿宋" w:eastAsia="仿宋"/>
                <w:color w:val="333333"/>
                <w:szCs w:val="21"/>
              </w:rPr>
            </w:pPr>
            <w:r>
              <w:rPr>
                <w:rFonts w:ascii="仿宋" w:hAnsi="仿宋" w:eastAsia="仿宋"/>
                <w:color w:val="333333"/>
                <w:szCs w:val="21"/>
              </w:rPr>
              <w:t>未依法取得资质证书承揽城乡规划编制工作的，由县级以上地方人民政府城乡规划主管部门责令停止违法行为，依照前款规定处以罚款；造成损失的，依法承担赔偿责任。</w:t>
            </w:r>
          </w:p>
          <w:p>
            <w:pPr>
              <w:widowControl/>
              <w:spacing w:line="240" w:lineRule="exact"/>
              <w:jc w:val="left"/>
              <w:textAlignment w:val="center"/>
              <w:rPr>
                <w:rFonts w:hint="eastAsia" w:ascii="仿宋" w:hAnsi="仿宋" w:eastAsia="仿宋" w:cs="仿宋_GB2312"/>
                <w:color w:val="000000"/>
                <w:kern w:val="0"/>
                <w:szCs w:val="21"/>
              </w:rPr>
            </w:pPr>
            <w:r>
              <w:rPr>
                <w:rFonts w:ascii="仿宋" w:hAnsi="仿宋" w:eastAsia="仿宋"/>
                <w:color w:val="333333"/>
                <w:szCs w:val="21"/>
              </w:rPr>
              <w:t>以欺骗手段取得资质证书承揽城乡规划编制工作的，由原发证机关吊销资质证书，依照本条第一款规定处以罚款；造成损失的，依法承担赔偿责任。</w:t>
            </w:r>
          </w:p>
          <w:p>
            <w:pPr>
              <w:widowControl/>
              <w:spacing w:line="240" w:lineRule="exact"/>
              <w:jc w:val="left"/>
              <w:textAlignment w:val="center"/>
              <w:rPr>
                <w:rFonts w:ascii="仿宋" w:hAnsi="仿宋" w:eastAsia="仿宋" w:cs="仿宋_GB2312"/>
                <w:b/>
                <w:color w:val="000000"/>
                <w:kern w:val="0"/>
                <w:szCs w:val="21"/>
              </w:rPr>
            </w:pPr>
            <w:r>
              <w:rPr>
                <w:rFonts w:hint="eastAsia" w:ascii="仿宋" w:hAnsi="仿宋" w:eastAsia="仿宋" w:cs="仿宋_GB2312"/>
                <w:b/>
                <w:color w:val="000000"/>
                <w:kern w:val="0"/>
                <w:szCs w:val="21"/>
              </w:rPr>
              <w:t>【三定规定】</w:t>
            </w:r>
          </w:p>
          <w:p>
            <w:pPr>
              <w:widowControl/>
              <w:spacing w:line="240" w:lineRule="exact"/>
              <w:jc w:val="left"/>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仿宋_GB2312"/>
                <w:kern w:val="0"/>
                <w:szCs w:val="21"/>
              </w:rPr>
              <w:t>抚办字﹝2019﹞</w:t>
            </w:r>
            <w:r>
              <w:rPr>
                <w:rFonts w:ascii="仿宋" w:hAnsi="仿宋" w:eastAsia="仿宋" w:cs="仿宋_GB2312"/>
                <w:kern w:val="0"/>
                <w:szCs w:val="21"/>
              </w:rPr>
              <w:t>6</w:t>
            </w:r>
            <w:r>
              <w:rPr>
                <w:rFonts w:hint="eastAsia" w:ascii="仿宋" w:hAnsi="仿宋" w:eastAsia="仿宋" w:cs="仿宋_GB2312"/>
                <w:kern w:val="0"/>
                <w:szCs w:val="21"/>
              </w:rPr>
              <w:t>号  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kern w:val="0"/>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经初步了解案件后，依法立案或不予立案（不予立案应当告知理由）</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制作现场勘验笔录、调查询问笔录、搜集相关文件资料、现场拍照录像等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制作事先告知书（听证告知书）、处罚决定书</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送达相关文书，告知行政复议和行政诉讼等救济权利</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1.没有法律和事实依据实施行政处罚的；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2.擅自改变行政处罚种类、幅度的；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3.违反法定程序进行行政处罚的；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4.违反委托处罚规定的；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5.对违法行为未依法制止的；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6.应当依法立案查处，无正当理由未依法立案查处的；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7.在制止以及查处违法案件中受阻，依照有关规定应当向本级人民政府或者上级自然资源主管部门报告而未报告的；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8.符合听证条件、行政管理相对人要求听证，应予组织听证而不组织听证的；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9.应当依法进行行政处罚而未依法处罚的；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10.应当依法移送追究刑事责任，而未依法移送有权机关的；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11.在行政处罚过程中发生腐败行为的；</w:t>
            </w:r>
          </w:p>
          <w:p>
            <w:pPr>
              <w:widowControl/>
              <w:spacing w:line="240" w:lineRule="exact"/>
              <w:jc w:val="left"/>
              <w:textAlignment w:val="center"/>
              <w:rPr>
                <w:rFonts w:ascii="仿宋" w:hAnsi="仿宋" w:eastAsia="仿宋" w:cs="Times New Roman"/>
                <w:color w:val="000000" w:themeColor="text1"/>
                <w:szCs w:val="21"/>
                <w14:textFill>
                  <w14:solidFill>
                    <w14:schemeClr w14:val="tx1"/>
                  </w14:solidFill>
                </w14:textFill>
              </w:rPr>
            </w:pPr>
            <w:r>
              <w:rPr>
                <w:rFonts w:hint="eastAsia" w:ascii="仿宋_GB2312" w:hAnsi="仿宋_GB2312" w:eastAsia="仿宋_GB2312" w:cs="仿宋_GB2312"/>
                <w:kern w:val="0"/>
                <w:szCs w:val="21"/>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监督方式</w:t>
            </w:r>
          </w:p>
        </w:tc>
        <w:tc>
          <w:tcPr>
            <w:tcW w:w="8835" w:type="dxa"/>
            <w:gridSpan w:val="8"/>
            <w:tcBorders>
              <w:tl2br w:val="nil"/>
              <w:tr2bl w:val="nil"/>
            </w:tcBorders>
            <w:shd w:val="clear" w:color="auto" w:fill="auto"/>
            <w:vAlign w:val="center"/>
          </w:tcPr>
          <w:p>
            <w:pPr>
              <w:pStyle w:val="5"/>
              <w:widowControl/>
              <w:numPr>
                <w:ilvl w:val="0"/>
                <w:numId w:val="1"/>
              </w:numPr>
              <w:spacing w:line="240" w:lineRule="exact"/>
              <w:ind w:firstLineChars="0"/>
              <w:jc w:val="left"/>
              <w:textAlignment w:val="center"/>
              <w:rPr>
                <w:rFonts w:hint="eastAsia" w:ascii="仿宋" w:hAnsi="仿宋" w:eastAsia="仿宋" w:cs="仿宋_GB2312"/>
                <w:color w:val="000000"/>
                <w:kern w:val="0"/>
                <w:szCs w:val="21"/>
              </w:rPr>
            </w:pPr>
            <w:r>
              <w:rPr>
                <w:rFonts w:ascii="仿宋" w:hAnsi="仿宋" w:eastAsia="仿宋" w:cs="仿宋_GB2312"/>
                <w:color w:val="000000"/>
                <w:kern w:val="0"/>
                <w:szCs w:val="21"/>
              </w:rPr>
              <w:t>业务咨询：</w:t>
            </w:r>
            <w:r>
              <w:rPr>
                <w:rFonts w:hint="eastAsia" w:ascii="仿宋" w:hAnsi="仿宋" w:eastAsia="仿宋" w:cs="仿宋_GB2312"/>
                <w:color w:val="000000"/>
                <w:kern w:val="0"/>
                <w:szCs w:val="21"/>
              </w:rPr>
              <w:t>0335-6682748</w:t>
            </w:r>
          </w:p>
          <w:p>
            <w:pPr>
              <w:pStyle w:val="5"/>
              <w:widowControl/>
              <w:numPr>
                <w:ilvl w:val="0"/>
                <w:numId w:val="1"/>
              </w:numPr>
              <w:spacing w:line="240" w:lineRule="exact"/>
              <w:ind w:firstLineChars="0"/>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投诉举报电话：</w:t>
            </w:r>
            <w:r>
              <w:rPr>
                <w:rFonts w:hint="eastAsia" w:ascii="仿宋" w:hAnsi="仿宋" w:eastAsia="仿宋" w:cs="仿宋_GB2312"/>
                <w:color w:val="000000"/>
                <w:kern w:val="0"/>
                <w:szCs w:val="21"/>
              </w:rPr>
              <w:t>0335-6682748</w:t>
            </w:r>
          </w:p>
          <w:p>
            <w:pPr>
              <w:widowControl/>
              <w:spacing w:line="240" w:lineRule="exact"/>
              <w:jc w:val="left"/>
              <w:textAlignment w:val="center"/>
              <w:rPr>
                <w:rFonts w:ascii="仿宋" w:hAnsi="仿宋" w:eastAsia="仿宋" w:cs="Times New Roman"/>
                <w:color w:val="000000"/>
                <w:szCs w:val="21"/>
              </w:rPr>
            </w:pPr>
            <w:r>
              <w:rPr>
                <w:rFonts w:ascii="仿宋" w:hAnsi="仿宋" w:eastAsia="仿宋" w:cs="仿宋_GB2312"/>
                <w:color w:val="000000"/>
                <w:kern w:val="0"/>
                <w:szCs w:val="21"/>
              </w:rPr>
              <w:t>3.纪检监察投诉：</w:t>
            </w:r>
            <w:r>
              <w:rPr>
                <w:rFonts w:hint="eastAsia" w:ascii="仿宋_GB2312" w:eastAsia="仿宋_GB2312" w:cs="仿宋_GB2312"/>
                <w:color w:val="000000"/>
                <w:kern w:val="0"/>
                <w:szCs w:val="21"/>
              </w:rPr>
              <w:t>区纪检驻资源规划局纪检组</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1．不服处罚决定自知道该具体行政行为之日起六十日内向市政府申请行政复议。</w:t>
            </w:r>
          </w:p>
          <w:p>
            <w:pPr>
              <w:widowControl/>
              <w:spacing w:line="240" w:lineRule="exact"/>
              <w:jc w:val="left"/>
              <w:textAlignment w:val="center"/>
              <w:rPr>
                <w:rFonts w:ascii="仿宋" w:hAnsi="仿宋" w:eastAsia="仿宋" w:cs="Times New Roman"/>
                <w:b/>
                <w:bCs/>
                <w:color w:val="000000"/>
                <w:szCs w:val="21"/>
              </w:rPr>
            </w:pPr>
            <w:r>
              <w:rPr>
                <w:rFonts w:ascii="仿宋" w:hAnsi="仿宋" w:eastAsia="仿宋" w:cs="仿宋_GB2312"/>
                <w:color w:val="000000"/>
                <w:kern w:val="0"/>
                <w:szCs w:val="21"/>
              </w:rPr>
              <w:t>2．不服处罚决定应当自知道或者应当知道作出行政行为之日起六个月内提出向</w:t>
            </w:r>
            <w:r>
              <w:rPr>
                <w:rFonts w:hint="eastAsia" w:ascii="仿宋" w:hAnsi="仿宋" w:eastAsia="仿宋" w:cs="仿宋_GB2312"/>
                <w:color w:val="000000"/>
                <w:kern w:val="0"/>
                <w:szCs w:val="21"/>
              </w:rPr>
              <w:t>抚宁区</w:t>
            </w:r>
            <w:r>
              <w:rPr>
                <w:rFonts w:ascii="仿宋" w:hAnsi="仿宋" w:eastAsia="仿宋" w:cs="仿宋_GB2312"/>
                <w:color w:val="000000"/>
                <w:kern w:val="0"/>
                <w:szCs w:val="21"/>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p>
        </w:tc>
      </w:tr>
    </w:tbl>
    <w:p>
      <w:pPr>
        <w:jc w:val="center"/>
        <w:rPr>
          <w:rFonts w:ascii="方正小标宋简体" w:hAnsi="方正小标宋简体" w:eastAsia="方正小标宋简体" w:cs="方正小标宋简体"/>
          <w:sz w:val="44"/>
          <w:szCs w:val="44"/>
        </w:rPr>
      </w:pPr>
    </w:p>
    <w:p>
      <w:pPr>
        <w:spacing w:line="500" w:lineRule="exact"/>
        <w:rPr>
          <w:rFonts w:hint="eastAsia" w:ascii="Times New Roman" w:hAnsi="Times New Roman" w:eastAsia="方正仿宋_GBK" w:cs="Times New Roman"/>
          <w:sz w:val="32"/>
          <w:szCs w:val="32"/>
        </w:rPr>
      </w:pPr>
    </w:p>
    <w:p>
      <w:bookmarkStart w:id="0" w:name="_GoBack"/>
      <w:bookmarkEnd w:id="0"/>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640C01"/>
    <w:multiLevelType w:val="multilevel"/>
    <w:tmpl w:val="56640C0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7FF6CC1"/>
    <w:rsid w:val="18DA1F55"/>
    <w:rsid w:val="346B31E6"/>
    <w:rsid w:val="3E484EBC"/>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2023-12-04T00:38:52Z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E276F450A1434CBC99FED9FA4D2B4AC8_13</vt:lpwstr>
  </property>
</Properties>
</file>