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仿宋" w:hAnsi="仿宋" w:eastAsia="仿宋" w:cs="黑体"/>
                <w:b/>
                <w:bCs/>
                <w:color w:val="000000"/>
                <w:szCs w:val="21"/>
              </w:rPr>
            </w:pPr>
          </w:p>
        </w:tc>
        <w:tc>
          <w:tcPr>
            <w:tcW w:w="1691" w:type="dxa"/>
            <w:tcBorders>
              <w:tl2br w:val="nil"/>
              <w:tr2bl w:val="nil"/>
            </w:tcBorders>
            <w:shd w:val="clear" w:color="auto" w:fill="auto"/>
            <w:vAlign w:val="center"/>
          </w:tcPr>
          <w:p>
            <w:pPr>
              <w:jc w:val="center"/>
              <w:rPr>
                <w:rFonts w:ascii="仿宋" w:hAnsi="仿宋" w:eastAsia="仿宋" w:cs="黑体"/>
                <w:b/>
                <w:bCs/>
                <w:color w:val="000000"/>
                <w:szCs w:val="21"/>
              </w:rPr>
            </w:pPr>
            <w:r>
              <w:rPr>
                <w:rFonts w:hint="eastAsia" w:ascii="仿宋" w:hAnsi="仿宋" w:eastAsia="仿宋"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事项名称</w:t>
            </w:r>
          </w:p>
        </w:tc>
        <w:tc>
          <w:tcPr>
            <w:tcW w:w="8835" w:type="dxa"/>
            <w:gridSpan w:val="8"/>
            <w:tcBorders>
              <w:tl2br w:val="nil"/>
              <w:tr2bl w:val="nil"/>
            </w:tcBorders>
            <w:shd w:val="clear" w:color="auto" w:fill="auto"/>
            <w:vAlign w:val="center"/>
          </w:tcPr>
          <w:p>
            <w:pPr>
              <w:jc w:val="center"/>
              <w:rPr>
                <w:rFonts w:ascii="仿宋" w:hAnsi="仿宋" w:eastAsia="仿宋" w:cs="宋体"/>
                <w:color w:val="000000"/>
                <w:szCs w:val="21"/>
              </w:rPr>
            </w:pPr>
            <w:r>
              <w:rPr>
                <w:rFonts w:hint="eastAsia" w:ascii="仿宋" w:hAnsi="仿宋" w:eastAsia="仿宋"/>
                <w:color w:val="000000"/>
                <w:szCs w:val="21"/>
              </w:rPr>
              <w:t>对建设单位未在工程竣工验收后六个月内向城乡规划主管部门报送有关竣工验收资料的处罚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仿宋" w:hAnsi="仿宋" w:eastAsia="仿宋"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_GB2312"/>
                <w:b/>
                <w:color w:val="000000"/>
                <w:kern w:val="0"/>
                <w:szCs w:val="21"/>
              </w:rPr>
            </w:pPr>
            <w:r>
              <w:rPr>
                <w:rFonts w:hint="eastAsia" w:ascii="仿宋" w:hAnsi="仿宋" w:eastAsia="仿宋" w:cs="仿宋_GB2312"/>
                <w:b/>
                <w:color w:val="000000"/>
                <w:kern w:val="0"/>
                <w:szCs w:val="21"/>
              </w:rPr>
              <w:t>【法律法规】</w:t>
            </w:r>
          </w:p>
          <w:p>
            <w:pPr>
              <w:widowControl/>
              <w:spacing w:line="240" w:lineRule="exact"/>
              <w:jc w:val="left"/>
              <w:textAlignment w:val="center"/>
              <w:rPr>
                <w:rFonts w:hint="eastAsia" w:ascii="仿宋" w:hAnsi="仿宋" w:eastAsia="仿宋"/>
                <w:color w:val="333333"/>
                <w:szCs w:val="21"/>
              </w:rPr>
            </w:pPr>
            <w:r>
              <w:rPr>
                <w:rFonts w:eastAsia="仿宋"/>
                <w:color w:val="333333"/>
                <w:sz w:val="19"/>
                <w:szCs w:val="19"/>
              </w:rPr>
              <w:t> </w:t>
            </w:r>
            <w:r>
              <w:rPr>
                <w:rFonts w:hint="eastAsia" w:eastAsia="仿宋"/>
                <w:b/>
                <w:color w:val="333333"/>
                <w:sz w:val="19"/>
                <w:szCs w:val="19"/>
              </w:rPr>
              <w:t>《中华人民共和国城乡规划法》</w:t>
            </w:r>
            <w:r>
              <w:rPr>
                <w:rStyle w:val="4"/>
                <w:rFonts w:hint="eastAsia" w:ascii="仿宋" w:hAnsi="仿宋" w:eastAsia="仿宋"/>
                <w:color w:val="333333"/>
                <w:szCs w:val="21"/>
              </w:rPr>
              <w:t>第六十七条</w:t>
            </w:r>
            <w:r>
              <w:rPr>
                <w:rFonts w:ascii="仿宋" w:hAnsi="仿宋" w:eastAsia="仿宋"/>
                <w:color w:val="333333"/>
                <w:szCs w:val="21"/>
              </w:rPr>
              <w:t>　建设单位未在建设工程竣工验收后六个月内向城乡规划主管部门报送有关竣工验收资料的，由所在地城市、县人民政府城乡规划主管部门责令限期补报；逾期不补报的，处一万元以上五万元以下的罚款。</w:t>
            </w:r>
          </w:p>
          <w:p>
            <w:pPr>
              <w:widowControl/>
              <w:spacing w:line="240" w:lineRule="exact"/>
              <w:jc w:val="left"/>
              <w:textAlignment w:val="center"/>
              <w:rPr>
                <w:rFonts w:ascii="仿宋" w:hAnsi="仿宋" w:eastAsia="仿宋" w:cs="仿宋_GB2312"/>
                <w:b/>
                <w:color w:val="000000"/>
                <w:kern w:val="0"/>
                <w:szCs w:val="21"/>
              </w:rPr>
            </w:pPr>
            <w:r>
              <w:rPr>
                <w:rFonts w:hint="eastAsia" w:ascii="仿宋" w:hAnsi="仿宋" w:eastAsia="仿宋" w:cs="仿宋_GB2312"/>
                <w:b/>
                <w:color w:val="000000"/>
                <w:kern w:val="0"/>
                <w:szCs w:val="21"/>
              </w:rPr>
              <w:t>【三定规定】</w:t>
            </w:r>
          </w:p>
          <w:p>
            <w:pPr>
              <w:widowControl/>
              <w:spacing w:line="240" w:lineRule="exact"/>
              <w:jc w:val="left"/>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仿宋_GB2312"/>
                <w:kern w:val="0"/>
                <w:szCs w:val="21"/>
              </w:rPr>
              <w:t>抚办字﹝2019﹞</w:t>
            </w:r>
            <w:r>
              <w:rPr>
                <w:rFonts w:ascii="仿宋" w:hAnsi="仿宋" w:eastAsia="仿宋" w:cs="仿宋_GB2312"/>
                <w:kern w:val="0"/>
                <w:szCs w:val="21"/>
              </w:rPr>
              <w:t>6</w:t>
            </w:r>
            <w:r>
              <w:rPr>
                <w:rFonts w:hint="eastAsia" w:ascii="仿宋" w:hAnsi="仿宋" w:eastAsia="仿宋" w:cs="仿宋_GB2312"/>
                <w:kern w:val="0"/>
                <w:szCs w:val="21"/>
              </w:rPr>
              <w:t>号  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kern w:val="0"/>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经初步了解案件后，依法立案或不予立案（不予立案应当告知理由）</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制作现场勘验笔录、调查询问笔录、搜集相关文件资料、现场拍照录像等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制作事先告知书（听证告知书）、处罚决定书</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送达相关文书，告知行政复议和行政诉讼等救济权利</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1.没有法律和事实依据实施行政处罚的；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2.擅自改变行政处罚种类、幅度的；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3.违反法定程序进行行政处罚的；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4.违反委托处罚规定的；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5.对违法行为未依法制止的；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6.应当依法立案查处，无正当理由未依法立案查处的；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7.在制止以及查处违法案件中受阻，依照有关规定应当向本级人民政府或者上级自然资源主管部门报告而未报告的；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8.符合听证条件、行政管理相对人要求听证，应予组织听证而不组织听证的；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9.应当依法进行行政处罚而未依法处罚的；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10.应当依法移送追究刑事责任，而未依法移送有权机关的；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11.在行政处罚过程中发生腐败行为的；</w:t>
            </w:r>
          </w:p>
          <w:p>
            <w:pPr>
              <w:widowControl/>
              <w:spacing w:line="240" w:lineRule="exact"/>
              <w:jc w:val="left"/>
              <w:textAlignment w:val="center"/>
              <w:rPr>
                <w:rFonts w:ascii="仿宋" w:hAnsi="仿宋" w:eastAsia="仿宋" w:cs="Times New Roman"/>
                <w:color w:val="000000" w:themeColor="text1"/>
                <w:szCs w:val="21"/>
                <w14:textFill>
                  <w14:solidFill>
                    <w14:schemeClr w14:val="tx1"/>
                  </w14:solidFill>
                </w14:textFill>
              </w:rPr>
            </w:pPr>
            <w:r>
              <w:rPr>
                <w:rFonts w:hint="eastAsia" w:ascii="仿宋_GB2312" w:hAnsi="仿宋_GB2312" w:eastAsia="仿宋_GB2312" w:cs="仿宋_GB2312"/>
                <w:kern w:val="0"/>
                <w:szCs w:val="21"/>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监督方式</w:t>
            </w:r>
          </w:p>
        </w:tc>
        <w:tc>
          <w:tcPr>
            <w:tcW w:w="8835" w:type="dxa"/>
            <w:gridSpan w:val="8"/>
            <w:tcBorders>
              <w:tl2br w:val="nil"/>
              <w:tr2bl w:val="nil"/>
            </w:tcBorders>
            <w:shd w:val="clear" w:color="auto" w:fill="auto"/>
            <w:vAlign w:val="center"/>
          </w:tcPr>
          <w:p>
            <w:pPr>
              <w:pStyle w:val="5"/>
              <w:widowControl/>
              <w:numPr>
                <w:ilvl w:val="0"/>
                <w:numId w:val="1"/>
              </w:numPr>
              <w:spacing w:line="240" w:lineRule="exact"/>
              <w:ind w:firstLineChars="0"/>
              <w:jc w:val="left"/>
              <w:textAlignment w:val="center"/>
              <w:rPr>
                <w:rFonts w:hint="eastAsia" w:ascii="仿宋" w:hAnsi="仿宋" w:eastAsia="仿宋" w:cs="仿宋_GB2312"/>
                <w:color w:val="000000"/>
                <w:kern w:val="0"/>
                <w:szCs w:val="21"/>
              </w:rPr>
            </w:pPr>
            <w:r>
              <w:rPr>
                <w:rFonts w:ascii="仿宋" w:hAnsi="仿宋" w:eastAsia="仿宋" w:cs="仿宋_GB2312"/>
                <w:color w:val="000000"/>
                <w:kern w:val="0"/>
                <w:szCs w:val="21"/>
              </w:rPr>
              <w:t>业务咨询：</w:t>
            </w:r>
            <w:r>
              <w:rPr>
                <w:rFonts w:hint="eastAsia" w:ascii="仿宋" w:hAnsi="仿宋" w:eastAsia="仿宋" w:cs="仿宋_GB2312"/>
                <w:color w:val="000000"/>
                <w:kern w:val="0"/>
                <w:szCs w:val="21"/>
              </w:rPr>
              <w:t>0335-6682748</w:t>
            </w:r>
          </w:p>
          <w:p>
            <w:pPr>
              <w:pStyle w:val="5"/>
              <w:widowControl/>
              <w:numPr>
                <w:ilvl w:val="0"/>
                <w:numId w:val="1"/>
              </w:numPr>
              <w:spacing w:line="240" w:lineRule="exact"/>
              <w:ind w:firstLineChars="0"/>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投诉举报电话：</w:t>
            </w:r>
            <w:r>
              <w:rPr>
                <w:rFonts w:hint="eastAsia" w:ascii="仿宋" w:hAnsi="仿宋" w:eastAsia="仿宋" w:cs="仿宋_GB2312"/>
                <w:color w:val="000000"/>
                <w:kern w:val="0"/>
                <w:szCs w:val="21"/>
              </w:rPr>
              <w:t>0335-6682748</w:t>
            </w:r>
          </w:p>
          <w:p>
            <w:pPr>
              <w:widowControl/>
              <w:spacing w:line="240" w:lineRule="exact"/>
              <w:jc w:val="left"/>
              <w:textAlignment w:val="center"/>
              <w:rPr>
                <w:rFonts w:ascii="仿宋" w:hAnsi="仿宋" w:eastAsia="仿宋" w:cs="Times New Roman"/>
                <w:color w:val="000000"/>
                <w:szCs w:val="21"/>
              </w:rPr>
            </w:pPr>
            <w:r>
              <w:rPr>
                <w:rFonts w:ascii="仿宋" w:hAnsi="仿宋" w:eastAsia="仿宋" w:cs="仿宋_GB2312"/>
                <w:color w:val="000000"/>
                <w:kern w:val="0"/>
                <w:szCs w:val="21"/>
              </w:rPr>
              <w:t>3.纪检监察投诉：</w:t>
            </w:r>
            <w:r>
              <w:rPr>
                <w:rFonts w:hint="eastAsia" w:ascii="仿宋_GB2312" w:eastAsia="仿宋_GB2312" w:cs="仿宋_GB2312"/>
                <w:color w:val="000000"/>
                <w:kern w:val="0"/>
                <w:szCs w:val="21"/>
              </w:rPr>
              <w:t>区纪检驻资源规划局纪检组</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1．不服处罚决定自知道该具体行政行为之日起六十日内向市政府申请行政复议。</w:t>
            </w:r>
          </w:p>
          <w:p>
            <w:pPr>
              <w:widowControl/>
              <w:spacing w:line="240" w:lineRule="exact"/>
              <w:jc w:val="left"/>
              <w:textAlignment w:val="center"/>
              <w:rPr>
                <w:rFonts w:ascii="仿宋" w:hAnsi="仿宋" w:eastAsia="仿宋" w:cs="Times New Roman"/>
                <w:b/>
                <w:bCs/>
                <w:color w:val="000000"/>
                <w:szCs w:val="21"/>
              </w:rPr>
            </w:pPr>
            <w:r>
              <w:rPr>
                <w:rFonts w:ascii="仿宋" w:hAnsi="仿宋" w:eastAsia="仿宋" w:cs="仿宋_GB2312"/>
                <w:color w:val="000000"/>
                <w:kern w:val="0"/>
                <w:szCs w:val="21"/>
              </w:rPr>
              <w:t>2．不服处罚决定应当自知道或者应当知道作出行政行为之日起六个月内提出向</w:t>
            </w:r>
            <w:r>
              <w:rPr>
                <w:rFonts w:hint="eastAsia" w:ascii="仿宋" w:hAnsi="仿宋" w:eastAsia="仿宋" w:cs="仿宋_GB2312"/>
                <w:color w:val="000000"/>
                <w:kern w:val="0"/>
                <w:szCs w:val="21"/>
              </w:rPr>
              <w:t>抚宁区</w:t>
            </w:r>
            <w:r>
              <w:rPr>
                <w:rFonts w:ascii="仿宋" w:hAnsi="仿宋" w:eastAsia="仿宋" w:cs="仿宋_GB2312"/>
                <w:color w:val="000000"/>
                <w:kern w:val="0"/>
                <w:szCs w:val="21"/>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p>
        </w:tc>
      </w:tr>
    </w:tbl>
    <w:p>
      <w:pPr>
        <w:spacing w:line="500" w:lineRule="exact"/>
        <w:rPr>
          <w:rFonts w:ascii="Times New Roman" w:hAnsi="Times New Roman" w:eastAsia="方正仿宋_GBK" w:cs="Times New Roman"/>
          <w:sz w:val="32"/>
          <w:szCs w:val="32"/>
        </w:rPr>
      </w:pPr>
    </w:p>
    <w:p>
      <w:pPr>
        <w:spacing w:line="500" w:lineRule="exact"/>
        <w:rPr>
          <w:rFonts w:ascii="Times New Roman" w:hAnsi="Times New Roman" w:eastAsia="方正仿宋_GBK" w:cs="Times New Roman"/>
          <w:sz w:val="32"/>
          <w:szCs w:val="32"/>
        </w:rPr>
      </w:pPr>
    </w:p>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640C01"/>
    <w:multiLevelType w:val="multilevel"/>
    <w:tmpl w:val="56640C0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7FF6CC1"/>
    <w:rsid w:val="18DA1F55"/>
    <w:rsid w:val="346B31E6"/>
    <w:rsid w:val="3E484EBC"/>
    <w:rsid w:val="480B6841"/>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2023-12-04T00:39:24Z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3BACCC8C8C1E47689399792380DACD72_13</vt:lpwstr>
  </property>
</Properties>
</file>