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1276"/>
        <w:gridCol w:w="283"/>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行政裁决</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val="en-US" w:eastAsia="zh-CN"/>
              </w:rPr>
              <w:t>秦皇岛市抚宁区自然资源和规划局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eastAsia="仿宋_GB2312" w:cs="仿宋_GB2312"/>
                <w:color w:val="000000"/>
                <w:kern w:val="0"/>
                <w:sz w:val="18"/>
                <w:szCs w:val="18"/>
              </w:rPr>
              <w:t>土地权属争议调处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18"/>
                <w:szCs w:val="18"/>
              </w:rPr>
            </w:pPr>
            <w:r>
              <w:rPr>
                <w:rFonts w:hint="eastAsia" w:ascii="黑体" w:hAnsi="黑体" w:eastAsia="黑体" w:cs="仿宋_GB2312"/>
                <w:kern w:val="0"/>
                <w:sz w:val="18"/>
                <w:szCs w:val="18"/>
              </w:rPr>
              <w:t>【法律法规】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1.《中华人民共和国土地管理法》（主席令第28号）第14条 土地所有权和使用权争议，由当事人协商解决;协商不成的，由人民政府处理。单位之间的争议，由县级以上人民政府处理;个人之间、个人与单位之间的争议，由乡级人民政府或者县级以上人民政府处理。当事人对有关人民政府的处理决定不服的，可以自接到处理决定通知之日起三十日内，向人民法院起诉。在土地所有权和使用权争议解决前，任何一方不得改变土地利用现状。</w:t>
            </w:r>
          </w:p>
          <w:p>
            <w:pPr>
              <w:autoSpaceDE w:val="0"/>
              <w:autoSpaceDN w:val="0"/>
              <w:adjustRightInd w:val="0"/>
              <w:spacing w:line="220" w:lineRule="exact"/>
              <w:rPr>
                <w:rFonts w:hint="eastAsia"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2.《土地权属争议调处处理办法》（国土资源部2003第17号令）第4条 县级以上国土资源行政主管部门负责土地权属争议案件的调查和调解工作;对需要依法作出处理决定的，拟定处理意见，报同级人民政府作出处理决定。县级以上国土资源行政主管部门可以指定专门机构或者人员负责办理争议案件有关事宜。</w:t>
            </w:r>
          </w:p>
          <w:p>
            <w:pPr>
              <w:autoSpaceDE w:val="0"/>
              <w:autoSpaceDN w:val="0"/>
              <w:adjustRightInd w:val="0"/>
              <w:spacing w:line="220" w:lineRule="exact"/>
              <w:rPr>
                <w:rFonts w:ascii="仿宋_GB2312" w:eastAsia="仿宋_GB2312" w:cs="黑体"/>
                <w:kern w:val="0"/>
                <w:sz w:val="18"/>
                <w:szCs w:val="18"/>
              </w:rPr>
            </w:pPr>
            <w:r>
              <w:rPr>
                <w:rFonts w:hint="eastAsia" w:ascii="黑体" w:hAnsi="黑体" w:eastAsia="黑体" w:cs="仿宋_GB2312"/>
                <w:kern w:val="0"/>
                <w:sz w:val="18"/>
                <w:szCs w:val="18"/>
              </w:rPr>
              <w:t>【三定规定】</w:t>
            </w:r>
          </w:p>
          <w:p>
            <w:pPr>
              <w:autoSpaceDE w:val="0"/>
              <w:autoSpaceDN w:val="0"/>
              <w:adjustRightInd w:val="0"/>
              <w:spacing w:line="220" w:lineRule="exact"/>
              <w:ind w:left="361" w:leftChars="172"/>
              <w:rPr>
                <w:rFonts w:hint="default" w:ascii="黑体" w:eastAsia="黑体" w:cs="黑体"/>
                <w:b/>
                <w:bCs/>
                <w:color w:val="000000"/>
                <w:szCs w:val="21"/>
                <w:lang w:val="en-US" w:eastAsia="zh-CN"/>
              </w:rPr>
            </w:pPr>
            <w:r>
              <w:rPr>
                <w:rFonts w:hint="eastAsia" w:ascii="仿宋_GB2312" w:hAnsi="仿宋_GB2312" w:eastAsia="仿宋_GB2312" w:cs="仿宋_GB2312"/>
                <w:kern w:val="0"/>
                <w:sz w:val="18"/>
                <w:szCs w:val="18"/>
                <w:lang w:val="en-US" w:eastAsia="zh-CN"/>
              </w:rPr>
              <w:t xml:space="preserve">抚办字（2019） 36号  </w:t>
            </w:r>
            <w:bookmarkStart w:id="0" w:name="_GoBack"/>
            <w:bookmarkEnd w:id="0"/>
            <w:r>
              <w:rPr>
                <w:rFonts w:hint="eastAsia" w:ascii="仿宋_GB2312" w:hAnsi="仿宋_GB2312" w:eastAsia="仿宋_GB2312" w:cs="仿宋_GB2312"/>
                <w:kern w:val="0"/>
                <w:sz w:val="18"/>
                <w:szCs w:val="18"/>
                <w:lang w:val="en-US" w:eastAsia="zh-CN"/>
              </w:rPr>
              <w:t>第6条第（二）项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571"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055"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 w:hAnsi="仿宋" w:eastAsia="仿宋" w:cs="黑体"/>
                <w:color w:val="000000"/>
                <w:sz w:val="18"/>
                <w:szCs w:val="18"/>
              </w:rPr>
            </w:pPr>
            <w:r>
              <w:rPr>
                <w:rFonts w:hint="eastAsia" w:ascii="仿宋" w:hAnsi="仿宋" w:eastAsia="仿宋" w:cs="黑体"/>
                <w:color w:val="000000"/>
                <w:sz w:val="18"/>
                <w:szCs w:val="18"/>
              </w:rPr>
              <w:t>受理</w:t>
            </w:r>
          </w:p>
        </w:tc>
        <w:tc>
          <w:tcPr>
            <w:tcW w:w="5571" w:type="dxa"/>
            <w:gridSpan w:val="5"/>
            <w:tcBorders>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仿宋_GB2312"/>
                <w:color w:val="000000"/>
                <w:kern w:val="0"/>
                <w:sz w:val="18"/>
                <w:szCs w:val="18"/>
              </w:rPr>
              <w:t>依法受理或不予受理，并一次性告之不予受理理由或需补充提供的相关材料目录</w:t>
            </w:r>
          </w:p>
        </w:tc>
        <w:tc>
          <w:tcPr>
            <w:tcW w:w="1055" w:type="dxa"/>
            <w:gridSpan w:val="2"/>
            <w:vMerge w:val="restart"/>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rPr>
              <w:t>180个工作日</w:t>
            </w:r>
          </w:p>
        </w:tc>
        <w:tc>
          <w:tcPr>
            <w:tcW w:w="1159" w:type="dxa"/>
            <w:tcBorders>
              <w:tl2br w:val="nil"/>
              <w:tr2bl w:val="nil"/>
            </w:tcBorders>
            <w:shd w:val="clear" w:color="auto" w:fill="auto"/>
            <w:vAlign w:val="center"/>
          </w:tcPr>
          <w:p>
            <w:pPr>
              <w:spacing w:line="240" w:lineRule="exact"/>
              <w:jc w:val="center"/>
              <w:rPr>
                <w:rFonts w:hint="default" w:ascii="仿宋" w:hAnsi="仿宋" w:eastAsia="仿宋" w:cs="仿宋_GB2312"/>
                <w:color w:val="000000"/>
                <w:kern w:val="0"/>
                <w:sz w:val="18"/>
                <w:szCs w:val="18"/>
                <w:lang w:val="en-US" w:eastAsia="zh-CN"/>
              </w:rPr>
            </w:pPr>
            <w:r>
              <w:rPr>
                <w:rFonts w:hint="eastAsia" w:ascii="仿宋" w:hAnsi="仿宋" w:eastAsia="仿宋" w:cs="仿宋_GB2312"/>
                <w:color w:val="000000"/>
                <w:kern w:val="0"/>
                <w:sz w:val="18"/>
                <w:szCs w:val="18"/>
                <w:lang w:val="en-US" w:eastAsia="zh-CN"/>
              </w:rPr>
              <w:t>确权登记股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 w:hAnsi="仿宋" w:eastAsia="仿宋" w:cs="黑体"/>
                <w:color w:val="000000"/>
                <w:sz w:val="18"/>
                <w:szCs w:val="18"/>
              </w:rPr>
            </w:pPr>
            <w:r>
              <w:rPr>
                <w:rFonts w:hint="eastAsia" w:ascii="仿宋" w:hAnsi="仿宋" w:eastAsia="仿宋" w:cs="黑体"/>
                <w:color w:val="000000"/>
                <w:sz w:val="18"/>
                <w:szCs w:val="18"/>
              </w:rPr>
              <w:t>提交材料</w:t>
            </w:r>
          </w:p>
        </w:tc>
        <w:tc>
          <w:tcPr>
            <w:tcW w:w="5571" w:type="dxa"/>
            <w:gridSpan w:val="5"/>
            <w:tcBorders>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仿宋_GB2312"/>
                <w:color w:val="000000"/>
                <w:kern w:val="0"/>
                <w:sz w:val="18"/>
                <w:szCs w:val="18"/>
              </w:rPr>
              <w:t>被申请人在接到申请书副本后，交答辩书和证据资料。</w:t>
            </w:r>
          </w:p>
        </w:tc>
        <w:tc>
          <w:tcPr>
            <w:tcW w:w="1055" w:type="dxa"/>
            <w:gridSpan w:val="2"/>
            <w:vMerge w:val="continue"/>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val="en-US" w:eastAsia="zh-CN"/>
              </w:rPr>
              <w:t>确权登记股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7"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 w:hAnsi="仿宋" w:eastAsia="仿宋" w:cs="黑体"/>
                <w:color w:val="000000"/>
                <w:sz w:val="18"/>
                <w:szCs w:val="18"/>
              </w:rPr>
            </w:pPr>
            <w:r>
              <w:rPr>
                <w:rFonts w:hint="eastAsia" w:ascii="仿宋" w:hAnsi="仿宋" w:eastAsia="仿宋" w:cs="黑体"/>
                <w:color w:val="000000"/>
                <w:sz w:val="18"/>
                <w:szCs w:val="18"/>
              </w:rPr>
              <w:t>调查</w:t>
            </w:r>
          </w:p>
        </w:tc>
        <w:tc>
          <w:tcPr>
            <w:tcW w:w="5571" w:type="dxa"/>
            <w:gridSpan w:val="5"/>
            <w:tcBorders>
              <w:tl2br w:val="nil"/>
              <w:tr2bl w:val="nil"/>
            </w:tcBorders>
            <w:shd w:val="clear" w:color="auto" w:fill="auto"/>
            <w:vAlign w:val="center"/>
          </w:tcPr>
          <w:p>
            <w:pPr>
              <w:spacing w:line="240" w:lineRule="exact"/>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rPr>
              <w:t>调查取证</w:t>
            </w:r>
          </w:p>
        </w:tc>
        <w:tc>
          <w:tcPr>
            <w:tcW w:w="1055" w:type="dxa"/>
            <w:gridSpan w:val="2"/>
            <w:vMerge w:val="continue"/>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val="en-US" w:eastAsia="zh-CN"/>
              </w:rPr>
              <w:t>确权登记股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 w:hAnsi="仿宋" w:eastAsia="仿宋" w:cs="黑体"/>
                <w:color w:val="000000"/>
                <w:sz w:val="18"/>
                <w:szCs w:val="18"/>
              </w:rPr>
            </w:pPr>
            <w:r>
              <w:rPr>
                <w:rFonts w:hint="eastAsia" w:ascii="仿宋" w:hAnsi="仿宋" w:eastAsia="仿宋" w:cs="黑体"/>
                <w:color w:val="000000"/>
                <w:sz w:val="18"/>
                <w:szCs w:val="18"/>
              </w:rPr>
              <w:t>调解</w:t>
            </w:r>
          </w:p>
        </w:tc>
        <w:tc>
          <w:tcPr>
            <w:tcW w:w="5571" w:type="dxa"/>
            <w:gridSpan w:val="5"/>
            <w:tcBorders>
              <w:tl2br w:val="nil"/>
              <w:tr2bl w:val="nil"/>
            </w:tcBorders>
            <w:shd w:val="clear" w:color="auto" w:fill="auto"/>
            <w:vAlign w:val="center"/>
          </w:tcPr>
          <w:p>
            <w:pPr>
              <w:spacing w:line="240" w:lineRule="exact"/>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rPr>
              <w:t>达成调解协议的制作调解书，送达当事人，同时抄报上一级自然资源主管部门；</w:t>
            </w:r>
          </w:p>
          <w:p>
            <w:pPr>
              <w:spacing w:line="240" w:lineRule="exact"/>
              <w:rPr>
                <w:rFonts w:ascii="仿宋" w:hAnsi="仿宋" w:eastAsia="仿宋" w:cs="黑体"/>
                <w:color w:val="000000"/>
                <w:sz w:val="18"/>
                <w:szCs w:val="18"/>
              </w:rPr>
            </w:pPr>
            <w:r>
              <w:rPr>
                <w:rFonts w:hint="eastAsia" w:ascii="仿宋" w:hAnsi="仿宋" w:eastAsia="仿宋" w:cs="仿宋_GB2312"/>
                <w:color w:val="000000"/>
                <w:kern w:val="0"/>
                <w:sz w:val="18"/>
                <w:szCs w:val="18"/>
              </w:rPr>
              <w:t>调解未达成协议的，自受理后提出调查处理意见，在5个工作日内报送同级人民政府，由人民政府下达处理决定，同时将处理意见抄报上一级自然资源主管部门。</w:t>
            </w:r>
          </w:p>
        </w:tc>
        <w:tc>
          <w:tcPr>
            <w:tcW w:w="1055" w:type="dxa"/>
            <w:gridSpan w:val="2"/>
            <w:vMerge w:val="continue"/>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val="en-US" w:eastAsia="zh-CN"/>
              </w:rPr>
              <w:t>确权登记股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 w:hAnsi="仿宋" w:eastAsia="仿宋" w:cs="黑体"/>
                <w:color w:val="000000"/>
                <w:sz w:val="18"/>
                <w:szCs w:val="18"/>
              </w:rPr>
            </w:pPr>
            <w:r>
              <w:rPr>
                <w:rFonts w:ascii="仿宋" w:hAnsi="仿宋" w:eastAsia="仿宋" w:cs="黑体"/>
                <w:color w:val="000000"/>
                <w:sz w:val="18"/>
                <w:szCs w:val="18"/>
              </w:rPr>
              <w:t>归档</w:t>
            </w:r>
          </w:p>
        </w:tc>
        <w:tc>
          <w:tcPr>
            <w:tcW w:w="5571" w:type="dxa"/>
            <w:gridSpan w:val="5"/>
            <w:tcBorders>
              <w:tl2br w:val="nil"/>
              <w:tr2bl w:val="nil"/>
            </w:tcBorders>
            <w:shd w:val="clear" w:color="auto" w:fill="auto"/>
            <w:vAlign w:val="center"/>
          </w:tcPr>
          <w:p>
            <w:pPr>
              <w:spacing w:line="240" w:lineRule="exact"/>
              <w:rPr>
                <w:rFonts w:ascii="仿宋" w:hAnsi="仿宋" w:eastAsia="仿宋" w:cs="黑体"/>
                <w:color w:val="000000"/>
                <w:sz w:val="18"/>
                <w:szCs w:val="18"/>
              </w:rPr>
            </w:pPr>
            <w:r>
              <w:rPr>
                <w:rFonts w:ascii="仿宋" w:hAnsi="仿宋" w:eastAsia="仿宋" w:cs="仿宋_GB2312"/>
                <w:color w:val="000000"/>
                <w:kern w:val="0"/>
                <w:sz w:val="18"/>
                <w:szCs w:val="18"/>
              </w:rPr>
              <w:t>对审批后的组卷材料进行归档处理，统一留存</w:t>
            </w:r>
            <w:r>
              <w:rPr>
                <w:rFonts w:hint="eastAsia" w:ascii="仿宋" w:hAnsi="仿宋" w:eastAsia="仿宋" w:cs="仿宋_GB2312"/>
                <w:color w:val="000000"/>
                <w:kern w:val="0"/>
                <w:sz w:val="18"/>
                <w:szCs w:val="18"/>
              </w:rPr>
              <w:t>。</w:t>
            </w:r>
          </w:p>
        </w:tc>
        <w:tc>
          <w:tcPr>
            <w:tcW w:w="1055" w:type="dxa"/>
            <w:gridSpan w:val="2"/>
            <w:vMerge w:val="continue"/>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val="en-US" w:eastAsia="zh-CN"/>
              </w:rPr>
              <w:t>确权登记股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3"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现场办理</w:t>
            </w:r>
          </w:p>
        </w:tc>
        <w:tc>
          <w:tcPr>
            <w:tcW w:w="1985"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214"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rFonts w:ascii="仿宋" w:hAnsi="仿宋" w:eastAsia="仿宋"/>
                <w:color w:val="auto"/>
              </w:rPr>
            </w:pPr>
            <w:r>
              <w:rPr>
                <w:rStyle w:val="7"/>
                <w:rFonts w:hint="eastAsia" w:ascii="仿宋" w:hAnsi="仿宋" w:eastAsia="仿宋"/>
                <w:color w:val="auto"/>
              </w:rPr>
              <w:t>主体资格证明、土地权属争议申请书、权属争议证据材料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08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rFonts w:ascii="仿宋" w:hAnsi="仿宋" w:eastAsia="仿宋"/>
              </w:rPr>
            </w:pPr>
            <w:r>
              <w:rPr>
                <w:rStyle w:val="7"/>
                <w:rFonts w:ascii="仿宋" w:hAnsi="仿宋" w:eastAsia="仿宋"/>
              </w:rPr>
              <w:t>因不履行或不正确履行行政职责，有下列情形的，行政机关及相关工作人员应承担相应责任：</w:t>
            </w:r>
          </w:p>
          <w:p>
            <w:pPr>
              <w:widowControl/>
              <w:spacing w:line="240" w:lineRule="exact"/>
              <w:jc w:val="left"/>
              <w:textAlignment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rPr>
              <w:t>1.对符合条件的权属争议裁决申请不予受理、裁决的；</w:t>
            </w:r>
          </w:p>
          <w:p>
            <w:pPr>
              <w:widowControl/>
              <w:spacing w:line="240" w:lineRule="exact"/>
              <w:jc w:val="left"/>
              <w:textAlignment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rPr>
              <w:t>2.对不符合法定条件的权属争议裁决申请受理、裁决的；</w:t>
            </w:r>
          </w:p>
          <w:p>
            <w:pPr>
              <w:widowControl/>
              <w:spacing w:line="240" w:lineRule="exact"/>
              <w:jc w:val="left"/>
              <w:textAlignment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rPr>
              <w:t>3.因裁决不当给行政相对人造成损失的；</w:t>
            </w:r>
          </w:p>
          <w:p>
            <w:pPr>
              <w:widowControl/>
              <w:spacing w:line="240" w:lineRule="exact"/>
              <w:jc w:val="left"/>
              <w:textAlignment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rPr>
              <w:t>4.没有法律和事实依据进行行政裁决的；</w:t>
            </w:r>
          </w:p>
          <w:p>
            <w:pPr>
              <w:widowControl/>
              <w:spacing w:line="240" w:lineRule="exact"/>
              <w:jc w:val="left"/>
              <w:textAlignment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rPr>
              <w:t>5.在权属争议裁决工作中玩忽职守、滥用职权的；</w:t>
            </w:r>
          </w:p>
          <w:p>
            <w:pPr>
              <w:spacing w:line="240" w:lineRule="exact"/>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rPr>
              <w:t>6.在行政裁决过程中发生腐败行为的；</w:t>
            </w:r>
          </w:p>
          <w:p>
            <w:pPr>
              <w:spacing w:line="240" w:lineRule="exact"/>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rPr>
              <w:t>7.其他违反法律法规规章文件规定的行为。。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_GB2312"/>
                <w:color w:val="000000"/>
                <w:kern w:val="0"/>
                <w:sz w:val="18"/>
                <w:szCs w:val="18"/>
                <w:lang w:val="en-US" w:eastAsia="zh-CN"/>
              </w:rPr>
            </w:pPr>
            <w:r>
              <w:rPr>
                <w:rFonts w:hint="eastAsia" w:ascii="仿宋" w:hAnsi="仿宋" w:eastAsia="仿宋" w:cs="仿宋_GB2312"/>
                <w:color w:val="000000"/>
                <w:kern w:val="0"/>
                <w:sz w:val="18"/>
                <w:szCs w:val="18"/>
              </w:rPr>
              <w:t>1.业务咨询：</w:t>
            </w:r>
            <w:r>
              <w:rPr>
                <w:rFonts w:ascii="仿宋" w:hAnsi="仿宋" w:eastAsia="仿宋" w:cs="仿宋_GB2312"/>
                <w:color w:val="000000"/>
                <w:kern w:val="0"/>
                <w:sz w:val="18"/>
                <w:szCs w:val="18"/>
              </w:rPr>
              <w:t>0335-</w:t>
            </w:r>
            <w:r>
              <w:rPr>
                <w:rFonts w:hint="eastAsia" w:ascii="仿宋" w:hAnsi="仿宋" w:eastAsia="仿宋" w:cs="仿宋_GB2312"/>
                <w:color w:val="000000"/>
                <w:kern w:val="0"/>
                <w:sz w:val="18"/>
                <w:szCs w:val="18"/>
                <w:lang w:val="en-US" w:eastAsia="zh-CN"/>
              </w:rPr>
              <w:t>6686001转80904</w:t>
            </w:r>
          </w:p>
          <w:p>
            <w:pPr>
              <w:widowControl/>
              <w:spacing w:line="240" w:lineRule="exact"/>
              <w:jc w:val="left"/>
              <w:textAlignment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rPr>
              <w:t>2.投诉举报电话：</w:t>
            </w:r>
            <w:r>
              <w:rPr>
                <w:rFonts w:ascii="仿宋" w:hAnsi="仿宋" w:eastAsia="仿宋" w:cs="仿宋_GB2312"/>
                <w:color w:val="000000"/>
                <w:kern w:val="0"/>
                <w:sz w:val="18"/>
                <w:szCs w:val="18"/>
              </w:rPr>
              <w:t>0335-</w:t>
            </w:r>
            <w:r>
              <w:rPr>
                <w:rFonts w:hint="eastAsia" w:ascii="仿宋" w:hAnsi="仿宋" w:eastAsia="仿宋" w:cs="仿宋_GB2312"/>
                <w:color w:val="000000"/>
                <w:kern w:val="0"/>
                <w:sz w:val="18"/>
                <w:szCs w:val="18"/>
                <w:lang w:val="en-US" w:eastAsia="zh-CN"/>
              </w:rPr>
              <w:t>6686001转80904</w:t>
            </w:r>
          </w:p>
          <w:p>
            <w:pPr>
              <w:widowControl/>
              <w:spacing w:line="240" w:lineRule="exact"/>
              <w:jc w:val="left"/>
              <w:textAlignment w:val="center"/>
              <w:rPr>
                <w:rFonts w:ascii="仿宋" w:hAnsi="仿宋" w:eastAsia="仿宋" w:cs="仿宋_GB2312"/>
                <w:color w:val="000000"/>
                <w:kern w:val="0"/>
                <w:sz w:val="18"/>
                <w:szCs w:val="18"/>
              </w:rPr>
            </w:pPr>
            <w:r>
              <w:rPr>
                <w:rFonts w:hint="eastAsia" w:ascii="仿宋" w:hAnsi="仿宋" w:eastAsia="仿宋" w:cs="黑体"/>
                <w:color w:val="000000"/>
                <w:kern w:val="0"/>
                <w:sz w:val="18"/>
                <w:szCs w:val="18"/>
              </w:rPr>
              <w:t>3.纪检监察投诉：区纪检驻资源规划局纪检组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rPr>
              <w:t>1．不服许可决定自知道该具体行政行为之日起六十日内向市政府申请行政复议。</w:t>
            </w:r>
          </w:p>
          <w:p>
            <w:pPr>
              <w:widowControl/>
              <w:jc w:val="left"/>
              <w:textAlignment w:val="center"/>
              <w:rPr>
                <w:rFonts w:ascii="仿宋" w:hAnsi="仿宋" w:eastAsia="仿宋" w:cs="黑体"/>
                <w:b/>
                <w:bCs/>
                <w:color w:val="000000"/>
                <w:szCs w:val="21"/>
              </w:rPr>
            </w:pPr>
            <w:r>
              <w:rPr>
                <w:rFonts w:hint="eastAsia" w:ascii="仿宋" w:hAnsi="仿宋" w:eastAsia="仿宋" w:cs="仿宋_GB2312"/>
                <w:color w:val="000000"/>
                <w:kern w:val="0"/>
                <w:sz w:val="18"/>
                <w:szCs w:val="18"/>
              </w:rPr>
              <w:t>2．不服许可决定应当自知道或者应当知道作出行政行为之日起六个月内提出向</w:t>
            </w:r>
            <w:r>
              <w:rPr>
                <w:rFonts w:hint="eastAsia" w:ascii="仿宋" w:hAnsi="仿宋" w:eastAsia="仿宋" w:cs="仿宋_GB2312"/>
                <w:color w:val="000000"/>
                <w:kern w:val="0"/>
                <w:sz w:val="18"/>
                <w:szCs w:val="18"/>
                <w:lang w:val="en-US" w:eastAsia="zh-CN"/>
              </w:rPr>
              <w:t>抚宁</w:t>
            </w:r>
            <w:r>
              <w:rPr>
                <w:rFonts w:hint="eastAsia" w:ascii="仿宋" w:hAnsi="仿宋" w:eastAsia="仿宋" w:cs="仿宋_GB2312"/>
                <w:color w:val="000000"/>
                <w:kern w:val="0"/>
                <w:sz w:val="18"/>
                <w:szCs w:val="18"/>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spacing w:line="560" w:lineRule="exact"/>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2010601030101010101"/>
    <w:charset w:val="86"/>
    <w:family w:val="auto"/>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F35FED"/>
    <w:rsid w:val="000C0BFD"/>
    <w:rsid w:val="000C2E81"/>
    <w:rsid w:val="000D1BAD"/>
    <w:rsid w:val="00130D96"/>
    <w:rsid w:val="002455E6"/>
    <w:rsid w:val="00252F81"/>
    <w:rsid w:val="00276DC4"/>
    <w:rsid w:val="002F371C"/>
    <w:rsid w:val="003E269F"/>
    <w:rsid w:val="00416605"/>
    <w:rsid w:val="004C722E"/>
    <w:rsid w:val="00526E1F"/>
    <w:rsid w:val="00547FA1"/>
    <w:rsid w:val="0055560C"/>
    <w:rsid w:val="00646AB2"/>
    <w:rsid w:val="00655917"/>
    <w:rsid w:val="00682557"/>
    <w:rsid w:val="006A7DFC"/>
    <w:rsid w:val="0073198C"/>
    <w:rsid w:val="00741F2B"/>
    <w:rsid w:val="007A1B03"/>
    <w:rsid w:val="007B3AB4"/>
    <w:rsid w:val="00830524"/>
    <w:rsid w:val="008442FA"/>
    <w:rsid w:val="008872DD"/>
    <w:rsid w:val="008E7E4E"/>
    <w:rsid w:val="00915FB0"/>
    <w:rsid w:val="009A0D43"/>
    <w:rsid w:val="00A13AAF"/>
    <w:rsid w:val="00A52FD2"/>
    <w:rsid w:val="00BD2AF6"/>
    <w:rsid w:val="00CA20EC"/>
    <w:rsid w:val="00CB16B4"/>
    <w:rsid w:val="00D24BC2"/>
    <w:rsid w:val="00DB558F"/>
    <w:rsid w:val="00E454F1"/>
    <w:rsid w:val="00E70A89"/>
    <w:rsid w:val="00EF269E"/>
    <w:rsid w:val="00F03CB5"/>
    <w:rsid w:val="00F124E3"/>
    <w:rsid w:val="00F35FED"/>
    <w:rsid w:val="00F81182"/>
    <w:rsid w:val="00F8578D"/>
    <w:rsid w:val="03D664A8"/>
    <w:rsid w:val="1A8F0322"/>
    <w:rsid w:val="2FF9390E"/>
    <w:rsid w:val="53260A4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8"/>
    <w:semiHidden/>
    <w:unhideWhenUsed/>
    <w:uiPriority w:val="99"/>
    <w:rPr>
      <w:sz w:val="18"/>
      <w:szCs w:val="18"/>
    </w:rPr>
  </w:style>
  <w:style w:type="paragraph" w:styleId="3">
    <w:name w:val="footer"/>
    <w:basedOn w:val="1"/>
    <w:link w:val="10"/>
    <w:semiHidden/>
    <w:unhideWhenUsed/>
    <w:uiPriority w:val="99"/>
    <w:pPr>
      <w:tabs>
        <w:tab w:val="center" w:pos="4153"/>
        <w:tab w:val="right" w:pos="8306"/>
      </w:tabs>
      <w:snapToGrid w:val="0"/>
      <w:jc w:val="left"/>
    </w:pPr>
    <w:rPr>
      <w:sz w:val="18"/>
      <w:szCs w:val="18"/>
    </w:rPr>
  </w:style>
  <w:style w:type="paragraph" w:styleId="4">
    <w:name w:val="header"/>
    <w:basedOn w:val="1"/>
    <w:link w:val="9"/>
    <w:semiHidden/>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7">
    <w:name w:val="font112"/>
    <w:basedOn w:val="6"/>
    <w:qFormat/>
    <w:uiPriority w:val="0"/>
    <w:rPr>
      <w:rFonts w:ascii="仿宋_GB2312" w:eastAsia="仿宋_GB2312" w:cs="仿宋_GB2312"/>
      <w:color w:val="000000"/>
      <w:sz w:val="18"/>
      <w:szCs w:val="18"/>
      <w:u w:val="none"/>
    </w:rPr>
  </w:style>
  <w:style w:type="character" w:customStyle="1" w:styleId="8">
    <w:name w:val="批注框文本 Char"/>
    <w:basedOn w:val="6"/>
    <w:link w:val="2"/>
    <w:semiHidden/>
    <w:qFormat/>
    <w:uiPriority w:val="99"/>
    <w:rPr>
      <w:rFonts w:ascii="Calibri" w:hAnsi="Calibri" w:eastAsia="宋体" w:cs="Arial"/>
      <w:sz w:val="18"/>
      <w:szCs w:val="18"/>
    </w:rPr>
  </w:style>
  <w:style w:type="character" w:customStyle="1" w:styleId="9">
    <w:name w:val="页眉 Char"/>
    <w:basedOn w:val="6"/>
    <w:link w:val="4"/>
    <w:semiHidden/>
    <w:uiPriority w:val="99"/>
    <w:rPr>
      <w:rFonts w:ascii="Calibri" w:hAnsi="Calibri" w:eastAsia="宋体" w:cs="Arial"/>
      <w:sz w:val="18"/>
      <w:szCs w:val="18"/>
    </w:rPr>
  </w:style>
  <w:style w:type="character" w:customStyle="1" w:styleId="10">
    <w:name w:val="页脚 Char"/>
    <w:basedOn w:val="6"/>
    <w:link w:val="3"/>
    <w:semiHidden/>
    <w:qFormat/>
    <w:uiPriority w:val="99"/>
    <w:rPr>
      <w:rFonts w:ascii="Calibri" w:hAnsi="Calibri" w:eastAsia="宋体" w:cs="Arial"/>
      <w:sz w:val="18"/>
      <w:szCs w:val="18"/>
    </w:rPr>
  </w:style>
  <w:style w:type="paragraph" w:styleId="11">
    <w:name w:val="List Paragraph"/>
    <w:basedOn w:val="1"/>
    <w:qFormat/>
    <w:uiPriority w:val="34"/>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166</Words>
  <Characters>951</Characters>
  <Lines>7</Lines>
  <Paragraphs>2</Paragraphs>
  <TotalTime>1</TotalTime>
  <ScaleCrop>false</ScaleCrop>
  <LinksUpToDate>false</LinksUpToDate>
  <CharactersWithSpaces>1115</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2023-07-31T02:33:00Z</dcterms:created>
  <dc:creator>xb21cn</dc:creator>
  <cp:lastModifiedBy>大地欢歌</cp:lastModifiedBy>
  <cp:lastPrinted>2023-10-16T08:04:00Z</cp:lastPrinted>
  <dcterms:modified xsi:type="dcterms:W3CDTF">2023-12-04T06:04:59Z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B56BD2AFA4F94811BBDA8D908173A099_13</vt:lpwstr>
  </property>
</Properties>
</file>