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p>
    <w:tbl>
      <w:tblPr>
        <w:tblStyle w:val="3"/>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396"/>
        <w:gridCol w:w="1117"/>
        <w:gridCol w:w="641"/>
        <w:gridCol w:w="1691"/>
        <w:gridCol w:w="1254"/>
        <w:gridCol w:w="709"/>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39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758"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行政确认</w:t>
            </w:r>
          </w:p>
        </w:tc>
        <w:tc>
          <w:tcPr>
            <w:tcW w:w="155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39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902" w:type="dxa"/>
            <w:gridSpan w:val="9"/>
            <w:tcBorders>
              <w:tl2br w:val="nil"/>
              <w:tr2bl w:val="nil"/>
            </w:tcBorders>
            <w:shd w:val="clear" w:color="auto" w:fill="auto"/>
            <w:vAlign w:val="center"/>
          </w:tcPr>
          <w:p>
            <w:pPr>
              <w:jc w:val="center"/>
              <w:rPr>
                <w:rFonts w:hint="default" w:ascii="黑体" w:eastAsia="仿宋_GB2312" w:cs="黑体"/>
                <w:b/>
                <w:bCs/>
                <w:color w:val="000000"/>
                <w:szCs w:val="21"/>
                <w:lang w:val="en-US" w:eastAsia="zh-CN"/>
              </w:rPr>
            </w:pPr>
            <w:r>
              <w:rPr>
                <w:rFonts w:hint="eastAsia" w:ascii="仿宋_GB2312" w:eastAsia="仿宋_GB2312" w:cs="仿宋_GB2312"/>
                <w:color w:val="000000"/>
                <w:kern w:val="0"/>
                <w:sz w:val="18"/>
                <w:szCs w:val="18"/>
              </w:rPr>
              <w:t>建设工程规划核验</w:t>
            </w:r>
            <w:r>
              <w:rPr>
                <w:rFonts w:hint="eastAsia" w:ascii="仿宋_GB2312" w:eastAsia="仿宋_GB2312" w:cs="仿宋_GB2312"/>
                <w:color w:val="000000"/>
                <w:kern w:val="0"/>
                <w:sz w:val="18"/>
                <w:szCs w:val="18"/>
                <w:lang w:eastAsia="zh-CN"/>
              </w:rPr>
              <w:t>（</w:t>
            </w:r>
            <w:r>
              <w:rPr>
                <w:rFonts w:hint="eastAsia" w:ascii="仿宋_GB2312" w:eastAsia="仿宋_GB2312" w:cs="仿宋_GB2312"/>
                <w:color w:val="000000"/>
                <w:kern w:val="0"/>
                <w:sz w:val="18"/>
                <w:szCs w:val="18"/>
                <w:lang w:val="en-US" w:eastAsia="zh-CN"/>
              </w:rPr>
              <w:t>验收）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952" w:hRule="atLeast"/>
          <w:jc w:val="center"/>
        </w:trPr>
        <w:tc>
          <w:tcPr>
            <w:tcW w:w="139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902" w:type="dxa"/>
            <w:gridSpan w:val="9"/>
            <w:tcBorders>
              <w:tl2br w:val="nil"/>
              <w:tr2bl w:val="nil"/>
            </w:tcBorders>
            <w:shd w:val="clear" w:color="auto" w:fill="auto"/>
            <w:vAlign w:val="center"/>
          </w:tcPr>
          <w:p>
            <w:pPr>
              <w:spacing w:line="240" w:lineRule="exact"/>
              <w:rPr>
                <w:rFonts w:ascii="黑体" w:hAnsi="黑体" w:eastAsia="黑体" w:cs="仿宋_GB2312"/>
                <w:kern w:val="0"/>
                <w:szCs w:val="21"/>
              </w:rPr>
            </w:pPr>
            <w:r>
              <w:rPr>
                <w:rFonts w:hint="eastAsia" w:ascii="黑体" w:hAnsi="黑体" w:eastAsia="黑体" w:cs="仿宋_GB2312"/>
                <w:kern w:val="0"/>
                <w:szCs w:val="21"/>
              </w:rPr>
              <w:t>【法律法规】</w:t>
            </w:r>
          </w:p>
          <w:p>
            <w:pPr>
              <w:pStyle w:val="2"/>
              <w:widowControl/>
              <w:spacing w:before="0" w:beforeAutospacing="0" w:after="0" w:afterAutospacing="0" w:line="270" w:lineRule="atLeast"/>
              <w:rPr>
                <w:rFonts w:ascii="仿宋" w:hAnsi="仿宋" w:eastAsia="仿宋" w:cs="仿宋"/>
                <w:color w:val="212121"/>
                <w:sz w:val="21"/>
                <w:szCs w:val="21"/>
              </w:rPr>
            </w:pPr>
            <w:r>
              <w:rPr>
                <w:rFonts w:hint="eastAsia" w:ascii="仿宋" w:hAnsi="仿宋" w:eastAsia="仿宋" w:cs="仿宋"/>
                <w:color w:val="3C3C3C"/>
                <w:sz w:val="21"/>
                <w:szCs w:val="21"/>
                <w:shd w:val="clear" w:color="auto" w:fill="FFFFFF"/>
              </w:rPr>
              <w:t>《</w:t>
            </w:r>
            <w:r>
              <w:rPr>
                <w:rFonts w:hint="eastAsia" w:ascii="仿宋" w:hAnsi="仿宋" w:eastAsia="仿宋" w:cs="仿宋"/>
                <w:color w:val="3C3C3C"/>
                <w:sz w:val="21"/>
                <w:szCs w:val="21"/>
                <w:shd w:val="clear" w:color="auto" w:fill="FFFFFF"/>
                <w:lang w:val="en-US" w:eastAsia="zh-CN"/>
              </w:rPr>
              <w:t>中华人民共和国</w:t>
            </w:r>
            <w:bookmarkStart w:id="0" w:name="_GoBack"/>
            <w:bookmarkEnd w:id="0"/>
            <w:r>
              <w:rPr>
                <w:rFonts w:hint="eastAsia" w:ascii="仿宋" w:hAnsi="仿宋" w:eastAsia="仿宋" w:cs="仿宋"/>
                <w:color w:val="3C3C3C"/>
                <w:sz w:val="21"/>
                <w:szCs w:val="21"/>
                <w:shd w:val="clear" w:color="auto" w:fill="FFFFFF"/>
              </w:rPr>
              <w:t>城乡规划法》</w:t>
            </w:r>
            <w:r>
              <w:rPr>
                <w:rFonts w:hint="eastAsia" w:ascii="仿宋" w:hAnsi="仿宋" w:eastAsia="仿宋" w:cs="仿宋"/>
                <w:color w:val="212121"/>
                <w:sz w:val="21"/>
                <w:szCs w:val="21"/>
                <w:shd w:val="clear" w:color="auto" w:fill="FFFFFF"/>
              </w:rPr>
              <w:t>第四十五条　县级以上地方人民政府城乡规划主管部门按照国务院规定对建设工程是否符合规划条件予以核实。未经核实或者经核实不符合规划条件的，建设单位不得组织竣工验收。</w:t>
            </w:r>
          </w:p>
          <w:p>
            <w:pPr>
              <w:pStyle w:val="2"/>
              <w:widowControl/>
              <w:shd w:val="clear" w:color="auto" w:fill="FFFFFF"/>
              <w:spacing w:before="0" w:beforeAutospacing="0" w:after="0" w:afterAutospacing="0"/>
              <w:rPr>
                <w:rFonts w:ascii="仿宋" w:hAnsi="仿宋" w:eastAsia="仿宋" w:cs="仿宋"/>
                <w:color w:val="212121"/>
                <w:sz w:val="21"/>
                <w:szCs w:val="21"/>
              </w:rPr>
            </w:pPr>
            <w:r>
              <w:rPr>
                <w:rFonts w:hint="eastAsia" w:ascii="仿宋" w:hAnsi="仿宋" w:eastAsia="仿宋" w:cs="仿宋"/>
                <w:color w:val="212121"/>
                <w:sz w:val="21"/>
                <w:szCs w:val="21"/>
                <w:shd w:val="clear" w:color="auto" w:fill="FFFFFF"/>
              </w:rPr>
              <w:t>建设单位应当在竣工验收后六个月内向城乡规划主管部门报送有关竣工验收资料。</w:t>
            </w:r>
          </w:p>
          <w:p>
            <w:pPr>
              <w:spacing w:line="240" w:lineRule="exact"/>
              <w:rPr>
                <w:rFonts w:ascii="仿宋" w:hAnsi="仿宋" w:eastAsia="仿宋" w:cs="仿宋_GB2312"/>
                <w:kern w:val="0"/>
                <w:szCs w:val="21"/>
              </w:rPr>
            </w:pPr>
            <w:r>
              <w:rPr>
                <w:rFonts w:hint="eastAsia" w:ascii="仿宋" w:hAnsi="仿宋" w:eastAsia="仿宋" w:cs="仿宋_GB2312"/>
                <w:kern w:val="0"/>
                <w:szCs w:val="21"/>
              </w:rPr>
              <w:t>【三定规定】</w:t>
            </w:r>
          </w:p>
          <w:p>
            <w:pPr>
              <w:spacing w:line="240" w:lineRule="exact"/>
              <w:rPr>
                <w:rFonts w:ascii="黑体" w:eastAsia="黑体" w:cs="黑体"/>
                <w:b/>
                <w:bCs/>
                <w:color w:val="000000"/>
                <w:szCs w:val="21"/>
              </w:rPr>
            </w:pPr>
            <w:r>
              <w:rPr>
                <w:rFonts w:hint="eastAsia" w:ascii="仿宋" w:hAnsi="仿宋" w:eastAsia="仿宋" w:cs="仿宋_GB2312"/>
                <w:kern w:val="0"/>
                <w:szCs w:val="21"/>
              </w:rPr>
              <w:t>抚办字﹝2019﹞6号  第六条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396"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117"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办理环节</w:t>
            </w:r>
          </w:p>
        </w:tc>
        <w:tc>
          <w:tcPr>
            <w:tcW w:w="5287" w:type="dxa"/>
            <w:gridSpan w:val="5"/>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396" w:type="dxa"/>
            <w:vMerge w:val="continue"/>
            <w:tcBorders>
              <w:tl2br w:val="nil"/>
              <w:tr2bl w:val="nil"/>
            </w:tcBorders>
            <w:shd w:val="clear" w:color="auto" w:fill="auto"/>
            <w:vAlign w:val="center"/>
          </w:tcPr>
          <w:p/>
        </w:tc>
        <w:tc>
          <w:tcPr>
            <w:tcW w:w="1117" w:type="dxa"/>
            <w:tcBorders>
              <w:tl2br w:val="nil"/>
              <w:tr2bl w:val="nil"/>
            </w:tcBorders>
            <w:shd w:val="clear" w:color="auto" w:fill="auto"/>
            <w:vAlign w:val="center"/>
          </w:tcPr>
          <w:p>
            <w:pPr>
              <w:jc w:val="center"/>
              <w:rPr>
                <w:rFonts w:ascii="仿宋" w:hAnsi="仿宋" w:eastAsia="仿宋" w:cs="黑体"/>
                <w:color w:val="000000"/>
                <w:szCs w:val="21"/>
              </w:rPr>
            </w:pPr>
            <w:r>
              <w:rPr>
                <w:rFonts w:hint="eastAsia" w:ascii="仿宋" w:hAnsi="仿宋" w:eastAsia="仿宋" w:cs="黑体"/>
                <w:color w:val="000000"/>
                <w:szCs w:val="21"/>
              </w:rPr>
              <w:t>受理</w:t>
            </w:r>
          </w:p>
        </w:tc>
        <w:tc>
          <w:tcPr>
            <w:tcW w:w="5287" w:type="dxa"/>
            <w:gridSpan w:val="5"/>
            <w:tcBorders>
              <w:tl2br w:val="nil"/>
              <w:tr2bl w:val="nil"/>
            </w:tcBorders>
            <w:shd w:val="clear" w:color="auto" w:fill="auto"/>
            <w:vAlign w:val="center"/>
          </w:tcPr>
          <w:p>
            <w:pPr>
              <w:rPr>
                <w:rFonts w:ascii="仿宋" w:hAnsi="仿宋" w:eastAsia="仿宋" w:cs="黑体"/>
                <w:color w:val="000000"/>
                <w:szCs w:val="21"/>
              </w:rPr>
            </w:pPr>
            <w:r>
              <w:rPr>
                <w:rFonts w:hint="eastAsia" w:ascii="仿宋" w:hAnsi="仿宋" w:eastAsia="仿宋" w:cs="仿宋_GB2312"/>
                <w:color w:val="000000"/>
                <w:kern w:val="0"/>
                <w:szCs w:val="21"/>
              </w:rPr>
              <w:t>依法受理或不予受理，并一次性告之不予受理理由或需补充提供的相关材料目录</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396" w:type="dxa"/>
            <w:vMerge w:val="continue"/>
            <w:tcBorders>
              <w:tl2br w:val="nil"/>
              <w:tr2bl w:val="nil"/>
            </w:tcBorders>
            <w:shd w:val="clear" w:color="auto" w:fill="auto"/>
            <w:vAlign w:val="center"/>
          </w:tcPr>
          <w:p/>
        </w:tc>
        <w:tc>
          <w:tcPr>
            <w:tcW w:w="1117" w:type="dxa"/>
            <w:tcBorders>
              <w:tl2br w:val="nil"/>
              <w:tr2bl w:val="nil"/>
            </w:tcBorders>
            <w:shd w:val="clear" w:color="auto" w:fill="auto"/>
            <w:vAlign w:val="center"/>
          </w:tcPr>
          <w:p>
            <w:pPr>
              <w:jc w:val="center"/>
              <w:rPr>
                <w:rFonts w:ascii="仿宋" w:hAnsi="仿宋" w:eastAsia="仿宋" w:cs="黑体"/>
                <w:color w:val="000000"/>
                <w:szCs w:val="21"/>
              </w:rPr>
            </w:pPr>
            <w:r>
              <w:rPr>
                <w:rFonts w:hint="eastAsia" w:ascii="仿宋" w:hAnsi="仿宋" w:eastAsia="仿宋" w:cs="黑体"/>
                <w:color w:val="000000"/>
                <w:szCs w:val="21"/>
              </w:rPr>
              <w:t>审查</w:t>
            </w:r>
          </w:p>
        </w:tc>
        <w:tc>
          <w:tcPr>
            <w:tcW w:w="5287" w:type="dxa"/>
            <w:gridSpan w:val="5"/>
            <w:tcBorders>
              <w:tl2br w:val="nil"/>
              <w:tr2bl w:val="nil"/>
            </w:tcBorders>
            <w:shd w:val="clear" w:color="auto" w:fill="auto"/>
            <w:vAlign w:val="center"/>
          </w:tcPr>
          <w:p>
            <w:pPr>
              <w:rPr>
                <w:rFonts w:ascii="仿宋" w:hAnsi="仿宋" w:eastAsia="仿宋"/>
              </w:rPr>
            </w:pPr>
            <w:r>
              <w:rPr>
                <w:rFonts w:hint="eastAsia" w:ascii="仿宋" w:hAnsi="仿宋" w:eastAsia="仿宋"/>
              </w:rPr>
              <w:t>符合规定、资料齐全的，出具受理通知书；不符合法律规定和相关事项的，出具不予受理通知书；资料不全的予以退回，申请人补齐。</w:t>
            </w:r>
          </w:p>
          <w:p>
            <w:pPr>
              <w:rPr>
                <w:rFonts w:ascii="仿宋" w:hAnsi="仿宋" w:eastAsia="仿宋" w:cs="黑体"/>
                <w:color w:val="000000"/>
                <w:szCs w:val="21"/>
              </w:rPr>
            </w:pP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396" w:type="dxa"/>
            <w:vMerge w:val="continue"/>
            <w:tcBorders>
              <w:tl2br w:val="nil"/>
              <w:tr2bl w:val="nil"/>
            </w:tcBorders>
            <w:shd w:val="clear" w:color="auto" w:fill="auto"/>
            <w:vAlign w:val="center"/>
          </w:tcPr>
          <w:p/>
        </w:tc>
        <w:tc>
          <w:tcPr>
            <w:tcW w:w="1117" w:type="dxa"/>
            <w:tcBorders>
              <w:tl2br w:val="nil"/>
              <w:tr2bl w:val="nil"/>
            </w:tcBorders>
            <w:shd w:val="clear" w:color="auto" w:fill="auto"/>
            <w:vAlign w:val="center"/>
          </w:tcPr>
          <w:p>
            <w:pPr>
              <w:jc w:val="center"/>
              <w:rPr>
                <w:rFonts w:ascii="仿宋" w:hAnsi="仿宋" w:eastAsia="仿宋" w:cs="黑体"/>
                <w:color w:val="000000"/>
                <w:szCs w:val="21"/>
              </w:rPr>
            </w:pPr>
            <w:r>
              <w:rPr>
                <w:rFonts w:ascii="仿宋" w:hAnsi="仿宋" w:eastAsia="仿宋" w:cs="黑体"/>
                <w:color w:val="000000"/>
                <w:szCs w:val="21"/>
              </w:rPr>
              <w:t>审批</w:t>
            </w:r>
          </w:p>
        </w:tc>
        <w:tc>
          <w:tcPr>
            <w:tcW w:w="5287" w:type="dxa"/>
            <w:gridSpan w:val="5"/>
            <w:tcBorders>
              <w:tl2br w:val="nil"/>
              <w:tr2bl w:val="nil"/>
            </w:tcBorders>
            <w:shd w:val="clear" w:color="auto" w:fill="auto"/>
            <w:vAlign w:val="center"/>
          </w:tcPr>
          <w:p>
            <w:pPr>
              <w:rPr>
                <w:rFonts w:ascii="仿宋" w:hAnsi="仿宋" w:eastAsia="仿宋" w:cs="黑体"/>
                <w:color w:val="000000"/>
                <w:szCs w:val="21"/>
              </w:rPr>
            </w:pPr>
            <w:r>
              <w:rPr>
                <w:rFonts w:hint="eastAsia" w:ascii="仿宋" w:hAnsi="仿宋" w:eastAsia="仿宋"/>
              </w:rPr>
              <w:t>经自然资源和规划局审查后出具规划条件核实意见。</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396" w:type="dxa"/>
            <w:vMerge w:val="continue"/>
            <w:tcBorders>
              <w:tl2br w:val="nil"/>
              <w:tr2bl w:val="nil"/>
            </w:tcBorders>
            <w:shd w:val="clear" w:color="auto" w:fill="auto"/>
            <w:vAlign w:val="center"/>
          </w:tcPr>
          <w:p/>
        </w:tc>
        <w:tc>
          <w:tcPr>
            <w:tcW w:w="1117" w:type="dxa"/>
            <w:tcBorders>
              <w:tl2br w:val="nil"/>
              <w:tr2bl w:val="nil"/>
            </w:tcBorders>
            <w:shd w:val="clear" w:color="auto" w:fill="auto"/>
            <w:vAlign w:val="center"/>
          </w:tcPr>
          <w:p>
            <w:pPr>
              <w:jc w:val="center"/>
              <w:rPr>
                <w:rFonts w:ascii="仿宋" w:hAnsi="仿宋" w:eastAsia="仿宋" w:cs="黑体"/>
                <w:color w:val="000000"/>
                <w:szCs w:val="21"/>
              </w:rPr>
            </w:pPr>
            <w:r>
              <w:rPr>
                <w:rFonts w:ascii="仿宋" w:hAnsi="仿宋" w:eastAsia="仿宋" w:cs="黑体"/>
                <w:color w:val="000000"/>
                <w:szCs w:val="21"/>
              </w:rPr>
              <w:t>归档</w:t>
            </w:r>
          </w:p>
        </w:tc>
        <w:tc>
          <w:tcPr>
            <w:tcW w:w="5287" w:type="dxa"/>
            <w:gridSpan w:val="5"/>
            <w:tcBorders>
              <w:tl2br w:val="nil"/>
              <w:tr2bl w:val="nil"/>
            </w:tcBorders>
            <w:shd w:val="clear" w:color="auto" w:fill="auto"/>
            <w:vAlign w:val="center"/>
          </w:tcPr>
          <w:p>
            <w:pPr>
              <w:rPr>
                <w:rFonts w:ascii="仿宋" w:hAnsi="仿宋" w:eastAsia="仿宋" w:cs="黑体"/>
                <w:color w:val="000000"/>
                <w:szCs w:val="21"/>
              </w:rPr>
            </w:pPr>
            <w:r>
              <w:rPr>
                <w:rFonts w:ascii="仿宋" w:hAnsi="仿宋" w:eastAsia="仿宋" w:cs="仿宋_GB2312"/>
                <w:color w:val="000000"/>
                <w:kern w:val="0"/>
                <w:szCs w:val="21"/>
              </w:rPr>
              <w:t>对审批后的组卷材料进行归档处理，统一留存，建立台账，</w:t>
            </w:r>
          </w:p>
        </w:tc>
        <w:tc>
          <w:tcPr>
            <w:tcW w:w="1339" w:type="dxa"/>
            <w:gridSpan w:val="2"/>
            <w:tcBorders>
              <w:tl2br w:val="nil"/>
              <w:tr2bl w:val="nil"/>
            </w:tcBorders>
            <w:shd w:val="clear" w:color="auto" w:fill="auto"/>
            <w:vAlign w:val="center"/>
          </w:tcPr>
          <w:p>
            <w:pPr>
              <w:rPr>
                <w:rFonts w:ascii="黑体" w:eastAsia="黑体" w:cs="黑体"/>
                <w:color w:val="000000"/>
                <w:szCs w:val="21"/>
              </w:rPr>
            </w:pPr>
          </w:p>
        </w:tc>
        <w:tc>
          <w:tcPr>
            <w:tcW w:w="1159" w:type="dxa"/>
            <w:tcBorders>
              <w:tl2br w:val="nil"/>
              <w:tr2bl w:val="nil"/>
            </w:tcBorders>
            <w:shd w:val="clear" w:color="auto" w:fill="auto"/>
            <w:vAlign w:val="center"/>
          </w:tcPr>
          <w:p>
            <w:pPr>
              <w:jc w:val="center"/>
              <w:rPr>
                <w:rFonts w:ascii="仿宋_GB2312" w:eastAsia="仿宋_GB2312" w:cs="仿宋_GB2312"/>
                <w:color w:val="000000"/>
                <w:kern w:val="0"/>
                <w:szCs w:val="21"/>
              </w:rPr>
            </w:pPr>
            <w:r>
              <w:rPr>
                <w:rFonts w:hint="eastAsia" w:ascii="仿宋_GB2312" w:eastAsia="仿宋_GB2312" w:cs="仿宋_GB2312"/>
                <w:color w:val="000000"/>
                <w:kern w:val="0"/>
                <w:szCs w:val="21"/>
              </w:rPr>
              <w:t>城乡规划管理股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396" w:type="dxa"/>
            <w:tcBorders>
              <w:tl2br w:val="nil"/>
              <w:tr2bl w:val="nil"/>
            </w:tcBorders>
            <w:shd w:val="clear" w:color="auto" w:fill="auto"/>
            <w:vAlign w:val="center"/>
          </w:tcPr>
          <w:p>
            <w:pPr>
              <w:jc w:val="center"/>
              <w:rPr>
                <w:rFonts w:ascii="黑体" w:hAnsi="黑体" w:eastAsia="黑体"/>
                <w:b/>
              </w:rPr>
            </w:pPr>
            <w:r>
              <w:rPr>
                <w:rFonts w:hint="eastAsia" w:ascii="黑体" w:hAnsi="黑体" w:eastAsia="黑体"/>
                <w:b/>
              </w:rPr>
              <w:t>办理渠道</w:t>
            </w:r>
          </w:p>
        </w:tc>
        <w:tc>
          <w:tcPr>
            <w:tcW w:w="4703" w:type="dxa"/>
            <w:gridSpan w:val="4"/>
            <w:tcBorders>
              <w:tl2br w:val="nil"/>
              <w:tr2bl w:val="nil"/>
            </w:tcBorders>
            <w:shd w:val="clear" w:color="auto" w:fill="auto"/>
            <w:vAlign w:val="center"/>
          </w:tcPr>
          <w:p>
            <w:pPr>
              <w:rPr>
                <w:rFonts w:ascii="仿宋_GB2312" w:eastAsia="仿宋_GB2312" w:cs="仿宋_GB2312"/>
                <w:color w:val="000000"/>
                <w:kern w:val="0"/>
                <w:sz w:val="18"/>
                <w:szCs w:val="18"/>
              </w:rPr>
            </w:pPr>
          </w:p>
        </w:tc>
        <w:tc>
          <w:tcPr>
            <w:tcW w:w="1701" w:type="dxa"/>
            <w:gridSpan w:val="2"/>
            <w:tcBorders>
              <w:tl2br w:val="nil"/>
              <w:tr2bl w:val="nil"/>
            </w:tcBorders>
            <w:shd w:val="clear" w:color="auto" w:fill="auto"/>
            <w:vAlign w:val="center"/>
          </w:tcPr>
          <w:p>
            <w:pPr>
              <w:jc w:val="center"/>
              <w:rPr>
                <w:rFonts w:ascii="仿宋_GB2312" w:eastAsia="仿宋_GB2312" w:cs="仿宋_GB2312"/>
                <w:color w:val="000000"/>
                <w:kern w:val="0"/>
                <w:sz w:val="18"/>
                <w:szCs w:val="18"/>
              </w:rPr>
            </w:pPr>
            <w:r>
              <w:rPr>
                <w:rFonts w:hint="eastAsia" w:ascii="黑体" w:eastAsia="黑体" w:cs="黑体"/>
                <w:b/>
                <w:bCs/>
                <w:kern w:val="0"/>
                <w:szCs w:val="21"/>
              </w:rPr>
              <w:t>是否容缺办理</w:t>
            </w:r>
          </w:p>
        </w:tc>
        <w:tc>
          <w:tcPr>
            <w:tcW w:w="2498" w:type="dxa"/>
            <w:gridSpan w:val="3"/>
            <w:tcBorders>
              <w:tl2br w:val="nil"/>
              <w:tr2bl w:val="nil"/>
            </w:tcBorders>
            <w:shd w:val="clear" w:color="auto" w:fill="auto"/>
            <w:vAlign w:val="center"/>
          </w:tcPr>
          <w:p>
            <w:pPr>
              <w:rPr>
                <w:rFonts w:ascii="仿宋_GB2312" w:eastAsia="仿宋_GB2312" w:cs="仿宋_GB2312"/>
                <w:color w:val="000000"/>
                <w:kern w:val="0"/>
                <w:sz w:val="18"/>
                <w:szCs w:val="1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6" w:hRule="atLeast"/>
          <w:jc w:val="center"/>
        </w:trPr>
        <w:tc>
          <w:tcPr>
            <w:tcW w:w="1396" w:type="dxa"/>
            <w:tcBorders>
              <w:tl2br w:val="nil"/>
              <w:tr2bl w:val="nil"/>
            </w:tcBorders>
            <w:shd w:val="clear" w:color="auto" w:fill="auto"/>
            <w:vAlign w:val="center"/>
          </w:tcPr>
          <w:p>
            <w:pPr>
              <w:widowControl/>
              <w:jc w:val="center"/>
              <w:textAlignment w:val="center"/>
              <w:rPr>
                <w:rFonts w:ascii="黑体" w:eastAsia="黑体" w:cs="黑体"/>
                <w:b/>
                <w:bCs/>
                <w:kern w:val="0"/>
                <w:szCs w:val="21"/>
              </w:rPr>
            </w:pPr>
            <w:r>
              <w:rPr>
                <w:rFonts w:hint="eastAsia" w:ascii="黑体" w:eastAsia="黑体" w:cs="黑体"/>
                <w:b/>
                <w:bCs/>
                <w:kern w:val="0"/>
                <w:szCs w:val="21"/>
              </w:rPr>
              <w:t>所需资料</w:t>
            </w:r>
          </w:p>
        </w:tc>
        <w:tc>
          <w:tcPr>
            <w:tcW w:w="8902" w:type="dxa"/>
            <w:gridSpan w:val="9"/>
            <w:tcBorders>
              <w:tl2br w:val="nil"/>
              <w:tr2bl w:val="nil"/>
            </w:tcBorders>
            <w:shd w:val="clear" w:color="auto" w:fill="auto"/>
            <w:vAlign w:val="center"/>
          </w:tcPr>
          <w:p>
            <w:pPr>
              <w:spacing w:line="520" w:lineRule="exact"/>
              <w:rPr>
                <w:rFonts w:ascii="仿宋" w:hAnsi="仿宋" w:eastAsia="仿宋" w:cs="仿宋"/>
                <w:sz w:val="18"/>
                <w:szCs w:val="18"/>
              </w:rPr>
            </w:pPr>
            <w:r>
              <w:rPr>
                <w:rFonts w:hint="eastAsia" w:ascii="仿宋" w:hAnsi="仿宋" w:eastAsia="仿宋" w:cs="仿宋"/>
                <w:sz w:val="18"/>
                <w:szCs w:val="18"/>
              </w:rPr>
              <w:t>1、竣工面积申请书、自查表（制式）；</w:t>
            </w:r>
          </w:p>
          <w:p>
            <w:pPr>
              <w:spacing w:line="520" w:lineRule="exact"/>
              <w:rPr>
                <w:rFonts w:ascii="仿宋" w:hAnsi="仿宋" w:eastAsia="仿宋" w:cs="仿宋"/>
                <w:sz w:val="18"/>
                <w:szCs w:val="18"/>
              </w:rPr>
            </w:pPr>
            <w:r>
              <w:rPr>
                <w:rFonts w:hint="eastAsia" w:ascii="仿宋" w:hAnsi="仿宋" w:eastAsia="仿宋" w:cs="仿宋"/>
                <w:sz w:val="18"/>
                <w:szCs w:val="18"/>
              </w:rPr>
              <w:t>2、建筑施工竣工图（加盖竣工图章的单体平、立、剖）；</w:t>
            </w:r>
          </w:p>
          <w:p>
            <w:pPr>
              <w:spacing w:line="520" w:lineRule="exact"/>
              <w:rPr>
                <w:rFonts w:ascii="仿宋" w:hAnsi="仿宋" w:eastAsia="仿宋" w:cs="仿宋"/>
                <w:sz w:val="18"/>
                <w:szCs w:val="18"/>
              </w:rPr>
            </w:pPr>
            <w:r>
              <w:rPr>
                <w:rFonts w:hint="eastAsia" w:ascii="仿宋" w:hAnsi="仿宋" w:eastAsia="仿宋" w:cs="仿宋"/>
                <w:sz w:val="18"/>
                <w:szCs w:val="18"/>
              </w:rPr>
              <w:t>3、依法取得相应测绘资质证书的单位测绘的竣工图等资料；</w:t>
            </w:r>
          </w:p>
          <w:p>
            <w:pPr>
              <w:tabs>
                <w:tab w:val="left" w:pos="6750"/>
              </w:tabs>
              <w:spacing w:line="520" w:lineRule="exact"/>
              <w:rPr>
                <w:rFonts w:ascii="仿宋" w:hAnsi="仿宋" w:eastAsia="仿宋" w:cs="仿宋"/>
                <w:sz w:val="18"/>
                <w:szCs w:val="18"/>
              </w:rPr>
            </w:pPr>
            <w:r>
              <w:rPr>
                <w:rFonts w:hint="eastAsia" w:ascii="仿宋" w:hAnsi="仿宋" w:eastAsia="仿宋" w:cs="仿宋"/>
                <w:sz w:val="18"/>
                <w:szCs w:val="18"/>
              </w:rPr>
              <w:t>4、申请人、办事人身份证明及委托书。</w:t>
            </w:r>
          </w:p>
          <w:p>
            <w:pPr>
              <w:tabs>
                <w:tab w:val="left" w:pos="6750"/>
              </w:tabs>
              <w:spacing w:line="520" w:lineRule="exact"/>
              <w:rPr>
                <w:rFonts w:ascii="仿宋" w:hAnsi="仿宋" w:eastAsia="仿宋" w:cs="仿宋"/>
                <w:sz w:val="18"/>
                <w:szCs w:val="18"/>
              </w:rPr>
            </w:pPr>
            <w:r>
              <w:rPr>
                <w:rFonts w:hint="eastAsia" w:ascii="仿宋" w:hAnsi="仿宋" w:eastAsia="仿宋" w:cs="仿宋"/>
                <w:sz w:val="18"/>
                <w:szCs w:val="18"/>
              </w:rPr>
              <w:t>5、建设工程规划批后监管完结告知书</w:t>
            </w:r>
          </w:p>
          <w:p>
            <w:pPr>
              <w:widowControl/>
              <w:spacing w:line="240" w:lineRule="exact"/>
              <w:jc w:val="left"/>
              <w:textAlignment w:val="center"/>
              <w:rPr>
                <w:rStyle w:val="7"/>
                <w:color w:val="auto"/>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39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902" w:type="dxa"/>
            <w:gridSpan w:val="9"/>
            <w:tcBorders>
              <w:tl2br w:val="nil"/>
              <w:tr2bl w:val="nil"/>
            </w:tcBorders>
            <w:shd w:val="clear" w:color="auto" w:fill="auto"/>
            <w:vAlign w:val="center"/>
          </w:tcPr>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因不履行或不正确履行行政职责，有下列情形的，行政机关及相关工作人员应承担相应责任：</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1.超越职权或者违法对治理项目验收的；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2.对不符合法定条件的申请人准予行政许可或者超越法定职权作出准予行政许可决定的；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3.对符合法定条件的申请人不予行政许可或者不在法定期限内作出准予行政许可决定的；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4.违反法定程序实施行政许可的；</w:t>
            </w:r>
          </w:p>
          <w:p>
            <w:pPr>
              <w:widowControl/>
              <w:spacing w:line="240" w:lineRule="exact"/>
              <w:jc w:val="left"/>
              <w:textAlignment w:val="center"/>
              <w:rPr>
                <w:rFonts w:ascii="仿宋_GB2312" w:hAnsi="仿宋_GB2312" w:eastAsia="仿宋_GB2312" w:cs="仿宋_GB2312"/>
                <w:kern w:val="0"/>
                <w:sz w:val="18"/>
                <w:szCs w:val="18"/>
              </w:rPr>
            </w:pPr>
            <w:r>
              <w:rPr>
                <w:rFonts w:hint="eastAsia" w:ascii="仿宋_GB2312" w:hAnsi="仿宋_GB2312" w:eastAsia="仿宋_GB2312" w:cs="仿宋_GB2312"/>
                <w:kern w:val="0"/>
                <w:sz w:val="18"/>
                <w:szCs w:val="18"/>
              </w:rPr>
              <w:t>5.工作中玩忽职守、滥用职权的；</w:t>
            </w:r>
          </w:p>
          <w:p>
            <w:pPr>
              <w:spacing w:line="240" w:lineRule="exact"/>
              <w:rPr>
                <w:rFonts w:ascii="黑体" w:eastAsia="黑体" w:cs="黑体"/>
                <w:color w:val="000000"/>
                <w:szCs w:val="21"/>
              </w:rPr>
            </w:pPr>
            <w:r>
              <w:rPr>
                <w:rFonts w:hint="eastAsia" w:ascii="仿宋_GB2312" w:hAnsi="仿宋_GB2312" w:eastAsia="仿宋_GB2312" w:cs="仿宋_GB2312"/>
                <w:kern w:val="0"/>
                <w:sz w:val="18"/>
                <w:szCs w:val="18"/>
              </w:rPr>
              <w:t>6.其他违反法律法规规章文件规定的行为。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39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902" w:type="dxa"/>
            <w:gridSpan w:val="9"/>
            <w:tcBorders>
              <w:tl2br w:val="nil"/>
              <w:tr2bl w:val="nil"/>
            </w:tcBorders>
            <w:shd w:val="clear" w:color="auto" w:fill="auto"/>
            <w:vAlign w:val="center"/>
          </w:tcPr>
          <w:p>
            <w:pPr>
              <w:widowControl/>
              <w:spacing w:line="240" w:lineRule="exact"/>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1.业务咨询：</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6682748</w:t>
            </w:r>
            <w:r>
              <w:rPr>
                <w:rFonts w:hint="eastAsia" w:ascii="仿宋_GB2312" w:eastAsia="仿宋_GB2312" w:cs="仿宋_GB2312"/>
                <w:color w:val="000000"/>
                <w:kern w:val="0"/>
                <w:szCs w:val="21"/>
              </w:rPr>
              <w:br w:type="textWrapping"/>
            </w:r>
            <w:r>
              <w:rPr>
                <w:rFonts w:hint="eastAsia" w:ascii="仿宋_GB2312" w:eastAsia="仿宋_GB2312" w:cs="仿宋_GB2312"/>
                <w:color w:val="000000"/>
                <w:kern w:val="0"/>
                <w:szCs w:val="21"/>
              </w:rPr>
              <w:t>2.投诉举报电话：</w:t>
            </w:r>
            <w:r>
              <w:rPr>
                <w:rFonts w:ascii="仿宋_GB2312" w:eastAsia="仿宋_GB2312" w:cs="仿宋_GB2312"/>
                <w:color w:val="000000"/>
                <w:kern w:val="0"/>
                <w:szCs w:val="21"/>
              </w:rPr>
              <w:t>0335-</w:t>
            </w:r>
            <w:r>
              <w:rPr>
                <w:rFonts w:hint="eastAsia" w:ascii="仿宋_GB2312" w:eastAsia="仿宋_GB2312" w:cs="仿宋_GB2312"/>
                <w:color w:val="000000"/>
                <w:kern w:val="0"/>
                <w:szCs w:val="21"/>
              </w:rPr>
              <w:t>6682748</w:t>
            </w:r>
          </w:p>
          <w:p>
            <w:pPr>
              <w:widowControl/>
              <w:spacing w:line="240" w:lineRule="exact"/>
              <w:jc w:val="left"/>
              <w:textAlignment w:val="center"/>
              <w:rPr>
                <w:rFonts w:ascii="黑体" w:eastAsia="黑体" w:cs="黑体"/>
                <w:color w:val="000000"/>
                <w:szCs w:val="21"/>
              </w:rPr>
            </w:pPr>
            <w:r>
              <w:rPr>
                <w:rFonts w:hint="eastAsia" w:ascii="仿宋_GB2312" w:eastAsia="仿宋_GB2312" w:cs="仿宋_GB2312"/>
                <w:color w:val="000000"/>
                <w:kern w:val="0"/>
                <w:szCs w:val="21"/>
              </w:rPr>
              <w:t>3.纪检监察投诉：区纪检驻资源规划局纪检组，电话：0335-6689311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396"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902" w:type="dxa"/>
            <w:gridSpan w:val="9"/>
            <w:tcBorders>
              <w:tl2br w:val="nil"/>
              <w:tr2bl w:val="nil"/>
            </w:tcBorders>
            <w:shd w:val="clear" w:color="auto" w:fill="auto"/>
            <w:vAlign w:val="center"/>
          </w:tcPr>
          <w:p>
            <w:pPr>
              <w:widowControl/>
              <w:jc w:val="left"/>
              <w:textAlignment w:val="center"/>
              <w:rPr>
                <w:rFonts w:ascii="仿宋_GB2312" w:eastAsia="仿宋_GB2312" w:cs="仿宋_GB2312"/>
                <w:color w:val="000000"/>
                <w:kern w:val="0"/>
                <w:szCs w:val="21"/>
              </w:rPr>
            </w:pPr>
            <w:r>
              <w:rPr>
                <w:rFonts w:hint="eastAsia" w:ascii="仿宋_GB2312" w:eastAsia="仿宋_GB2312" w:cs="仿宋_GB2312"/>
                <w:color w:val="000000"/>
                <w:kern w:val="0"/>
                <w:szCs w:val="21"/>
              </w:rPr>
              <w:t>1．不服许可决定自知道该具体行政行为之日起六十日内向市政府申请行政复议。</w:t>
            </w:r>
          </w:p>
          <w:p>
            <w:pPr>
              <w:widowControl/>
              <w:jc w:val="left"/>
              <w:textAlignment w:val="center"/>
              <w:rPr>
                <w:rFonts w:ascii="黑体" w:eastAsia="黑体" w:cs="黑体"/>
                <w:b/>
                <w:bCs/>
                <w:color w:val="000000"/>
                <w:szCs w:val="21"/>
              </w:rPr>
            </w:pPr>
            <w:r>
              <w:rPr>
                <w:rFonts w:hint="eastAsia" w:ascii="仿宋_GB2312" w:eastAsia="仿宋_GB2312" w:cs="仿宋_GB2312"/>
                <w:color w:val="000000"/>
                <w:kern w:val="0"/>
                <w:szCs w:val="21"/>
              </w:rPr>
              <w:t>2．不服许可决定应当自知道或者应当知道作出行政行为之日起六个月内提出向抚宁区人民法院提起行政诉讼。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396"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902" w:type="dxa"/>
            <w:gridSpan w:val="9"/>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pPr>
        <w:spacing w:line="500" w:lineRule="exact"/>
        <w:ind w:firstLine="640" w:firstLineChars="200"/>
        <w:rPr>
          <w:rFonts w:ascii="Times New Roman" w:hAnsi="Times New Roman" w:eastAsia="方正仿宋_GBK" w:cs="Times New Roman"/>
          <w:sz w:val="32"/>
          <w:szCs w:val="32"/>
        </w:rPr>
      </w:pPr>
    </w:p>
    <w:p/>
    <w:sectPr>
      <w:pgSz w:w="11906" w:h="16838"/>
      <w:pgMar w:top="567" w:right="1417" w:bottom="567" w:left="1417" w:header="851" w:footer="992" w:gutter="113"/>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方正小标宋简体">
    <w:altName w:val="黑体"/>
    <w:panose1 w:val="00000000000000000000"/>
    <w:charset w:val="86"/>
    <w:family w:val="script"/>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346B31E6"/>
    <w:rsid w:val="018A0E13"/>
    <w:rsid w:val="17FF6CC1"/>
    <w:rsid w:val="18DA1F55"/>
    <w:rsid w:val="346B31E6"/>
    <w:rsid w:val="3E484EBC"/>
    <w:rsid w:val="480B6841"/>
    <w:rsid w:val="492D129F"/>
    <w:rsid w:val="49D1292A"/>
    <w:rsid w:val="531F2FEB"/>
    <w:rsid w:val="5A615BD7"/>
    <w:rsid w:val="5B076365"/>
    <w:rsid w:val="5D43371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Arial"/>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100" w:beforeAutospacing="1" w:after="100" w:afterAutospacing="1"/>
      <w:jc w:val="left"/>
    </w:pPr>
    <w:rPr>
      <w:rFonts w:cs="Times New Roman"/>
      <w:kern w:val="0"/>
      <w:sz w:val="24"/>
    </w:rPr>
  </w:style>
  <w:style w:type="character" w:styleId="5">
    <w:name w:val="Strong"/>
    <w:basedOn w:val="4"/>
    <w:qFormat/>
    <w:uiPriority w:val="22"/>
    <w:rPr>
      <w:b/>
      <w:bCs/>
    </w:rPr>
  </w:style>
  <w:style w:type="paragraph" w:styleId="6">
    <w:name w:val="List Paragraph"/>
    <w:basedOn w:val="1"/>
    <w:unhideWhenUsed/>
    <w:uiPriority w:val="99"/>
    <w:pPr>
      <w:ind w:firstLine="420" w:firstLineChars="200"/>
    </w:pPr>
  </w:style>
  <w:style w:type="character" w:customStyle="1" w:styleId="7">
    <w:name w:val="font112"/>
    <w:basedOn w:val="4"/>
    <w:autoRedefine/>
    <w:qFormat/>
    <w:uiPriority w:val="0"/>
    <w:rPr>
      <w:rFonts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2023-12-04T00:32:00Z</dcterms:created>
  <dc:creator>大地欢歌</dc:creator>
  <cp:lastModifiedBy>大地欢歌</cp:lastModifiedBy>
  <dcterms:modified xsi:type="dcterms:W3CDTF">2024-02-01T06:01:56Z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A9865635A1CE4B89A2D43413AE1CFF60_13</vt:lpwstr>
  </property>
</Properties>
</file>