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行政给付</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keepNext w:val="0"/>
              <w:keepLines w:val="0"/>
              <w:widowControl/>
              <w:suppressLineNumbers w:val="0"/>
              <w:jc w:val="center"/>
              <w:textAlignment w:val="center"/>
              <w:rPr>
                <w:rFonts w:ascii="仿宋_GB2312" w:hAnsi="宋体" w:eastAsia="仿宋_GB2312" w:cs="仿宋_GB2312"/>
                <w:i w:val="0"/>
                <w:iCs w:val="0"/>
                <w:color w:val="000000"/>
                <w:kern w:val="2"/>
                <w:sz w:val="22"/>
                <w:szCs w:val="22"/>
                <w:u w:val="none"/>
                <w:lang w:val="en-US" w:eastAsia="zh-CN" w:bidi="ar-SA"/>
              </w:rPr>
            </w:pPr>
            <w:bookmarkStart w:id="0" w:name="_GoBack"/>
            <w:r>
              <w:rPr>
                <w:rFonts w:hint="default" w:ascii="仿宋_GB2312" w:hAnsi="宋体" w:eastAsia="仿宋_GB2312" w:cs="仿宋_GB2312"/>
                <w:i w:val="0"/>
                <w:iCs w:val="0"/>
                <w:color w:val="000000"/>
                <w:kern w:val="0"/>
                <w:sz w:val="22"/>
                <w:szCs w:val="22"/>
                <w:u w:val="none"/>
                <w:lang w:val="en-US" w:eastAsia="zh-CN" w:bidi="ar"/>
              </w:rPr>
              <w:t>地质灾害治理责任认定</w:t>
            </w:r>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【法律法规】</w:t>
            </w:r>
          </w:p>
          <w:p>
            <w:pPr>
              <w:spacing w:line="240" w:lineRule="exact"/>
              <w:rPr>
                <w:rFonts w:hint="eastAsia"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《地质灾害防治条例》（2003年11月24日国务院令第394号）第三十五条 责任单位由地质灾害发生地的县级以上人民政府国土资源主管部门负责组织专家对地质灾害的成因进行分析论证后认定。</w:t>
            </w:r>
          </w:p>
          <w:p>
            <w:pPr>
              <w:spacing w:line="240" w:lineRule="exact"/>
              <w:rPr>
                <w:rFonts w:ascii="黑体" w:hAnsi="黑体" w:eastAsia="黑体" w:cs="仿宋_GB2312"/>
                <w:kern w:val="0"/>
                <w:sz w:val="21"/>
                <w:szCs w:val="21"/>
              </w:rPr>
            </w:pPr>
            <w:r>
              <w:rPr>
                <w:rFonts w:hint="eastAsia" w:ascii="黑体" w:hAnsi="黑体" w:eastAsia="黑体" w:cs="仿宋_GB2312"/>
                <w:kern w:val="0"/>
                <w:sz w:val="21"/>
                <w:szCs w:val="21"/>
              </w:rPr>
              <w:t>【三定规定】</w:t>
            </w:r>
          </w:p>
          <w:p>
            <w:pPr>
              <w:spacing w:line="240" w:lineRule="exact"/>
              <w:rPr>
                <w:rFonts w:ascii="黑体" w:eastAsia="黑体" w:cs="黑体"/>
                <w:b/>
                <w:bCs/>
                <w:color w:val="000000"/>
                <w:szCs w:val="21"/>
              </w:rPr>
            </w:pPr>
            <w:r>
              <w:rPr>
                <w:rFonts w:hint="eastAsia" w:ascii="仿宋_GB2312" w:eastAsia="仿宋_GB2312" w:cs="仿宋_GB2312"/>
                <w:kern w:val="0"/>
                <w:sz w:val="21"/>
                <w:szCs w:val="21"/>
                <w:lang w:eastAsia="zh-CN"/>
              </w:rPr>
              <w:t>抚办</w:t>
            </w:r>
            <w:r>
              <w:rPr>
                <w:rFonts w:hint="eastAsia" w:ascii="仿宋_GB2312" w:eastAsia="仿宋_GB2312" w:cs="仿宋_GB2312"/>
                <w:kern w:val="0"/>
                <w:sz w:val="21"/>
                <w:szCs w:val="21"/>
              </w:rPr>
              <w:t>字</w:t>
            </w:r>
            <w:r>
              <w:rPr>
                <w:rFonts w:hint="eastAsia" w:ascii="宋体" w:hAnsi="宋体" w:cs="仿宋_GB2312"/>
                <w:kern w:val="0"/>
                <w:sz w:val="21"/>
                <w:szCs w:val="21"/>
              </w:rPr>
              <w:t>﹝</w:t>
            </w:r>
            <w:r>
              <w:rPr>
                <w:rFonts w:hint="eastAsia" w:ascii="仿宋_GB2312" w:eastAsia="仿宋_GB2312" w:cs="仿宋_GB2312"/>
                <w:kern w:val="0"/>
                <w:sz w:val="21"/>
                <w:szCs w:val="21"/>
                <w:lang w:val="en-US" w:eastAsia="zh-CN"/>
              </w:rPr>
              <w:t>2019</w:t>
            </w:r>
            <w:r>
              <w:rPr>
                <w:rFonts w:hint="eastAsia" w:ascii="宋体" w:hAnsi="宋体" w:cs="仿宋_GB2312"/>
                <w:kern w:val="0"/>
                <w:sz w:val="21"/>
                <w:szCs w:val="21"/>
              </w:rPr>
              <w:t>﹞</w:t>
            </w:r>
            <w:r>
              <w:rPr>
                <w:rFonts w:hint="eastAsia" w:ascii="仿宋_GB2312" w:eastAsia="仿宋_GB2312" w:cs="仿宋_GB2312"/>
                <w:kern w:val="0"/>
                <w:sz w:val="21"/>
                <w:szCs w:val="21"/>
                <w:lang w:val="en-US" w:eastAsia="zh-CN"/>
              </w:rPr>
              <w:t>36</w:t>
            </w:r>
            <w:r>
              <w:rPr>
                <w:rFonts w:hint="eastAsia" w:ascii="仿宋_GB2312" w:eastAsia="仿宋_GB2312" w:cs="仿宋_GB2312"/>
                <w:kern w:val="0"/>
                <w:sz w:val="21"/>
                <w:szCs w:val="21"/>
              </w:rPr>
              <w:t xml:space="preserve">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21"/>
                <w:szCs w:val="21"/>
                <w:lang w:eastAsia="zh-CN"/>
              </w:rPr>
              <w:t>受理</w:t>
            </w:r>
          </w:p>
        </w:tc>
        <w:tc>
          <w:tcPr>
            <w:tcW w:w="5287" w:type="dxa"/>
            <w:gridSpan w:val="5"/>
            <w:tcBorders>
              <w:tl2br w:val="nil"/>
              <w:tr2bl w:val="nil"/>
            </w:tcBorders>
            <w:shd w:val="clear" w:color="auto" w:fill="auto"/>
            <w:vAlign w:val="center"/>
          </w:tcPr>
          <w:p>
            <w:pPr>
              <w:rPr>
                <w:rFonts w:hint="eastAsia" w:ascii="仿宋" w:hAnsi="仿宋" w:eastAsia="仿宋" w:cs="仿宋"/>
                <w:color w:val="000000"/>
                <w:sz w:val="21"/>
                <w:szCs w:val="21"/>
                <w:lang w:eastAsia="zh-CN"/>
              </w:rPr>
            </w:pPr>
            <w:r>
              <w:rPr>
                <w:rFonts w:hint="eastAsia" w:ascii="仿宋" w:hAnsi="仿宋" w:eastAsia="仿宋" w:cs="黑体"/>
                <w:color w:val="000000"/>
                <w:sz w:val="18"/>
                <w:szCs w:val="18"/>
              </w:rPr>
              <w:t>依法应当提交的材料;一次性告知补正材料;依法受理或不予受理推荐意见和材料。</w:t>
            </w:r>
          </w:p>
        </w:tc>
        <w:tc>
          <w:tcPr>
            <w:tcW w:w="1339" w:type="dxa"/>
            <w:gridSpan w:val="2"/>
            <w:tcBorders>
              <w:tl2br w:val="nil"/>
              <w:tr2bl w:val="nil"/>
            </w:tcBorders>
            <w:shd w:val="clear" w:color="auto" w:fill="auto"/>
            <w:vAlign w:val="center"/>
          </w:tcPr>
          <w:p>
            <w:pPr>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1</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生态修复</w:t>
            </w:r>
            <w:r>
              <w:rPr>
                <w:rFonts w:hint="eastAsia" w:ascii="仿宋_GB2312" w:eastAsia="仿宋_GB2312" w:cs="仿宋_GB2312"/>
                <w:color w:val="000000"/>
                <w:kern w:val="0"/>
                <w:sz w:val="21"/>
                <w:szCs w:val="21"/>
              </w:rPr>
              <w:t>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21"/>
                <w:szCs w:val="21"/>
                <w:lang w:eastAsia="zh-CN"/>
              </w:rPr>
              <w:t>审查</w:t>
            </w:r>
          </w:p>
        </w:tc>
        <w:tc>
          <w:tcPr>
            <w:tcW w:w="5287" w:type="dxa"/>
            <w:gridSpan w:val="5"/>
            <w:tcBorders>
              <w:tl2br w:val="nil"/>
              <w:tr2bl w:val="nil"/>
            </w:tcBorders>
            <w:shd w:val="clear" w:color="auto" w:fill="auto"/>
            <w:vAlign w:val="center"/>
          </w:tcPr>
          <w:p>
            <w:pPr>
              <w:rPr>
                <w:rFonts w:hint="eastAsia" w:ascii="仿宋" w:hAnsi="仿宋" w:eastAsia="仿宋" w:cs="仿宋"/>
                <w:color w:val="000000"/>
                <w:sz w:val="21"/>
                <w:szCs w:val="21"/>
                <w:lang w:eastAsia="zh-CN"/>
              </w:rPr>
            </w:pPr>
            <w:r>
              <w:rPr>
                <w:rFonts w:hint="eastAsia" w:ascii="仿宋" w:hAnsi="仿宋" w:eastAsia="仿宋" w:cs="黑体"/>
                <w:color w:val="000000"/>
                <w:sz w:val="18"/>
                <w:szCs w:val="18"/>
              </w:rPr>
              <w:t>审核推荐意见和有关材料，符合要求的，组织有关人员进行现场检查；现场检查符合要求的，应当通知申请人。</w:t>
            </w:r>
          </w:p>
        </w:tc>
        <w:tc>
          <w:tcPr>
            <w:tcW w:w="1339" w:type="dxa"/>
            <w:gridSpan w:val="2"/>
            <w:tcBorders>
              <w:tl2br w:val="nil"/>
              <w:tr2bl w:val="nil"/>
            </w:tcBorders>
            <w:shd w:val="clear" w:color="auto" w:fill="auto"/>
            <w:vAlign w:val="center"/>
          </w:tcPr>
          <w:p>
            <w:pPr>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3</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生态修复</w:t>
            </w:r>
            <w:r>
              <w:rPr>
                <w:rFonts w:hint="eastAsia" w:ascii="仿宋_GB2312" w:eastAsia="仿宋_GB2312" w:cs="仿宋_GB2312"/>
                <w:color w:val="000000"/>
                <w:kern w:val="0"/>
                <w:sz w:val="21"/>
                <w:szCs w:val="21"/>
              </w:rPr>
              <w:t>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eastAsia="黑体" w:cs="黑体"/>
                <w:color w:val="000000"/>
                <w:sz w:val="21"/>
                <w:szCs w:val="21"/>
                <w:lang w:eastAsia="zh-CN"/>
              </w:rPr>
            </w:pPr>
            <w:r>
              <w:rPr>
                <w:rFonts w:hint="eastAsia" w:ascii="黑体" w:eastAsia="黑体" w:cs="黑体"/>
                <w:color w:val="000000"/>
                <w:sz w:val="21"/>
                <w:szCs w:val="21"/>
                <w:lang w:eastAsia="zh-CN"/>
              </w:rPr>
              <w:t>决定</w:t>
            </w:r>
          </w:p>
        </w:tc>
        <w:tc>
          <w:tcPr>
            <w:tcW w:w="5287" w:type="dxa"/>
            <w:gridSpan w:val="5"/>
            <w:tcBorders>
              <w:tl2br w:val="nil"/>
              <w:tr2bl w:val="nil"/>
            </w:tcBorders>
            <w:shd w:val="clear" w:color="auto" w:fill="auto"/>
            <w:vAlign w:val="center"/>
          </w:tcPr>
          <w:p>
            <w:pPr>
              <w:rPr>
                <w:rFonts w:hint="eastAsia" w:ascii="仿宋" w:hAnsi="仿宋" w:eastAsia="仿宋" w:cs="仿宋"/>
                <w:color w:val="000000"/>
                <w:sz w:val="21"/>
                <w:szCs w:val="21"/>
                <w:lang w:eastAsia="zh-CN"/>
              </w:rPr>
            </w:pPr>
            <w:r>
              <w:rPr>
                <w:rFonts w:hint="eastAsia" w:ascii="仿宋" w:hAnsi="仿宋" w:eastAsia="仿宋" w:cs="黑体"/>
                <w:color w:val="000000"/>
                <w:sz w:val="18"/>
                <w:szCs w:val="18"/>
              </w:rPr>
              <w:t>做出申请人是否通过确认的决定；不符合要求的，应当书面通知申请人。</w:t>
            </w:r>
          </w:p>
        </w:tc>
        <w:tc>
          <w:tcPr>
            <w:tcW w:w="1339" w:type="dxa"/>
            <w:gridSpan w:val="2"/>
            <w:tcBorders>
              <w:tl2br w:val="nil"/>
              <w:tr2bl w:val="nil"/>
            </w:tcBorders>
            <w:shd w:val="clear" w:color="auto" w:fill="auto"/>
            <w:vAlign w:val="center"/>
          </w:tcPr>
          <w:p>
            <w:pPr>
              <w:jc w:val="center"/>
              <w:rPr>
                <w:rFonts w:hint="eastAsia" w:ascii="黑体" w:eastAsia="黑体" w:cs="黑体"/>
                <w:color w:val="000000"/>
                <w:sz w:val="21"/>
                <w:szCs w:val="21"/>
                <w:lang w:val="en-US" w:eastAsia="zh-CN"/>
              </w:rPr>
            </w:pPr>
            <w:r>
              <w:rPr>
                <w:rFonts w:hint="eastAsia" w:ascii="黑体" w:eastAsia="黑体" w:cs="黑体"/>
                <w:color w:val="000000"/>
                <w:sz w:val="21"/>
                <w:szCs w:val="21"/>
                <w:lang w:val="en-US" w:eastAsia="zh-CN"/>
              </w:rPr>
              <w:t>1</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生态修复</w:t>
            </w:r>
            <w:r>
              <w:rPr>
                <w:rFonts w:hint="eastAsia" w:ascii="仿宋_GB2312" w:eastAsia="仿宋_GB2312" w:cs="仿宋_GB2312"/>
                <w:color w:val="000000"/>
                <w:kern w:val="0"/>
                <w:sz w:val="21"/>
                <w:szCs w:val="21"/>
              </w:rPr>
              <w:t>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6"/>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1.对符合受理条件的行政认定申请不予受理的；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2.未严格按照相关政策、法律、法规履行审查义务，对应当予以认定的不予认定，或者对不应认定的予以认定；</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3.不依法履行监督职责或者监督不力的；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4.从事管理的工作人员滥用职权、徇私舞弊、玩忽职守的；</w:t>
            </w:r>
          </w:p>
          <w:p>
            <w:pPr>
              <w:widowControl/>
              <w:spacing w:line="240" w:lineRule="exact"/>
              <w:jc w:val="left"/>
              <w:textAlignment w:val="center"/>
              <w:rPr>
                <w:rFonts w:hint="eastAsia" w:ascii="仿宋_GB2312" w:hAnsi="仿宋_GB2312" w:eastAsia="仿宋_GB2312" w:cs="仿宋_GB2312"/>
                <w:kern w:val="0"/>
                <w:sz w:val="18"/>
                <w:szCs w:val="18"/>
                <w:lang w:eastAsia="zh-CN"/>
              </w:rPr>
            </w:pPr>
            <w:r>
              <w:rPr>
                <w:rFonts w:hint="eastAsia" w:ascii="仿宋_GB2312" w:hAnsi="仿宋_GB2312" w:eastAsia="仿宋_GB2312" w:cs="仿宋_GB2312"/>
                <w:kern w:val="0"/>
                <w:sz w:val="18"/>
                <w:szCs w:val="18"/>
              </w:rPr>
              <w:t>5.从事管理的工作人员索贿、受贿，谋取不正当利益的；</w:t>
            </w:r>
          </w:p>
          <w:p>
            <w:pPr>
              <w:spacing w:line="240" w:lineRule="exact"/>
              <w:rPr>
                <w:rFonts w:ascii="黑体" w:eastAsia="黑体" w:cs="黑体"/>
                <w:color w:val="000000"/>
                <w:sz w:val="21"/>
                <w:szCs w:val="21"/>
              </w:rPr>
            </w:pPr>
            <w:r>
              <w:rPr>
                <w:rFonts w:hint="eastAsia" w:ascii="仿宋_GB2312" w:hAnsi="仿宋_GB2312" w:eastAsia="仿宋_GB2312" w:cs="仿宋_GB2312"/>
                <w:kern w:val="0"/>
                <w:sz w:val="18"/>
                <w:szCs w:val="18"/>
              </w:rPr>
              <w:t>6.其他违反法律法规规章文件规定的行为。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黑体" w:eastAsia="黑体" w:cs="黑体"/>
                <w:color w:val="000000"/>
                <w:sz w:val="21"/>
                <w:szCs w:val="21"/>
              </w:rPr>
            </w:pPr>
            <w:r>
              <w:rPr>
                <w:rFonts w:hint="eastAsia" w:ascii="仿宋_GB2312" w:eastAsia="仿宋_GB2312" w:cs="仿宋_GB2312"/>
                <w:color w:val="000000"/>
                <w:kern w:val="0"/>
                <w:sz w:val="21"/>
                <w:szCs w:val="21"/>
              </w:rPr>
              <w:t>纪检监察投诉：区纪检驻资源规划局纪检组，电话：0335-6689311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 w:val="21"/>
                <w:szCs w:val="21"/>
              </w:rPr>
            </w:pPr>
            <w:r>
              <w:rPr>
                <w:rFonts w:hint="eastAsia" w:ascii="仿宋_GB2312" w:eastAsia="仿宋_GB2312" w:cs="仿宋_GB2312"/>
                <w:color w:val="000000"/>
                <w:kern w:val="0"/>
                <w:sz w:val="21"/>
                <w:szCs w:val="21"/>
              </w:rPr>
              <w:t>1．不服许可决定自知道该具体行政行为之日起六十日内向</w:t>
            </w:r>
            <w:r>
              <w:rPr>
                <w:rFonts w:hint="eastAsia" w:ascii="仿宋_GB2312" w:eastAsia="仿宋_GB2312" w:cs="仿宋_GB2312"/>
                <w:color w:val="000000"/>
                <w:kern w:val="0"/>
                <w:sz w:val="21"/>
                <w:szCs w:val="21"/>
                <w:lang w:eastAsia="zh-CN"/>
              </w:rPr>
              <w:t>区</w:t>
            </w:r>
            <w:r>
              <w:rPr>
                <w:rFonts w:hint="eastAsia" w:ascii="仿宋_GB2312" w:eastAsia="仿宋_GB2312" w:cs="仿宋_GB2312"/>
                <w:color w:val="000000"/>
                <w:kern w:val="0"/>
                <w:sz w:val="21"/>
                <w:szCs w:val="21"/>
              </w:rPr>
              <w:t>政府申请行政复议。</w:t>
            </w:r>
          </w:p>
          <w:p>
            <w:pPr>
              <w:widowControl/>
              <w:jc w:val="left"/>
              <w:textAlignment w:val="center"/>
              <w:rPr>
                <w:rFonts w:ascii="黑体" w:eastAsia="黑体" w:cs="黑体"/>
                <w:b/>
                <w:bCs/>
                <w:color w:val="000000"/>
                <w:sz w:val="21"/>
                <w:szCs w:val="21"/>
              </w:rPr>
            </w:pPr>
            <w:r>
              <w:rPr>
                <w:rFonts w:hint="eastAsia" w:ascii="仿宋_GB2312" w:eastAsia="仿宋_GB2312" w:cs="仿宋_GB2312"/>
                <w:color w:val="000000"/>
                <w:kern w:val="0"/>
                <w:sz w:val="21"/>
                <w:szCs w:val="21"/>
              </w:rPr>
              <w:t>2．不服许可决定应当自知道或者应当知道作出行政行为之日起六个月内提出向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eastAsia"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default" w:ascii="Times New Roman" w:hAnsi="Times New Roman" w:eastAsia="方正仿宋_GBK" w:cs="Times New Roman"/>
          <w:sz w:val="32"/>
          <w:szCs w:val="32"/>
        </w:rPr>
      </w:pP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default" w:ascii="Times New Roman" w:hAnsi="Times New Roman" w:eastAsia="方正仿宋_GBK" w:cs="Times New Roman"/>
          <w:sz w:val="32"/>
          <w:szCs w:val="32"/>
        </w:rPr>
      </w:pPr>
    </w:p>
    <w:p>
      <w:pPr>
        <w:widowControl/>
        <w:jc w:val="center"/>
        <w:textAlignment w:val="center"/>
        <w:rPr>
          <w:rFonts w:hint="eastAsia" w:ascii="方正小标宋简体" w:eastAsia="方正小标宋简体" w:cs="方正小标宋简体"/>
          <w:color w:val="000000"/>
          <w:kern w:val="0"/>
          <w:sz w:val="44"/>
          <w:szCs w:val="44"/>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1154114A"/>
    <w:rsid w:val="17FF6CC1"/>
    <w:rsid w:val="18DA1F55"/>
    <w:rsid w:val="346B31E6"/>
    <w:rsid w:val="3E484EBC"/>
    <w:rsid w:val="480B6841"/>
    <w:rsid w:val="516D5D57"/>
    <w:rsid w:val="531F2FEB"/>
    <w:rsid w:val="5B076365"/>
    <w:rsid w:val="5D433711"/>
    <w:rsid w:val="79F768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2023-12-04T03:38:21Z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06038A931BA347DDAB038D4A3E4FF86E_13</vt:lpwstr>
  </property>
</Properties>
</file>