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国有农用地使用权登记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依据相关法律法规规定</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1875C90"/>
    <w:rsid w:val="079B7E09"/>
    <w:rsid w:val="2FF41CF6"/>
    <w:rsid w:val="3F6965C3"/>
    <w:rsid w:val="46D65A57"/>
    <w:rsid w:val="4802566E"/>
    <w:rsid w:val="4AA71688"/>
    <w:rsid w:val="4BE6690B"/>
    <w:rsid w:val="5545399F"/>
    <w:rsid w:val="5674330C"/>
    <w:rsid w:val="5A0554BD"/>
    <w:rsid w:val="5CFE649F"/>
    <w:rsid w:val="5DF908A0"/>
    <w:rsid w:val="5E4C2C37"/>
    <w:rsid w:val="5ECA0136"/>
    <w:rsid w:val="669F192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autoRedefine/>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autoRedefine/>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qFormat/>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2024-02-01T05:45:32Z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9156040D99CF4D22822D4F793318D671_13</vt:lpwstr>
  </property>
</Properties>
</file>