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center"/>
        <w:textAlignment w:val="center"/>
        <w:rPr>
          <w:rFonts w:ascii="方正小标宋简体" w:eastAsia="方正小标宋简体" w:cs="方正小标宋简体"/>
          <w:color w:val="000000"/>
          <w:kern w:val="0"/>
          <w:sz w:val="44"/>
          <w:szCs w:val="44"/>
        </w:rPr>
      </w:pPr>
      <w:r>
        <w:rPr>
          <w:rFonts w:hint="eastAsia" w:ascii="方正小标宋简体" w:eastAsia="方正小标宋简体" w:cs="方正小标宋简体"/>
          <w:color w:val="000000"/>
          <w:kern w:val="0"/>
          <w:sz w:val="44"/>
          <w:szCs w:val="44"/>
        </w:rPr>
        <w:t>履职行权规程</w:t>
      </w:r>
    </w:p>
    <w:tbl>
      <w:tblPr>
        <w:tblStyle w:val="5"/>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463"/>
        <w:gridCol w:w="1050"/>
        <w:gridCol w:w="641"/>
        <w:gridCol w:w="1691"/>
        <w:gridCol w:w="1254"/>
        <w:gridCol w:w="709"/>
        <w:gridCol w:w="992"/>
        <w:gridCol w:w="567"/>
        <w:gridCol w:w="772"/>
        <w:gridCol w:w="11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4"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编号</w:t>
            </w:r>
          </w:p>
        </w:tc>
        <w:tc>
          <w:tcPr>
            <w:tcW w:w="1691" w:type="dxa"/>
            <w:gridSpan w:val="2"/>
            <w:tcBorders>
              <w:tl2br w:val="nil"/>
              <w:tr2bl w:val="nil"/>
            </w:tcBorders>
            <w:shd w:val="clear" w:color="auto" w:fill="auto"/>
            <w:vAlign w:val="center"/>
          </w:tcPr>
          <w:p>
            <w:pPr>
              <w:jc w:val="center"/>
              <w:rPr>
                <w:rFonts w:ascii="黑体" w:eastAsia="黑体" w:cs="黑体"/>
                <w:b/>
                <w:bCs/>
                <w:color w:val="000000"/>
                <w:szCs w:val="21"/>
              </w:rPr>
            </w:pPr>
          </w:p>
        </w:tc>
        <w:tc>
          <w:tcPr>
            <w:tcW w:w="1691" w:type="dxa"/>
            <w:tcBorders>
              <w:tl2br w:val="nil"/>
              <w:tr2bl w:val="nil"/>
            </w:tcBorders>
            <w:shd w:val="clear" w:color="auto" w:fill="auto"/>
            <w:vAlign w:val="center"/>
          </w:tcPr>
          <w:p>
            <w:pPr>
              <w:jc w:val="center"/>
              <w:rPr>
                <w:rFonts w:ascii="黑体" w:eastAsia="黑体" w:cs="黑体"/>
                <w:b/>
                <w:bCs/>
                <w:color w:val="000000"/>
                <w:szCs w:val="21"/>
              </w:rPr>
            </w:pPr>
            <w:r>
              <w:rPr>
                <w:rFonts w:hint="eastAsia" w:ascii="黑体" w:eastAsia="黑体" w:cs="黑体"/>
                <w:b/>
                <w:bCs/>
                <w:color w:val="000000"/>
                <w:kern w:val="0"/>
                <w:szCs w:val="21"/>
              </w:rPr>
              <w:t>权力类型</w:t>
            </w:r>
          </w:p>
        </w:tc>
        <w:tc>
          <w:tcPr>
            <w:tcW w:w="1963" w:type="dxa"/>
            <w:gridSpan w:val="2"/>
            <w:tcBorders>
              <w:tl2br w:val="nil"/>
              <w:tr2bl w:val="nil"/>
            </w:tcBorders>
            <w:shd w:val="clear" w:color="auto" w:fill="auto"/>
            <w:vAlign w:val="center"/>
          </w:tcPr>
          <w:p>
            <w:pPr>
              <w:widowControl/>
              <w:jc w:val="center"/>
              <w:textAlignment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行政确认</w:t>
            </w:r>
          </w:p>
        </w:tc>
        <w:tc>
          <w:tcPr>
            <w:tcW w:w="1559"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实施主体</w:t>
            </w:r>
          </w:p>
        </w:tc>
        <w:tc>
          <w:tcPr>
            <w:tcW w:w="1931" w:type="dxa"/>
            <w:gridSpan w:val="2"/>
            <w:tcBorders>
              <w:tl2br w:val="nil"/>
              <w:tr2bl w:val="nil"/>
            </w:tcBorders>
            <w:shd w:val="clear" w:color="auto" w:fill="auto"/>
            <w:vAlign w:val="center"/>
          </w:tcPr>
          <w:p>
            <w:pPr>
              <w:widowControl/>
              <w:textAlignment w:val="center"/>
              <w:rPr>
                <w:rFonts w:hint="default" w:ascii="仿宋_GB2312" w:eastAsia="仿宋_GB2312" w:cs="仿宋_GB2312"/>
                <w:color w:val="000000"/>
                <w:kern w:val="0"/>
                <w:sz w:val="18"/>
                <w:szCs w:val="18"/>
                <w:lang w:val="en-US" w:eastAsia="zh-CN"/>
              </w:rPr>
            </w:pPr>
            <w:r>
              <w:rPr>
                <w:rFonts w:hint="eastAsia" w:ascii="仿宋_GB2312" w:eastAsia="仿宋_GB2312" w:cs="仿宋_GB2312"/>
                <w:color w:val="000000"/>
                <w:kern w:val="0"/>
                <w:sz w:val="18"/>
                <w:szCs w:val="18"/>
                <w:lang w:val="en-US" w:eastAsia="zh-CN"/>
              </w:rPr>
              <w:t xml:space="preserve">秦皇岛市抚宁区自然资源和规划局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5"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事项名称</w:t>
            </w:r>
          </w:p>
        </w:tc>
        <w:tc>
          <w:tcPr>
            <w:tcW w:w="8835" w:type="dxa"/>
            <w:gridSpan w:val="9"/>
            <w:tcBorders>
              <w:tl2br w:val="nil"/>
              <w:tr2bl w:val="nil"/>
            </w:tcBorders>
            <w:shd w:val="clear" w:color="auto" w:fill="auto"/>
            <w:vAlign w:val="center"/>
          </w:tcPr>
          <w:p>
            <w:pPr>
              <w:jc w:val="center"/>
              <w:rPr>
                <w:rFonts w:ascii="黑体" w:eastAsia="黑体" w:cs="黑体"/>
                <w:b/>
                <w:bCs/>
                <w:color w:val="000000"/>
                <w:szCs w:val="21"/>
              </w:rPr>
            </w:pPr>
            <w:r>
              <w:rPr>
                <w:rFonts w:hint="eastAsia" w:ascii="仿宋_GB2312" w:hAnsi="仿宋_GB2312" w:eastAsia="仿宋_GB2312" w:cs="仿宋_GB2312"/>
                <w:kern w:val="0"/>
                <w:sz w:val="18"/>
                <w:szCs w:val="18"/>
              </w:rPr>
              <w:t>房屋等建筑物、构筑物所有权登记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952"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履职依据</w:t>
            </w:r>
          </w:p>
        </w:tc>
        <w:tc>
          <w:tcPr>
            <w:tcW w:w="8835" w:type="dxa"/>
            <w:gridSpan w:val="9"/>
            <w:tcBorders>
              <w:tl2br w:val="nil"/>
              <w:tr2bl w:val="nil"/>
            </w:tcBorders>
            <w:shd w:val="clear" w:color="auto" w:fill="auto"/>
            <w:vAlign w:val="center"/>
          </w:tcPr>
          <w:p>
            <w:pPr>
              <w:spacing w:line="240" w:lineRule="exact"/>
              <w:rPr>
                <w:rFonts w:ascii="黑体" w:hAnsi="黑体" w:eastAsia="黑体" w:cs="仿宋_GB2312"/>
                <w:kern w:val="0"/>
                <w:szCs w:val="21"/>
              </w:rPr>
            </w:pPr>
            <w:r>
              <w:rPr>
                <w:rFonts w:hint="eastAsia" w:ascii="黑体" w:hAnsi="黑体" w:eastAsia="黑体" w:cs="仿宋_GB2312"/>
                <w:kern w:val="0"/>
                <w:szCs w:val="21"/>
              </w:rPr>
              <w:t>【法律法规】</w:t>
            </w:r>
          </w:p>
          <w:p>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 xml:space="preserve">1.《中华人民共和国民法典》第二百零九条 不动产物权的设立、变更、转让和消灭，经依法登记，发生效力；未经登记，不发生效力，但是另有规定的除外。依法属于国家所有的自然资源，所有权可以不登记。第二百一十条不动产登记，由不动产所在地的登记机构办理。国家对不动产实行统一登记制度。统一登记的范围、登记机构和登记办法，由法律、行政法规规定。 </w:t>
            </w:r>
          </w:p>
          <w:p>
            <w:pPr>
              <w:spacing w:line="240" w:lineRule="exact"/>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2.《不动产登记暂行条例》第四条 国家实行不动产统一登记制度。第五条下列不动产权利，依照本条例的规定办理登记：（一）集体土地所有权；（二）房屋建筑物、构筑物所有权；（三）森林、林木所有权；（四）耕地、林地、草地等土地承包经营权；（五）建设用地使用权；（六）宅基地使用权；（七）海域使用权；（八）地役权；（九）抵押权；（十）法律规定需要登记的其他不动产权利。</w:t>
            </w:r>
          </w:p>
          <w:p>
            <w:pPr>
              <w:spacing w:line="240" w:lineRule="exact"/>
              <w:rPr>
                <w:rFonts w:ascii="黑体" w:hAnsi="黑体" w:eastAsia="黑体" w:cs="仿宋_GB2312"/>
                <w:kern w:val="0"/>
                <w:szCs w:val="21"/>
              </w:rPr>
            </w:pPr>
            <w:r>
              <w:rPr>
                <w:rFonts w:hint="eastAsia" w:ascii="黑体" w:hAnsi="黑体" w:eastAsia="黑体" w:cs="仿宋_GB2312"/>
                <w:kern w:val="0"/>
                <w:szCs w:val="21"/>
              </w:rPr>
              <w:t>【三定规定】</w:t>
            </w:r>
          </w:p>
          <w:p>
            <w:pPr>
              <w:spacing w:line="240" w:lineRule="exact"/>
              <w:rPr>
                <w:rFonts w:ascii="黑体" w:eastAsia="黑体" w:cs="黑体"/>
                <w:b/>
                <w:bCs/>
                <w:color w:val="000000"/>
                <w:szCs w:val="21"/>
              </w:rPr>
            </w:pPr>
            <w:r>
              <w:rPr>
                <w:rFonts w:hint="eastAsia" w:ascii="黑体" w:eastAsia="黑体" w:cs="黑体"/>
                <w:b/>
                <w:bCs/>
                <w:color w:val="000000"/>
                <w:szCs w:val="21"/>
              </w:rPr>
              <w:t xml:space="preserve">抚编批字{2020}11号二.7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0" w:hRule="atLeast"/>
          <w:jc w:val="center"/>
        </w:trPr>
        <w:tc>
          <w:tcPr>
            <w:tcW w:w="1463" w:type="dxa"/>
            <w:vMerge w:val="restart"/>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履职流程</w:t>
            </w:r>
          </w:p>
        </w:tc>
        <w:tc>
          <w:tcPr>
            <w:tcW w:w="1050"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办理环节</w:t>
            </w:r>
          </w:p>
        </w:tc>
        <w:tc>
          <w:tcPr>
            <w:tcW w:w="5287" w:type="dxa"/>
            <w:gridSpan w:val="5"/>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办理内容</w:t>
            </w:r>
          </w:p>
        </w:tc>
        <w:tc>
          <w:tcPr>
            <w:tcW w:w="1339"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办理时限</w:t>
            </w:r>
          </w:p>
        </w:tc>
        <w:tc>
          <w:tcPr>
            <w:tcW w:w="1159"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责任科室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449"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ascii="黑体" w:eastAsia="黑体" w:cs="黑体"/>
                <w:color w:val="000000"/>
                <w:szCs w:val="21"/>
              </w:rPr>
            </w:pPr>
            <w:r>
              <w:rPr>
                <w:rFonts w:hint="eastAsia" w:ascii="黑体" w:eastAsia="黑体" w:cs="黑体"/>
                <w:color w:val="000000"/>
                <w:szCs w:val="21"/>
              </w:rPr>
              <w:t>受理</w:t>
            </w:r>
          </w:p>
        </w:tc>
        <w:tc>
          <w:tcPr>
            <w:tcW w:w="5287" w:type="dxa"/>
            <w:gridSpan w:val="5"/>
            <w:tcBorders>
              <w:tl2br w:val="nil"/>
              <w:tr2bl w:val="nil"/>
            </w:tcBorders>
            <w:shd w:val="clear" w:color="auto" w:fill="auto"/>
            <w:vAlign w:val="center"/>
          </w:tcPr>
          <w:p>
            <w:pPr>
              <w:rPr>
                <w:rFonts w:ascii="黑体" w:eastAsia="黑体" w:cs="黑体"/>
                <w:color w:val="000000"/>
                <w:szCs w:val="21"/>
              </w:rPr>
            </w:pPr>
            <w:r>
              <w:rPr>
                <w:rFonts w:hint="eastAsia" w:ascii="仿宋_GB2312" w:eastAsia="仿宋_GB2312" w:cs="仿宋_GB2312"/>
                <w:color w:val="000000"/>
                <w:kern w:val="0"/>
                <w:szCs w:val="21"/>
              </w:rPr>
              <w:t>依法受理或不予受理，并一次性告之不予受理理由或需补充提供的相关材料目录</w:t>
            </w:r>
          </w:p>
        </w:tc>
        <w:tc>
          <w:tcPr>
            <w:tcW w:w="1339" w:type="dxa"/>
            <w:gridSpan w:val="2"/>
            <w:vMerge w:val="restart"/>
            <w:tcBorders>
              <w:tl2br w:val="nil"/>
              <w:tr2bl w:val="nil"/>
            </w:tcBorders>
            <w:shd w:val="clear" w:color="auto" w:fill="auto"/>
            <w:vAlign w:val="center"/>
          </w:tcPr>
          <w:p>
            <w:pPr>
              <w:rPr>
                <w:rFonts w:ascii="黑体" w:eastAsia="黑体" w:cs="黑体"/>
                <w:color w:val="000000"/>
                <w:szCs w:val="21"/>
              </w:rPr>
            </w:pPr>
            <w:r>
              <w:rPr>
                <w:rFonts w:hint="eastAsia" w:ascii="黑体" w:eastAsia="黑体" w:cs="黑体"/>
                <w:color w:val="000000"/>
                <w:szCs w:val="21"/>
              </w:rPr>
              <w:t>3个工作日</w:t>
            </w:r>
          </w:p>
        </w:tc>
        <w:tc>
          <w:tcPr>
            <w:tcW w:w="1159" w:type="dxa"/>
            <w:tcBorders>
              <w:tl2br w:val="nil"/>
              <w:tr2bl w:val="nil"/>
            </w:tcBorders>
            <w:shd w:val="clear" w:color="auto" w:fill="auto"/>
            <w:vAlign w:val="center"/>
          </w:tcPr>
          <w:p>
            <w:pPr>
              <w:jc w:val="center"/>
              <w:rPr>
                <w:rFonts w:ascii="仿宋_GB2312" w:eastAsia="仿宋_GB2312" w:cs="仿宋_GB2312"/>
                <w:color w:val="000000"/>
                <w:kern w:val="0"/>
                <w:szCs w:val="21"/>
              </w:rPr>
            </w:pPr>
            <w:r>
              <w:rPr>
                <w:rFonts w:hint="eastAsia" w:ascii="仿宋_GB2312" w:eastAsia="仿宋_GB2312" w:cs="仿宋_GB2312"/>
                <w:color w:val="000000"/>
                <w:kern w:val="0"/>
                <w:szCs w:val="21"/>
              </w:rPr>
              <w:t>抚宁区不动产登记服务中心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094"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ascii="黑体" w:eastAsia="黑体" w:cs="黑体"/>
                <w:color w:val="000000"/>
                <w:szCs w:val="21"/>
              </w:rPr>
            </w:pPr>
            <w:r>
              <w:rPr>
                <w:rFonts w:hint="eastAsia" w:ascii="黑体" w:eastAsia="黑体" w:cs="黑体"/>
                <w:color w:val="000000"/>
                <w:szCs w:val="21"/>
              </w:rPr>
              <w:t>审查</w:t>
            </w:r>
          </w:p>
        </w:tc>
        <w:tc>
          <w:tcPr>
            <w:tcW w:w="5287" w:type="dxa"/>
            <w:gridSpan w:val="5"/>
            <w:tcBorders>
              <w:tl2br w:val="nil"/>
              <w:tr2bl w:val="nil"/>
            </w:tcBorders>
            <w:shd w:val="clear" w:color="auto" w:fill="auto"/>
            <w:vAlign w:val="center"/>
          </w:tcPr>
          <w:p>
            <w:pPr>
              <w:rPr>
                <w:rFonts w:ascii="黑体" w:eastAsia="黑体" w:cs="黑体"/>
                <w:color w:val="000000"/>
                <w:szCs w:val="21"/>
              </w:rPr>
            </w:pPr>
            <w:r>
              <w:rPr>
                <w:rFonts w:hint="eastAsia" w:ascii="仿宋_GB2312" w:eastAsia="仿宋_GB2312" w:cs="仿宋_GB2312"/>
                <w:color w:val="000000"/>
                <w:kern w:val="0"/>
                <w:szCs w:val="21"/>
              </w:rPr>
              <w:t>根据《不动产登记暂行条例》和《不动产登记实施细则》，对审查</w:t>
            </w:r>
            <w:r>
              <w:rPr>
                <w:rFonts w:ascii="仿宋_GB2312" w:eastAsia="仿宋_GB2312" w:cs="仿宋_GB2312"/>
                <w:color w:val="000000"/>
                <w:kern w:val="0"/>
                <w:szCs w:val="21"/>
              </w:rPr>
              <w:t>申请对象提供的相关材料</w:t>
            </w:r>
            <w:r>
              <w:rPr>
                <w:rFonts w:hint="eastAsia" w:ascii="仿宋_GB2312" w:eastAsia="仿宋_GB2312" w:cs="仿宋_GB2312"/>
                <w:color w:val="000000"/>
                <w:kern w:val="0"/>
                <w:szCs w:val="21"/>
              </w:rPr>
              <w:t>进行核实。</w:t>
            </w:r>
          </w:p>
        </w:tc>
        <w:tc>
          <w:tcPr>
            <w:tcW w:w="1339" w:type="dxa"/>
            <w:gridSpan w:val="2"/>
            <w:vMerge w:val="continue"/>
            <w:tcBorders>
              <w:tl2br w:val="nil"/>
              <w:tr2bl w:val="nil"/>
            </w:tcBorders>
            <w:shd w:val="clear" w:color="auto" w:fill="auto"/>
            <w:vAlign w:val="center"/>
          </w:tcPr>
          <w:p>
            <w:pPr>
              <w:rPr>
                <w:rFonts w:ascii="黑体" w:eastAsia="黑体" w:cs="黑体"/>
                <w:color w:val="000000"/>
                <w:szCs w:val="21"/>
              </w:rPr>
            </w:pPr>
          </w:p>
        </w:tc>
        <w:tc>
          <w:tcPr>
            <w:tcW w:w="1159" w:type="dxa"/>
            <w:tcBorders>
              <w:tl2br w:val="nil"/>
              <w:tr2bl w:val="nil"/>
            </w:tcBorders>
            <w:shd w:val="clear" w:color="auto" w:fill="auto"/>
            <w:vAlign w:val="center"/>
          </w:tcPr>
          <w:p>
            <w:pPr>
              <w:jc w:val="center"/>
              <w:rPr>
                <w:rFonts w:ascii="仿宋_GB2312" w:eastAsia="仿宋_GB2312" w:cs="仿宋_GB2312"/>
                <w:color w:val="000000"/>
                <w:kern w:val="0"/>
                <w:szCs w:val="21"/>
              </w:rPr>
            </w:pPr>
            <w:r>
              <w:rPr>
                <w:rFonts w:hint="eastAsia" w:ascii="仿宋_GB2312" w:eastAsia="仿宋_GB2312" w:cs="仿宋_GB2312"/>
                <w:color w:val="000000"/>
                <w:kern w:val="0"/>
                <w:szCs w:val="21"/>
              </w:rPr>
              <w:t>抚宁区不动产登记服务中心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ascii="黑体" w:eastAsia="黑体" w:cs="黑体"/>
                <w:color w:val="000000"/>
                <w:szCs w:val="21"/>
              </w:rPr>
            </w:pPr>
            <w:r>
              <w:rPr>
                <w:rFonts w:hint="eastAsia" w:ascii="黑体" w:eastAsia="黑体" w:cs="黑体"/>
                <w:color w:val="000000"/>
                <w:szCs w:val="21"/>
              </w:rPr>
              <w:t>发证</w:t>
            </w:r>
          </w:p>
        </w:tc>
        <w:tc>
          <w:tcPr>
            <w:tcW w:w="5287" w:type="dxa"/>
            <w:gridSpan w:val="5"/>
            <w:tcBorders>
              <w:tl2br w:val="nil"/>
              <w:tr2bl w:val="nil"/>
            </w:tcBorders>
            <w:shd w:val="clear" w:color="auto" w:fill="auto"/>
            <w:vAlign w:val="center"/>
          </w:tcPr>
          <w:p>
            <w:pPr>
              <w:rPr>
                <w:rFonts w:ascii="黑体" w:eastAsia="黑体" w:cs="黑体"/>
                <w:color w:val="000000"/>
                <w:szCs w:val="21"/>
              </w:rPr>
            </w:pPr>
            <w:r>
              <w:rPr>
                <w:rFonts w:hint="eastAsia" w:ascii="仿宋_GB2312" w:eastAsia="仿宋_GB2312" w:cs="仿宋_GB2312"/>
                <w:color w:val="000000"/>
                <w:kern w:val="0"/>
                <w:szCs w:val="21"/>
              </w:rPr>
              <w:t>对审批后的材料进行证书发放</w:t>
            </w:r>
          </w:p>
        </w:tc>
        <w:tc>
          <w:tcPr>
            <w:tcW w:w="1339" w:type="dxa"/>
            <w:gridSpan w:val="2"/>
            <w:vMerge w:val="continue"/>
            <w:tcBorders>
              <w:tl2br w:val="nil"/>
              <w:tr2bl w:val="nil"/>
            </w:tcBorders>
            <w:shd w:val="clear" w:color="auto" w:fill="auto"/>
            <w:vAlign w:val="center"/>
          </w:tcPr>
          <w:p>
            <w:pPr>
              <w:rPr>
                <w:rFonts w:ascii="黑体" w:eastAsia="黑体" w:cs="黑体"/>
                <w:color w:val="000000"/>
                <w:szCs w:val="21"/>
              </w:rPr>
            </w:pPr>
          </w:p>
        </w:tc>
        <w:tc>
          <w:tcPr>
            <w:tcW w:w="1159" w:type="dxa"/>
            <w:tcBorders>
              <w:tl2br w:val="nil"/>
              <w:tr2bl w:val="nil"/>
            </w:tcBorders>
            <w:shd w:val="clear" w:color="auto" w:fill="auto"/>
            <w:vAlign w:val="center"/>
          </w:tcPr>
          <w:p>
            <w:pPr>
              <w:jc w:val="center"/>
              <w:rPr>
                <w:rFonts w:ascii="仿宋_GB2312" w:eastAsia="仿宋_GB2312" w:cs="仿宋_GB2312"/>
                <w:color w:val="000000"/>
                <w:kern w:val="0"/>
                <w:szCs w:val="21"/>
              </w:rPr>
            </w:pPr>
            <w:r>
              <w:rPr>
                <w:rFonts w:hint="eastAsia" w:ascii="仿宋_GB2312" w:eastAsia="仿宋_GB2312" w:cs="仿宋_GB2312"/>
                <w:color w:val="000000"/>
                <w:kern w:val="0"/>
                <w:szCs w:val="21"/>
              </w:rPr>
              <w:t>抚宁区不动产登记服务中心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ascii="黑体" w:eastAsia="黑体" w:cs="黑体"/>
                <w:color w:val="000000"/>
                <w:szCs w:val="21"/>
              </w:rPr>
            </w:pPr>
            <w:r>
              <w:rPr>
                <w:rFonts w:hint="eastAsia" w:ascii="黑体" w:eastAsia="黑体" w:cs="黑体"/>
                <w:color w:val="000000"/>
                <w:szCs w:val="21"/>
              </w:rPr>
              <w:t>归档</w:t>
            </w:r>
          </w:p>
        </w:tc>
        <w:tc>
          <w:tcPr>
            <w:tcW w:w="5287" w:type="dxa"/>
            <w:gridSpan w:val="5"/>
            <w:tcBorders>
              <w:tl2br w:val="nil"/>
              <w:tr2bl w:val="nil"/>
            </w:tcBorders>
            <w:shd w:val="clear" w:color="auto" w:fill="auto"/>
            <w:vAlign w:val="center"/>
          </w:tcPr>
          <w:p>
            <w:pPr>
              <w:rPr>
                <w:rFonts w:ascii="仿宋_GB2312" w:eastAsia="仿宋_GB2312" w:cs="仿宋_GB2312"/>
                <w:color w:val="000000"/>
                <w:kern w:val="0"/>
                <w:szCs w:val="21"/>
              </w:rPr>
            </w:pPr>
            <w:r>
              <w:rPr>
                <w:rFonts w:hint="eastAsia" w:ascii="仿宋_GB2312" w:eastAsia="仿宋_GB2312" w:cs="仿宋_GB2312"/>
                <w:color w:val="000000"/>
                <w:kern w:val="0"/>
                <w:szCs w:val="21"/>
              </w:rPr>
              <w:t>对审批后的登记材料进行归档处理，统一留存，建立台账</w:t>
            </w:r>
          </w:p>
        </w:tc>
        <w:tc>
          <w:tcPr>
            <w:tcW w:w="1339" w:type="dxa"/>
            <w:gridSpan w:val="2"/>
            <w:vMerge w:val="continue"/>
            <w:tcBorders>
              <w:tl2br w:val="nil"/>
              <w:tr2bl w:val="nil"/>
            </w:tcBorders>
            <w:shd w:val="clear" w:color="auto" w:fill="auto"/>
            <w:vAlign w:val="center"/>
          </w:tcPr>
          <w:p>
            <w:pPr>
              <w:rPr>
                <w:rFonts w:ascii="仿宋_GB2312" w:eastAsia="仿宋_GB2312" w:cs="仿宋_GB2312"/>
                <w:color w:val="000000"/>
                <w:kern w:val="0"/>
                <w:szCs w:val="21"/>
              </w:rPr>
            </w:pPr>
          </w:p>
        </w:tc>
        <w:tc>
          <w:tcPr>
            <w:tcW w:w="1159" w:type="dxa"/>
            <w:tcBorders>
              <w:tl2br w:val="nil"/>
              <w:tr2bl w:val="nil"/>
            </w:tcBorders>
            <w:shd w:val="clear" w:color="auto" w:fill="auto"/>
            <w:vAlign w:val="center"/>
          </w:tcPr>
          <w:p>
            <w:pPr>
              <w:jc w:val="center"/>
              <w:rPr>
                <w:rFonts w:ascii="仿宋_GB2312" w:eastAsia="仿宋_GB2312" w:cs="仿宋_GB2312"/>
                <w:color w:val="000000"/>
                <w:kern w:val="0"/>
                <w:szCs w:val="21"/>
              </w:rPr>
            </w:pPr>
            <w:r>
              <w:rPr>
                <w:rFonts w:hint="eastAsia" w:ascii="仿宋_GB2312" w:eastAsia="仿宋_GB2312" w:cs="仿宋_GB2312"/>
                <w:color w:val="000000"/>
                <w:kern w:val="0"/>
                <w:szCs w:val="21"/>
              </w:rPr>
              <w:t>抚宁区不动产登记服务中心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01" w:hRule="atLeast"/>
          <w:jc w:val="center"/>
        </w:trPr>
        <w:tc>
          <w:tcPr>
            <w:tcW w:w="1463" w:type="dxa"/>
            <w:tcBorders>
              <w:tl2br w:val="nil"/>
              <w:tr2bl w:val="nil"/>
            </w:tcBorders>
            <w:shd w:val="clear" w:color="auto" w:fill="auto"/>
            <w:vAlign w:val="center"/>
          </w:tcPr>
          <w:p>
            <w:pPr>
              <w:jc w:val="center"/>
              <w:rPr>
                <w:rFonts w:ascii="黑体" w:hAnsi="黑体" w:eastAsia="黑体"/>
                <w:b/>
              </w:rPr>
            </w:pPr>
            <w:r>
              <w:rPr>
                <w:rFonts w:hint="eastAsia" w:ascii="黑体" w:hAnsi="黑体" w:eastAsia="黑体"/>
                <w:b/>
              </w:rPr>
              <w:t>办理渠道</w:t>
            </w:r>
          </w:p>
        </w:tc>
        <w:tc>
          <w:tcPr>
            <w:tcW w:w="4636" w:type="dxa"/>
            <w:gridSpan w:val="4"/>
            <w:tcBorders>
              <w:tl2br w:val="nil"/>
              <w:tr2bl w:val="nil"/>
            </w:tcBorders>
            <w:shd w:val="clear" w:color="auto" w:fill="auto"/>
            <w:vAlign w:val="center"/>
          </w:tcPr>
          <w:p>
            <w:pPr>
              <w:rPr>
                <w:rFonts w:ascii="仿宋_GB2312" w:eastAsia="仿宋_GB2312" w:cs="仿宋_GB2312"/>
                <w:color w:val="000000"/>
                <w:kern w:val="0"/>
                <w:sz w:val="18"/>
                <w:szCs w:val="18"/>
              </w:rPr>
            </w:pPr>
          </w:p>
        </w:tc>
        <w:tc>
          <w:tcPr>
            <w:tcW w:w="1701" w:type="dxa"/>
            <w:gridSpan w:val="2"/>
            <w:tcBorders>
              <w:tl2br w:val="nil"/>
              <w:tr2bl w:val="nil"/>
            </w:tcBorders>
            <w:shd w:val="clear" w:color="auto" w:fill="auto"/>
            <w:vAlign w:val="center"/>
          </w:tcPr>
          <w:p>
            <w:pPr>
              <w:jc w:val="center"/>
              <w:rPr>
                <w:rFonts w:ascii="仿宋_GB2312" w:eastAsia="仿宋_GB2312" w:cs="仿宋_GB2312"/>
                <w:color w:val="000000"/>
                <w:kern w:val="0"/>
                <w:sz w:val="18"/>
                <w:szCs w:val="18"/>
              </w:rPr>
            </w:pPr>
            <w:r>
              <w:rPr>
                <w:rFonts w:hint="eastAsia" w:ascii="黑体" w:eastAsia="黑体" w:cs="黑体"/>
                <w:b/>
                <w:bCs/>
                <w:kern w:val="0"/>
                <w:szCs w:val="21"/>
              </w:rPr>
              <w:t>是否容缺办理</w:t>
            </w:r>
          </w:p>
        </w:tc>
        <w:tc>
          <w:tcPr>
            <w:tcW w:w="2498" w:type="dxa"/>
            <w:gridSpan w:val="3"/>
            <w:tcBorders>
              <w:tl2br w:val="nil"/>
              <w:tr2bl w:val="nil"/>
            </w:tcBorders>
            <w:shd w:val="clear" w:color="auto" w:fill="auto"/>
            <w:vAlign w:val="center"/>
          </w:tcPr>
          <w:p>
            <w:pPr>
              <w:jc w:val="center"/>
              <w:rPr>
                <w:rFonts w:ascii="仿宋_GB2312" w:eastAsia="仿宋_GB2312" w:cs="仿宋_GB2312"/>
                <w:color w:val="000000"/>
                <w:kern w:val="0"/>
                <w:sz w:val="18"/>
                <w:szCs w:val="18"/>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6"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kern w:val="0"/>
                <w:szCs w:val="21"/>
              </w:rPr>
            </w:pPr>
            <w:r>
              <w:rPr>
                <w:rFonts w:hint="eastAsia" w:ascii="黑体" w:eastAsia="黑体" w:cs="黑体"/>
                <w:b/>
                <w:bCs/>
                <w:kern w:val="0"/>
                <w:szCs w:val="21"/>
              </w:rPr>
              <w:t>所需资料</w:t>
            </w:r>
          </w:p>
        </w:tc>
        <w:tc>
          <w:tcPr>
            <w:tcW w:w="8835" w:type="dxa"/>
            <w:gridSpan w:val="9"/>
            <w:tcBorders>
              <w:tl2br w:val="nil"/>
              <w:tr2bl w:val="nil"/>
            </w:tcBorders>
            <w:shd w:val="clear" w:color="auto" w:fill="auto"/>
            <w:vAlign w:val="center"/>
          </w:tcPr>
          <w:p>
            <w:pPr>
              <w:widowControl/>
              <w:spacing w:line="240" w:lineRule="exact"/>
              <w:jc w:val="left"/>
              <w:textAlignment w:val="center"/>
              <w:rPr>
                <w:rStyle w:val="7"/>
                <w:color w:val="auto"/>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170"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追责情形</w:t>
            </w:r>
          </w:p>
        </w:tc>
        <w:tc>
          <w:tcPr>
            <w:tcW w:w="8835" w:type="dxa"/>
            <w:gridSpan w:val="9"/>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因不履行或不正确履行行政职责，有下列情形的，行政机关及相关工作人员应承担相应责任：</w:t>
            </w:r>
          </w:p>
          <w:p>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1.不动产登记机构登记错误给他人造成损害，或者当事人提供虚假材料申请登记给他人造成损害的，依照《</w:t>
            </w:r>
            <w:bookmarkStart w:id="0" w:name="_GoBack"/>
            <w:bookmarkEnd w:id="0"/>
            <w:r>
              <w:rPr>
                <w:rFonts w:hint="eastAsia" w:ascii="仿宋_GB2312" w:hAnsi="仿宋_GB2312" w:eastAsia="仿宋_GB2312" w:cs="仿宋_GB2312"/>
                <w:kern w:val="0"/>
                <w:sz w:val="18"/>
                <w:szCs w:val="18"/>
              </w:rPr>
              <w:t>中华人民共和国民法典》的规定承担赔偿责任；</w:t>
            </w:r>
          </w:p>
          <w:p>
            <w:pPr>
              <w:spacing w:line="240" w:lineRule="exact"/>
              <w:rPr>
                <w:rFonts w:ascii="黑体" w:eastAsia="黑体" w:cs="黑体"/>
                <w:color w:val="000000"/>
                <w:szCs w:val="21"/>
              </w:rPr>
            </w:pPr>
            <w:r>
              <w:rPr>
                <w:rFonts w:hint="eastAsia" w:ascii="仿宋_GB2312" w:hAnsi="仿宋_GB2312" w:eastAsia="仿宋_GB2312" w:cs="仿宋_GB2312"/>
                <w:kern w:val="0"/>
                <w:sz w:val="18"/>
                <w:szCs w:val="18"/>
              </w:rPr>
              <w:t>2.不动产登记机构工作人员进行虚假登记，损毁、伪造不动产登记簿，擅自修改登记事项，或者有其他滥用职权、玩忽职守行为的，依法给予处分，给他人造成损害的，依法承担赔偿责任；构成犯罪的，依法追究刑事责任。不动产登记机构、不动产登记信息共享单位及其工作人员，查询不动产登记资料的单位或者个人违反国家规定，泄露不动产登记资料、登记信息，或者利用不动产登记资料、登记信息进行不正当活动，给他人造成损害的，依法承担赔偿责任；对有关责任人员依法给予处分；有关责任人员构成犯罪的，依法追究刑事责任。</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36"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监督方式</w:t>
            </w:r>
          </w:p>
        </w:tc>
        <w:tc>
          <w:tcPr>
            <w:tcW w:w="8835" w:type="dxa"/>
            <w:gridSpan w:val="9"/>
            <w:tcBorders>
              <w:tl2br w:val="nil"/>
              <w:tr2bl w:val="nil"/>
            </w:tcBorders>
            <w:shd w:val="clear" w:color="auto" w:fill="auto"/>
            <w:vAlign w:val="center"/>
          </w:tcPr>
          <w:p>
            <w:pPr>
              <w:widowControl/>
              <w:spacing w:line="240" w:lineRule="exact"/>
              <w:jc w:val="left"/>
              <w:textAlignment w:val="center"/>
              <w:rPr>
                <w:rFonts w:ascii="仿宋_GB2312" w:eastAsia="仿宋_GB2312" w:cs="仿宋_GB2312"/>
                <w:color w:val="000000"/>
                <w:kern w:val="0"/>
                <w:szCs w:val="21"/>
              </w:rPr>
            </w:pPr>
            <w:r>
              <w:rPr>
                <w:rFonts w:hint="eastAsia" w:ascii="仿宋_GB2312" w:eastAsia="仿宋_GB2312" w:cs="仿宋_GB2312"/>
                <w:color w:val="000000"/>
                <w:kern w:val="0"/>
                <w:szCs w:val="21"/>
              </w:rPr>
              <w:t>1.业务咨询：</w:t>
            </w:r>
            <w:r>
              <w:rPr>
                <w:rFonts w:ascii="仿宋_GB2312" w:eastAsia="仿宋_GB2312" w:cs="仿宋_GB2312"/>
                <w:color w:val="000000"/>
                <w:kern w:val="0"/>
                <w:szCs w:val="21"/>
              </w:rPr>
              <w:t>0335-</w:t>
            </w:r>
            <w:r>
              <w:rPr>
                <w:rFonts w:hint="eastAsia" w:ascii="仿宋_GB2312" w:eastAsia="仿宋_GB2312" w:cs="仿宋_GB2312"/>
                <w:color w:val="000000"/>
                <w:kern w:val="0"/>
                <w:szCs w:val="21"/>
              </w:rPr>
              <w:t>6681531</w:t>
            </w:r>
          </w:p>
          <w:p>
            <w:pPr>
              <w:widowControl/>
              <w:spacing w:line="240" w:lineRule="exact"/>
              <w:jc w:val="left"/>
              <w:textAlignment w:val="center"/>
              <w:rPr>
                <w:rFonts w:ascii="仿宋_GB2312" w:eastAsia="仿宋_GB2312" w:cs="仿宋_GB2312"/>
                <w:color w:val="000000"/>
                <w:kern w:val="0"/>
                <w:szCs w:val="21"/>
              </w:rPr>
            </w:pPr>
            <w:r>
              <w:rPr>
                <w:rFonts w:hint="eastAsia" w:ascii="仿宋_GB2312" w:eastAsia="仿宋_GB2312" w:cs="仿宋_GB2312"/>
                <w:color w:val="000000"/>
                <w:kern w:val="0"/>
                <w:szCs w:val="21"/>
              </w:rPr>
              <w:t>2.投诉举报电话：</w:t>
            </w:r>
            <w:r>
              <w:rPr>
                <w:rFonts w:ascii="仿宋_GB2312" w:eastAsia="仿宋_GB2312" w:cs="仿宋_GB2312"/>
                <w:color w:val="000000"/>
                <w:kern w:val="0"/>
                <w:szCs w:val="21"/>
              </w:rPr>
              <w:t>0335-</w:t>
            </w:r>
            <w:r>
              <w:rPr>
                <w:rFonts w:hint="eastAsia" w:ascii="仿宋_GB2312" w:eastAsia="仿宋_GB2312" w:cs="仿宋_GB2312"/>
                <w:color w:val="000000"/>
                <w:kern w:val="0"/>
                <w:szCs w:val="21"/>
              </w:rPr>
              <w:t>6681531</w:t>
            </w:r>
          </w:p>
          <w:p>
            <w:pPr>
              <w:widowControl/>
              <w:spacing w:line="240" w:lineRule="exact"/>
              <w:jc w:val="left"/>
              <w:textAlignment w:val="center"/>
              <w:rPr>
                <w:rFonts w:ascii="黑体" w:eastAsia="黑体" w:cs="黑体"/>
                <w:color w:val="000000"/>
                <w:szCs w:val="21"/>
              </w:rPr>
            </w:pPr>
            <w:r>
              <w:rPr>
                <w:rFonts w:hint="eastAsia" w:ascii="仿宋_GB2312" w:eastAsia="仿宋_GB2312" w:cs="仿宋_GB2312"/>
                <w:color w:val="000000"/>
                <w:kern w:val="0"/>
                <w:szCs w:val="21"/>
              </w:rPr>
              <w:t>3.纪检监察投诉：区纪检驻自然资源和规划局纪检组，电话：0335-6689311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86"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法定救济途径</w:t>
            </w:r>
          </w:p>
        </w:tc>
        <w:tc>
          <w:tcPr>
            <w:tcW w:w="8835" w:type="dxa"/>
            <w:gridSpan w:val="9"/>
            <w:tcBorders>
              <w:tl2br w:val="nil"/>
              <w:tr2bl w:val="nil"/>
            </w:tcBorders>
            <w:shd w:val="clear" w:color="auto" w:fill="auto"/>
            <w:vAlign w:val="center"/>
          </w:tcPr>
          <w:p>
            <w:pPr>
              <w:widowControl/>
              <w:jc w:val="left"/>
              <w:textAlignment w:val="center"/>
              <w:rPr>
                <w:rFonts w:ascii="仿宋_GB2312" w:eastAsia="仿宋_GB2312" w:cs="仿宋_GB2312"/>
                <w:color w:val="000000"/>
                <w:kern w:val="0"/>
                <w:szCs w:val="21"/>
              </w:rPr>
            </w:pPr>
            <w:r>
              <w:rPr>
                <w:rFonts w:hint="eastAsia" w:ascii="仿宋_GB2312" w:eastAsia="仿宋_GB2312" w:cs="仿宋_GB2312"/>
                <w:color w:val="000000"/>
                <w:kern w:val="0"/>
                <w:szCs w:val="21"/>
              </w:rPr>
              <w:t>1．不服许可决定自知道该具体行政行为之日起六十日内向抚宁区政府申请行政复议。</w:t>
            </w:r>
          </w:p>
          <w:p>
            <w:pPr>
              <w:widowControl/>
              <w:jc w:val="left"/>
              <w:textAlignment w:val="center"/>
              <w:rPr>
                <w:rFonts w:ascii="黑体" w:eastAsia="黑体" w:cs="黑体"/>
                <w:b/>
                <w:bCs/>
                <w:color w:val="000000"/>
                <w:szCs w:val="21"/>
              </w:rPr>
            </w:pPr>
            <w:r>
              <w:rPr>
                <w:rFonts w:hint="eastAsia" w:ascii="仿宋_GB2312" w:eastAsia="仿宋_GB2312" w:cs="仿宋_GB2312"/>
                <w:color w:val="000000"/>
                <w:kern w:val="0"/>
                <w:szCs w:val="21"/>
              </w:rPr>
              <w:t>2．不服许可决定应当自知道或者应当知道作出行政行为之日起六个月内提出向抚宁区人民法院提起行政诉讼。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28"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备注</w:t>
            </w:r>
          </w:p>
        </w:tc>
        <w:tc>
          <w:tcPr>
            <w:tcW w:w="8835" w:type="dxa"/>
            <w:gridSpan w:val="9"/>
            <w:tcBorders>
              <w:tl2br w:val="nil"/>
              <w:tr2bl w:val="nil"/>
            </w:tcBorders>
            <w:shd w:val="clear" w:color="auto" w:fill="auto"/>
            <w:vAlign w:val="center"/>
          </w:tcPr>
          <w:p>
            <w:pPr>
              <w:widowControl/>
              <w:jc w:val="left"/>
              <w:textAlignment w:val="center"/>
              <w:rPr>
                <w:rFonts w:ascii="黑体" w:eastAsia="黑体" w:cs="黑体"/>
                <w:color w:val="000000"/>
                <w:kern w:val="0"/>
                <w:sz w:val="18"/>
                <w:szCs w:val="18"/>
              </w:rPr>
            </w:pPr>
          </w:p>
        </w:tc>
      </w:tr>
    </w:tbl>
    <w:p/>
    <w:sectPr>
      <w:pgSz w:w="11906" w:h="16838"/>
      <w:pgMar w:top="567" w:right="1417" w:bottom="567" w:left="1417" w:header="851" w:footer="992" w:gutter="113"/>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 w:name="楷体">
    <w:panose1 w:val="02010609060101010101"/>
    <w:charset w:val="86"/>
    <w:family w:val="auto"/>
    <w:pitch w:val="default"/>
    <w:sig w:usb0="800002BF" w:usb1="38CF7CFA" w:usb2="00000016" w:usb3="00000000" w:csb0="00040001" w:csb1="00000000"/>
  </w:font>
  <w:font w:name="仿宋_GB2312">
    <w:altName w:val="仿宋"/>
    <w:panose1 w:val="02010609030101010101"/>
    <w:charset w:val="86"/>
    <w:family w:val="modern"/>
    <w:pitch w:val="default"/>
    <w:sig w:usb0="00000000" w:usb1="00000000" w:usb2="00000010" w:usb3="00000000" w:csb0="00040000" w:csb1="00000000"/>
  </w:font>
  <w:font w:name="方正小标宋简体">
    <w:altName w:val="黑体"/>
    <w:panose1 w:val="00000000000000000000"/>
    <w:charset w:val="86"/>
    <w:family w:val="script"/>
    <w:pitch w:val="default"/>
    <w:sig w:usb0="00000000" w:usb1="00000000" w:usb2="00000000" w:usb3="00000000" w:csb0="00040000"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GQxYzA2ZGVmY2JkNzY1NTZmY2UxMzMwYWM1OTk4YzkifQ=="/>
  </w:docVars>
  <w:rsids>
    <w:rsidRoot w:val="00F35FED"/>
    <w:rsid w:val="000157B7"/>
    <w:rsid w:val="000279C4"/>
    <w:rsid w:val="000B2E11"/>
    <w:rsid w:val="000C0BFD"/>
    <w:rsid w:val="00131223"/>
    <w:rsid w:val="00164665"/>
    <w:rsid w:val="00187FAD"/>
    <w:rsid w:val="002455E6"/>
    <w:rsid w:val="00252F81"/>
    <w:rsid w:val="00281D0E"/>
    <w:rsid w:val="00291CBA"/>
    <w:rsid w:val="0029203F"/>
    <w:rsid w:val="002F371C"/>
    <w:rsid w:val="00380FFC"/>
    <w:rsid w:val="003B023B"/>
    <w:rsid w:val="003E269F"/>
    <w:rsid w:val="00403553"/>
    <w:rsid w:val="00403F27"/>
    <w:rsid w:val="004267A0"/>
    <w:rsid w:val="00526E1F"/>
    <w:rsid w:val="00646AB2"/>
    <w:rsid w:val="00682557"/>
    <w:rsid w:val="006A286F"/>
    <w:rsid w:val="006A7DFC"/>
    <w:rsid w:val="00721E6E"/>
    <w:rsid w:val="0073198C"/>
    <w:rsid w:val="00765410"/>
    <w:rsid w:val="007B3AB4"/>
    <w:rsid w:val="00844ADD"/>
    <w:rsid w:val="008A1DB8"/>
    <w:rsid w:val="00927718"/>
    <w:rsid w:val="009A0D43"/>
    <w:rsid w:val="009B0A53"/>
    <w:rsid w:val="00A21933"/>
    <w:rsid w:val="00A52FD2"/>
    <w:rsid w:val="00A77381"/>
    <w:rsid w:val="00A82714"/>
    <w:rsid w:val="00AF4A08"/>
    <w:rsid w:val="00B50DA5"/>
    <w:rsid w:val="00B8575E"/>
    <w:rsid w:val="00BA087C"/>
    <w:rsid w:val="00BC03C5"/>
    <w:rsid w:val="00BF693F"/>
    <w:rsid w:val="00C61AC2"/>
    <w:rsid w:val="00C83A9D"/>
    <w:rsid w:val="00CA20EC"/>
    <w:rsid w:val="00CC47D3"/>
    <w:rsid w:val="00CC5145"/>
    <w:rsid w:val="00D24BC2"/>
    <w:rsid w:val="00DB02EA"/>
    <w:rsid w:val="00DB558F"/>
    <w:rsid w:val="00DC7FDB"/>
    <w:rsid w:val="00E454F1"/>
    <w:rsid w:val="00EF269E"/>
    <w:rsid w:val="00F03CB5"/>
    <w:rsid w:val="00F114D5"/>
    <w:rsid w:val="00F14A00"/>
    <w:rsid w:val="00F35FED"/>
    <w:rsid w:val="00F54A2B"/>
    <w:rsid w:val="00F76CD1"/>
    <w:rsid w:val="00F81182"/>
    <w:rsid w:val="076B66C3"/>
    <w:rsid w:val="079B7E09"/>
    <w:rsid w:val="2FF41CF6"/>
    <w:rsid w:val="3F6965C3"/>
    <w:rsid w:val="46D65A57"/>
    <w:rsid w:val="4802566E"/>
    <w:rsid w:val="5545399F"/>
    <w:rsid w:val="5674330C"/>
    <w:rsid w:val="5CFE649F"/>
    <w:rsid w:val="5ECA0136"/>
    <w:rsid w:val="669F1927"/>
    <w:rsid w:val="737B0183"/>
    <w:rsid w:val="77800AD6"/>
    <w:rsid w:val="78357659"/>
    <w:rsid w:val="796C6B3D"/>
    <w:rsid w:val="7A36630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uiPriority w:val="0"/>
    <w:pPr>
      <w:widowControl w:val="0"/>
      <w:jc w:val="both"/>
    </w:pPr>
    <w:rPr>
      <w:rFonts w:ascii="Calibri" w:hAnsi="Calibri" w:eastAsia="宋体" w:cs="Arial"/>
      <w:kern w:val="2"/>
      <w:sz w:val="21"/>
      <w:szCs w:val="24"/>
      <w:lang w:val="en-US" w:eastAsia="zh-CN" w:bidi="ar-SA"/>
    </w:rPr>
  </w:style>
  <w:style w:type="character" w:default="1" w:styleId="6">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Balloon Text"/>
    <w:basedOn w:val="1"/>
    <w:link w:val="8"/>
    <w:semiHidden/>
    <w:unhideWhenUsed/>
    <w:qFormat/>
    <w:uiPriority w:val="99"/>
    <w:rPr>
      <w:sz w:val="18"/>
      <w:szCs w:val="18"/>
    </w:rPr>
  </w:style>
  <w:style w:type="paragraph" w:styleId="3">
    <w:name w:val="footer"/>
    <w:basedOn w:val="1"/>
    <w:semiHidden/>
    <w:unhideWhenUsed/>
    <w:uiPriority w:val="99"/>
    <w:pPr>
      <w:tabs>
        <w:tab w:val="center" w:pos="4153"/>
        <w:tab w:val="right" w:pos="8306"/>
      </w:tabs>
      <w:snapToGrid w:val="0"/>
      <w:jc w:val="left"/>
    </w:pPr>
    <w:rPr>
      <w:sz w:val="18"/>
    </w:rPr>
  </w:style>
  <w:style w:type="paragraph" w:styleId="4">
    <w:name w:val="header"/>
    <w:basedOn w:val="1"/>
    <w:semiHidden/>
    <w:unhideWhenUsed/>
    <w:uiPriority w:val="99"/>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 w:type="character" w:customStyle="1" w:styleId="7">
    <w:name w:val="font112"/>
    <w:basedOn w:val="6"/>
    <w:qFormat/>
    <w:uiPriority w:val="0"/>
    <w:rPr>
      <w:rFonts w:ascii="仿宋_GB2312" w:eastAsia="仿宋_GB2312" w:cs="仿宋_GB2312"/>
      <w:color w:val="000000"/>
      <w:sz w:val="18"/>
      <w:szCs w:val="18"/>
      <w:u w:val="none"/>
    </w:rPr>
  </w:style>
  <w:style w:type="character" w:customStyle="1" w:styleId="8">
    <w:name w:val="批注框文本 Char"/>
    <w:basedOn w:val="6"/>
    <w:link w:val="2"/>
    <w:semiHidden/>
    <w:qFormat/>
    <w:uiPriority w:val="99"/>
    <w:rPr>
      <w:rFonts w:ascii="Calibri" w:hAnsi="Calibri" w:eastAsia="宋体" w:cs="Arial"/>
      <w:sz w:val="18"/>
      <w:szCs w:val="18"/>
    </w:rPr>
  </w:style>
  <w:style w:type="paragraph" w:styleId="9">
    <w:name w:val="List Paragraph"/>
    <w:basedOn w:val="1"/>
    <w:unhideWhenUsed/>
    <w:uiPriority w:val="99"/>
    <w:pPr>
      <w:ind w:firstLine="420" w:firstLineChars="200"/>
    </w:p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theme/theme1.xml" Type="http://schemas.openxmlformats.org/officeDocument/2006/relationships/theme"/><Relationship Id="rId4" Target="fontTable.xml" Type="http://schemas.openxmlformats.org/officeDocument/2006/relationships/fontTable"/></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Company>微软中国</Company>
  <Pages>4</Pages>
  <Words>519</Words>
  <Characters>2960</Characters>
  <Lines>24</Lines>
  <Paragraphs>6</Paragraphs>
  <TotalTime>0</TotalTime>
  <ScaleCrop>false</ScaleCrop>
  <LinksUpToDate>false</LinksUpToDate>
  <CharactersWithSpaces>3473</CharactersWithSpaces>
  <Application>WPS Office_12.1.0.16120_F1E327BC-269C-435d-A152-05C5408002CA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2023-12-18T08:17:00Z</dcterms:created>
  <dc:creator>xb21cn</dc:creator>
  <cp:lastModifiedBy>大地欢歌</cp:lastModifiedBy>
  <cp:lastPrinted>2023-08-15T01:13:00Z</cp:lastPrinted>
  <dcterms:modified xsi:type="dcterms:W3CDTF">2024-02-01T05:45:13Z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2052-12.1.0.16120</vt:lpwstr>
  </property>
  <property fmtid="{D5CDD505-2E9C-101B-9397-08002B2CF9AE}" pid="3" name="ICV">
    <vt:lpwstr>5FA42D69880C44BAAC8E4C6701696A33_13</vt:lpwstr>
  </property>
</Properties>
</file>