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4"/>
        <w:tblpPr w:leftFromText="180" w:rightFromText="180" w:vertAnchor="text" w:horzAnchor="page" w:tblpX="870" w:tblpY="297"/>
        <w:tblOverlap w:val="never"/>
        <w:tblW w:w="1029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2332"/>
        <w:gridCol w:w="2265"/>
        <w:gridCol w:w="2029"/>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p>
        </w:tc>
        <w:tc>
          <w:tcPr>
            <w:tcW w:w="3382" w:type="dxa"/>
            <w:gridSpan w:val="2"/>
            <w:tcBorders>
              <w:tl2br w:val="nil"/>
              <w:tr2bl w:val="nil"/>
            </w:tcBorders>
            <w:shd w:val="clear" w:color="auto" w:fill="auto"/>
            <w:vAlign w:val="center"/>
          </w:tcPr>
          <w:p>
            <w:pPr>
              <w:jc w:val="center"/>
              <w:rPr>
                <w:rFonts w:hint="eastAsia" w:ascii="黑体" w:eastAsia="黑体" w:cs="黑体"/>
                <w:b/>
                <w:bCs/>
                <w:color w:val="000000"/>
                <w:szCs w:val="21"/>
                <w:lang w:val="en-US" w:eastAsia="zh-CN"/>
              </w:rPr>
            </w:pPr>
          </w:p>
        </w:tc>
        <w:tc>
          <w:tcPr>
            <w:tcW w:w="2265"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3188" w:type="dxa"/>
            <w:gridSpan w:val="2"/>
            <w:tcBorders>
              <w:tl2br w:val="nil"/>
              <w:tr2bl w:val="nil"/>
            </w:tcBorders>
            <w:shd w:val="clear" w:color="auto" w:fill="auto"/>
            <w:vAlign w:val="center"/>
          </w:tcPr>
          <w:p>
            <w:pPr>
              <w:widowControl/>
              <w:jc w:val="center"/>
              <w:textAlignment w:val="center"/>
              <w:rPr>
                <w:rFonts w:hint="eastAsia" w:ascii="黑体" w:eastAsia="黑体" w:cs="黑体"/>
                <w:b/>
                <w:bCs/>
                <w:color w:val="000000"/>
                <w:szCs w:val="21"/>
                <w:lang w:eastAsia="zh-CN"/>
              </w:rPr>
            </w:pPr>
            <w:r>
              <w:rPr>
                <w:rFonts w:hint="eastAsia" w:ascii="黑体" w:eastAsia="黑体" w:cs="黑体"/>
                <w:color w:val="000000"/>
                <w:kern w:val="0"/>
                <w:szCs w:val="21"/>
                <w:lang w:eastAsia="zh-CN"/>
              </w:rPr>
              <w:t>行政确认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5"/>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林木种子采种林确定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65" w:hRule="atLeast"/>
        </w:trPr>
        <w:tc>
          <w:tcPr>
            <w:tcW w:w="1463" w:type="dxa"/>
            <w:tcBorders>
              <w:tl2br w:val="nil"/>
              <w:tr2bl w:val="nil"/>
            </w:tcBorders>
            <w:shd w:val="clear" w:color="auto" w:fill="auto"/>
            <w:vAlign w:val="center"/>
          </w:tcPr>
          <w:p>
            <w:pPr>
              <w:widowControl/>
              <w:jc w:val="center"/>
              <w:textAlignment w:val="center"/>
              <w:rPr>
                <w:rFonts w:hint="eastAsia" w:ascii="黑体" w:eastAsia="黑体" w:cs="黑体"/>
                <w:b/>
                <w:bCs/>
                <w:color w:val="000000"/>
                <w:kern w:val="0"/>
                <w:szCs w:val="21"/>
              </w:rPr>
            </w:pPr>
            <w:r>
              <w:rPr>
                <w:rFonts w:hint="eastAsia" w:ascii="黑体" w:eastAsia="黑体" w:cs="黑体"/>
                <w:b/>
                <w:bCs/>
                <w:color w:val="000000"/>
                <w:szCs w:val="21"/>
                <w:lang w:eastAsia="zh-CN"/>
              </w:rPr>
              <w:t>履职依据</w:t>
            </w:r>
          </w:p>
        </w:tc>
        <w:tc>
          <w:tcPr>
            <w:tcW w:w="8835" w:type="dxa"/>
            <w:gridSpan w:val="5"/>
            <w:tcBorders>
              <w:tl2br w:val="nil"/>
              <w:tr2bl w:val="nil"/>
            </w:tcBorders>
            <w:shd w:val="clear" w:color="auto" w:fill="auto"/>
            <w:vAlign w:val="center"/>
          </w:tcPr>
          <w:tbl>
            <w:tblPr>
              <w:tblStyle w:val="4"/>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8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8835" w:type="dxa"/>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spacing w:line="240" w:lineRule="exact"/>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1.《中华人民共和国种子法》第十五条　国家对主要农作物和主要林木实行品种审定制度。主要农作物品种和主要林木品种在推广前应当通过国家级或者省级审定。由省、自治区、直辖市人民政府林业草原主管部门确定的主要林木品种实行省级审定。</w:t>
                  </w:r>
                </w:p>
                <w:p>
                  <w:pPr>
                    <w:spacing w:line="240" w:lineRule="exact"/>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申请审定的品种应当符合特异性、一致性、稳定性要求。</w:t>
                  </w:r>
                </w:p>
                <w:p>
                  <w:pPr>
                    <w:spacing w:line="240" w:lineRule="exact"/>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主要农作物品种和主要林木品种的审定办法由国务院农业农村、林业草原主管部门规定。审定办法应当体现公正、公开、科学、效率的原则，有利于产量、品质、抗性等的提高与协调，有利于适应市场和生活消费需要的品种的推广。在制定、修改审定办法时，应当充分听取育种者、种子使用者、生产经营者和相关行业代表意见。</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仿宋_GB2312" w:hAnsi="仿宋_GB2312" w:eastAsia="仿宋_GB2312" w:cs="仿宋_GB2312"/>
                      <w:i w:val="0"/>
                      <w:color w:val="auto"/>
                      <w:kern w:val="0"/>
                      <w:sz w:val="21"/>
                      <w:szCs w:val="21"/>
                      <w:u w:val="none"/>
                      <w:lang w:val="en-US" w:eastAsia="zh-CN" w:bidi="ar"/>
                    </w:rPr>
                    <w:t>抚编批字【2020】11号　承办林木种子生产、经营许可证的具体事务性工作。种子执法。林木种苗繁育新技术、新成果的应用推广。新品种引进、试验、繁育与推广。良种示范基地建设。</w:t>
                  </w:r>
                </w:p>
              </w:tc>
            </w:tr>
          </w:tbl>
          <w:p>
            <w:pPr>
              <w:spacing w:line="240" w:lineRule="exact"/>
              <w:jc w:val="center"/>
              <w:rPr>
                <w:rFonts w:hint="eastAsia" w:ascii="仿宋_GB2312" w:hAnsi="仿宋_GB2312" w:eastAsia="仿宋_GB2312" w:cs="仿宋_GB2312"/>
                <w:i w:val="0"/>
                <w:color w:val="000000"/>
                <w:kern w:val="0"/>
                <w:sz w:val="21"/>
                <w:szCs w:val="21"/>
                <w:highlight w:val="none"/>
                <w:u w:val="none"/>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6626" w:type="dxa"/>
            <w:gridSpan w:val="3"/>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选案</w:t>
            </w:r>
          </w:p>
        </w:tc>
        <w:tc>
          <w:tcPr>
            <w:tcW w:w="6626" w:type="dxa"/>
            <w:gridSpan w:val="3"/>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公示检疫标准、程序及依法应当提交的材料等。根据从国外引进种子、苗木审批情况，受理检疫确认申请。</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审查</w:t>
            </w:r>
          </w:p>
        </w:tc>
        <w:tc>
          <w:tcPr>
            <w:tcW w:w="6626" w:type="dxa"/>
            <w:gridSpan w:val="3"/>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对提交的材料进行形式审查，符合规定的，予以受理，对确认对象进行调查、观察和检疫，提出检疫意见。</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决定</w:t>
            </w:r>
          </w:p>
        </w:tc>
        <w:tc>
          <w:tcPr>
            <w:tcW w:w="6626" w:type="dxa"/>
            <w:gridSpan w:val="3"/>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作出检疫确认合格或不合格的决定，法定告知。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送达</w:t>
            </w:r>
          </w:p>
        </w:tc>
        <w:tc>
          <w:tcPr>
            <w:tcW w:w="6626" w:type="dxa"/>
            <w:gridSpan w:val="3"/>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经检疫确认合格的，出具检疫证明，证明确实不带危险性病、虫。法定送达。信息公开。</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林木种苗科、林业执法部门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9" w:hRule="atLeast"/>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事后监管</w:t>
            </w:r>
          </w:p>
        </w:tc>
        <w:tc>
          <w:tcPr>
            <w:tcW w:w="6626" w:type="dxa"/>
            <w:gridSpan w:val="3"/>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对从国外引进种子、苗木分散种植情况进行监督检查，防治造成病虫害的传播。</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9" w:hRule="atLeast"/>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其它</w:t>
            </w:r>
          </w:p>
        </w:tc>
        <w:tc>
          <w:tcPr>
            <w:tcW w:w="6626" w:type="dxa"/>
            <w:gridSpan w:val="3"/>
            <w:tcBorders>
              <w:tl2br w:val="nil"/>
              <w:tr2bl w:val="nil"/>
            </w:tcBorders>
            <w:shd w:val="clear" w:color="auto" w:fill="auto"/>
            <w:vAlign w:val="center"/>
          </w:tcPr>
          <w:p>
            <w:pPr>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其他法律法规规章文件规定应履行的责任。</w:t>
            </w: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5"/>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5.违反法定程序实施行政确认的；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6.工作中玩忽职守、滥用职权的；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8.其他违反</w:t>
            </w:r>
            <w:bookmarkStart w:id="0" w:name="_GoBack"/>
            <w:bookmarkEnd w:id="0"/>
            <w:r>
              <w:rPr>
                <w:rFonts w:hint="eastAsia" w:ascii="仿宋_GB2312" w:hAnsi="仿宋_GB2312" w:eastAsia="仿宋_GB2312" w:cs="仿宋_GB2312"/>
                <w:i w:val="0"/>
                <w:color w:val="000000"/>
                <w:kern w:val="0"/>
                <w:sz w:val="21"/>
                <w:szCs w:val="21"/>
                <w:highlight w:val="none"/>
                <w:u w:val="none"/>
                <w:lang w:val="en-US" w:eastAsia="zh-CN" w:bidi="ar"/>
              </w:rPr>
              <w:t>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5"/>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黑体" w:eastAsia="黑体" w:cs="黑体"/>
                <w:color w:val="000000"/>
                <w:kern w:val="0"/>
                <w:sz w:val="18"/>
                <w:szCs w:val="18"/>
              </w:rPr>
              <w:t>1</w:t>
            </w:r>
            <w:r>
              <w:rPr>
                <w:rFonts w:hint="eastAsia" w:ascii="仿宋_GB2312" w:eastAsia="仿宋_GB2312" w:cs="仿宋_GB2312"/>
                <w:color w:val="000000"/>
                <w:kern w:val="0"/>
                <w:szCs w:val="21"/>
              </w:rPr>
              <w:t xml:space="preserve">.业务咨询：0335-6680610-80904 </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2.投诉举报电话：0335-6682748</w:t>
            </w:r>
          </w:p>
          <w:p>
            <w:pPr>
              <w:widowControl/>
              <w:jc w:val="left"/>
              <w:textAlignment w:val="center"/>
              <w:rPr>
                <w:rFonts w:hint="default" w:ascii="黑体" w:eastAsia="黑体" w:cs="黑体"/>
                <w:color w:val="000000"/>
                <w:sz w:val="24"/>
                <w:lang w:val="en-US" w:eastAsia="zh-CN"/>
              </w:rPr>
            </w:pPr>
            <w:r>
              <w:rPr>
                <w:rFonts w:hint="eastAsia" w:ascii="仿宋_GB2312" w:eastAsia="仿宋_GB2312" w:cs="仿宋_GB2312"/>
                <w:color w:val="000000"/>
                <w:kern w:val="0"/>
                <w:szCs w:val="21"/>
              </w:rPr>
              <w:t>3.纪检监察投诉：区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5"/>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5"/>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222C4A27"/>
    <w:rsid w:val="0823486A"/>
    <w:rsid w:val="147E132C"/>
    <w:rsid w:val="17451645"/>
    <w:rsid w:val="17FF6CC1"/>
    <w:rsid w:val="222C4A27"/>
    <w:rsid w:val="237F2C7D"/>
    <w:rsid w:val="2FE25763"/>
    <w:rsid w:val="300F6E18"/>
    <w:rsid w:val="69694FE8"/>
    <w:rsid w:val="707072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Lines="0" w:beforeAutospacing="0" w:afterLines="0" w:afterAutospacing="0" w:line="560" w:lineRule="exact"/>
      <w:ind w:firstLine="880" w:firstLineChars="200"/>
      <w:outlineLvl w:val="0"/>
    </w:pPr>
    <w:rPr>
      <w:rFonts w:ascii="Times New Roman" w:hAnsi="Times New Roman" w:eastAsia="黑体"/>
      <w:kern w:val="44"/>
      <w:sz w:val="32"/>
      <w:szCs w:val="22"/>
    </w:rPr>
  </w:style>
  <w:style w:type="paragraph" w:styleId="3">
    <w:name w:val="heading 2"/>
    <w:basedOn w:val="1"/>
    <w:next w:val="1"/>
    <w:semiHidden/>
    <w:unhideWhenUsed/>
    <w:qFormat/>
    <w:uiPriority w:val="0"/>
    <w:pPr>
      <w:keepNext/>
      <w:keepLines/>
      <w:spacing w:beforeLines="0" w:beforeAutospacing="0" w:afterLines="0" w:afterAutospacing="0" w:line="560" w:lineRule="exact"/>
      <w:outlineLvl w:val="1"/>
    </w:pPr>
    <w:rPr>
      <w:rFonts w:ascii="仿宋" w:hAnsi="仿宋" w:eastAsia="楷体"/>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character" w:customStyle="1" w:styleId="6">
    <w:name w:val="font112"/>
    <w:basedOn w:val="5"/>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2023-12-18T03:02:00Z</dcterms:created>
  <dc:creator>大地欢歌</dc:creator>
  <cp:lastModifiedBy>大地欢歌</cp:lastModifiedBy>
  <dcterms:modified xsi:type="dcterms:W3CDTF">2024-02-01T05:57:54Z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917C6EAFCF5C4A998EBABEA3F7A44B2A_13</vt:lpwstr>
  </property>
</Properties>
</file>