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488"/>
        <w:gridCol w:w="2040"/>
        <w:gridCol w:w="1755"/>
        <w:gridCol w:w="1755"/>
        <w:gridCol w:w="588"/>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38" w:type="dxa"/>
            <w:gridSpan w:val="2"/>
            <w:tcBorders>
              <w:tl2br w:val="nil"/>
              <w:tr2bl w:val="nil"/>
            </w:tcBorders>
            <w:shd w:val="clear" w:color="auto" w:fill="auto"/>
            <w:vAlign w:val="center"/>
          </w:tcPr>
          <w:p>
            <w:pPr>
              <w:jc w:val="center"/>
              <w:rPr>
                <w:rFonts w:hint="eastAsia" w:ascii="黑体" w:eastAsia="黑体" w:cs="黑体"/>
                <w:b/>
                <w:bCs/>
                <w:color w:val="000000"/>
                <w:szCs w:val="21"/>
                <w:lang w:val="en-US" w:eastAsia="zh-CN"/>
              </w:rPr>
            </w:pPr>
          </w:p>
        </w:tc>
        <w:tc>
          <w:tcPr>
            <w:tcW w:w="204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755" w:type="dxa"/>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仿宋_GB2312" w:eastAsia="仿宋_GB2312" w:cs="仿宋_GB2312"/>
                <w:color w:val="000000"/>
                <w:kern w:val="0"/>
                <w:sz w:val="18"/>
                <w:szCs w:val="18"/>
                <w:lang w:val="en-US" w:eastAsia="zh-CN"/>
              </w:rPr>
              <w:t>行政确认</w:t>
            </w:r>
          </w:p>
        </w:tc>
        <w:tc>
          <w:tcPr>
            <w:tcW w:w="1755" w:type="dxa"/>
            <w:tcBorders>
              <w:tl2br w:val="nil"/>
              <w:tr2bl w:val="nil"/>
            </w:tcBorders>
            <w:shd w:val="clear" w:color="auto" w:fill="auto"/>
            <w:vAlign w:val="center"/>
          </w:tcPr>
          <w:p>
            <w:pPr>
              <w:widowControl/>
              <w:jc w:val="center"/>
              <w:textAlignment w:val="center"/>
              <w:rPr>
                <w:rFonts w:hint="eastAsia" w:ascii="黑体" w:eastAsia="黑体" w:cs="黑体"/>
                <w:color w:val="000000"/>
                <w:kern w:val="0"/>
                <w:szCs w:val="21"/>
                <w:lang w:eastAsia="zh-CN"/>
              </w:rPr>
            </w:pPr>
            <w:r>
              <w:rPr>
                <w:rFonts w:hint="eastAsia" w:ascii="黑体" w:eastAsia="黑体" w:cs="黑体"/>
                <w:b/>
                <w:bCs/>
                <w:color w:val="000000"/>
                <w:kern w:val="0"/>
                <w:szCs w:val="21"/>
                <w:lang w:eastAsia="zh-CN"/>
              </w:rPr>
              <w:t>实施主体</w:t>
            </w:r>
          </w:p>
        </w:tc>
        <w:tc>
          <w:tcPr>
            <w:tcW w:w="1747" w:type="dxa"/>
            <w:gridSpan w:val="2"/>
            <w:tcBorders>
              <w:tl2br w:val="nil"/>
              <w:tr2bl w:val="nil"/>
            </w:tcBorders>
            <w:shd w:val="clear" w:color="auto" w:fill="auto"/>
            <w:vAlign w:val="center"/>
          </w:tcPr>
          <w:p>
            <w:pPr>
              <w:widowControl/>
              <w:jc w:val="center"/>
              <w:textAlignment w:val="center"/>
              <w:rPr>
                <w:rFonts w:hint="eastAsia" w:ascii="黑体" w:eastAsia="黑体" w:cs="黑体"/>
                <w:color w:val="000000"/>
                <w:kern w:val="0"/>
                <w:szCs w:val="21"/>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应当审定未经审定通过，但是生产确需使用的林木品种认定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90" w:hRule="atLeast"/>
          <w:jc w:val="center"/>
        </w:trPr>
        <w:tc>
          <w:tcPr>
            <w:tcW w:w="1463" w:type="dxa"/>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黑体" w:eastAsia="黑体" w:cs="黑体"/>
                <w:b/>
                <w:bCs/>
                <w:color w:val="000000"/>
                <w:kern w:val="0"/>
                <w:szCs w:val="21"/>
                <w:lang w:eastAsia="zh-CN"/>
              </w:rPr>
              <w:t>履职依据</w:t>
            </w:r>
          </w:p>
        </w:tc>
        <w:tc>
          <w:tcPr>
            <w:tcW w:w="8835" w:type="dxa"/>
            <w:gridSpan w:val="7"/>
            <w:tcBorders>
              <w:tl2br w:val="nil"/>
              <w:tr2bl w:val="nil"/>
            </w:tcBorders>
            <w:shd w:val="clear" w:color="auto" w:fill="auto"/>
            <w:vAlign w:val="top"/>
          </w:tcPr>
          <w:p>
            <w:pPr>
              <w:spacing w:line="240" w:lineRule="exact"/>
              <w:jc w:val="both"/>
              <w:rPr>
                <w:rFonts w:hint="eastAsia" w:ascii="黑体" w:hAnsi="黑体" w:eastAsia="黑体" w:cs="仿宋_GB2312"/>
                <w:kern w:val="0"/>
                <w:szCs w:val="21"/>
              </w:rPr>
            </w:pPr>
            <w:r>
              <w:rPr>
                <w:rFonts w:hint="eastAsia" w:ascii="黑体" w:hAnsi="黑体" w:eastAsia="黑体" w:cs="仿宋_GB2312"/>
                <w:kern w:val="0"/>
                <w:szCs w:val="21"/>
              </w:rPr>
              <w:t>【法律法规】</w:t>
            </w:r>
          </w:p>
          <w:p>
            <w:pPr>
              <w:numPr>
                <w:ilvl w:val="0"/>
                <w:numId w:val="1"/>
              </w:numPr>
              <w:spacing w:line="240" w:lineRule="exact"/>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《植物检疫条例》第三条　县级以上地方各级农业主管部门、林业主管部门所属的植物检疫机构，负责执行国家的植物检疫任务。</w:t>
            </w:r>
          </w:p>
          <w:p>
            <w:pPr>
              <w:numPr>
                <w:ilvl w:val="0"/>
                <w:numId w:val="1"/>
              </w:numPr>
              <w:spacing w:line="240" w:lineRule="exact"/>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《植物检疫条例实施细则》第四条 县级以上人民政府农业农村主管部门应当依法加强植物检疫体系建设，保障植物检疫机构所需的人员、经费、设施设备，制定植物疫情防控规划并组织实施。</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jc w:val="both"/>
              <w:rPr>
                <w:rFonts w:hint="default" w:ascii="黑体" w:hAnsi="黑体" w:eastAsia="黑体" w:cs="仿宋_GB2312"/>
                <w:kern w:val="0"/>
                <w:szCs w:val="21"/>
                <w:lang w:val="en-US" w:eastAsia="zh-CN"/>
              </w:rPr>
            </w:pPr>
            <w:r>
              <w:rPr>
                <w:rFonts w:hint="eastAsia" w:ascii="仿宋_GB2312" w:hAnsi="仿宋_GB2312" w:eastAsia="仿宋_GB2312" w:cs="仿宋_GB2312"/>
                <w:i w:val="0"/>
                <w:color w:val="000000"/>
                <w:kern w:val="0"/>
                <w:sz w:val="21"/>
                <w:szCs w:val="21"/>
                <w:highlight w:val="none"/>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选案</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公示依法应当提交的材料。进行形式审查，一次性告知补正认定材料。依法作出受理或不予受理的决定（不予受理的应当告知理由）。</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初审</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由专业委员会进行初审，提出审查。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决定</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由省林木品种审定委员会主任委员会作出通过认定或者不予通过认定的决定。法定告知（不予认定的应当告知理由）。</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送达</w:t>
            </w:r>
          </w:p>
        </w:tc>
        <w:tc>
          <w:tcPr>
            <w:tcW w:w="6626" w:type="dxa"/>
            <w:gridSpan w:val="5"/>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认定通过的林木品种统一命名、编号，颁发林木良种证书，法定送达。进行公告。</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事后监管</w:t>
            </w:r>
          </w:p>
        </w:tc>
        <w:tc>
          <w:tcPr>
            <w:tcW w:w="6626"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事后监管责任：监督检查，防止弄虚作假。</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5"/>
            <w:tcBorders>
              <w:tl2br w:val="nil"/>
              <w:tr2bl w:val="nil"/>
            </w:tcBorders>
            <w:shd w:val="clear" w:color="auto" w:fill="auto"/>
            <w:vAlign w:val="center"/>
          </w:tcPr>
          <w:p>
            <w:pPr>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其他法律法规规章文件规定的应履行的责任。</w:t>
            </w: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1.对符合法定条件的申请不予受理的；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2.对不符合法定条件的申请准予行政确认或者超越法定职权作出准予行政确认决定的；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3.对符合法定条件的申请不予行政确认或者不在法定期限内作出准予行政确认决定的；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4.不依法履行监督职责或监督不力的；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5.违反法定程序实施行政确认的；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6.工作中玩忽职守、滥用职权的；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7.工作中索取或收受他人财物等情形的；</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8.其他违反</w:t>
            </w:r>
            <w:bookmarkStart w:id="0" w:name="_GoBack"/>
            <w:bookmarkEnd w:id="0"/>
            <w:r>
              <w:rPr>
                <w:rFonts w:hint="eastAsia" w:ascii="仿宋_GB2312" w:hAnsi="仿宋_GB2312" w:eastAsia="仿宋_GB2312" w:cs="仿宋_GB2312"/>
                <w:i w:val="0"/>
                <w:color w:val="000000"/>
                <w:kern w:val="0"/>
                <w:sz w:val="21"/>
                <w:szCs w:val="21"/>
                <w:highlight w:val="none"/>
                <w:u w:val="none"/>
                <w:lang w:val="en-US" w:eastAsia="zh-CN" w:bidi="ar"/>
              </w:rPr>
              <w:t>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spacing w:line="500" w:lineRule="exact"/>
        <w:ind w:firstLine="640" w:firstLineChars="200"/>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BC785E"/>
    <w:multiLevelType w:val="singleLevel"/>
    <w:tmpl w:val="EFBC785E"/>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18DA1F55"/>
    <w:rsid w:val="346B31E6"/>
    <w:rsid w:val="3E484EBC"/>
    <w:rsid w:val="480B6841"/>
    <w:rsid w:val="49E1603A"/>
    <w:rsid w:val="4AE675FB"/>
    <w:rsid w:val="516D5D57"/>
    <w:rsid w:val="531F2FEB"/>
    <w:rsid w:val="5B076365"/>
    <w:rsid w:val="5D433711"/>
    <w:rsid w:val="60D80C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2024-02-01T06:02:36Z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BA3A3178DB4148EEA1CCF3257BE3807F_13</vt:lpwstr>
  </property>
</Properties>
</file>