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造林绿化工程项目面积、质量、成活率等验收考核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《中华人民共和国森林法》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选案</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公示验收标准、程序及依法应当提交的材料等。根据绿化项目情况确定验收对象。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检查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对验收对象的质量和面积组织检查验收。按有关程序进行，指定专人负责，与当事人有直接利害关系的应当回避，执法人员不得少于两人。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决定</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作出验收合格或不合格的决定，法定告知。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验收合格的，核发验收合格证。存在问题，验收不合格的要求限期纠正。信息公开。</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事后监管</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18"/>
                <w:szCs w:val="18"/>
              </w:rPr>
              <w:t>对存在问题的纠正情况进行监督检查，依法采取相关处置措施，确保造林绿化工程质量。</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 w:val="21"/>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C906C3"/>
    <w:rsid w:val="0D387F9E"/>
    <w:rsid w:val="13D54396"/>
    <w:rsid w:val="154A2FFE"/>
    <w:rsid w:val="17FF6CC1"/>
    <w:rsid w:val="1C844F99"/>
    <w:rsid w:val="2BC2266F"/>
    <w:rsid w:val="2F8C268B"/>
    <w:rsid w:val="312928DF"/>
    <w:rsid w:val="36630549"/>
    <w:rsid w:val="3BC046A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2024-02-01T05:56:41Z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5459645AAC1A49028EAE8D35D42E7F03_13</vt:lpwstr>
  </property>
</Properties>
</file>