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textAlignment w:val="center"/>
        <w:rPr>
          <w:rFonts w:asci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color w:val="000000"/>
          <w:kern w:val="0"/>
          <w:sz w:val="44"/>
          <w:szCs w:val="44"/>
        </w:rPr>
        <w:t>履职行权规程</w:t>
      </w:r>
    </w:p>
    <w:tbl>
      <w:tblPr>
        <w:tblStyle w:val="6"/>
        <w:tblW w:w="1029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63"/>
        <w:gridCol w:w="1050"/>
        <w:gridCol w:w="641"/>
        <w:gridCol w:w="1691"/>
        <w:gridCol w:w="1254"/>
        <w:gridCol w:w="709"/>
        <w:gridCol w:w="992"/>
        <w:gridCol w:w="567"/>
        <w:gridCol w:w="772"/>
        <w:gridCol w:w="115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4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编号</w:t>
            </w:r>
          </w:p>
        </w:tc>
        <w:tc>
          <w:tcPr>
            <w:tcW w:w="1691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</w:p>
        </w:tc>
        <w:tc>
          <w:tcPr>
            <w:tcW w:w="169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权力类型</w:t>
            </w:r>
          </w:p>
        </w:tc>
        <w:tc>
          <w:tcPr>
            <w:tcW w:w="196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行政确认</w:t>
            </w: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szCs w:val="21"/>
              </w:rPr>
              <w:t>实施主体</w:t>
            </w:r>
          </w:p>
        </w:tc>
        <w:tc>
          <w:tcPr>
            <w:tcW w:w="1931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秦皇岛市抚宁区自然资源和规划局</w:t>
            </w:r>
            <w:bookmarkStart w:id="0" w:name="_GoBack"/>
            <w:bookmarkEnd w:id="0"/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事项名称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建设工程档案专项验收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32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履职依据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exact"/>
              <w:rPr>
                <w:rFonts w:ascii="黑体" w:hAnsi="黑体" w:eastAsia="黑体" w:cs="仿宋_GB2312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仿宋_GB2312"/>
                <w:kern w:val="0"/>
                <w:sz w:val="18"/>
                <w:szCs w:val="18"/>
              </w:rPr>
              <w:t>【法律法规】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1.《建设工程质量管理条例》（国务院令第279号）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2.《城市建设档案管理规定》（建设部令第61号，第9号修正）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3.《河北省建设工程档案专项验收及认可暂行办法》（冀建法规【2001】5号）4.《建设工程文件归档规范》（GB/T50328-2014）</w:t>
            </w:r>
          </w:p>
          <w:p>
            <w:pPr>
              <w:spacing w:line="240" w:lineRule="exact"/>
              <w:rPr>
                <w:rFonts w:ascii="黑体" w:hAnsi="黑体" w:eastAsia="黑体" w:cs="仿宋_GB2312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仿宋_GB2312"/>
                <w:kern w:val="0"/>
                <w:sz w:val="18"/>
                <w:szCs w:val="18"/>
              </w:rPr>
              <w:t>【三定规定】</w:t>
            </w:r>
          </w:p>
          <w:p>
            <w:pPr>
              <w:spacing w:line="240" w:lineRule="exact"/>
              <w:rPr>
                <w:rFonts w:ascii="黑体" w:eastAsia="仿宋_GB2312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</w:rPr>
              <w:t>抚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  <w:lang w:val="en-US" w:eastAsia="zh-CN"/>
              </w:rPr>
              <w:t>编批字</w:t>
            </w:r>
            <w:r>
              <w:rPr>
                <w:rFonts w:hint="eastAsia" w:ascii="宋体" w:hAnsi="宋体" w:cs="仿宋_GB2312"/>
                <w:kern w:val="0"/>
                <w:sz w:val="18"/>
                <w:szCs w:val="18"/>
              </w:rPr>
              <w:t>﹝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</w:rPr>
              <w:t>20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  <w:lang w:val="en-US" w:eastAsia="zh-CN"/>
              </w:rPr>
              <w:t>20</w:t>
            </w:r>
            <w:r>
              <w:rPr>
                <w:rFonts w:hint="eastAsia" w:ascii="宋体" w:hAnsi="宋体" w:cs="仿宋_GB2312"/>
                <w:kern w:val="0"/>
                <w:sz w:val="18"/>
                <w:szCs w:val="18"/>
              </w:rPr>
              <w:t>﹞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</w:rPr>
              <w:t>号  第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仿宋_GB2312" w:eastAsia="仿宋_GB2312" w:cs="仿宋_GB2312"/>
                <w:kern w:val="0"/>
                <w:sz w:val="18"/>
                <w:szCs w:val="18"/>
              </w:rPr>
              <w:t>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  <w:jc w:val="center"/>
        </w:trPr>
        <w:tc>
          <w:tcPr>
            <w:tcW w:w="14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履职流程</w:t>
            </w:r>
          </w:p>
        </w:tc>
        <w:tc>
          <w:tcPr>
            <w:tcW w:w="10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办理环节</w:t>
            </w:r>
          </w:p>
        </w:tc>
        <w:tc>
          <w:tcPr>
            <w:tcW w:w="5287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办理内容</w:t>
            </w:r>
          </w:p>
        </w:tc>
        <w:tc>
          <w:tcPr>
            <w:tcW w:w="133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szCs w:val="21"/>
              </w:rPr>
              <w:t>办理时限</w:t>
            </w:r>
          </w:p>
        </w:tc>
        <w:tc>
          <w:tcPr>
            <w:tcW w:w="11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责任科室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5" w:hRule="atLeast"/>
          <w:jc w:val="center"/>
        </w:trPr>
        <w:tc>
          <w:tcPr>
            <w:tcW w:w="14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/>
        </w:tc>
        <w:tc>
          <w:tcPr>
            <w:tcW w:w="10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eastAsia="黑体" w:cs="黑体"/>
                <w:color w:val="000000"/>
                <w:sz w:val="18"/>
                <w:szCs w:val="18"/>
              </w:rPr>
            </w:pPr>
            <w:r>
              <w:rPr>
                <w:rFonts w:hint="eastAsia" w:ascii="黑体" w:eastAsia="黑体" w:cs="黑体"/>
                <w:color w:val="000000"/>
                <w:sz w:val="18"/>
                <w:szCs w:val="18"/>
              </w:rPr>
              <w:t>受理</w:t>
            </w:r>
          </w:p>
        </w:tc>
        <w:tc>
          <w:tcPr>
            <w:tcW w:w="5287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建设单位网上申请联合验收后，联后验收牵头部门向主管部门派件，资源规划部门按照有关法律法规对申报资料进行审核，作出是否受理的决定。</w:t>
            </w:r>
          </w:p>
        </w:tc>
        <w:tc>
          <w:tcPr>
            <w:tcW w:w="133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个工作日</w:t>
            </w:r>
          </w:p>
        </w:tc>
        <w:tc>
          <w:tcPr>
            <w:tcW w:w="11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城乡规划发展中心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5" w:hRule="atLeast"/>
          <w:jc w:val="center"/>
        </w:trPr>
        <w:tc>
          <w:tcPr>
            <w:tcW w:w="14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/>
        </w:tc>
        <w:tc>
          <w:tcPr>
            <w:tcW w:w="10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eastAsia="黑体" w:cs="黑体"/>
                <w:color w:val="000000"/>
                <w:sz w:val="18"/>
                <w:szCs w:val="18"/>
              </w:rPr>
            </w:pPr>
            <w:r>
              <w:rPr>
                <w:rFonts w:hint="eastAsia" w:ascii="黑体" w:eastAsia="黑体" w:cs="黑体"/>
                <w:color w:val="000000"/>
                <w:sz w:val="18"/>
                <w:szCs w:val="18"/>
              </w:rPr>
              <w:t>审查</w:t>
            </w:r>
          </w:p>
        </w:tc>
        <w:tc>
          <w:tcPr>
            <w:tcW w:w="5287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textAlignment w:val="center"/>
              <w:rPr>
                <w:rFonts w:ascii="黑体" w:eastAsia="黑体" w:cs="黑体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对申请人提交的审批资料、监理资料、施工资料及竣工图等进行材料进行受理审核；资料不符合要求的，一次性告知并补正材料。</w:t>
            </w:r>
          </w:p>
        </w:tc>
        <w:tc>
          <w:tcPr>
            <w:tcW w:w="133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个工作日</w:t>
            </w:r>
          </w:p>
        </w:tc>
        <w:tc>
          <w:tcPr>
            <w:tcW w:w="11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城乡规划发展中心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9" w:hRule="atLeast"/>
          <w:jc w:val="center"/>
        </w:trPr>
        <w:tc>
          <w:tcPr>
            <w:tcW w:w="14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/>
        </w:tc>
        <w:tc>
          <w:tcPr>
            <w:tcW w:w="10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eastAsia="黑体" w:cs="黑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黑体" w:eastAsia="黑体" w:cs="黑体"/>
                <w:color w:val="000000"/>
                <w:sz w:val="18"/>
                <w:szCs w:val="18"/>
                <w:lang w:val="en-US" w:eastAsia="zh-CN"/>
              </w:rPr>
              <w:t>备案</w:t>
            </w:r>
          </w:p>
        </w:tc>
        <w:tc>
          <w:tcPr>
            <w:tcW w:w="5287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企业提交的备案材料齐全，对符合要求的，应予办理备案手续。</w:t>
            </w:r>
          </w:p>
        </w:tc>
        <w:tc>
          <w:tcPr>
            <w:tcW w:w="133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1个工作日</w:t>
            </w:r>
          </w:p>
        </w:tc>
        <w:tc>
          <w:tcPr>
            <w:tcW w:w="11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城乡规划发展中心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b/>
              </w:rPr>
            </w:pPr>
            <w:r>
              <w:rPr>
                <w:rFonts w:hint="eastAsia" w:ascii="黑体" w:hAnsi="黑体" w:eastAsia="黑体"/>
                <w:b/>
              </w:rPr>
              <w:t>办理渠道</w:t>
            </w:r>
          </w:p>
        </w:tc>
        <w:tc>
          <w:tcPr>
            <w:tcW w:w="463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eastAsia="黑体" w:cs="黑体"/>
                <w:b/>
                <w:bCs/>
                <w:kern w:val="0"/>
                <w:szCs w:val="21"/>
              </w:rPr>
              <w:t>是否容缺办理</w:t>
            </w:r>
          </w:p>
        </w:tc>
        <w:tc>
          <w:tcPr>
            <w:tcW w:w="249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t>否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6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kern w:val="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kern w:val="0"/>
                <w:szCs w:val="21"/>
              </w:rPr>
              <w:t>所需资料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textAlignment w:val="center"/>
              <w:rPr>
                <w:rStyle w:val="8"/>
                <w:color w:val="auto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申请人提交的审批资料、监理资料、施工资料及竣工图等</w:t>
            </w:r>
            <w:r>
              <w:rPr>
                <w:rStyle w:val="8"/>
                <w:rFonts w:hint="eastAsia"/>
                <w:color w:val="auto"/>
              </w:rPr>
              <w:t>相关</w:t>
            </w:r>
            <w:r>
              <w:rPr>
                <w:rStyle w:val="8"/>
                <w:rFonts w:hint="eastAsia" w:eastAsia="仿宋_GB2312"/>
                <w:color w:val="auto"/>
                <w:lang w:val="en-US" w:eastAsia="zh-CN"/>
              </w:rPr>
              <w:t>资料</w:t>
            </w:r>
            <w:r>
              <w:rPr>
                <w:rStyle w:val="8"/>
                <w:rFonts w:hint="eastAsia"/>
                <w:color w:val="auto"/>
              </w:rPr>
              <w:t>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70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追责情形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因不履行或不正确履行行政职责，有下列情形的，行政机关及相关工作人员应承担相应责任：</w:t>
            </w:r>
          </w:p>
          <w:p>
            <w:pPr>
              <w:spacing w:line="24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1.对符合受理条件的竣工档案验收申请不予受理的；</w:t>
            </w:r>
          </w:p>
          <w:p>
            <w:pPr>
              <w:spacing w:line="24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2.竣工验收备案文件齐全，备案机关及其工作人员不办理备案手续的；</w:t>
            </w:r>
          </w:p>
          <w:p>
            <w:pPr>
              <w:spacing w:line="24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3.档案工作人员玩忽职守，造成档案损失的；</w:t>
            </w:r>
          </w:p>
          <w:p>
            <w:pPr>
              <w:spacing w:line="240" w:lineRule="exact"/>
              <w:jc w:val="left"/>
              <w:rPr>
                <w:rFonts w:ascii="黑体" w:eastAsia="黑体" w:cs="黑体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4.其他违反法律法规规章规定的行为。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监督方式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textAlignment w:val="center"/>
              <w:rPr>
                <w:rFonts w:asci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t>业务咨询：</w:t>
            </w:r>
            <w:r>
              <w:rPr>
                <w:rFonts w:ascii="仿宋_GB2312" w:eastAsia="仿宋_GB2312" w:cs="仿宋_GB2312"/>
                <w:color w:val="000000"/>
                <w:kern w:val="0"/>
                <w:szCs w:val="21"/>
              </w:rPr>
              <w:t>0335-</w:t>
            </w: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t>6682748</w:t>
            </w: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t>2.投诉举报电话：</w:t>
            </w:r>
            <w:r>
              <w:rPr>
                <w:rFonts w:ascii="仿宋_GB2312" w:eastAsia="仿宋_GB2312" w:cs="仿宋_GB2312"/>
                <w:color w:val="000000"/>
                <w:kern w:val="0"/>
                <w:szCs w:val="21"/>
              </w:rPr>
              <w:t>0335-</w:t>
            </w: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t>6682748</w:t>
            </w:r>
          </w:p>
          <w:p>
            <w:pPr>
              <w:widowControl/>
              <w:spacing w:line="240" w:lineRule="exact"/>
              <w:jc w:val="left"/>
              <w:textAlignment w:val="center"/>
              <w:rPr>
                <w:rFonts w:ascii="黑体" w:eastAsia="仿宋_GB2312" w:cs="黑体"/>
                <w:color w:val="000000"/>
                <w:sz w:val="24"/>
              </w:rPr>
            </w:pPr>
            <w:r>
              <w:rPr>
                <w:rFonts w:hint="eastAsia" w:ascii="仿宋_GB2312" w:eastAsia="仿宋_GB2312" w:cs="仿宋_GB2312"/>
                <w:color w:val="000000"/>
                <w:kern w:val="0"/>
                <w:szCs w:val="21"/>
              </w:rPr>
              <w:t>3.纪检监察投诉：区纪检驻资源规划局纪检组，电话：0335-6689311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6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法定救济途径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.公民、法人或其他组织认为该行政行为侵犯其合法权益的，可以自知道该行政行为之日起六十日内向区人民政府提出行政复议。</w:t>
            </w:r>
          </w:p>
          <w:p>
            <w:pPr>
              <w:spacing w:line="240" w:lineRule="exact"/>
              <w:jc w:val="left"/>
              <w:rPr>
                <w:rFonts w:ascii="黑体" w:eastAsia="黑体" w:cs="黑体"/>
                <w:b/>
                <w:bCs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 w:bidi="ar-SA"/>
              </w:rPr>
              <w:t>2.公民、法人或其他组织认为该行政行为侵犯其合法权益的，可以自知道该行政行为之日起六个月内向区人民法院提起行政诉讼。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8" w:hRule="atLeast"/>
          <w:jc w:val="center"/>
        </w:trPr>
        <w:tc>
          <w:tcPr>
            <w:tcW w:w="14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eastAsia="黑体" w:cs="黑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黑体" w:eastAsia="黑体" w:cs="黑体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  <w:tc>
          <w:tcPr>
            <w:tcW w:w="8835" w:type="dxa"/>
            <w:gridSpan w:val="9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黑体" w:eastAsia="黑体" w:cs="黑体"/>
                <w:color w:val="000000"/>
                <w:kern w:val="0"/>
                <w:sz w:val="18"/>
                <w:szCs w:val="18"/>
              </w:rPr>
            </w:pPr>
          </w:p>
        </w:tc>
      </w:tr>
    </w:tbl>
    <w:p/>
    <w:p>
      <w:pPr>
        <w:spacing w:line="560" w:lineRule="exact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xYzA2ZGVmY2JkNzY1NTZmY2UxMzMwYWM1OTk4YzkifQ=="/>
  </w:docVars>
  <w:rsids>
    <w:rsidRoot w:val="00F35FED"/>
    <w:rsid w:val="000575B9"/>
    <w:rsid w:val="000C0BFD"/>
    <w:rsid w:val="002455E6"/>
    <w:rsid w:val="00252F81"/>
    <w:rsid w:val="00287A16"/>
    <w:rsid w:val="002F371C"/>
    <w:rsid w:val="003346C7"/>
    <w:rsid w:val="003E269F"/>
    <w:rsid w:val="004B1418"/>
    <w:rsid w:val="00526E1F"/>
    <w:rsid w:val="00646AB2"/>
    <w:rsid w:val="00682557"/>
    <w:rsid w:val="006A7DFC"/>
    <w:rsid w:val="00715298"/>
    <w:rsid w:val="0073198C"/>
    <w:rsid w:val="007B3AB4"/>
    <w:rsid w:val="0092696B"/>
    <w:rsid w:val="00983D97"/>
    <w:rsid w:val="009A0D43"/>
    <w:rsid w:val="00A52FD2"/>
    <w:rsid w:val="00A6497A"/>
    <w:rsid w:val="00A9485B"/>
    <w:rsid w:val="00C453A9"/>
    <w:rsid w:val="00CA20EC"/>
    <w:rsid w:val="00D24BC2"/>
    <w:rsid w:val="00DB558F"/>
    <w:rsid w:val="00E454F1"/>
    <w:rsid w:val="00EE3CBF"/>
    <w:rsid w:val="00EF269E"/>
    <w:rsid w:val="00F03CB5"/>
    <w:rsid w:val="00F35FED"/>
    <w:rsid w:val="00F81182"/>
    <w:rsid w:val="03BA18B7"/>
    <w:rsid w:val="09732A9A"/>
    <w:rsid w:val="17BF62B5"/>
    <w:rsid w:val="1DCAF9B0"/>
    <w:rsid w:val="1E6F4442"/>
    <w:rsid w:val="1FFE19FE"/>
    <w:rsid w:val="3EF7BCD7"/>
    <w:rsid w:val="4FF7B736"/>
    <w:rsid w:val="555B1782"/>
    <w:rsid w:val="59F66D81"/>
    <w:rsid w:val="5EF7883A"/>
    <w:rsid w:val="5FDB18E5"/>
    <w:rsid w:val="6FAB8CA9"/>
    <w:rsid w:val="74FF47B8"/>
    <w:rsid w:val="75FDF85D"/>
    <w:rsid w:val="79FEDEF8"/>
    <w:rsid w:val="7AD621B3"/>
    <w:rsid w:val="7DA9691B"/>
    <w:rsid w:val="7F9A3315"/>
    <w:rsid w:val="7FED62EE"/>
    <w:rsid w:val="BB7E9C1E"/>
    <w:rsid w:val="BF3A9E97"/>
    <w:rsid w:val="BFF5410B"/>
    <w:rsid w:val="CB4F749B"/>
    <w:rsid w:val="CCFE9680"/>
    <w:rsid w:val="CDF6371B"/>
    <w:rsid w:val="D8552631"/>
    <w:rsid w:val="DAFFCAF5"/>
    <w:rsid w:val="DBDD2B1E"/>
    <w:rsid w:val="DEF74FAC"/>
    <w:rsid w:val="DFFE9515"/>
    <w:rsid w:val="DFFFC685"/>
    <w:rsid w:val="EDB79F06"/>
    <w:rsid w:val="F19DE533"/>
    <w:rsid w:val="F2B7883E"/>
    <w:rsid w:val="F737B9BD"/>
    <w:rsid w:val="FDEDBAD1"/>
    <w:rsid w:val="FDFF2D5D"/>
    <w:rsid w:val="FEFFDB64"/>
    <w:rsid w:val="FFAF6091"/>
    <w:rsid w:val="FFB73D78"/>
    <w:rsid w:val="FFFA79B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font112"/>
    <w:basedOn w:val="7"/>
    <w:qFormat/>
    <w:uiPriority w:val="0"/>
    <w:rPr>
      <w:rFonts w:ascii="仿宋_GB2312" w:eastAsia="仿宋_GB2312" w:cs="仿宋_GB2312"/>
      <w:color w:val="000000"/>
      <w:sz w:val="18"/>
      <w:szCs w:val="18"/>
      <w:u w:val="none"/>
    </w:rPr>
  </w:style>
  <w:style w:type="character" w:customStyle="1" w:styleId="9">
    <w:name w:val="批注框文本 Char"/>
    <w:basedOn w:val="7"/>
    <w:link w:val="2"/>
    <w:semiHidden/>
    <w:qFormat/>
    <w:uiPriority w:val="99"/>
    <w:rPr>
      <w:rFonts w:ascii="Calibri" w:hAnsi="Calibri" w:eastAsia="宋体" w:cs="Arial"/>
      <w:sz w:val="18"/>
      <w:szCs w:val="18"/>
    </w:rPr>
  </w:style>
  <w:style w:type="character" w:customStyle="1" w:styleId="10">
    <w:name w:val="页眉 Char"/>
    <w:basedOn w:val="7"/>
    <w:link w:val="4"/>
    <w:semiHidden/>
    <w:qFormat/>
    <w:uiPriority w:val="99"/>
    <w:rPr>
      <w:rFonts w:ascii="Calibri" w:hAnsi="Calibri" w:cs="Arial"/>
      <w:kern w:val="2"/>
      <w:sz w:val="18"/>
      <w:szCs w:val="18"/>
    </w:rPr>
  </w:style>
  <w:style w:type="character" w:customStyle="1" w:styleId="11">
    <w:name w:val="页脚 Char"/>
    <w:basedOn w:val="7"/>
    <w:link w:val="3"/>
    <w:semiHidden/>
    <w:uiPriority w:val="99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168</Words>
  <Characters>960</Characters>
  <Lines>8</Lines>
  <Paragraphs>2</Paragraphs>
  <TotalTime>7</TotalTime>
  <ScaleCrop>false</ScaleCrop>
  <LinksUpToDate>false</LinksUpToDate>
  <CharactersWithSpaces>1126</CharactersWithSpaces>
  <Application>WPS Office_12.1.0.15946_F1E327BC-269C-435d-A152-05C5408002CA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2023-11-30T01:41:00Z</dcterms:created>
  <dc:creator>xb21cn</dc:creator>
  <cp:lastModifiedBy>大地欢歌</cp:lastModifiedBy>
  <cp:lastPrinted>2023-08-20T01:13:00Z</cp:lastPrinted>
  <dcterms:modified xsi:type="dcterms:W3CDTF">2023-12-22T00:33:41Z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2052-12.1.0.15946</vt:lpwstr>
  </property>
  <property fmtid="{D5CDD505-2E9C-101B-9397-08002B2CF9AE}" pid="3" name="ICV">
    <vt:lpwstr>B46A738B5F2A4772AD70441D96BD2C84_13</vt:lpwstr>
  </property>
</Properties>
</file>