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4"/>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行政给付</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keepNext w:val="0"/>
              <w:keepLines w:val="0"/>
              <w:widowControl/>
              <w:suppressLineNumbers w:val="0"/>
              <w:jc w:val="center"/>
              <w:textAlignment w:val="center"/>
              <w:rPr>
                <w:rFonts w:ascii="仿宋_GB2312" w:hAnsi="宋体" w:eastAsia="仿宋_GB2312" w:cs="仿宋_GB2312"/>
                <w:i w:val="0"/>
                <w:iCs w:val="0"/>
                <w:color w:val="000000"/>
                <w:kern w:val="2"/>
                <w:sz w:val="22"/>
                <w:szCs w:val="22"/>
                <w:u w:val="none"/>
                <w:lang w:val="en-US" w:eastAsia="zh-CN" w:bidi="ar-SA"/>
              </w:rPr>
            </w:pPr>
            <w:bookmarkStart w:id="0" w:name="_GoBack"/>
            <w:r>
              <w:rPr>
                <w:rFonts w:hint="eastAsia" w:ascii="仿宋_GB2312" w:hAnsi="仿宋_GB2312" w:eastAsia="仿宋_GB2312" w:cs="仿宋_GB2312"/>
                <w:kern w:val="0"/>
                <w:sz w:val="18"/>
                <w:szCs w:val="18"/>
              </w:rPr>
              <w:t>矿山地质环境保护与土地复垦监督管理</w:t>
            </w:r>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spacing w:line="240" w:lineRule="exact"/>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《矿山地质环境保护规定》（2019年7月16日自然资源部第2次部务会议《自然资源部关于第一批废止修改的部门规章的决定》第三次修正 自然资源部令第5号）第四条　自然资源部负责全国矿山地质环境的保护工作。县级以上地方自然资源主管部门负责本行政区的矿山地质环境保护工作。第二十二条　县级以上自然资源主管部门对采矿权人履行矿山地质环境保护与土地复垦义务的情况进行监督检查。相关责任人应当配合县级以上自然资源主管部门的监督检查，并提供必要的资料，如实反映情况。第二十四条　县级以上自然资源主管部门在履行矿山地质环境保护的监督检查职责时，有权对矿山地质环境与土地复垦方案确立的治理恢复措施落实情况和矿山地质环境监测情况进行现场检查，对违反本规定的行为有权制止并依法查处。　</w:t>
            </w:r>
          </w:p>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hint="eastAsia" w:ascii="黑体" w:eastAsia="仿宋_GB2312" w:cs="黑体"/>
                <w:b/>
                <w:bCs/>
                <w:color w:val="000000"/>
                <w:szCs w:val="21"/>
                <w:lang w:val="en-US" w:eastAsia="zh-CN"/>
              </w:rPr>
            </w:pPr>
            <w:r>
              <w:rPr>
                <w:rFonts w:hint="eastAsia" w:ascii="仿宋_GB2312" w:eastAsia="仿宋_GB2312" w:cs="仿宋_GB2312"/>
                <w:kern w:val="0"/>
                <w:sz w:val="21"/>
                <w:szCs w:val="21"/>
                <w:lang w:eastAsia="zh-CN"/>
              </w:rPr>
              <w:t>抚办</w:t>
            </w:r>
            <w:r>
              <w:rPr>
                <w:rFonts w:hint="eastAsia" w:ascii="仿宋_GB2312" w:eastAsia="仿宋_GB2312" w:cs="仿宋_GB2312"/>
                <w:kern w:val="0"/>
                <w:sz w:val="21"/>
                <w:szCs w:val="21"/>
              </w:rPr>
              <w:t>字</w:t>
            </w:r>
            <w:r>
              <w:rPr>
                <w:rFonts w:hint="eastAsia" w:ascii="宋体" w:hAnsi="宋体" w:cs="仿宋_GB2312"/>
                <w:kern w:val="0"/>
                <w:sz w:val="21"/>
                <w:szCs w:val="21"/>
              </w:rPr>
              <w:t>﹝</w:t>
            </w:r>
            <w:r>
              <w:rPr>
                <w:rFonts w:hint="eastAsia" w:ascii="仿宋_GB2312" w:eastAsia="仿宋_GB2312" w:cs="仿宋_GB2312"/>
                <w:kern w:val="0"/>
                <w:sz w:val="21"/>
                <w:szCs w:val="21"/>
                <w:lang w:val="en-US" w:eastAsia="zh-CN"/>
              </w:rPr>
              <w:t>2019</w:t>
            </w:r>
            <w:r>
              <w:rPr>
                <w:rFonts w:hint="eastAsia" w:ascii="宋体" w:hAnsi="宋体" w:cs="仿宋_GB2312"/>
                <w:kern w:val="0"/>
                <w:sz w:val="21"/>
                <w:szCs w:val="21"/>
              </w:rPr>
              <w:t>﹞</w:t>
            </w:r>
            <w:r>
              <w:rPr>
                <w:rFonts w:hint="eastAsia" w:ascii="仿宋_GB2312" w:eastAsia="仿宋_GB2312" w:cs="仿宋_GB2312"/>
                <w:kern w:val="0"/>
                <w:sz w:val="21"/>
                <w:szCs w:val="21"/>
                <w:lang w:val="en-US" w:eastAsia="zh-CN"/>
              </w:rPr>
              <w:t>36</w:t>
            </w:r>
            <w:r>
              <w:rPr>
                <w:rFonts w:hint="eastAsia" w:ascii="仿宋_GB2312" w:eastAsia="仿宋_GB2312" w:cs="仿宋_GB2312"/>
                <w:kern w:val="0"/>
                <w:sz w:val="21"/>
                <w:szCs w:val="21"/>
              </w:rPr>
              <w:t xml:space="preserve">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21"/>
                <w:szCs w:val="21"/>
                <w:lang w:eastAsia="zh-CN"/>
              </w:rPr>
              <w:t>立案</w:t>
            </w:r>
          </w:p>
        </w:tc>
        <w:tc>
          <w:tcPr>
            <w:tcW w:w="5287" w:type="dxa"/>
            <w:gridSpan w:val="5"/>
            <w:tcBorders>
              <w:tl2br w:val="nil"/>
              <w:tr2bl w:val="nil"/>
            </w:tcBorders>
            <w:shd w:val="clear" w:color="auto" w:fill="auto"/>
            <w:vAlign w:val="center"/>
          </w:tcPr>
          <w:p>
            <w:pPr>
              <w:rPr>
                <w:rFonts w:hint="eastAsia" w:ascii="仿宋" w:hAnsi="仿宋" w:eastAsia="仿宋" w:cs="仿宋"/>
                <w:color w:val="000000"/>
                <w:sz w:val="21"/>
                <w:szCs w:val="21"/>
                <w:lang w:eastAsia="zh-CN"/>
              </w:rPr>
            </w:pPr>
            <w:r>
              <w:rPr>
                <w:rFonts w:hint="eastAsia" w:ascii="仿宋_GB2312" w:hAnsi="仿宋_GB2312" w:eastAsia="仿宋_GB2312" w:cs="仿宋_GB2312"/>
                <w:kern w:val="0"/>
                <w:szCs w:val="21"/>
              </w:rPr>
              <w:t>按相关文件或省厅通知要求组织监督检查</w:t>
            </w:r>
          </w:p>
        </w:tc>
        <w:tc>
          <w:tcPr>
            <w:tcW w:w="1339" w:type="dxa"/>
            <w:gridSpan w:val="2"/>
            <w:tcBorders>
              <w:tl2br w:val="nil"/>
              <w:tr2bl w:val="nil"/>
            </w:tcBorders>
            <w:shd w:val="clear" w:color="auto" w:fill="auto"/>
            <w:vAlign w:val="center"/>
          </w:tcPr>
          <w:p>
            <w:pPr>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1个工作日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生态修复</w:t>
            </w:r>
            <w:r>
              <w:rPr>
                <w:rFonts w:hint="eastAsia" w:ascii="仿宋_GB2312" w:eastAsia="仿宋_GB2312" w:cs="仿宋_GB2312"/>
                <w:color w:val="000000"/>
                <w:kern w:val="0"/>
                <w:sz w:val="21"/>
                <w:szCs w:val="21"/>
              </w:rPr>
              <w:t>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21"/>
                <w:szCs w:val="21"/>
                <w:lang w:eastAsia="zh-CN"/>
              </w:rPr>
              <w:t>审查</w:t>
            </w:r>
          </w:p>
        </w:tc>
        <w:tc>
          <w:tcPr>
            <w:tcW w:w="5287" w:type="dxa"/>
            <w:gridSpan w:val="5"/>
            <w:tcBorders>
              <w:tl2br w:val="nil"/>
              <w:tr2bl w:val="nil"/>
            </w:tcBorders>
            <w:shd w:val="clear" w:color="auto" w:fill="auto"/>
            <w:vAlign w:val="center"/>
          </w:tcPr>
          <w:p>
            <w:pPr>
              <w:rPr>
                <w:rFonts w:hint="eastAsia" w:ascii="仿宋" w:hAnsi="仿宋" w:eastAsia="仿宋" w:cs="仿宋"/>
                <w:color w:val="000000"/>
                <w:sz w:val="21"/>
                <w:szCs w:val="21"/>
              </w:rPr>
            </w:pPr>
            <w:r>
              <w:rPr>
                <w:rFonts w:hint="eastAsia" w:ascii="仿宋_GB2312" w:hAnsi="仿宋_GB2312" w:eastAsia="仿宋_GB2312" w:cs="仿宋_GB2312"/>
                <w:kern w:val="0"/>
                <w:szCs w:val="21"/>
              </w:rPr>
              <w:t>对采矿权人履行矿山地质环境保护与土地复垦义务的情况进行监督检查。</w:t>
            </w:r>
          </w:p>
        </w:tc>
        <w:tc>
          <w:tcPr>
            <w:tcW w:w="1339" w:type="dxa"/>
            <w:gridSpan w:val="2"/>
            <w:tcBorders>
              <w:tl2br w:val="nil"/>
              <w:tr2bl w:val="nil"/>
            </w:tcBorders>
            <w:shd w:val="clear" w:color="auto" w:fill="auto"/>
            <w:vAlign w:val="center"/>
          </w:tcPr>
          <w:p>
            <w:pPr>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1个工作日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生态修复</w:t>
            </w:r>
            <w:r>
              <w:rPr>
                <w:rFonts w:hint="eastAsia" w:ascii="仿宋_GB2312" w:eastAsia="仿宋_GB2312" w:cs="仿宋_GB2312"/>
                <w:color w:val="000000"/>
                <w:kern w:val="0"/>
                <w:sz w:val="21"/>
                <w:szCs w:val="21"/>
              </w:rPr>
              <w:t>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8"/>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after="240"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spacing w:line="240" w:lineRule="exact"/>
              <w:rPr>
                <w:rFonts w:ascii="黑体" w:eastAsia="黑体" w:cs="黑体"/>
                <w:color w:val="000000"/>
                <w:sz w:val="21"/>
                <w:szCs w:val="21"/>
              </w:rPr>
            </w:pPr>
            <w:r>
              <w:rPr>
                <w:rFonts w:hint="eastAsia" w:ascii="仿宋_GB2312" w:hAnsi="仿宋_GB2312" w:eastAsia="仿宋_GB2312" w:cs="仿宋_GB2312"/>
                <w:kern w:val="0"/>
                <w:sz w:val="18"/>
                <w:szCs w:val="18"/>
              </w:rPr>
              <w:t>县级以上自然资源主管部门工作人员违反本规定，在矿山地质环境保护与土地复垦管理中玩忽职守、滥用职权、徇私舞弊的，对相关责任人依法给予处分；构成犯罪的，依法追究刑事责任。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 w:val="21"/>
                <w:szCs w:val="21"/>
              </w:rPr>
              <w:t>纪检监察投诉：区纪检驻资源规划局纪检组，电话：0335-6689311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rPr>
              <w:t>1．不服许可决定自知道该具体行政行为之日起六十日内向</w:t>
            </w:r>
            <w:r>
              <w:rPr>
                <w:rFonts w:hint="eastAsia" w:ascii="仿宋_GB2312" w:eastAsia="仿宋_GB2312" w:cs="仿宋_GB2312"/>
                <w:color w:val="000000"/>
                <w:kern w:val="0"/>
                <w:sz w:val="21"/>
                <w:szCs w:val="21"/>
                <w:lang w:eastAsia="zh-CN"/>
              </w:rPr>
              <w:t>区</w:t>
            </w:r>
            <w:r>
              <w:rPr>
                <w:rFonts w:hint="eastAsia" w:ascii="仿宋_GB2312" w:eastAsia="仿宋_GB2312" w:cs="仿宋_GB2312"/>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hint="eastAsia" w:ascii="仿宋_GB2312" w:eastAsia="仿宋_GB2312" w:cs="仿宋_GB2312"/>
                <w:color w:val="000000"/>
                <w:kern w:val="0"/>
                <w:sz w:val="21"/>
                <w:szCs w:val="21"/>
              </w:rPr>
              <w:t>2．不服许可决定应当自知道或者应当知道作出行政行为之日起六个月内提出向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eastAsia"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default" w:ascii="Times New Roman" w:hAnsi="Times New Roman" w:eastAsia="方正仿宋_GBK" w:cs="Times New Roman"/>
          <w:sz w:val="32"/>
          <w:szCs w:val="32"/>
        </w:rPr>
      </w:pPr>
    </w:p>
    <w:p/>
    <w:sectPr>
      <w:headerReference r:id="rId3" w:type="default"/>
      <w:footerReference r:id="rId4" w:type="default"/>
      <w:pgSz w:w="11906" w:h="16838"/>
      <w:pgMar w:top="567" w:right="1417" w:bottom="567" w:left="1417" w:header="851" w:footer="992" w:gutter="113"/>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3312448"/>
    <w:rsid w:val="1154114A"/>
    <w:rsid w:val="17FF6CC1"/>
    <w:rsid w:val="188D4054"/>
    <w:rsid w:val="18DA1F55"/>
    <w:rsid w:val="346B31E6"/>
    <w:rsid w:val="3C3245BA"/>
    <w:rsid w:val="3E484EBC"/>
    <w:rsid w:val="480B6841"/>
    <w:rsid w:val="516D5D57"/>
    <w:rsid w:val="531F2FEB"/>
    <w:rsid w:val="5B076365"/>
    <w:rsid w:val="5D433711"/>
    <w:rsid w:val="79F768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name="header"/>
    <w:lsdException w:qFormat="1" w:uiPriority="99"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Strong"/>
    <w:basedOn w:val="5"/>
    <w:qFormat/>
    <w:uiPriority w:val="22"/>
    <w:rPr>
      <w:b/>
      <w:bCs/>
    </w:rPr>
  </w:style>
  <w:style w:type="paragraph" w:styleId="7">
    <w:name w:val="List Paragraph"/>
    <w:basedOn w:val="1"/>
    <w:unhideWhenUsed/>
    <w:uiPriority w:val="99"/>
    <w:pPr>
      <w:ind w:firstLine="420" w:firstLineChars="200"/>
    </w:pPr>
  </w:style>
  <w:style w:type="character" w:customStyle="1" w:styleId="8">
    <w:name w:val="font112"/>
    <w:basedOn w:val="5"/>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2023-12-04T03:40:03Z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A8603E3564AE478F9EB2E3F710CEA712_13</vt:lpwstr>
  </property>
</Properties>
</file>