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对查封、扣押涉嫌违法活动的场所、设施或者财物的行政强制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《中华人民共和国湿地保护法》第四十六条  县级以上人民政府林业草原、自然资源、水行政、住房城乡建设、生态环境、农业农村主管部门进行监督检查，有权采取下列措施：</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（一）询问被检查单位或者个人，要求其对与监督检查事项有关的情况作出说明；</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（二）进行现场检查；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（三）查阅、复制有关文件、资料，对可能被转移、销毁、隐匿或者篡改的文件、资料予以封存；</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（四）查封、扣押涉嫌违法活动的场所、设施或者财物。</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7451645"/>
    <w:rsid w:val="17FF6CC1"/>
    <w:rsid w:val="2FE25763"/>
    <w:rsid w:val="300F6E18"/>
    <w:rsid w:val="4058228F"/>
    <w:rsid w:val="53CB6987"/>
    <w:rsid w:val="69694FE8"/>
    <w:rsid w:val="70707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font241"/>
    <w:basedOn w:val="5"/>
    <w:qFormat/>
    <w:uiPriority w:val="0"/>
    <w:rPr>
      <w:rFonts w:hint="eastAsia" w:ascii="宋体" w:hAnsi="宋体" w:eastAsia="宋体" w:cs="宋体"/>
      <w:color w:val="000000"/>
      <w:sz w:val="18"/>
      <w:szCs w:val="18"/>
      <w:u w:val="none"/>
    </w:rPr>
  </w:style>
  <w:style w:type="character" w:customStyle="1" w:styleId="7">
    <w:name w:val="font12"/>
    <w:basedOn w:val="5"/>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37033889B0CB433EA946FF9FDC9FA1BA_13</vt:lpwstr>
  </property>
</Properties>
</file>