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6"/>
        <w:tblW w:w="102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1"/>
        <w:gridCol w:w="1048"/>
        <w:gridCol w:w="641"/>
        <w:gridCol w:w="1689"/>
        <w:gridCol w:w="1252"/>
        <w:gridCol w:w="708"/>
        <w:gridCol w:w="991"/>
        <w:gridCol w:w="566"/>
        <w:gridCol w:w="771"/>
        <w:gridCol w:w="11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5"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89"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89"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0"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其他权利</w:t>
            </w:r>
          </w:p>
        </w:tc>
        <w:tc>
          <w:tcPr>
            <w:tcW w:w="1557"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29"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秦皇岛市市抚宁区自然资源和规划局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国有建设用地使用权划拨批准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88"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24"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w:t>
            </w:r>
            <w:r>
              <w:rPr>
                <w:rFonts w:hint="eastAsia" w:ascii="黑体" w:hAnsi="黑体" w:eastAsia="黑体" w:cs="仿宋_GB2312"/>
                <w:kern w:val="0"/>
                <w:szCs w:val="21"/>
                <w:lang w:val="en-US" w:eastAsia="zh-CN"/>
              </w:rPr>
              <w:t>法律依据</w:t>
            </w:r>
            <w:r>
              <w:rPr>
                <w:rFonts w:hint="eastAsia" w:ascii="黑体" w:hAnsi="黑体" w:eastAsia="黑体" w:cs="仿宋_GB2312"/>
                <w:kern w:val="0"/>
                <w:szCs w:val="21"/>
              </w:rPr>
              <w:t>】</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中华人民共和国土地管理法》第五十四条：建设单位使用国有土地，应当以出让等有偿使用方式取得；但是，下列建设用地，经县级以上人民政府依法批准，可以以划拨方式取得：（一）国家机关用地和军事用地；（二）城市基础设施用地和公益事业用地；（三）国家重点扶持的能源、交通、水利等基础设施用地；（四）法律、行政法规规定的其他用地。</w:t>
            </w:r>
          </w:p>
          <w:p>
            <w:pPr>
              <w:spacing w:line="240" w:lineRule="exact"/>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2.《划拨用地目录》第二条：符合本目录的建设用地项目，由建设单位提出申请，经有批准权的人民政府批准，方可以划拨方式提供土地使用权。</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抚办字﹝2019﹞3</w:t>
            </w:r>
            <w:r>
              <w:rPr>
                <w:rFonts w:ascii="仿宋_GB2312" w:hAnsi="仿宋_GB2312" w:eastAsia="仿宋_GB2312" w:cs="仿宋_GB2312"/>
                <w:kern w:val="0"/>
                <w:sz w:val="18"/>
                <w:szCs w:val="18"/>
              </w:rPr>
              <w:t>6</w:t>
            </w:r>
            <w:r>
              <w:rPr>
                <w:rFonts w:hint="eastAsia" w:ascii="仿宋_GB2312" w:hAnsi="仿宋_GB2312" w:eastAsia="仿宋_GB2312" w:cs="仿宋_GB2312"/>
                <w:kern w:val="0"/>
                <w:sz w:val="18"/>
                <w:szCs w:val="18"/>
              </w:rPr>
              <w:t>号第三条</w:t>
            </w:r>
            <w:bookmarkStart w:id="0" w:name="_GoBack"/>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0" w:hRule="atLeast"/>
          <w:jc w:val="center"/>
        </w:trPr>
        <w:tc>
          <w:tcPr>
            <w:tcW w:w="1461"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48"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1"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7"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8"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81"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1"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受理并收取相关要件资料</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土地利用股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审批</w:t>
            </w:r>
          </w:p>
        </w:tc>
        <w:tc>
          <w:tcPr>
            <w:tcW w:w="5281"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拟写划拨用地方案报区政府审批</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土地利用股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公示</w:t>
            </w:r>
          </w:p>
        </w:tc>
        <w:tc>
          <w:tcPr>
            <w:tcW w:w="5281"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区政府批复同意后在土地市场网公示划拨信息10日</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土地利用股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缴款</w:t>
            </w:r>
          </w:p>
        </w:tc>
        <w:tc>
          <w:tcPr>
            <w:tcW w:w="5281"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公示期满无异议，则组织相关部门集体核定该宗土地应缴纳的划拨成本，用地单位到局财务科开单缴费</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土地利用股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决定</w:t>
            </w:r>
          </w:p>
        </w:tc>
        <w:tc>
          <w:tcPr>
            <w:tcW w:w="5281"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局内审签划拨用地申请呈报表，签发国有建设用地划拨决定书</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土地利用股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5" w:hRule="atLeast"/>
          <w:jc w:val="center"/>
        </w:trPr>
        <w:tc>
          <w:tcPr>
            <w:tcW w:w="1461"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0"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现场办结</w:t>
            </w:r>
          </w:p>
        </w:tc>
        <w:tc>
          <w:tcPr>
            <w:tcW w:w="1699"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5"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3"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24" w:type="dxa"/>
            <w:gridSpan w:val="9"/>
            <w:tcBorders>
              <w:tl2br w:val="nil"/>
              <w:tr2bl w:val="nil"/>
            </w:tcBorders>
            <w:shd w:val="clear" w:color="auto" w:fill="auto"/>
            <w:vAlign w:val="center"/>
          </w:tcPr>
          <w:p>
            <w:pPr>
              <w:pStyle w:val="5"/>
              <w:numPr>
                <w:ilvl w:val="0"/>
                <w:numId w:val="1"/>
              </w:numPr>
              <w:shd w:val="clear" w:color="auto" w:fill="FFFFFF"/>
              <w:spacing w:before="0" w:beforeAutospacing="0" w:after="0" w:afterAutospacing="0"/>
              <w:jc w:val="both"/>
              <w:rPr>
                <w:rFonts w:ascii="仿宋_GB2312" w:hAnsi="仿宋_GB2312" w:eastAsia="仿宋_GB2312" w:cs="仿宋_GB2312"/>
                <w:sz w:val="18"/>
                <w:szCs w:val="18"/>
              </w:rPr>
            </w:pPr>
            <w:r>
              <w:rPr>
                <w:rFonts w:hint="eastAsia" w:ascii="仿宋_GB2312" w:hAnsi="仿宋_GB2312" w:eastAsia="仿宋_GB2312" w:cs="仿宋_GB2312"/>
                <w:sz w:val="18"/>
                <w:szCs w:val="18"/>
              </w:rPr>
              <w:t>项目发改立项文件</w:t>
            </w:r>
          </w:p>
          <w:p>
            <w:pPr>
              <w:pStyle w:val="5"/>
              <w:numPr>
                <w:ilvl w:val="0"/>
                <w:numId w:val="1"/>
              </w:numPr>
              <w:shd w:val="clear" w:color="auto" w:fill="FFFFFF"/>
              <w:spacing w:before="0" w:beforeAutospacing="0" w:after="0" w:afterAutospacing="0"/>
              <w:jc w:val="both"/>
              <w:rPr>
                <w:rFonts w:ascii="仿宋_GB2312" w:hAnsi="仿宋_GB2312" w:eastAsia="仿宋_GB2312" w:cs="仿宋_GB2312"/>
                <w:sz w:val="18"/>
                <w:szCs w:val="18"/>
              </w:rPr>
            </w:pPr>
            <w:r>
              <w:rPr>
                <w:rFonts w:hint="eastAsia" w:ascii="仿宋_GB2312" w:hAnsi="仿宋_GB2312" w:eastAsia="仿宋_GB2312" w:cs="仿宋_GB2312"/>
                <w:sz w:val="18"/>
                <w:szCs w:val="18"/>
              </w:rPr>
              <w:t>单位组织机构代码证或营业执照、单位法人身份证复印件、委托书、代理人身份证复印件</w:t>
            </w:r>
          </w:p>
          <w:p>
            <w:pPr>
              <w:pStyle w:val="5"/>
              <w:numPr>
                <w:ilvl w:val="0"/>
                <w:numId w:val="1"/>
              </w:numPr>
              <w:shd w:val="clear" w:color="auto" w:fill="FFFFFF"/>
              <w:spacing w:before="0" w:beforeAutospacing="0" w:after="0" w:afterAutospacing="0"/>
              <w:jc w:val="both"/>
              <w:rPr>
                <w:rFonts w:ascii="仿宋_GB2312" w:hAnsi="仿宋_GB2312" w:eastAsia="仿宋_GB2312" w:cs="仿宋_GB2312"/>
                <w:sz w:val="18"/>
                <w:szCs w:val="18"/>
              </w:rPr>
            </w:pPr>
            <w:r>
              <w:rPr>
                <w:rFonts w:hint="eastAsia" w:ascii="仿宋_GB2312" w:hAnsi="仿宋_GB2312" w:eastAsia="仿宋_GB2312" w:cs="仿宋_GB2312"/>
                <w:sz w:val="18"/>
                <w:szCs w:val="18"/>
              </w:rPr>
              <w:t>宗地勘测定界图及界址点成果表</w:t>
            </w:r>
          </w:p>
          <w:p>
            <w:pPr>
              <w:pStyle w:val="12"/>
              <w:widowControl/>
              <w:numPr>
                <w:ilvl w:val="0"/>
                <w:numId w:val="1"/>
              </w:numPr>
              <w:ind w:firstLineChars="0"/>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规划条件 </w:t>
            </w:r>
            <w:r>
              <w:rPr>
                <w:rFonts w:ascii="仿宋_GB2312" w:hAnsi="仿宋_GB2312" w:eastAsia="仿宋_GB2312" w:cs="仿宋_GB2312"/>
                <w:kern w:val="0"/>
                <w:sz w:val="18"/>
                <w:szCs w:val="18"/>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76"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24" w:type="dxa"/>
            <w:gridSpan w:val="9"/>
            <w:tcBorders>
              <w:tl2br w:val="nil"/>
              <w:tr2bl w:val="nil"/>
            </w:tcBorders>
            <w:shd w:val="clear" w:color="auto" w:fill="auto"/>
            <w:vAlign w:val="center"/>
          </w:tcPr>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因不履行或不正确履行职责，有下列情形的，行政机关及相关工作人员应承担相应责任： 1.对符合申报要求的申请不予受理、许可的；2.将不符合规定条件的予以审批的；3.超过法定期限或者擅自增设、变更审批程序或审批条件实施行政许可的；4.违反法定程序实施评审，造成经济损失或构成犯罪的；5.在履行职责过程中滥用职权、玩忽职守、徇私舞弊的；6.在审批过程中发生腐败行为的；7.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2"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0335-6685373   6680610</w:t>
            </w:r>
            <w:r>
              <w:rPr>
                <w:rFonts w:hint="eastAsia" w:ascii="仿宋_GB2312" w:eastAsia="仿宋_GB2312" w:cs="仿宋_GB2312"/>
                <w:color w:val="000000"/>
                <w:kern w:val="0"/>
                <w:szCs w:val="21"/>
              </w:rPr>
              <w:t>转8</w:t>
            </w:r>
            <w:r>
              <w:rPr>
                <w:rFonts w:ascii="仿宋_GB2312" w:eastAsia="仿宋_GB2312" w:cs="仿宋_GB2312"/>
                <w:color w:val="000000"/>
                <w:kern w:val="0"/>
                <w:szCs w:val="21"/>
              </w:rPr>
              <w:t>0804</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0335-6682748</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3.纪检监察投诉：区纪检驻资源规划局纪检组</w:t>
            </w:r>
            <w:r>
              <w:rPr>
                <w:rFonts w:hint="eastAsia" w:ascii="仿宋_GB2312" w:eastAsia="仿宋_GB2312" w:cs="仿宋_GB2312"/>
                <w:color w:val="FF0000"/>
                <w:kern w:val="0"/>
                <w:szCs w:val="21"/>
              </w:rPr>
              <w:t xml:space="preserve"> </w:t>
            </w:r>
            <w:r>
              <w:rPr>
                <w:rFonts w:hint="eastAsia" w:ascii="仿宋_GB2312" w:eastAsia="仿宋_GB2312" w:cs="仿宋_GB2312"/>
                <w:kern w:val="0"/>
                <w:szCs w:val="21"/>
              </w:rPr>
              <w:t>0335-</w:t>
            </w:r>
            <w:r>
              <w:rPr>
                <w:rFonts w:ascii="仿宋_GB2312" w:eastAsia="仿宋_GB2312" w:cs="仿宋_GB2312"/>
                <w:kern w:val="0"/>
                <w:szCs w:val="21"/>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92"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24"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w:t>
            </w:r>
            <w:r>
              <w:rPr>
                <w:rFonts w:hint="eastAsia" w:ascii="仿宋_GB2312" w:eastAsia="仿宋_GB2312" w:cs="仿宋_GB2312"/>
                <w:color w:val="000000"/>
                <w:kern w:val="0"/>
                <w:szCs w:val="21"/>
                <w:lang w:val="en-US" w:eastAsia="zh-CN"/>
              </w:rPr>
              <w:t>区</w:t>
            </w:r>
            <w:r>
              <w:rPr>
                <w:rFonts w:hint="eastAsia" w:ascii="仿宋_GB2312" w:eastAsia="仿宋_GB2312" w:cs="仿宋_GB2312"/>
                <w:color w:val="000000"/>
                <w:kern w:val="0"/>
                <w:szCs w:val="21"/>
              </w:rPr>
              <w:t>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7"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24"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spacing w:line="500" w:lineRule="exact"/>
        <w:rPr>
          <w:rFonts w:ascii="Times New Roman" w:hAnsi="Times New Roman" w:eastAsia="方正仿宋_GBK" w:cs="Times New Roman"/>
          <w:sz w:val="32"/>
          <w:szCs w:val="32"/>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2010601030101010101"/>
    <w:charset w:val="86"/>
    <w:family w:val="auto"/>
    <w:pitch w:val="default"/>
    <w:sig w:usb0="00000000" w:usb1="00000000" w:usb2="0000001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5D3787E"/>
    <w:multiLevelType w:val="multilevel"/>
    <w:tmpl w:val="75D3787E"/>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C0BFD"/>
    <w:rsid w:val="000C2E81"/>
    <w:rsid w:val="000D1BAD"/>
    <w:rsid w:val="00130D96"/>
    <w:rsid w:val="002455E6"/>
    <w:rsid w:val="00252F81"/>
    <w:rsid w:val="00276DC4"/>
    <w:rsid w:val="002F371C"/>
    <w:rsid w:val="003E269F"/>
    <w:rsid w:val="00416605"/>
    <w:rsid w:val="004C722E"/>
    <w:rsid w:val="00526E1F"/>
    <w:rsid w:val="00547FA1"/>
    <w:rsid w:val="0055560C"/>
    <w:rsid w:val="00646AB2"/>
    <w:rsid w:val="00655917"/>
    <w:rsid w:val="00682557"/>
    <w:rsid w:val="006A7DFC"/>
    <w:rsid w:val="0073198C"/>
    <w:rsid w:val="00741F2B"/>
    <w:rsid w:val="007A1B03"/>
    <w:rsid w:val="007B3AB4"/>
    <w:rsid w:val="00830524"/>
    <w:rsid w:val="008442FA"/>
    <w:rsid w:val="008872DD"/>
    <w:rsid w:val="008E7E4E"/>
    <w:rsid w:val="00915FB0"/>
    <w:rsid w:val="009A0D43"/>
    <w:rsid w:val="00A13AAF"/>
    <w:rsid w:val="00A52FD2"/>
    <w:rsid w:val="00BD2AF6"/>
    <w:rsid w:val="00CA20EC"/>
    <w:rsid w:val="00CB16B4"/>
    <w:rsid w:val="00D24BC2"/>
    <w:rsid w:val="00DB558F"/>
    <w:rsid w:val="00E454F1"/>
    <w:rsid w:val="00E70A89"/>
    <w:rsid w:val="00EF269E"/>
    <w:rsid w:val="00F03CB5"/>
    <w:rsid w:val="00F124E3"/>
    <w:rsid w:val="00F35FED"/>
    <w:rsid w:val="00F81182"/>
    <w:rsid w:val="00F8578D"/>
    <w:rsid w:val="03D664A8"/>
    <w:rsid w:val="12FE7BB6"/>
    <w:rsid w:val="17DA7814"/>
    <w:rsid w:val="1A8F0322"/>
    <w:rsid w:val="202231C7"/>
    <w:rsid w:val="2A234631"/>
    <w:rsid w:val="2FF9390E"/>
    <w:rsid w:val="327E0B53"/>
    <w:rsid w:val="475D6695"/>
    <w:rsid w:val="49D72799"/>
    <w:rsid w:val="4E015B87"/>
    <w:rsid w:val="53260A4D"/>
    <w:rsid w:val="5925362F"/>
    <w:rsid w:val="6436663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semiHidden/>
    <w:unhideWhenUsed/>
    <w:uiPriority w:val="99"/>
    <w:rPr>
      <w:sz w:val="18"/>
      <w:szCs w:val="18"/>
    </w:rPr>
  </w:style>
  <w:style w:type="paragraph" w:styleId="3">
    <w:name w:val="footer"/>
    <w:basedOn w:val="1"/>
    <w:link w:val="11"/>
    <w:semiHidden/>
    <w:unhideWhenUsed/>
    <w:uiPriority w:val="99"/>
    <w:pPr>
      <w:tabs>
        <w:tab w:val="center" w:pos="4153"/>
        <w:tab w:val="right" w:pos="8306"/>
      </w:tabs>
      <w:snapToGrid w:val="0"/>
      <w:jc w:val="left"/>
    </w:pPr>
    <w:rPr>
      <w:sz w:val="18"/>
      <w:szCs w:val="18"/>
    </w:rPr>
  </w:style>
  <w:style w:type="paragraph" w:styleId="4">
    <w:name w:val="header"/>
    <w:basedOn w:val="1"/>
    <w:link w:val="10"/>
    <w:semiHidden/>
    <w:unhideWhenUsed/>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customStyle="1" w:styleId="8">
    <w:name w:val="font112"/>
    <w:basedOn w:val="7"/>
    <w:qFormat/>
    <w:uiPriority w:val="0"/>
    <w:rPr>
      <w:rFonts w:ascii="仿宋_GB2312" w:eastAsia="仿宋_GB2312" w:cs="仿宋_GB2312"/>
      <w:color w:val="000000"/>
      <w:sz w:val="18"/>
      <w:szCs w:val="18"/>
      <w:u w:val="none"/>
    </w:rPr>
  </w:style>
  <w:style w:type="character" w:customStyle="1" w:styleId="9">
    <w:name w:val="批注框文本 Char"/>
    <w:basedOn w:val="7"/>
    <w:link w:val="2"/>
    <w:semiHidden/>
    <w:qFormat/>
    <w:uiPriority w:val="99"/>
    <w:rPr>
      <w:rFonts w:ascii="Calibri" w:hAnsi="Calibri" w:eastAsia="宋体" w:cs="Arial"/>
      <w:sz w:val="18"/>
      <w:szCs w:val="18"/>
    </w:rPr>
  </w:style>
  <w:style w:type="character" w:customStyle="1" w:styleId="10">
    <w:name w:val="页眉 Char"/>
    <w:basedOn w:val="7"/>
    <w:link w:val="4"/>
    <w:semiHidden/>
    <w:qFormat/>
    <w:uiPriority w:val="99"/>
    <w:rPr>
      <w:rFonts w:ascii="Calibri" w:hAnsi="Calibri" w:eastAsia="宋体" w:cs="Arial"/>
      <w:sz w:val="18"/>
      <w:szCs w:val="18"/>
    </w:rPr>
  </w:style>
  <w:style w:type="character" w:customStyle="1" w:styleId="11">
    <w:name w:val="页脚 Char"/>
    <w:basedOn w:val="7"/>
    <w:link w:val="3"/>
    <w:semiHidden/>
    <w:qFormat/>
    <w:uiPriority w:val="99"/>
    <w:rPr>
      <w:rFonts w:ascii="Calibri" w:hAnsi="Calibri" w:eastAsia="宋体" w:cs="Arial"/>
      <w:sz w:val="18"/>
      <w:szCs w:val="18"/>
    </w:rPr>
  </w:style>
  <w:style w:type="paragraph" w:styleId="12">
    <w:name w:val="List Paragraph"/>
    <w:basedOn w:val="1"/>
    <w:qFormat/>
    <w:uiPriority w:val="34"/>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166</Words>
  <Characters>951</Characters>
  <Lines>7</Lines>
  <Paragraphs>2</Paragraphs>
  <TotalTime>0</TotalTime>
  <ScaleCrop>false</ScaleCrop>
  <LinksUpToDate>false</LinksUpToDate>
  <CharactersWithSpaces>1115</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2023-07-31T02:33:00Z</dcterms:created>
  <dc:creator>xb21cn</dc:creator>
  <cp:lastModifiedBy>大地欢歌</cp:lastModifiedBy>
  <cp:lastPrinted>2023-10-16T08:04:00Z</cp:lastPrinted>
  <dcterms:modified xsi:type="dcterms:W3CDTF">2023-12-07T07:01:46Z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0E312DF17A434F479FA87C1462A28024_13</vt:lpwstr>
  </property>
</Properties>
</file>